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240" w:type="dxa"/>
        <w:tblCellMar>
          <w:top w:w="0" w:type="dxa"/>
          <w:left w:w="0" w:type="dxa"/>
          <w:bottom w:w="0" w:type="dxa"/>
          <w:right w:w="0" w:type="dxa"/>
        </w:tblCellMar>
      </w:tblPr>
      <w:tr>
        <w:trPr>
          <w:trHeight w:val="297"/>
        </w:trPr>
        <w:tc>
          <w:tcPr>
            <w:tcW w:w="1540" w:type="dxa"/>
            <w:vAlign w:val="bottom"/>
          </w:tcPr>
          <w:p>
            <w:pPr>
              <w:spacing w:after="0"/>
              <w:rPr>
                <w:sz w:val="24"/>
                <w:szCs w:val="24"/>
                <w:color w:val="auto"/>
              </w:rPr>
            </w:pPr>
          </w:p>
        </w:tc>
        <w:tc>
          <w:tcPr>
            <w:tcW w:w="4940" w:type="dxa"/>
            <w:vAlign w:val="bottom"/>
            <w:gridSpan w:val="3"/>
          </w:tcPr>
          <w:p>
            <w:pPr>
              <w:jc w:val="center"/>
              <w:ind w:left="2815"/>
              <w:spacing w:after="0"/>
              <w:rPr>
                <w:sz w:val="20"/>
                <w:szCs w:val="20"/>
                <w:color w:val="auto"/>
              </w:rPr>
            </w:pPr>
            <w:r>
              <w:rPr>
                <w:rFonts w:ascii="Arial" w:cs="Arial" w:eastAsia="Arial" w:hAnsi="Arial"/>
                <w:sz w:val="25"/>
                <w:szCs w:val="25"/>
                <w:b w:val="1"/>
                <w:bCs w:val="1"/>
                <w:color w:val="auto"/>
                <w:w w:val="99"/>
              </w:rPr>
              <w:t>UNITED STATES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3"/>
        </w:trPr>
        <w:tc>
          <w:tcPr>
            <w:tcW w:w="1540" w:type="dxa"/>
            <w:vAlign w:val="bottom"/>
          </w:tcPr>
          <w:p>
            <w:pPr>
              <w:spacing w:after="0"/>
              <w:rPr>
                <w:sz w:val="24"/>
                <w:szCs w:val="24"/>
                <w:color w:val="auto"/>
              </w:rPr>
            </w:pPr>
          </w:p>
        </w:tc>
        <w:tc>
          <w:tcPr>
            <w:tcW w:w="6640" w:type="dxa"/>
            <w:vAlign w:val="bottom"/>
            <w:gridSpan w:val="6"/>
          </w:tcPr>
          <w:p>
            <w:pPr>
              <w:jc w:val="center"/>
              <w:ind w:left="1115"/>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81"/>
        </w:trPr>
        <w:tc>
          <w:tcPr>
            <w:tcW w:w="1540" w:type="dxa"/>
            <w:vAlign w:val="bottom"/>
          </w:tcPr>
          <w:p>
            <w:pPr>
              <w:spacing w:after="0"/>
              <w:rPr>
                <w:sz w:val="24"/>
                <w:szCs w:val="24"/>
                <w:color w:val="auto"/>
              </w:rPr>
            </w:pPr>
          </w:p>
        </w:tc>
        <w:tc>
          <w:tcPr>
            <w:tcW w:w="6640" w:type="dxa"/>
            <w:vAlign w:val="bottom"/>
            <w:gridSpan w:val="6"/>
          </w:tcPr>
          <w:p>
            <w:pPr>
              <w:jc w:val="center"/>
              <w:ind w:left="1115"/>
              <w:spacing w:after="0"/>
              <w:rPr>
                <w:sz w:val="20"/>
                <w:szCs w:val="20"/>
                <w:color w:val="auto"/>
              </w:rPr>
            </w:pPr>
            <w:r>
              <w:rPr>
                <w:rFonts w:ascii="Arial" w:cs="Arial" w:eastAsia="Arial" w:hAnsi="Arial"/>
                <w:sz w:val="22"/>
                <w:szCs w:val="22"/>
                <w:b w:val="1"/>
                <w:bCs w:val="1"/>
                <w:color w:val="auto"/>
                <w:w w:val="94"/>
              </w:rPr>
              <w:t>WASHINGTON, D.C. 20549</w:t>
            </w:r>
          </w:p>
        </w:tc>
      </w:tr>
      <w:tr>
        <w:trPr>
          <w:trHeight w:val="586"/>
        </w:trPr>
        <w:tc>
          <w:tcPr>
            <w:tcW w:w="1540" w:type="dxa"/>
            <w:vAlign w:val="bottom"/>
          </w:tcPr>
          <w:p>
            <w:pPr>
              <w:spacing w:after="0"/>
              <w:rPr>
                <w:sz w:val="24"/>
                <w:szCs w:val="24"/>
                <w:color w:val="auto"/>
              </w:rPr>
            </w:pPr>
          </w:p>
        </w:tc>
        <w:tc>
          <w:tcPr>
            <w:tcW w:w="4940" w:type="dxa"/>
            <w:vAlign w:val="bottom"/>
            <w:gridSpan w:val="3"/>
          </w:tcPr>
          <w:p>
            <w:pPr>
              <w:jc w:val="center"/>
              <w:ind w:left="2835"/>
              <w:spacing w:after="0"/>
              <w:rPr>
                <w:sz w:val="20"/>
                <w:szCs w:val="20"/>
                <w:color w:val="auto"/>
              </w:rPr>
            </w:pPr>
            <w:r>
              <w:rPr>
                <w:rFonts w:ascii="Arial" w:cs="Arial" w:eastAsia="Arial" w:hAnsi="Arial"/>
                <w:sz w:val="32"/>
                <w:szCs w:val="32"/>
                <w:b w:val="1"/>
                <w:bCs w:val="1"/>
                <w:color w:val="auto"/>
                <w:w w:val="96"/>
              </w:rPr>
              <w:t>Form 11-K</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3"/>
        </w:trPr>
        <w:tc>
          <w:tcPr>
            <w:tcW w:w="1540" w:type="dxa"/>
            <w:vAlign w:val="bottom"/>
          </w:tcPr>
          <w:p>
            <w:pPr>
              <w:jc w:val="center"/>
              <w:ind w:right="776"/>
              <w:spacing w:after="0"/>
              <w:rPr>
                <w:sz w:val="20"/>
                <w:szCs w:val="20"/>
                <w:color w:val="auto"/>
              </w:rPr>
            </w:pPr>
            <w:r>
              <w:rPr>
                <w:rFonts w:ascii="Arial" w:cs="Arial" w:eastAsia="Arial" w:hAnsi="Arial"/>
                <w:sz w:val="14"/>
                <w:szCs w:val="14"/>
                <w:color w:val="auto"/>
                <w:w w:val="95"/>
              </w:rPr>
              <w:t>(Mark One)</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9"/>
        </w:trPr>
        <w:tc>
          <w:tcPr>
            <w:tcW w:w="1540" w:type="dxa"/>
            <w:vAlign w:val="bottom"/>
          </w:tcPr>
          <w:p>
            <w:pPr>
              <w:jc w:val="center"/>
              <w:ind w:right="776"/>
              <w:spacing w:after="0" w:line="181" w:lineRule="exact"/>
              <w:rPr>
                <w:sz w:val="20"/>
                <w:szCs w:val="20"/>
                <w:color w:val="auto"/>
              </w:rPr>
            </w:pPr>
            <w:r>
              <w:rPr>
                <w:rFonts w:ascii="MS PGothic" w:cs="MS PGothic" w:eastAsia="MS PGothic" w:hAnsi="MS PGothic"/>
                <w:sz w:val="18"/>
                <w:szCs w:val="18"/>
                <w:color w:val="auto"/>
                <w:w w:val="88"/>
              </w:rPr>
              <w:t>☑</w:t>
            </w:r>
          </w:p>
        </w:tc>
        <w:tc>
          <w:tcPr>
            <w:tcW w:w="6640" w:type="dxa"/>
            <w:vAlign w:val="bottom"/>
            <w:gridSpan w:val="6"/>
          </w:tcPr>
          <w:p>
            <w:pPr>
              <w:ind w:left="860"/>
              <w:spacing w:after="0"/>
              <w:rPr>
                <w:sz w:val="20"/>
                <w:szCs w:val="20"/>
                <w:color w:val="auto"/>
              </w:rPr>
            </w:pPr>
            <w:r>
              <w:rPr>
                <w:rFonts w:ascii="Arial" w:cs="Arial" w:eastAsia="Arial" w:hAnsi="Arial"/>
                <w:sz w:val="18"/>
                <w:szCs w:val="18"/>
                <w:color w:val="auto"/>
              </w:rPr>
              <w:t>ANNUAL REPORT PURSUANT TO SECTION 15 (d) OF THE</w:t>
            </w:r>
          </w:p>
        </w:tc>
      </w:tr>
      <w:tr>
        <w:trPr>
          <w:trHeight w:val="230"/>
        </w:trPr>
        <w:tc>
          <w:tcPr>
            <w:tcW w:w="1540" w:type="dxa"/>
            <w:vAlign w:val="bottom"/>
          </w:tcPr>
          <w:p>
            <w:pPr>
              <w:spacing w:after="0"/>
              <w:rPr>
                <w:sz w:val="20"/>
                <w:szCs w:val="20"/>
                <w:color w:val="auto"/>
              </w:rPr>
            </w:pPr>
          </w:p>
        </w:tc>
        <w:tc>
          <w:tcPr>
            <w:tcW w:w="6640" w:type="dxa"/>
            <w:vAlign w:val="bottom"/>
            <w:gridSpan w:val="6"/>
          </w:tcPr>
          <w:p>
            <w:pPr>
              <w:ind w:left="860"/>
              <w:spacing w:after="0"/>
              <w:rPr>
                <w:sz w:val="20"/>
                <w:szCs w:val="20"/>
                <w:color w:val="auto"/>
              </w:rPr>
            </w:pPr>
            <w:r>
              <w:rPr>
                <w:rFonts w:ascii="Arial" w:cs="Arial" w:eastAsia="Arial" w:hAnsi="Arial"/>
                <w:sz w:val="18"/>
                <w:szCs w:val="18"/>
                <w:color w:val="auto"/>
              </w:rPr>
              <w:t>SECURITIES EXCHANGE ACT OF 1934 (NO FEE REQUIRED)</w:t>
            </w:r>
          </w:p>
        </w:tc>
      </w:tr>
      <w:tr>
        <w:trPr>
          <w:trHeight w:val="432"/>
        </w:trPr>
        <w:tc>
          <w:tcPr>
            <w:tcW w:w="1540" w:type="dxa"/>
            <w:vAlign w:val="bottom"/>
          </w:tcPr>
          <w:p>
            <w:pPr>
              <w:spacing w:after="0"/>
              <w:rPr>
                <w:sz w:val="24"/>
                <w:szCs w:val="24"/>
                <w:color w:val="auto"/>
              </w:rPr>
            </w:pPr>
          </w:p>
        </w:tc>
        <w:tc>
          <w:tcPr>
            <w:tcW w:w="6640" w:type="dxa"/>
            <w:vAlign w:val="bottom"/>
            <w:gridSpan w:val="6"/>
          </w:tcPr>
          <w:p>
            <w:pPr>
              <w:jc w:val="center"/>
              <w:ind w:left="1135"/>
              <w:spacing w:after="0"/>
              <w:rPr>
                <w:sz w:val="20"/>
                <w:szCs w:val="20"/>
                <w:color w:val="auto"/>
              </w:rPr>
            </w:pPr>
            <w:r>
              <w:rPr>
                <w:rFonts w:ascii="Arial" w:cs="Arial" w:eastAsia="Arial" w:hAnsi="Arial"/>
                <w:sz w:val="18"/>
                <w:szCs w:val="18"/>
                <w:color w:val="auto"/>
                <w:w w:val="89"/>
              </w:rPr>
              <w:t>For the fiscal year ended December 31, 2005</w:t>
            </w:r>
          </w:p>
        </w:tc>
      </w:tr>
      <w:tr>
        <w:trPr>
          <w:trHeight w:val="432"/>
        </w:trPr>
        <w:tc>
          <w:tcPr>
            <w:tcW w:w="1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80" w:type="dxa"/>
            <w:vAlign w:val="bottom"/>
            <w:gridSpan w:val="2"/>
          </w:tcPr>
          <w:p>
            <w:pPr>
              <w:jc w:val="center"/>
              <w:ind w:right="740"/>
              <w:spacing w:after="0"/>
              <w:rPr>
                <w:sz w:val="20"/>
                <w:szCs w:val="20"/>
                <w:color w:val="auto"/>
              </w:rPr>
            </w:pPr>
            <w:r>
              <w:rPr>
                <w:rFonts w:ascii="Arial" w:cs="Arial" w:eastAsia="Arial" w:hAnsi="Arial"/>
                <w:sz w:val="18"/>
                <w:szCs w:val="18"/>
                <w:color w:val="auto"/>
                <w:w w:val="96"/>
              </w:rPr>
              <w:t>OR</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1540" w:type="dxa"/>
            <w:vAlign w:val="bottom"/>
          </w:tcPr>
          <w:p>
            <w:pPr>
              <w:jc w:val="center"/>
              <w:ind w:right="776"/>
              <w:spacing w:after="0"/>
              <w:rPr>
                <w:sz w:val="20"/>
                <w:szCs w:val="20"/>
                <w:color w:val="auto"/>
              </w:rPr>
            </w:pPr>
            <w:r>
              <w:rPr>
                <w:rFonts w:ascii="Arial" w:cs="Arial" w:eastAsia="Arial" w:hAnsi="Arial"/>
                <w:sz w:val="18"/>
                <w:szCs w:val="18"/>
                <w:color w:val="auto"/>
                <w:w w:val="79"/>
              </w:rPr>
              <w:t>o</w:t>
            </w:r>
          </w:p>
        </w:tc>
        <w:tc>
          <w:tcPr>
            <w:tcW w:w="6640" w:type="dxa"/>
            <w:vAlign w:val="bottom"/>
            <w:gridSpan w:val="6"/>
          </w:tcPr>
          <w:p>
            <w:pPr>
              <w:ind w:left="860"/>
              <w:spacing w:after="0"/>
              <w:rPr>
                <w:sz w:val="20"/>
                <w:szCs w:val="20"/>
                <w:color w:val="auto"/>
              </w:rPr>
            </w:pPr>
            <w:r>
              <w:rPr>
                <w:rFonts w:ascii="Arial" w:cs="Arial" w:eastAsia="Arial" w:hAnsi="Arial"/>
                <w:sz w:val="18"/>
                <w:szCs w:val="18"/>
                <w:color w:val="auto"/>
              </w:rPr>
              <w:t>TRANSITION REPORT PURSUANT TO SECTION 15 (d) OF THE</w:t>
            </w:r>
          </w:p>
        </w:tc>
      </w:tr>
      <w:tr>
        <w:trPr>
          <w:trHeight w:val="230"/>
        </w:trPr>
        <w:tc>
          <w:tcPr>
            <w:tcW w:w="1540" w:type="dxa"/>
            <w:vAlign w:val="bottom"/>
          </w:tcPr>
          <w:p>
            <w:pPr>
              <w:spacing w:after="0"/>
              <w:rPr>
                <w:sz w:val="20"/>
                <w:szCs w:val="20"/>
                <w:color w:val="auto"/>
              </w:rPr>
            </w:pPr>
          </w:p>
        </w:tc>
        <w:tc>
          <w:tcPr>
            <w:tcW w:w="6640" w:type="dxa"/>
            <w:vAlign w:val="bottom"/>
            <w:gridSpan w:val="6"/>
          </w:tcPr>
          <w:p>
            <w:pPr>
              <w:ind w:left="860"/>
              <w:spacing w:after="0"/>
              <w:rPr>
                <w:sz w:val="20"/>
                <w:szCs w:val="20"/>
                <w:color w:val="auto"/>
              </w:rPr>
            </w:pPr>
            <w:r>
              <w:rPr>
                <w:rFonts w:ascii="Arial" w:cs="Arial" w:eastAsia="Arial" w:hAnsi="Arial"/>
                <w:sz w:val="18"/>
                <w:szCs w:val="18"/>
                <w:color w:val="auto"/>
              </w:rPr>
              <w:t>SECURITIES EXCHANGE ACT OF 1934 (NO FEE REQUIRED)</w:t>
            </w:r>
          </w:p>
        </w:tc>
      </w:tr>
      <w:tr>
        <w:trPr>
          <w:trHeight w:val="392"/>
        </w:trPr>
        <w:tc>
          <w:tcPr>
            <w:tcW w:w="1540" w:type="dxa"/>
            <w:vAlign w:val="bottom"/>
          </w:tcPr>
          <w:p>
            <w:pPr>
              <w:spacing w:after="0"/>
              <w:rPr>
                <w:sz w:val="24"/>
                <w:szCs w:val="24"/>
                <w:color w:val="auto"/>
              </w:rPr>
            </w:pPr>
          </w:p>
        </w:tc>
        <w:tc>
          <w:tcPr>
            <w:tcW w:w="3660" w:type="dxa"/>
            <w:vAlign w:val="bottom"/>
          </w:tcPr>
          <w:p>
            <w:pPr>
              <w:ind w:left="1460"/>
              <w:spacing w:after="0"/>
              <w:rPr>
                <w:sz w:val="20"/>
                <w:szCs w:val="20"/>
                <w:color w:val="auto"/>
              </w:rPr>
            </w:pPr>
            <w:r>
              <w:rPr>
                <w:rFonts w:ascii="Arial" w:cs="Arial" w:eastAsia="Arial" w:hAnsi="Arial"/>
                <w:sz w:val="18"/>
                <w:szCs w:val="18"/>
                <w:color w:val="auto"/>
                <w:w w:val="94"/>
              </w:rPr>
              <w:t>For the transition period from</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to</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561"/>
        </w:trPr>
        <w:tc>
          <w:tcPr>
            <w:tcW w:w="1540" w:type="dxa"/>
            <w:vAlign w:val="bottom"/>
          </w:tcPr>
          <w:p>
            <w:pPr>
              <w:spacing w:after="0"/>
              <w:rPr>
                <w:sz w:val="24"/>
                <w:szCs w:val="24"/>
                <w:color w:val="auto"/>
              </w:rPr>
            </w:pPr>
          </w:p>
        </w:tc>
        <w:tc>
          <w:tcPr>
            <w:tcW w:w="6640" w:type="dxa"/>
            <w:vAlign w:val="bottom"/>
            <w:gridSpan w:val="6"/>
          </w:tcPr>
          <w:p>
            <w:pPr>
              <w:jc w:val="center"/>
              <w:ind w:left="1115"/>
              <w:spacing w:after="0"/>
              <w:rPr>
                <w:sz w:val="20"/>
                <w:szCs w:val="20"/>
                <w:color w:val="auto"/>
              </w:rPr>
            </w:pPr>
            <w:r>
              <w:rPr>
                <w:rFonts w:ascii="Arial" w:cs="Arial" w:eastAsia="Arial" w:hAnsi="Arial"/>
                <w:sz w:val="18"/>
                <w:szCs w:val="18"/>
                <w:color w:val="auto"/>
                <w:w w:val="92"/>
              </w:rPr>
              <w:t>Commission file number 1-7819</w:t>
            </w:r>
          </w:p>
        </w:tc>
      </w:tr>
    </w:tbl>
    <w:p>
      <w:pPr>
        <w:spacing w:after="0" w:line="173"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ANALOG DEVICES, INC.</w:t>
      </w:r>
    </w:p>
    <w:p>
      <w:pPr>
        <w:spacing w:after="0" w:line="55"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THE INVESTMENT PARTNERSHIP PLAN</w:t>
      </w:r>
    </w:p>
    <w:p>
      <w:pPr>
        <w:ind w:left="2200"/>
        <w:spacing w:after="0"/>
        <w:rPr>
          <w:sz w:val="20"/>
          <w:szCs w:val="20"/>
          <w:color w:val="auto"/>
        </w:rPr>
      </w:pPr>
      <w:r>
        <w:rPr>
          <w:rFonts w:ascii="Arial" w:cs="Arial" w:eastAsia="Arial" w:hAnsi="Arial"/>
          <w:sz w:val="18"/>
          <w:szCs w:val="18"/>
          <w:i w:val="1"/>
          <w:iCs w:val="1"/>
          <w:color w:val="auto"/>
        </w:rPr>
        <w:t>(Full title of the plan and the address of the plan, if different from that of the issuer named below)</w:t>
      </w:r>
    </w:p>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(Name of issuer of the securities held pursuant to the plan and the address of its principal executive office)</w:t>
      </w: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One Technology Way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THE INVESTMENT PARTNERSHIP PLAN</w:t>
        </w:r>
      </w:hyperlink>
    </w:p>
    <w:p>
      <w:pPr>
        <w:spacing w:after="0" w:line="8" w:lineRule="exact"/>
        <w:rPr>
          <w:sz w:val="20"/>
          <w:szCs w:val="20"/>
          <w:color w:val="auto"/>
        </w:rPr>
      </w:pPr>
    </w:p>
    <w:p>
      <w:pPr>
        <w:ind w:right="2499"/>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STATEMENTS OF NET ASSETS AVAILABLE FOR BENEFITS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STATEMENTS OF CHANGES IN NET ASSETS AVAILABLE FOR BENEFITS</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NOTES TO FINANCIAL STATEMENTS</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EIN NO: 04-2348234 PLAN NO: 003</w:t>
        </w:r>
      </w:hyperlink>
    </w:p>
    <w:p>
      <w:pPr>
        <w:spacing w:after="0" w:line="233"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SIGNATURES</w:t>
        </w:r>
      </w:hyperlink>
    </w:p>
    <w:p>
      <w:pPr>
        <w:spacing w:after="0"/>
        <w:rPr>
          <w:sz w:val="20"/>
          <w:szCs w:val="20"/>
          <w:color w:val="auto"/>
        </w:rPr>
      </w:pPr>
      <w:r>
        <w:rPr>
          <w:rFonts w:ascii="Arial" w:cs="Arial" w:eastAsia="Arial" w:hAnsi="Arial"/>
          <w:sz w:val="22"/>
          <w:szCs w:val="22"/>
          <w:u w:val="single" w:color="auto"/>
          <w:color w:val="0000EE"/>
        </w:rPr>
        <w:t>Ex-23.1 Consent of Ernst &amp; Young LLP</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Audited Statements of Net Assets Available for Benefits as of December 31, 2005 and 2004.</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Audited Statements of Changes in Net Assets Available for Benefits for the Years Ended December 31, 2005 and 2004.</w:t>
      </w:r>
    </w:p>
    <w:p>
      <w:pPr>
        <w:spacing w:after="0" w:line="356"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Supplemental Schedule</w:t>
      </w:r>
    </w:p>
    <w:p>
      <w:pPr>
        <w:spacing w:after="0" w:line="225"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 H-Line 4i — Schedule of Assets (Held at End of Year).</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jc w:val="right"/>
        <w:ind w:left="5660" w:right="4399" w:hanging="5652"/>
        <w:spacing w:after="0" w:line="414" w:lineRule="auto"/>
        <w:tabs>
          <w:tab w:leader="none" w:pos="35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 filed herewith.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1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Analog Devices, Inc. The Investment Partnership Plan as of December 31, 2005 and 2004,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2005 and 2004, and the changes in its net assets available for benefits for the years then ended, in conformity with U.S. generally accepted accounting principles.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2005,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62865</wp:posOffset>
            </wp:positionV>
            <wp:extent cx="209232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17, 2006</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 and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640" w:type="dxa"/>
            <w:vAlign w:val="bottom"/>
            <w:gridSpan w:val="2"/>
          </w:tcPr>
          <w:p>
            <w:pPr>
              <w:jc w:val="right"/>
              <w:ind w:right="290"/>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1320" w:type="dxa"/>
            <w:vAlign w:val="bottom"/>
            <w:gridSpan w:val="2"/>
          </w:tcPr>
          <w:p>
            <w:pPr>
              <w:jc w:val="right"/>
              <w:ind w:right="290"/>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462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020" w:type="dxa"/>
            <w:vAlign w:val="bottom"/>
            <w:gridSpan w:val="5"/>
          </w:tcPr>
          <w:p>
            <w:pPr>
              <w:spacing w:after="0"/>
              <w:rPr>
                <w:sz w:val="20"/>
                <w:szCs w:val="20"/>
                <w:color w:val="auto"/>
              </w:rPr>
            </w:pPr>
            <w:r>
              <w:rPr>
                <w:rFonts w:ascii="Arial" w:cs="Arial" w:eastAsia="Arial" w:hAnsi="Arial"/>
                <w:sz w:val="18"/>
                <w:szCs w:val="18"/>
                <w:color w:val="auto"/>
              </w:rPr>
              <w:t>Investments, at fair value</w:t>
            </w:r>
          </w:p>
        </w:tc>
        <w:tc>
          <w:tcPr>
            <w:tcW w:w="5980" w:type="dxa"/>
            <w:vAlign w:val="bottom"/>
            <w:gridSpan w:val="3"/>
          </w:tcPr>
          <w:p>
            <w:pPr>
              <w:jc w:val="right"/>
              <w:ind w:right="340"/>
              <w:spacing w:after="0"/>
              <w:rPr>
                <w:sz w:val="20"/>
                <w:szCs w:val="20"/>
                <w:color w:val="auto"/>
              </w:rPr>
            </w:pPr>
            <w:r>
              <w:rPr>
                <w:rFonts w:ascii="Arial" w:cs="Arial" w:eastAsia="Arial" w:hAnsi="Arial"/>
                <w:sz w:val="18"/>
                <w:szCs w:val="18"/>
                <w:color w:val="auto"/>
              </w:rPr>
              <w:t>$ 723,158,359</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$ 676,623,749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interest and dividends</w:t>
            </w:r>
          </w:p>
        </w:tc>
        <w:tc>
          <w:tcPr>
            <w:tcW w:w="5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1,013,306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1,049,180</w:t>
            </w:r>
          </w:p>
        </w:tc>
        <w:tc>
          <w:tcPr>
            <w:tcW w:w="0" w:type="dxa"/>
            <w:vAlign w:val="bottom"/>
          </w:tcPr>
          <w:p>
            <w:pPr>
              <w:spacing w:after="0"/>
              <w:rPr>
                <w:sz w:val="1"/>
                <w:szCs w:val="1"/>
                <w:color w:val="auto"/>
              </w:rPr>
            </w:pPr>
          </w:p>
        </w:tc>
      </w:tr>
      <w:tr>
        <w:trPr>
          <w:trHeight w:val="432"/>
        </w:trPr>
        <w:tc>
          <w:tcPr>
            <w:tcW w:w="4020" w:type="dxa"/>
            <w:vAlign w:val="bottom"/>
            <w:gridSpan w:val="5"/>
          </w:tcPr>
          <w:p>
            <w:pPr>
              <w:spacing w:after="0"/>
              <w:rPr>
                <w:sz w:val="20"/>
                <w:szCs w:val="20"/>
                <w:color w:val="auto"/>
              </w:rPr>
            </w:pPr>
            <w:r>
              <w:rPr>
                <w:rFonts w:ascii="Arial" w:cs="Arial" w:eastAsia="Arial" w:hAnsi="Arial"/>
                <w:sz w:val="18"/>
                <w:szCs w:val="18"/>
                <w:color w:val="auto"/>
              </w:rPr>
              <w:t>Employer contributions receivable</w:t>
            </w:r>
          </w:p>
        </w:tc>
        <w:tc>
          <w:tcPr>
            <w:tcW w:w="5980" w:type="dxa"/>
            <w:vAlign w:val="bottom"/>
            <w:gridSpan w:val="3"/>
          </w:tcPr>
          <w:p>
            <w:pPr>
              <w:jc w:val="right"/>
              <w:ind w:right="340"/>
              <w:spacing w:after="0"/>
              <w:rPr>
                <w:sz w:val="20"/>
                <w:szCs w:val="20"/>
                <w:color w:val="auto"/>
              </w:rPr>
            </w:pPr>
            <w:r>
              <w:rPr>
                <w:rFonts w:ascii="Arial" w:cs="Arial" w:eastAsia="Arial" w:hAnsi="Arial"/>
                <w:sz w:val="18"/>
                <w:szCs w:val="18"/>
                <w:color w:val="auto"/>
              </w:rPr>
              <w:t>753,005</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732,418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Employee contributions receivable</w:t>
            </w:r>
          </w:p>
        </w:tc>
        <w:tc>
          <w:tcPr>
            <w:tcW w:w="5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632,692</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516,530</w:t>
            </w:r>
          </w:p>
        </w:tc>
        <w:tc>
          <w:tcPr>
            <w:tcW w:w="0" w:type="dxa"/>
            <w:vAlign w:val="bottom"/>
          </w:tcPr>
          <w:p>
            <w:pPr>
              <w:spacing w:after="0"/>
              <w:rPr>
                <w:sz w:val="1"/>
                <w:szCs w:val="1"/>
                <w:color w:val="auto"/>
              </w:rPr>
            </w:pPr>
          </w:p>
        </w:tc>
      </w:tr>
      <w:tr>
        <w:trPr>
          <w:trHeight w:val="439"/>
        </w:trPr>
        <w:tc>
          <w:tcPr>
            <w:tcW w:w="4020" w:type="dxa"/>
            <w:vAlign w:val="bottom"/>
            <w:gridSpan w:val="5"/>
          </w:tcPr>
          <w:p>
            <w:pPr>
              <w:spacing w:after="0"/>
              <w:rPr>
                <w:sz w:val="20"/>
                <w:szCs w:val="20"/>
                <w:color w:val="auto"/>
              </w:rPr>
            </w:pPr>
            <w:r>
              <w:rPr>
                <w:rFonts w:ascii="Arial" w:cs="Arial" w:eastAsia="Arial" w:hAnsi="Arial"/>
                <w:sz w:val="18"/>
                <w:szCs w:val="18"/>
                <w:color w:val="auto"/>
              </w:rPr>
              <w:t>Participant loans receivable</w:t>
            </w:r>
          </w:p>
        </w:tc>
        <w:tc>
          <w:tcPr>
            <w:tcW w:w="46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9,286,846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5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734,844,208</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688,035,993</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46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Payables — Pending investment transactions</w:t>
            </w:r>
          </w:p>
        </w:tc>
        <w:tc>
          <w:tcPr>
            <w:tcW w:w="4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(645,515)</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(1,154,767)</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20" w:type="dxa"/>
            <w:vAlign w:val="bottom"/>
            <w:gridSpan w:val="5"/>
          </w:tcPr>
          <w:p>
            <w:pPr>
              <w:spacing w:after="0"/>
              <w:rPr>
                <w:sz w:val="20"/>
                <w:szCs w:val="20"/>
                <w:color w:val="auto"/>
              </w:rPr>
            </w:pPr>
            <w:r>
              <w:rPr>
                <w:rFonts w:ascii="Arial" w:cs="Arial" w:eastAsia="Arial" w:hAnsi="Arial"/>
                <w:sz w:val="18"/>
                <w:szCs w:val="18"/>
                <w:color w:val="auto"/>
              </w:rPr>
              <w:t>Net assets available for benefits</w:t>
            </w:r>
          </w:p>
        </w:tc>
        <w:tc>
          <w:tcPr>
            <w:tcW w:w="598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734,198,693</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686,881,226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980" w:type="dxa"/>
            <w:vAlign w:val="bottom"/>
            <w:gridSpan w:val="3"/>
          </w:tcPr>
          <w:p>
            <w:pPr>
              <w:jc w:val="center"/>
              <w:ind w:right="2600"/>
              <w:spacing w:after="0"/>
              <w:rPr>
                <w:sz w:val="20"/>
                <w:szCs w:val="20"/>
                <w:color w:val="auto"/>
              </w:rPr>
            </w:pPr>
            <w:r>
              <w:rPr>
                <w:rFonts w:ascii="Arial" w:cs="Arial" w:eastAsia="Arial" w:hAnsi="Arial"/>
                <w:sz w:val="18"/>
                <w:szCs w:val="18"/>
                <w:color w:val="auto"/>
                <w:w w:val="87"/>
              </w:rPr>
              <w:t>See accompanying notes.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20" w:type="dxa"/>
            <w:vAlign w:val="bottom"/>
          </w:tcPr>
          <w:p>
            <w:pPr>
              <w:jc w:val="right"/>
              <w:ind w:right="2792"/>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and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(loss):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482,066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Net appreciation (depreciation) in fair value of investments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8,301,457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(14,835,219)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Dividend income and capital gains distributions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22,076,189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10,679,270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income (loss)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30,859,712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(3,760,439)</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22,313,378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22,255,646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Employee</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28,748,324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27,936,090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contributions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51,061,702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50,191,736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Participant withdrawals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(34,603,947)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(23,409,193)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in net assets available for benefits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47,317,467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23,022,104</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686,881,226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663,859,122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4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734,198,693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686,881,226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100" w:type="dxa"/>
            <w:vAlign w:val="bottom"/>
            <w:gridSpan w:val="2"/>
          </w:tcPr>
          <w:p>
            <w:pPr>
              <w:jc w:val="center"/>
              <w:ind w:right="1960"/>
              <w:spacing w:after="0"/>
              <w:rPr>
                <w:sz w:val="20"/>
                <w:szCs w:val="20"/>
                <w:color w:val="auto"/>
              </w:rPr>
            </w:pPr>
            <w:r>
              <w:rPr>
                <w:rFonts w:ascii="Arial" w:cs="Arial" w:eastAsia="Arial" w:hAnsi="Arial"/>
                <w:sz w:val="18"/>
                <w:szCs w:val="18"/>
                <w:color w:val="auto"/>
                <w:w w:val="87"/>
              </w:rPr>
              <w:t>See accompanying notes.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00" w:type="dxa"/>
            <w:vAlign w:val="bottom"/>
          </w:tcPr>
          <w:p>
            <w:pPr>
              <w:jc w:val="right"/>
              <w:ind w:right="27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and 2004</w:t>
      </w:r>
    </w:p>
    <w:p>
      <w:pPr>
        <w:spacing w:after="0" w:line="11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w:t>
      </w:r>
    </w:p>
    <w:p>
      <w:pPr>
        <w:spacing w:after="0" w:line="134"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Analog Devices, Inc. (the “Company”) The Investment Partnership Plan (the “Plan”) provides only general information. Participants should refer to the Plan agreement for a more complete description of the Plan’s provisions.</w:t>
      </w:r>
    </w:p>
    <w:p>
      <w:pPr>
        <w:spacing w:after="0" w:line="75" w:lineRule="exact"/>
        <w:rPr>
          <w:rFonts w:ascii="Arial" w:cs="Arial" w:eastAsia="Arial" w:hAnsi="Arial"/>
          <w:sz w:val="18"/>
          <w:szCs w:val="18"/>
          <w:b w:val="1"/>
          <w:bCs w:val="1"/>
          <w:color w:val="auto"/>
        </w:rPr>
      </w:pPr>
    </w:p>
    <w:p>
      <w:pPr>
        <w:ind w:left="340" w:right="340" w:firstLine="6"/>
        <w:spacing w:after="0" w:line="277" w:lineRule="auto"/>
        <w:tabs>
          <w:tab w:leader="none" w:pos="745"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It is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Income Security Act of 1974 (“ERISA”).</w:t>
      </w:r>
    </w:p>
    <w:p>
      <w:pPr>
        <w:spacing w:after="0" w:line="75" w:lineRule="exact"/>
        <w:rPr>
          <w:rFonts w:ascii="Arial" w:cs="Arial" w:eastAsia="Arial" w:hAnsi="Arial"/>
          <w:sz w:val="18"/>
          <w:szCs w:val="18"/>
          <w:color w:val="auto"/>
        </w:rPr>
      </w:pPr>
    </w:p>
    <w:p>
      <w:pPr>
        <w:ind w:left="340" w:right="100" w:firstLine="6"/>
        <w:spacing w:after="0" w:line="264" w:lineRule="auto"/>
        <w:tabs>
          <w:tab w:leader="none" w:pos="745"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day of employment. The Company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effective on the first day following one year of service. For eligibility purposes, a year of service is a 12-month period during which an employee completes at least 1,000 hours of service.</w:t>
      </w:r>
    </w:p>
    <w:p>
      <w:pPr>
        <w:spacing w:after="0" w:line="86" w:lineRule="exact"/>
        <w:rPr>
          <w:rFonts w:ascii="Arial" w:cs="Arial" w:eastAsia="Arial" w:hAnsi="Arial"/>
          <w:sz w:val="18"/>
          <w:szCs w:val="18"/>
          <w:color w:val="auto"/>
        </w:rPr>
      </w:pPr>
    </w:p>
    <w:p>
      <w:pPr>
        <w:ind w:left="760" w:hanging="414"/>
        <w:spacing w:after="0"/>
        <w:tabs>
          <w:tab w:leader="none" w:pos="76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Basic contributions will be made at the sole discretion of the Company. For 2005 and 2004, the Company decided to make the</w:t>
      </w:r>
    </w:p>
    <w:p>
      <w:pPr>
        <w:spacing w:after="0" w:line="34" w:lineRule="exact"/>
        <w:rPr>
          <w:rFonts w:ascii="Arial" w:cs="Arial" w:eastAsia="Arial" w:hAnsi="Arial"/>
          <w:sz w:val="17"/>
          <w:szCs w:val="17"/>
          <w:color w:val="auto"/>
        </w:rPr>
      </w:pPr>
    </w:p>
    <w:p>
      <w:pPr>
        <w:ind w:left="340"/>
        <w:spacing w:after="0" w:line="252" w:lineRule="auto"/>
        <w:rPr>
          <w:rFonts w:ascii="Arial" w:cs="Arial" w:eastAsia="Arial" w:hAnsi="Arial"/>
          <w:sz w:val="17"/>
          <w:szCs w:val="17"/>
          <w:color w:val="auto"/>
        </w:rPr>
      </w:pPr>
      <w:r>
        <w:rPr>
          <w:rFonts w:ascii="Arial" w:cs="Arial" w:eastAsia="Arial" w:hAnsi="Arial"/>
          <w:sz w:val="18"/>
          <w:szCs w:val="18"/>
          <w:color w:val="auto"/>
        </w:rPr>
        <w:t>annual basic contribution at 5% of each participant’s total eligible compensation. The Internal Revenue Service defined total eligible compensation as an amount not to exceed $210,000 for 2005 and $205,000 for 2004. For 2006, this amount will increase to $220,000. The Company matches each participant’s pre-tax contribution, if any, by contributing an amount not to exceed 3% (for all participants, except those eligible to participate in the Deferred Compensation Plan) of such participant’s total eligible compensation. A participant may voluntarily contribute to the Plan up to 50% of his or her pre-tax total eligible compensation; however, pre-tax contributions could not exceed $14,000 in 2005 and $13,000 in 2004. This amount will increase to $15,000 for 2006.</w:t>
      </w:r>
    </w:p>
    <w:p>
      <w:pPr>
        <w:spacing w:after="0" w:line="100"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2005 and 2004</w:t>
      </w:r>
    </w:p>
    <w:p>
      <w:pPr>
        <w:spacing w:after="0" w:line="117" w:lineRule="exact"/>
        <w:rPr>
          <w:sz w:val="20"/>
          <w:szCs w:val="20"/>
          <w:color w:val="auto"/>
        </w:rPr>
      </w:pPr>
    </w:p>
    <w:p>
      <w:pPr>
        <w:ind w:left="760" w:hanging="41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Analog Devices, Inc. Common Stock Fund</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Calamos Growth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Growth &amp; Income Portfolio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2005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2015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2025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2035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Freedom 2040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U.S. Bond Index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Fidelity Income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Hotchkis and Wiley Mid-Cap Value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Templeton Foreign Fund I</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Spartan International Index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Royce Low-Priced Stock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Vanguard Mid-Cap Index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Vanguard Short-Term Bond Index Fund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Vanguard Small-Cap Index Fund</w:t>
      </w:r>
    </w:p>
    <w:p>
      <w:pPr>
        <w:spacing w:after="0" w:line="103" w:lineRule="exact"/>
        <w:rPr>
          <w:sz w:val="20"/>
          <w:szCs w:val="20"/>
          <w:color w:val="auto"/>
        </w:rPr>
      </w:pPr>
    </w:p>
    <w:p>
      <w:pPr>
        <w:ind w:left="340" w:right="360"/>
        <w:spacing w:after="0" w:line="308" w:lineRule="auto"/>
        <w:rPr>
          <w:sz w:val="20"/>
          <w:szCs w:val="20"/>
          <w:color w:val="auto"/>
        </w:rPr>
      </w:pPr>
      <w:r>
        <w:rPr>
          <w:rFonts w:ascii="Arial" w:cs="Arial" w:eastAsia="Arial" w:hAnsi="Arial"/>
          <w:sz w:val="17"/>
          <w:szCs w:val="17"/>
          <w:color w:val="auto"/>
        </w:rPr>
        <w:t>Additionally, participants have the option to invest vested assets in Fidelity and non-Fidelity funds, which are not offered in the Plan, through a self-directed brokerage service that allows participants access to a wide variety of stocks, bonds, short-term securities and mutual funds.</w:t>
      </w:r>
    </w:p>
    <w:p>
      <w:pPr>
        <w:spacing w:after="0" w:line="52" w:lineRule="exact"/>
        <w:rPr>
          <w:sz w:val="20"/>
          <w:szCs w:val="20"/>
          <w:color w:val="auto"/>
        </w:rPr>
      </w:pPr>
    </w:p>
    <w:p>
      <w:pPr>
        <w:ind w:left="340" w:firstLine="6"/>
        <w:spacing w:after="0" w:line="257" w:lineRule="auto"/>
        <w:tabs>
          <w:tab w:leader="none" w:pos="74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Employee contributions are immediately 100% vested and nonforfeitable at the time they are deducted from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Investment income on employee contributions vests as earned. Effective January 1, 2002, company match contributions made thereon and investment earnings thereon become 100% vested after three years of service. Company contributions (both basic and pre-2002 match) and investment earnings thereon become fully vested upon the first to occur of (i) completion of five years of service with the Company, (ii) after reaching age 65 or (iii) upon death or permanent disability while employed by the Company.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and 2004</w:t>
      </w:r>
    </w:p>
    <w:p>
      <w:pPr>
        <w:spacing w:after="0" w:line="117" w:lineRule="exact"/>
        <w:rPr>
          <w:sz w:val="20"/>
          <w:szCs w:val="20"/>
          <w:color w:val="auto"/>
        </w:rPr>
      </w:pPr>
    </w:p>
    <w:p>
      <w:pPr>
        <w:ind w:left="340" w:right="60" w:firstLine="6"/>
        <w:spacing w:after="0" w:line="255" w:lineRule="auto"/>
        <w:tabs>
          <w:tab w:leader="none" w:pos="74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Upon normal retirement at age 65, death, permanent disability or termination of employment, the participant’s vested benefits are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$5,000 for 2004 and 2003, upon termination of employment, distribution will be made in the form of a lump-sum payment within one year following termination of employment. Effective March 28, 2005, the $5,000 has been reduced to $1,000. Participants may request an in-service withdrawal for any reason after he or she attains age 59 1/2.</w:t>
      </w:r>
    </w:p>
    <w:p>
      <w:pPr>
        <w:spacing w:after="0" w:line="98" w:lineRule="exact"/>
        <w:rPr>
          <w:rFonts w:ascii="Arial" w:cs="Arial" w:eastAsia="Arial" w:hAnsi="Arial"/>
          <w:sz w:val="18"/>
          <w:szCs w:val="18"/>
          <w:color w:val="auto"/>
        </w:rPr>
      </w:pPr>
    </w:p>
    <w:p>
      <w:pPr>
        <w:jc w:val="both"/>
        <w:ind w:left="340" w:right="100" w:firstLine="6"/>
        <w:spacing w:after="0" w:line="279" w:lineRule="auto"/>
        <w:tabs>
          <w:tab w:leader="none" w:pos="74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Loans</w:t>
      </w:r>
      <w:r>
        <w:rPr>
          <w:rFonts w:ascii="Arial" w:cs="Arial" w:eastAsia="Arial" w:hAnsi="Arial"/>
          <w:sz w:val="17"/>
          <w:szCs w:val="17"/>
          <w:color w:val="auto"/>
        </w:rPr>
        <w:t>. Participants may borrow the lesser of 50% of their vested account balance or $50,000, as defined by the Plan. Participants repay loans plus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to their accounts through payroll deductions, generally over a five-year period unless for the purchase of a primary residence, in which case the repayment period may be extended up to a maximum of twenty years. The interest rate on loans, which is announced quarterly, is tied to the interest rate of Treasury Bonds with 3- and 10-year maturities. Once determined, the interest rate is fixed for the duration of the loan.</w:t>
      </w:r>
    </w:p>
    <w:p>
      <w:pPr>
        <w:spacing w:after="0" w:line="76" w:lineRule="exact"/>
        <w:rPr>
          <w:rFonts w:ascii="Arial" w:cs="Arial" w:eastAsia="Arial" w:hAnsi="Arial"/>
          <w:sz w:val="17"/>
          <w:szCs w:val="17"/>
          <w:color w:val="auto"/>
        </w:rPr>
      </w:pPr>
    </w:p>
    <w:p>
      <w:pPr>
        <w:ind w:left="340" w:right="180" w:firstLine="6"/>
        <w:spacing w:after="0" w:line="257" w:lineRule="auto"/>
        <w:tabs>
          <w:tab w:leader="none" w:pos="74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Accounting</w:t>
      </w:r>
      <w:r>
        <w:rPr>
          <w:rFonts w:ascii="Arial" w:cs="Arial" w:eastAsia="Arial" w:hAnsi="Arial"/>
          <w:sz w:val="18"/>
          <w:szCs w:val="18"/>
          <w:color w:val="auto"/>
        </w:rPr>
        <w:t>. A separate account is maintained for each participant. Account balances are adjusted periodically for employee and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withdrawals and a pro rata share of net investment income (loss). Forfeitures that arise when participants terminate employment with the Company prior to vesting are used to offset future Company contributions and administrative expenses of the Plan. If an employee who had terminated after December 31, 1984 returns to the employment of the Company within five years, any amount that had been forfeited will be reinstated by the Company.</w:t>
      </w:r>
    </w:p>
    <w:p>
      <w:pPr>
        <w:spacing w:after="0" w:line="94"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87" w:lineRule="exact"/>
        <w:rPr>
          <w:sz w:val="20"/>
          <w:szCs w:val="20"/>
          <w:color w:val="auto"/>
        </w:rPr>
      </w:pPr>
    </w:p>
    <w:p>
      <w:pPr>
        <w:jc w:val="both"/>
        <w:ind w:left="340" w:firstLine="6"/>
        <w:spacing w:after="0" w:line="264" w:lineRule="auto"/>
        <w:tabs>
          <w:tab w:leader="none" w:pos="74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The vested and nonvested share of a participant’s account balance is invested in one or more of the funds depending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instructions of the participant. In the absence of such allocation instructions, all amounts accruing to the participant are invested in the Fidelity Income Fund.</w:t>
      </w:r>
    </w:p>
    <w:p>
      <w:pPr>
        <w:spacing w:after="0" w:line="86" w:lineRule="exact"/>
        <w:rPr>
          <w:rFonts w:ascii="Arial" w:cs="Arial" w:eastAsia="Arial" w:hAnsi="Arial"/>
          <w:sz w:val="18"/>
          <w:szCs w:val="18"/>
          <w:color w:val="auto"/>
        </w:rPr>
      </w:pPr>
    </w:p>
    <w:p>
      <w:pPr>
        <w:ind w:left="340" w:right="60" w:firstLine="6"/>
        <w:spacing w:after="0" w:line="308" w:lineRule="auto"/>
        <w:tabs>
          <w:tab w:leader="none" w:pos="8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Continuation of the Plan</w:t>
      </w:r>
      <w:r>
        <w:rPr>
          <w:rFonts w:ascii="Arial" w:cs="Arial" w:eastAsia="Arial" w:hAnsi="Arial"/>
          <w:sz w:val="17"/>
          <w:szCs w:val="17"/>
          <w:color w:val="auto"/>
        </w:rPr>
        <w:t>. While the Company has not expressed any intent to terminate the Plan or suspend contributions, it is free to do so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In the event of such termination or suspension, each participant would have a nonforfeitable right to all monies in his or her account.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Years ended December 31, 2005 and 2004</w:t>
      </w:r>
    </w:p>
    <w:p>
      <w:pPr>
        <w:spacing w:after="0" w:line="11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4" w:lineRule="exact"/>
        <w:rPr>
          <w:rFonts w:ascii="Arial" w:cs="Arial" w:eastAsia="Arial" w:hAnsi="Arial"/>
          <w:sz w:val="18"/>
          <w:szCs w:val="18"/>
          <w:b w:val="1"/>
          <w:bCs w:val="1"/>
          <w:color w:val="auto"/>
        </w:rPr>
      </w:pPr>
    </w:p>
    <w:p>
      <w:pPr>
        <w:ind w:left="740" w:hanging="408"/>
        <w:spacing w:after="0"/>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the accrual basis of accounting.</w:t>
      </w:r>
    </w:p>
    <w:p>
      <w:pPr>
        <w:spacing w:after="0" w:line="130" w:lineRule="exact"/>
        <w:rPr>
          <w:rFonts w:ascii="Arial" w:cs="Arial" w:eastAsia="Arial" w:hAnsi="Arial"/>
          <w:sz w:val="18"/>
          <w:szCs w:val="18"/>
          <w:color w:val="auto"/>
        </w:rPr>
      </w:pPr>
    </w:p>
    <w:p>
      <w:pPr>
        <w:ind w:left="340" w:right="280" w:hanging="8"/>
        <w:spacing w:after="0" w:line="277" w:lineRule="auto"/>
        <w:tabs>
          <w:tab w:leader="none" w:pos="745"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Investments are reported at fair value, based on quoted market prices. Participant loans are reported at their outstanding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which approximates fair value.</w:t>
      </w:r>
    </w:p>
    <w:p>
      <w:pPr>
        <w:spacing w:after="0" w:line="75" w:lineRule="exact"/>
        <w:rPr>
          <w:rFonts w:ascii="Arial" w:cs="Arial" w:eastAsia="Arial" w:hAnsi="Arial"/>
          <w:sz w:val="18"/>
          <w:szCs w:val="18"/>
          <w:color w:val="auto"/>
        </w:rPr>
      </w:pPr>
    </w:p>
    <w:p>
      <w:pPr>
        <w:ind w:left="340" w:right="480" w:hanging="8"/>
        <w:spacing w:after="0" w:line="342" w:lineRule="auto"/>
        <w:tabs>
          <w:tab w:leader="none" w:pos="745"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Contributions from employees are recorded when the Company makes payroll deductions from plan participants.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are accrued at the end of the period in which they become obligations of the Company based upon the terms of the Plan.</w:t>
      </w:r>
    </w:p>
    <w:p>
      <w:pPr>
        <w:spacing w:after="0" w:line="29" w:lineRule="exact"/>
        <w:rPr>
          <w:rFonts w:ascii="Arial" w:cs="Arial" w:eastAsia="Arial" w:hAnsi="Arial"/>
          <w:sz w:val="16"/>
          <w:szCs w:val="16"/>
          <w:color w:val="auto"/>
        </w:rPr>
      </w:pPr>
    </w:p>
    <w:p>
      <w:pPr>
        <w:ind w:left="340" w:hanging="8"/>
        <w:spacing w:after="0" w:line="264" w:lineRule="auto"/>
        <w:tabs>
          <w:tab w:leader="none" w:pos="745"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Investment income (loss)</w:t>
      </w:r>
      <w:r>
        <w:rPr>
          <w:rFonts w:ascii="Arial" w:cs="Arial" w:eastAsia="Arial" w:hAnsi="Arial"/>
          <w:sz w:val="18"/>
          <w:szCs w:val="18"/>
          <w:color w:val="auto"/>
        </w:rPr>
        <w:t>. Net investment income (loss) consists of interest income, dividends and capital gain/loss distributions from the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mutual funds, realized gains or losses on sales of investments and the change in net unrealized appreciation (depreciation) between the cost and market value of investments at the beginning and end of the period.</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interest, dividends and capital gains distributions are reinvested in the respective funds and are recorded as earned on an accrual basis.</w:t>
      </w:r>
    </w:p>
    <w:p>
      <w:pPr>
        <w:spacing w:after="0" w:line="142" w:lineRule="exact"/>
        <w:rPr>
          <w:sz w:val="20"/>
          <w:szCs w:val="20"/>
          <w:color w:val="auto"/>
        </w:rPr>
      </w:pPr>
    </w:p>
    <w:p>
      <w:pPr>
        <w:ind w:left="340" w:right="120" w:hanging="8"/>
        <w:spacing w:after="0" w:line="276" w:lineRule="auto"/>
        <w:tabs>
          <w:tab w:leader="none" w:pos="74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Income tax status. </w:t>
      </w:r>
      <w:r>
        <w:rPr>
          <w:rFonts w:ascii="Arial" w:cs="Arial" w:eastAsia="Arial" w:hAnsi="Arial"/>
          <w:sz w:val="17"/>
          <w:szCs w:val="17"/>
          <w:color w:val="auto"/>
        </w:rPr>
        <w:t>The Plan has received a determination letter from the Internal Revenue Service, dated May 1, 2003, stating that the Plan is</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Committee believes the Plan is being operated in compliance with the applicable requirements of the Code and, therefore, that the Plan, as amended, is qualified and the related trust is tax exempt.</w:t>
      </w:r>
    </w:p>
    <w:p>
      <w:pPr>
        <w:spacing w:after="0" w:line="77" w:lineRule="exact"/>
        <w:rPr>
          <w:rFonts w:ascii="Arial" w:cs="Arial" w:eastAsia="Arial" w:hAnsi="Arial"/>
          <w:sz w:val="17"/>
          <w:szCs w:val="17"/>
          <w:i w:val="1"/>
          <w:iCs w:val="1"/>
          <w:color w:val="auto"/>
        </w:rPr>
      </w:pPr>
    </w:p>
    <w:p>
      <w:pPr>
        <w:ind w:left="340" w:right="220" w:hanging="8"/>
        <w:spacing w:after="0" w:line="286" w:lineRule="auto"/>
        <w:tabs>
          <w:tab w:leader="none" w:pos="74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Related Party. </w:t>
      </w:r>
      <w:r>
        <w:rPr>
          <w:rFonts w:ascii="Arial" w:cs="Arial" w:eastAsia="Arial" w:hAnsi="Arial"/>
          <w:sz w:val="17"/>
          <w:szCs w:val="17"/>
          <w:color w:val="auto"/>
        </w:rPr>
        <w:t>Certain Plan investments are shares of mutual funds managed by FMR Corp. FMR Corp. is a related party to the trustee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recordkeeper of the Plan, and therefore, these transactions qualify as party-in-interest. Fees paid by the Company to the trustee and recordkeeper for administrative expenses amounted to $37,465 and $41,713 for the years ended December 31, 2005 and 2004, respectively.</w:t>
      </w:r>
    </w:p>
    <w:p>
      <w:pPr>
        <w:spacing w:after="0" w:line="71"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The Plan also offers the Analog Devices, Inc. Common Stock Fund investment option. The Analog Devices, Inc. Common Stock Fund is designed for investment in the common stock of the Company. In addition, some of the investments in the Plan hold the Company’s Common stock. These transactions qualify as party-in-interest transactions.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to participants also qualify as party-in-interest transactions.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2005 and 2004</w:t>
      </w:r>
    </w:p>
    <w:p>
      <w:pPr>
        <w:spacing w:after="0" w:line="117" w:lineRule="exact"/>
        <w:rPr>
          <w:sz w:val="20"/>
          <w:szCs w:val="20"/>
          <w:color w:val="auto"/>
        </w:rPr>
      </w:pPr>
    </w:p>
    <w:p>
      <w:pPr>
        <w:ind w:left="760" w:hanging="414"/>
        <w:spacing w:after="0"/>
        <w:tabs>
          <w:tab w:leader="none" w:pos="7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Administrative expenses</w:t>
      </w:r>
      <w:r>
        <w:rPr>
          <w:rFonts w:ascii="Arial" w:cs="Arial" w:eastAsia="Arial" w:hAnsi="Arial"/>
          <w:sz w:val="16"/>
          <w:szCs w:val="16"/>
          <w:color w:val="auto"/>
        </w:rPr>
        <w:t>. For the years ended December 31, 2005 and 2004, the Company elected to pay the administrative expenses of the Plan</w:t>
      </w:r>
      <w:r>
        <w:rPr>
          <w:rFonts w:ascii="Arial" w:cs="Arial" w:eastAsia="Arial" w:hAnsi="Arial"/>
          <w:sz w:val="16"/>
          <w:szCs w:val="16"/>
          <w:i w:val="1"/>
          <w:iCs w:val="1"/>
          <w:color w:val="auto"/>
        </w:rPr>
        <w:t>.</w:t>
      </w:r>
    </w:p>
    <w:p>
      <w:pPr>
        <w:spacing w:after="0" w:line="153" w:lineRule="exact"/>
        <w:rPr>
          <w:rFonts w:ascii="Arial" w:cs="Arial" w:eastAsia="Arial" w:hAnsi="Arial"/>
          <w:sz w:val="16"/>
          <w:szCs w:val="16"/>
          <w:i w:val="1"/>
          <w:iCs w:val="1"/>
          <w:color w:val="auto"/>
        </w:rPr>
      </w:pPr>
    </w:p>
    <w:p>
      <w:pPr>
        <w:jc w:val="both"/>
        <w:ind w:left="340" w:right="40" w:firstLine="6"/>
        <w:spacing w:after="0" w:line="286" w:lineRule="auto"/>
        <w:tabs>
          <w:tab w:leader="none" w:pos="745"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generally accepted accounting principles requires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7"/>
          <w:szCs w:val="17"/>
          <w:i w:val="1"/>
          <w:iCs w:val="1"/>
          <w:color w:val="auto"/>
        </w:rPr>
        <w:t>.</w:t>
      </w:r>
    </w:p>
    <w:p>
      <w:pPr>
        <w:spacing w:after="0" w:line="70" w:lineRule="exact"/>
        <w:rPr>
          <w:rFonts w:ascii="Arial" w:cs="Arial" w:eastAsia="Arial" w:hAnsi="Arial"/>
          <w:sz w:val="17"/>
          <w:szCs w:val="17"/>
          <w:i w:val="1"/>
          <w:iCs w:val="1"/>
          <w:color w:val="auto"/>
        </w:rPr>
      </w:pPr>
    </w:p>
    <w:p>
      <w:pPr>
        <w:ind w:left="340" w:right="140" w:firstLine="6"/>
        <w:spacing w:after="0" w:line="259" w:lineRule="auto"/>
        <w:tabs>
          <w:tab w:leader="none" w:pos="74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The Plan and its participants invest in various securities. Investment securities are exposed to various risks such as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Trustee and Plan Recordkeeper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Fidelity Management Trust Company and Fidelity Institutional Retirement Services Company serve as trustee and recordkeeper, respectively, to the Plan.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and 2004</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Investments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investments represent five percent or more of the Plan’s net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80" w:type="dxa"/>
            <w:vAlign w:val="bottom"/>
            <w:gridSpan w:val="5"/>
          </w:tcPr>
          <w:p>
            <w:pPr>
              <w:ind w:left="940"/>
              <w:spacing w:after="0"/>
              <w:rPr>
                <w:sz w:val="20"/>
                <w:szCs w:val="20"/>
                <w:color w:val="auto"/>
              </w:rPr>
            </w:pPr>
            <w:r>
              <w:rPr>
                <w:rFonts w:ascii="Arial" w:cs="Arial" w:eastAsia="Arial" w:hAnsi="Arial"/>
                <w:sz w:val="14"/>
                <w:szCs w:val="14"/>
                <w:i w:val="1"/>
                <w:i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2005</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 Common Stock Fund</w:t>
            </w:r>
          </w:p>
        </w:tc>
        <w:tc>
          <w:tcPr>
            <w:tcW w:w="4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$ 147,848,532</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$ 170,487,267</w:t>
            </w: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color w:val="auto"/>
              </w:rPr>
              <w:t>Fidelity Income Fund</w:t>
            </w:r>
          </w:p>
        </w:tc>
        <w:tc>
          <w:tcPr>
            <w:tcW w:w="4100" w:type="dxa"/>
            <w:vAlign w:val="bottom"/>
            <w:gridSpan w:val="3"/>
          </w:tcPr>
          <w:p>
            <w:pPr>
              <w:jc w:val="right"/>
              <w:ind w:right="320"/>
              <w:spacing w:after="0"/>
              <w:rPr>
                <w:sz w:val="20"/>
                <w:szCs w:val="20"/>
                <w:color w:val="auto"/>
              </w:rPr>
            </w:pPr>
            <w:r>
              <w:rPr>
                <w:rFonts w:ascii="Arial" w:cs="Arial" w:eastAsia="Arial" w:hAnsi="Arial"/>
                <w:sz w:val="18"/>
                <w:szCs w:val="18"/>
                <w:color w:val="auto"/>
              </w:rPr>
              <w:t>135,205,496</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132,375,094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Fidelity Equity Income Fund</w:t>
            </w:r>
          </w:p>
        </w:tc>
        <w:tc>
          <w:tcPr>
            <w:tcW w:w="4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49,788,467</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47,161,446</w:t>
            </w: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color w:val="auto"/>
              </w:rPr>
              <w:t>Fidelity Growth Company Fund</w:t>
            </w:r>
          </w:p>
        </w:tc>
        <w:tc>
          <w:tcPr>
            <w:tcW w:w="4100" w:type="dxa"/>
            <w:vAlign w:val="bottom"/>
            <w:gridSpan w:val="3"/>
          </w:tcPr>
          <w:p>
            <w:pPr>
              <w:jc w:val="right"/>
              <w:ind w:right="320"/>
              <w:spacing w:after="0"/>
              <w:rPr>
                <w:sz w:val="20"/>
                <w:szCs w:val="20"/>
                <w:color w:val="auto"/>
              </w:rPr>
            </w:pPr>
            <w:r>
              <w:rPr>
                <w:rFonts w:ascii="Arial" w:cs="Arial" w:eastAsia="Arial" w:hAnsi="Arial"/>
                <w:sz w:val="18"/>
                <w:szCs w:val="18"/>
                <w:color w:val="auto"/>
              </w:rPr>
              <w:t>46,925,654</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46,399,620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Fidelity Low-Priced Stock Fund</w:t>
            </w:r>
          </w:p>
        </w:tc>
        <w:tc>
          <w:tcPr>
            <w:tcW w:w="4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46,016,158</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43,961,017</w:t>
            </w: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color w:val="auto"/>
              </w:rPr>
              <w:t>Fidelity Magellan Fund</w:t>
            </w:r>
          </w:p>
        </w:tc>
        <w:tc>
          <w:tcPr>
            <w:tcW w:w="4100" w:type="dxa"/>
            <w:vAlign w:val="bottom"/>
            <w:gridSpan w:val="3"/>
          </w:tcPr>
          <w:p>
            <w:pPr>
              <w:jc w:val="right"/>
              <w:ind w:right="320"/>
              <w:spacing w:after="0"/>
              <w:rPr>
                <w:sz w:val="20"/>
                <w:szCs w:val="20"/>
                <w:color w:val="auto"/>
              </w:rPr>
            </w:pPr>
            <w:r>
              <w:rPr>
                <w:rFonts w:ascii="Arial" w:cs="Arial" w:eastAsia="Arial" w:hAnsi="Arial"/>
                <w:sz w:val="18"/>
                <w:szCs w:val="18"/>
                <w:color w:val="auto"/>
              </w:rPr>
              <w:t>41,550,184</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50,642,869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Plan’s investments (including gains and losses on investments bought and sold, as well as held during the year) appreciated (depreciated) in value as follows:</w:t>
      </w:r>
    </w:p>
    <w:p>
      <w:pPr>
        <w:spacing w:after="0" w:line="166" w:lineRule="exact"/>
        <w:rPr>
          <w:sz w:val="20"/>
          <w:szCs w:val="20"/>
          <w:color w:val="auto"/>
        </w:rPr>
      </w:pPr>
    </w:p>
    <w:p>
      <w:pPr>
        <w:jc w:val="center"/>
        <w:ind w:left="8660"/>
        <w:spacing w:after="0"/>
        <w:rPr>
          <w:sz w:val="20"/>
          <w:szCs w:val="20"/>
          <w:color w:val="auto"/>
        </w:rPr>
      </w:pPr>
      <w:r>
        <w:rPr>
          <w:rFonts w:ascii="Arial" w:cs="Arial" w:eastAsia="Arial" w:hAnsi="Arial"/>
          <w:sz w:val="14"/>
          <w:szCs w:val="14"/>
          <w:i w:val="1"/>
          <w:iCs w:val="1"/>
          <w:color w:val="auto"/>
        </w:rPr>
        <w:t>Year Ended</w:t>
      </w:r>
    </w:p>
    <w:p>
      <w:pPr>
        <w:jc w:val="center"/>
        <w:ind w:left="8660"/>
        <w:spacing w:after="0" w:line="231" w:lineRule="auto"/>
        <w:rPr>
          <w:sz w:val="20"/>
          <w:szCs w:val="20"/>
          <w:color w:val="auto"/>
        </w:rPr>
      </w:pPr>
      <w:r>
        <w:rPr>
          <w:rFonts w:ascii="Arial" w:cs="Arial" w:eastAsia="Arial" w:hAnsi="Arial"/>
          <w:sz w:val="14"/>
          <w:szCs w:val="14"/>
          <w:i w:val="1"/>
          <w:i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2005</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(3,987,255)</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(39,631,868)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Mutual funds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12,313,619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24,651,280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Others</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(20,417)</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149,138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(depreciation) in fair value of investments</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8,301,457</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(14,835,219)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20" w:type="dxa"/>
            <w:vAlign w:val="bottom"/>
            <w:vMerge w:val="restart"/>
          </w:tcPr>
          <w:p>
            <w:pPr>
              <w:jc w:val="right"/>
              <w:ind w:right="287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SUPPLEMENTAL SCHEDULE</w:t>
      </w:r>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31, 2005</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NO: 04-2348234 PLAN NO: 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H-LINE 4i — SCHEDULE OF ASSETS (HELD AT END OF YEAR)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Current</w:t>
            </w:r>
          </w:p>
        </w:tc>
        <w:tc>
          <w:tcPr>
            <w:tcW w:w="0" w:type="dxa"/>
            <w:vAlign w:val="bottom"/>
          </w:tcPr>
          <w:p>
            <w:pPr>
              <w:spacing w:after="0"/>
              <w:rPr>
                <w:sz w:val="1"/>
                <w:szCs w:val="1"/>
                <w:color w:val="auto"/>
              </w:rPr>
            </w:pPr>
          </w:p>
        </w:tc>
      </w:tr>
      <w:tr>
        <w:trPr>
          <w:trHeight w:val="167"/>
        </w:trPr>
        <w:tc>
          <w:tcPr>
            <w:tcW w:w="8640" w:type="dxa"/>
            <w:vAlign w:val="bottom"/>
          </w:tcPr>
          <w:p>
            <w:pPr>
              <w:spacing w:after="0"/>
              <w:rPr>
                <w:sz w:val="14"/>
                <w:szCs w:val="14"/>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Investment:</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Income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135,205,496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135,205,496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Diversified International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385,682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12,550,100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Equity Income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943,321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49,788,467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Income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233,470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2,654,551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2000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143,716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1,754,772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2005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2010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768,410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10,796,158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2015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130,150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2020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762,891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11,222,124</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2025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2,082,296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2030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886,599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13,316,714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2035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Freedom 2040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349,398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3,085,180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Growth Company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737,477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46,925,654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Growth &amp; Income Portfolio</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519,906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17,884,756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Low-Priced Stock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1,126,742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46,016,158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Magellan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390,363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41,550,184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U.S. Bond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2,195,184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23,927,503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U.S. Equity Index Commingled Pool</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505,520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19,836,610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Calamos Growth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138,365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7,618,371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Hotchkis and Wiley Mid-Cap Value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731,072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20,616,223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Royce Low-Priced Stock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265,373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Templeton Foreign Fund I</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1,465,379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18,581,005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Spartan International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111,791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3,994,289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Vanguard Mid-Cap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481,075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8,481,350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Short-Term Bond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166,037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1,647,089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Vanguard Small-Cap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130,834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3,731,393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Participants Self-Directed Brokerage Accounts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65,683,392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575,309,827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Analog Devices, Inc. Common Stock Fund:</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420"/>
              <w:spacing w:after="0"/>
              <w:rPr>
                <w:sz w:val="20"/>
                <w:szCs w:val="20"/>
                <w:color w:val="auto"/>
              </w:rPr>
            </w:pPr>
            <w:r>
              <w:rPr>
                <w:rFonts w:ascii="Arial" w:cs="Arial" w:eastAsia="Arial" w:hAnsi="Arial"/>
                <w:sz w:val="18"/>
                <w:szCs w:val="18"/>
                <w:color w:val="auto"/>
              </w:rPr>
              <w:t>Analog Devices Inc. Common Stock</w:t>
            </w:r>
            <w:r>
              <w:rPr>
                <w:rFonts w:ascii="Arial" w:cs="Arial" w:eastAsia="Arial" w:hAnsi="Arial"/>
                <w:sz w:val="15"/>
                <w:szCs w:val="15"/>
                <w:color w:val="auto"/>
              </w:rPr>
              <w:t>(1)</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3,901,776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139,956,705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w:t>
            </w:r>
            <w:r>
              <w:rPr>
                <w:rFonts w:ascii="Arial" w:cs="Arial" w:eastAsia="Arial" w:hAnsi="Arial"/>
                <w:sz w:val="15"/>
                <w:szCs w:val="15"/>
                <w:color w:val="auto"/>
              </w:rPr>
              <w:t>(1)</w:t>
            </w:r>
            <w:r>
              <w:rPr>
                <w:rFonts w:ascii="Arial" w:cs="Arial" w:eastAsia="Arial" w:hAnsi="Arial"/>
                <w:sz w:val="18"/>
                <w:szCs w:val="18"/>
                <w:color w:val="auto"/>
              </w:rPr>
              <w:t xml:space="preserve"> Institutional Cash Portfolio — Money Market Portfolio</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7,891,827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147,848,532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723,158,359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ind w:left="220"/>
              <w:spacing w:after="0"/>
              <w:rPr>
                <w:sz w:val="20"/>
                <w:szCs w:val="20"/>
                <w:color w:val="auto"/>
              </w:rPr>
            </w:pPr>
            <w:r>
              <w:rPr>
                <w:rFonts w:ascii="Arial" w:cs="Arial" w:eastAsia="Arial" w:hAnsi="Arial"/>
                <w:sz w:val="18"/>
                <w:szCs w:val="18"/>
                <w:color w:val="auto"/>
              </w:rPr>
              <w:t xml:space="preserve">Participant Loans Receivable </w:t>
            </w:r>
            <w:r>
              <w:rPr>
                <w:rFonts w:ascii="Arial" w:cs="Arial" w:eastAsia="Arial" w:hAnsi="Arial"/>
                <w:sz w:val="15"/>
                <w:szCs w:val="15"/>
                <w:color w:val="auto"/>
              </w:rPr>
              <w:t>(1)(2)</w:t>
            </w: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9,286,846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Indicates party-in-interest to the Plan.</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The loan account at December 31, 2005 bears interest at rates ranging from 3.5% to 10.75%, with terms ranging from less than 1 year to 20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u w:val="single" w:color="auto"/>
          <w:color w:val="auto"/>
        </w:rPr>
        <w:t>THE INVESTMENT PARTNERSHIP PLAN</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Joseph E. McDonough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President-Finance and Chief Financial Officer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Analog Devices, Inc. and Member of The Investment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Partnership Plan Administration Committee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June 27, 2006</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19"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 S-8 Nos. 33-2502, 2-95495, 33-43128, and 333-08493) pertaining to the Analog Devices, Inc. The Investment Partnership Plan of our report, dated April 17, 2006, with respect to the financial statements and schedule of the Analog Devices Inc. The Investment Partnership Plan included in this Annual Report (Form 11-K)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45720</wp:posOffset>
            </wp:positionV>
            <wp:extent cx="209232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23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2006</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upperLetter"/>
      <w:start w:val="1"/>
    </w:lvl>
    <w:lvl w:ilvl="1">
      <w:lvlJc w:val="left"/>
      <w:lvlText w:val="%2."/>
      <w:numFmt w:val="decimal"/>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upperLetter"/>
      <w:start w:val="2"/>
    </w:lvl>
    <w:lvl w:ilvl="1">
      <w:lvlJc w:val="left"/>
      <w:lvlText w:val="%2."/>
      <w:numFmt w:val="decimal"/>
      <w:start w:val="1"/>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7"/>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2019-12-20T04:40:56Z</dcterms:created>
  <dcterms:modified xsi:type="dcterms:W3CDTF">2019-12-20T04:40:56Z</dcterms:modified>
</cp:coreProperties>
</file>