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11-K</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460" w:hanging="378"/>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 (d) OF THE SECURITIES EXCHANGE ACT OF 1934 (NO FEE REQUIRED)</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fiscal year ended December 31, 2004</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12" w:lineRule="exact"/>
        <w:rPr>
          <w:sz w:val="20"/>
          <w:szCs w:val="20"/>
          <w:color w:val="auto"/>
        </w:rPr>
      </w:pPr>
    </w:p>
    <w:p>
      <w:pPr>
        <w:ind w:left="460" w:hanging="337"/>
        <w:spacing w:after="0"/>
        <w:tabs>
          <w:tab w:leader="none" w:pos="46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15 (d) OF THE SECURITIES EXCHANGE ACT OF 1934 (NO</w:t>
      </w:r>
    </w:p>
    <w:p>
      <w:pPr>
        <w:spacing w:after="0" w:line="25" w:lineRule="exact"/>
        <w:rPr>
          <w:rFonts w:ascii="Arial" w:cs="Arial" w:eastAsia="Arial" w:hAnsi="Arial"/>
          <w:sz w:val="21"/>
          <w:szCs w:val="21"/>
          <w:color w:val="auto"/>
        </w:rPr>
      </w:pPr>
    </w:p>
    <w:p>
      <w:pPr>
        <w:ind w:left="460"/>
        <w:spacing w:after="0"/>
        <w:rPr>
          <w:rFonts w:ascii="Arial" w:cs="Arial" w:eastAsia="Arial" w:hAnsi="Arial"/>
          <w:sz w:val="21"/>
          <w:szCs w:val="21"/>
          <w:color w:val="auto"/>
        </w:rPr>
      </w:pPr>
      <w:r>
        <w:rPr>
          <w:rFonts w:ascii="Arial" w:cs="Arial" w:eastAsia="Arial" w:hAnsi="Arial"/>
          <w:sz w:val="22"/>
          <w:szCs w:val="22"/>
          <w:b w:val="1"/>
          <w:bCs w:val="1"/>
          <w:color w:val="auto"/>
        </w:rPr>
        <w:t>FEE REQUIRED)</w:t>
      </w:r>
    </w:p>
    <w:p>
      <w:pPr>
        <w:spacing w:after="0" w:line="195" w:lineRule="exact"/>
        <w:rPr>
          <w:sz w:val="20"/>
          <w:szCs w:val="20"/>
          <w:color w:val="auto"/>
        </w:rPr>
      </w:pPr>
    </w:p>
    <w:p>
      <w:pPr>
        <w:ind w:left="360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-10160</wp:posOffset>
            </wp:positionV>
            <wp:extent cx="1289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Commission file number 1-7819</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THE INVESTMENT PARTNERSHIP PLAN</w:t>
      </w:r>
    </w:p>
    <w:p>
      <w:pPr>
        <w:spacing w:after="0" w:line="34"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(Full title of the plan and the address of the plan, if different from that of the issuer named below)</w:t>
      </w:r>
    </w:p>
    <w:p>
      <w:pPr>
        <w:spacing w:after="0" w:line="16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(Name of issuer of the securities held pursuant to the plan and the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address of its principal executive office)</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One Technology Way</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Norwood, Massachusetts 02062-9106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INVESTMENT PARTNERSHIP PLAN</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Financial Statements</w:t>
      </w:r>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
        <w:r>
          <w:rPr>
            <w:rFonts w:ascii="Arial" w:cs="Arial" w:eastAsia="Arial" w:hAnsi="Arial"/>
            <w:sz w:val="18"/>
            <w:szCs w:val="18"/>
            <w:u w:val="single" w:color="auto"/>
            <w:color w:val="0000EE"/>
          </w:rPr>
          <w:t>Audited Statements of Net Assets Available for Benefits as of December 31, 2004 and 2003.</w:t>
        </w:r>
      </w:hyperlink>
    </w:p>
    <w:p>
      <w:pPr>
        <w:spacing w:after="0" w:line="225" w:lineRule="exact"/>
        <w:rPr>
          <w:rFonts w:ascii="Arial" w:cs="Arial" w:eastAsia="Arial" w:hAnsi="Arial"/>
          <w:sz w:val="18"/>
          <w:szCs w:val="18"/>
          <w:color w:val="auto"/>
        </w:rPr>
      </w:pPr>
    </w:p>
    <w:p>
      <w:pPr>
        <w:ind w:left="4860" w:right="1159" w:hanging="4859"/>
        <w:spacing w:after="0" w:line="501"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 </w:t>
      </w:r>
      <w:hyperlink w:anchor="page6">
        <w:r>
          <w:rPr>
            <w:rFonts w:ascii="Arial" w:cs="Arial" w:eastAsia="Arial" w:hAnsi="Arial"/>
            <w:sz w:val="18"/>
            <w:szCs w:val="18"/>
            <w:u w:val="single" w:color="auto"/>
            <w:color w:val="0000EE"/>
          </w:rPr>
          <w:t>Audited Statements of Changes in Net Assets Available for Benefits for the Years Ended December 31, 2004 and 2003.</w:t>
        </w:r>
      </w:hyperlink>
      <w:r>
        <w:rPr>
          <w:rFonts w:ascii="Arial" w:cs="Arial" w:eastAsia="Arial" w:hAnsi="Arial"/>
          <w:sz w:val="18"/>
          <w:szCs w:val="18"/>
          <w:color w:val="auto"/>
        </w:rPr>
        <w:t xml:space="preserve"> </w:t>
      </w:r>
      <w:hyperlink w:anchor="page13">
        <w:r>
          <w:rPr>
            <w:rFonts w:ascii="Arial" w:cs="Arial" w:eastAsia="Arial" w:hAnsi="Arial"/>
            <w:sz w:val="18"/>
            <w:szCs w:val="18"/>
            <w:u w:val="single" w:color="auto"/>
            <w:color w:val="0000EE"/>
          </w:rPr>
          <w:t>Supplemental Schedule</w:t>
        </w:r>
      </w:hyperlink>
    </w:p>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4">
        <w:r>
          <w:rPr>
            <w:rFonts w:ascii="Arial" w:cs="Arial" w:eastAsia="Arial" w:hAnsi="Arial"/>
            <w:sz w:val="18"/>
            <w:szCs w:val="18"/>
            <w:u w:val="single" w:color="auto"/>
            <w:color w:val="0000EE"/>
          </w:rPr>
          <w:t>Schedule H-Line 4i — Schedule of Assets (Held at End of Year)</w:t>
        </w:r>
      </w:hyperlink>
    </w:p>
    <w:p>
      <w:pPr>
        <w:spacing w:after="0" w:line="225" w:lineRule="exact"/>
        <w:rPr>
          <w:rFonts w:ascii="Arial" w:cs="Arial" w:eastAsia="Arial" w:hAnsi="Arial"/>
          <w:sz w:val="18"/>
          <w:szCs w:val="18"/>
          <w:color w:val="auto"/>
        </w:rPr>
      </w:pPr>
    </w:p>
    <w:p>
      <w:pPr>
        <w:ind w:left="5420"/>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rFonts w:ascii="Arial" w:cs="Arial" w:eastAsia="Arial" w:hAnsi="Arial"/>
          <w:sz w:val="18"/>
          <w:szCs w:val="18"/>
          <w:color w:val="auto"/>
        </w:rPr>
      </w:pPr>
    </w:p>
    <w:p>
      <w:pPr>
        <w:ind w:left="60" w:right="2739" w:hanging="44"/>
        <w:spacing w:after="0" w:line="275" w:lineRule="auto"/>
        <w:rPr>
          <w:rFonts w:ascii="Arial" w:cs="Arial" w:eastAsia="Arial" w:hAnsi="Arial"/>
          <w:sz w:val="18"/>
          <w:szCs w:val="18"/>
          <w:color w:val="auto"/>
        </w:rPr>
      </w:pPr>
      <w:r>
        <w:rPr>
          <w:rFonts w:ascii="Arial" w:cs="Arial" w:eastAsia="Arial" w:hAnsi="Arial"/>
          <w:sz w:val="18"/>
          <w:szCs w:val="18"/>
          <w:color w:val="auto"/>
        </w:rPr>
        <w:t xml:space="preserve">— Consent of Ernst &amp; Young, LLP, Independent Registered Public Accounting Firm, filed herewith. </w:t>
      </w:r>
      <w:r>
        <w:rPr>
          <w:rFonts w:ascii="Arial" w:cs="Arial" w:eastAsia="Arial" w:hAnsi="Arial"/>
          <w:sz w:val="17"/>
          <w:szCs w:val="17"/>
          <w:u w:val="single" w:color="auto"/>
          <w:color w:val="0000EE"/>
        </w:rPr>
        <w:t>EX-23.1 Consent of Ernst &amp; Young LLP dated June 10, 2005</w:t>
      </w:r>
    </w:p>
    <w:p>
      <w:pPr>
        <w:spacing w:after="0" w:line="133" w:lineRule="exact"/>
        <w:rPr>
          <w:rFonts w:ascii="Arial" w:cs="Arial" w:eastAsia="Arial" w:hAnsi="Arial"/>
          <w:sz w:val="18"/>
          <w:szCs w:val="18"/>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Report of Ernst &amp; Young LLP,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Administration Committee and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Partnership Plan</w:t>
      </w:r>
    </w:p>
    <w:p>
      <w:pPr>
        <w:spacing w:after="0" w:line="1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Analog Devices, Inc. The Investment Partnership Plan as of December 31, 2004 and 2003,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0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4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2004 and 2003, and the changes in its net assets available for benefits for the years then ended, in conformity with U.S. generally accepted accounting principles.</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2004,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106045</wp:posOffset>
            </wp:positionV>
            <wp:extent cx="2126615"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66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11, 2005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 and 2003</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2004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r>
      <w:tr>
        <w:trPr>
          <w:trHeight w:val="210"/>
        </w:trPr>
        <w:tc>
          <w:tcPr>
            <w:tcW w:w="3660" w:type="dxa"/>
            <w:vAlign w:val="bottom"/>
            <w:shd w:val="clear" w:color="auto" w:fill="CCEEFF"/>
          </w:tcPr>
          <w:p>
            <w:pPr>
              <w:spacing w:after="0"/>
              <w:rPr>
                <w:sz w:val="18"/>
                <w:szCs w:val="18"/>
                <w:color w:val="auto"/>
              </w:rPr>
            </w:pPr>
          </w:p>
        </w:tc>
        <w:tc>
          <w:tcPr>
            <w:tcW w:w="6460" w:type="dxa"/>
            <w:vAlign w:val="bottom"/>
            <w:gridSpan w:val="3"/>
            <w:shd w:val="clear" w:color="auto" w:fill="CCEEFF"/>
          </w:tcPr>
          <w:p>
            <w:pPr>
              <w:jc w:val="right"/>
              <w:ind w:right="53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Investments, at fair value</w:t>
            </w:r>
          </w:p>
        </w:tc>
        <w:tc>
          <w:tcPr>
            <w:tcW w:w="6200" w:type="dxa"/>
            <w:vAlign w:val="bottom"/>
            <w:gridSpan w:val="2"/>
          </w:tcPr>
          <w:p>
            <w:pPr>
              <w:jc w:val="right"/>
              <w:spacing w:after="0"/>
              <w:rPr>
                <w:sz w:val="20"/>
                <w:szCs w:val="20"/>
                <w:color w:val="auto"/>
              </w:rPr>
            </w:pPr>
            <w:r>
              <w:rPr>
                <w:rFonts w:ascii="Arial" w:cs="Arial" w:eastAsia="Arial" w:hAnsi="Arial"/>
                <w:sz w:val="18"/>
                <w:szCs w:val="18"/>
                <w:color w:val="auto"/>
              </w:rPr>
              <w:t>$ 676,623,749</w:t>
            </w:r>
          </w:p>
        </w:tc>
        <w:tc>
          <w:tcPr>
            <w:tcW w:w="2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$ 654,423,308</w:t>
            </w: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and dividends</w:t>
            </w:r>
          </w:p>
        </w:tc>
        <w:tc>
          <w:tcPr>
            <w:tcW w:w="6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1,049,180</w:t>
            </w: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233,660</w:t>
            </w: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Employer contributions receivable</w:t>
            </w:r>
          </w:p>
        </w:tc>
        <w:tc>
          <w:tcPr>
            <w:tcW w:w="6460" w:type="dxa"/>
            <w:vAlign w:val="bottom"/>
            <w:gridSpan w:val="3"/>
          </w:tcPr>
          <w:p>
            <w:pPr>
              <w:jc w:val="right"/>
              <w:ind w:right="260"/>
              <w:spacing w:after="0"/>
              <w:rPr>
                <w:sz w:val="20"/>
                <w:szCs w:val="20"/>
                <w:color w:val="auto"/>
              </w:rPr>
            </w:pPr>
            <w:r>
              <w:rPr>
                <w:rFonts w:ascii="Arial" w:cs="Arial" w:eastAsia="Arial" w:hAnsi="Arial"/>
                <w:sz w:val="18"/>
                <w:szCs w:val="18"/>
                <w:color w:val="auto"/>
              </w:rPr>
              <w:t>732,418</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475,352</w:t>
            </w: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contributions receivable</w:t>
            </w:r>
          </w:p>
        </w:tc>
        <w:tc>
          <w:tcPr>
            <w:tcW w:w="6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516,530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603,282</w:t>
            </w:r>
          </w:p>
        </w:tc>
      </w:tr>
      <w:tr>
        <w:trPr>
          <w:trHeight w:val="223"/>
        </w:trPr>
        <w:tc>
          <w:tcPr>
            <w:tcW w:w="3660" w:type="dxa"/>
            <w:vAlign w:val="bottom"/>
          </w:tcPr>
          <w:p>
            <w:pPr>
              <w:ind w:left="220"/>
              <w:spacing w:after="0"/>
              <w:rPr>
                <w:sz w:val="20"/>
                <w:szCs w:val="20"/>
                <w:color w:val="auto"/>
              </w:rPr>
            </w:pPr>
            <w:r>
              <w:rPr>
                <w:rFonts w:ascii="Arial" w:cs="Arial" w:eastAsia="Arial" w:hAnsi="Arial"/>
                <w:sz w:val="18"/>
                <w:szCs w:val="18"/>
                <w:color w:val="auto"/>
              </w:rPr>
              <w:t>Participant loans receivable</w:t>
            </w:r>
          </w:p>
        </w:tc>
        <w:tc>
          <w:tcPr>
            <w:tcW w:w="52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9,114,116</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8,554,700</w:t>
            </w: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52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688,035,993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664,290,302</w:t>
            </w:r>
          </w:p>
        </w:tc>
        <w:tc>
          <w:tcPr>
            <w:tcW w:w="100" w:type="dxa"/>
            <w:vAlign w:val="bottom"/>
            <w:shd w:val="clear" w:color="auto" w:fill="CCEEFF"/>
          </w:tcPr>
          <w:p>
            <w:pPr>
              <w:spacing w:after="0"/>
              <w:rPr>
                <w:sz w:val="18"/>
                <w:szCs w:val="18"/>
                <w:color w:val="auto"/>
              </w:rPr>
            </w:pPr>
          </w:p>
        </w:tc>
      </w:tr>
      <w:tr>
        <w:trPr>
          <w:trHeight w:val="439"/>
        </w:trPr>
        <w:tc>
          <w:tcPr>
            <w:tcW w:w="3660" w:type="dxa"/>
            <w:vAlign w:val="bottom"/>
          </w:tcPr>
          <w:p>
            <w:pPr>
              <w:spacing w:after="0"/>
              <w:rPr>
                <w:sz w:val="24"/>
                <w:szCs w:val="24"/>
                <w:color w:val="auto"/>
              </w:rPr>
            </w:pPr>
          </w:p>
        </w:tc>
        <w:tc>
          <w:tcPr>
            <w:tcW w:w="6460" w:type="dxa"/>
            <w:vAlign w:val="bottom"/>
            <w:gridSpan w:val="3"/>
          </w:tcPr>
          <w:p>
            <w:pPr>
              <w:jc w:val="right"/>
              <w:ind w:right="51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Payables – Pending investment transactions</w:t>
            </w:r>
          </w:p>
        </w:tc>
        <w:tc>
          <w:tcPr>
            <w:tcW w:w="6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(1,154,767)</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(431,180)</w:t>
            </w:r>
          </w:p>
        </w:tc>
      </w:tr>
      <w:tr>
        <w:trPr>
          <w:trHeight w:val="223"/>
        </w:trPr>
        <w:tc>
          <w:tcPr>
            <w:tcW w:w="3660" w:type="dxa"/>
            <w:vAlign w:val="bottom"/>
          </w:tcPr>
          <w:p>
            <w:pPr>
              <w:ind w:left="220"/>
              <w:spacing w:after="0"/>
              <w:rPr>
                <w:sz w:val="20"/>
                <w:szCs w:val="20"/>
                <w:color w:val="auto"/>
              </w:rPr>
            </w:pPr>
            <w:r>
              <w:rPr>
                <w:rFonts w:ascii="Arial" w:cs="Arial" w:eastAsia="Arial" w:hAnsi="Arial"/>
                <w:sz w:val="18"/>
                <w:szCs w:val="18"/>
                <w:color w:val="auto"/>
              </w:rPr>
              <w:t>Net assets available for benefits</w:t>
            </w:r>
          </w:p>
        </w:tc>
        <w:tc>
          <w:tcPr>
            <w:tcW w:w="52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686,881,226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663,859,122</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2004 and 2003</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2004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Investment (loss) income:</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395,510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Net (depreciation) appreciation in fair value of investments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(14,835,219)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165,242,968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Dividend income and capital gains distributions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10,679,270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5,766,251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investment (loss) income</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(3,760,439)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171,467,281</w:t>
            </w: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22,255,646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21,245,921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Employee</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27,936,090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24,190,194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contributions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50,191,736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45,436,115</w:t>
            </w: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Participant withdrawals</w:t>
            </w: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(23,409,193)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(27,108,492)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increase in net assets available for benefits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23,022,104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189,794,904</w:t>
            </w: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663,859,122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474,064,218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686,881,226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663,859,122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320" w:type="dxa"/>
            <w:vAlign w:val="bottom"/>
            <w:gridSpan w:val="2"/>
          </w:tcPr>
          <w:p>
            <w:pPr>
              <w:jc w:val="center"/>
              <w:ind w:right="2180"/>
              <w:spacing w:after="0"/>
              <w:rPr>
                <w:sz w:val="20"/>
                <w:szCs w:val="20"/>
                <w:color w:val="auto"/>
              </w:rPr>
            </w:pPr>
            <w:r>
              <w:rPr>
                <w:rFonts w:ascii="Arial" w:cs="Arial" w:eastAsia="Arial" w:hAnsi="Arial"/>
                <w:sz w:val="18"/>
                <w:szCs w:val="18"/>
                <w:color w:val="auto"/>
                <w:w w:val="87"/>
              </w:rPr>
              <w:t>See accompanying notes.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220" w:type="dxa"/>
            <w:vAlign w:val="bottom"/>
          </w:tcPr>
          <w:p>
            <w:pPr>
              <w:jc w:val="right"/>
              <w:ind w:right="30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9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Years ended December 31, 2004 and 2003</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Plan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description of the Analog Devices, Inc. (the “Company”) The Investment Partnership Plan (the “Plan”) provides only general information.</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Participants should refer to the Plan agreement for a more complete description of the Plan’s provisions.</w:t>
      </w:r>
    </w:p>
    <w:p>
      <w:pPr>
        <w:spacing w:after="0" w:line="170" w:lineRule="exact"/>
        <w:rPr>
          <w:sz w:val="20"/>
          <w:szCs w:val="20"/>
          <w:color w:val="auto"/>
        </w:rPr>
      </w:pPr>
    </w:p>
    <w:p>
      <w:pPr>
        <w:ind w:left="360" w:right="580" w:hanging="10"/>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Plan is a contributory defined contribution plan sponsored and administered by the Company. It is subject to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Retirement Income Security Act of 1974 (“ERISA”).</w:t>
      </w:r>
    </w:p>
    <w:p>
      <w:pPr>
        <w:spacing w:after="0" w:line="143" w:lineRule="exact"/>
        <w:rPr>
          <w:rFonts w:ascii="Arial" w:cs="Arial" w:eastAsia="Arial" w:hAnsi="Arial"/>
          <w:sz w:val="18"/>
          <w:szCs w:val="18"/>
          <w:color w:val="auto"/>
        </w:rPr>
      </w:pPr>
    </w:p>
    <w:p>
      <w:pPr>
        <w:ind w:left="360" w:right="80" w:hanging="10"/>
        <w:spacing w:after="0" w:line="26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Domestic employees of the Company are eligible to participate in the Plan on the first day of employment. The Company contributions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the first day following one year of service. For eligibility purposes, a year of service is a 12-month period during which an employee completes at least 1,000 hours of service.</w:t>
      </w:r>
    </w:p>
    <w:p>
      <w:pPr>
        <w:spacing w:after="0" w:line="140" w:lineRule="exact"/>
        <w:rPr>
          <w:rFonts w:ascii="Arial" w:cs="Arial" w:eastAsia="Arial" w:hAnsi="Arial"/>
          <w:sz w:val="18"/>
          <w:szCs w:val="18"/>
          <w:color w:val="auto"/>
        </w:rPr>
      </w:pPr>
    </w:p>
    <w:p>
      <w:pPr>
        <w:ind w:left="360" w:hanging="10"/>
        <w:spacing w:after="0" w:line="25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Contributions</w:t>
      </w:r>
      <w:r>
        <w:rPr>
          <w:rFonts w:ascii="Arial" w:cs="Arial" w:eastAsia="Arial" w:hAnsi="Arial"/>
          <w:sz w:val="18"/>
          <w:szCs w:val="18"/>
          <w:color w:val="auto"/>
        </w:rPr>
        <w:t>. Basic contributions will be made at the sole discretion of the Company. For 2004 and 2003, the Company decided to make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basic contribution at 5% of each participant’s total eligible compensation. The Internal Revenue Service defined total eligible compensation as an amount not to exceed $205,000 for 2004 and $200,000 for 2003. For 2005, this amount will increase to $210,000. The Company matches each participant’s pre-tax contribution, if any, by contributing an amount not to exceed 3% (for all participants, except those eligible to participate in the Deferred Compensation Plan) of such participant’s total eligible compensation. A participant may voluntarily contribute to the Plan up to 50% of his or her pre-tax total eligible compensation; however, pre-tax contributions could not exceed $13,000 in 2004 and $12,000 in 2003. This amount will increase to $14,000 for 2005.</w:t>
      </w:r>
    </w:p>
    <w:p>
      <w:pPr>
        <w:spacing w:after="0" w:line="149"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INVESTMENT PARTNERSHIP PLAN</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Years ended December 31, 2004 and 2003</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Investment Options</w:t>
      </w:r>
      <w:r>
        <w:rPr>
          <w:rFonts w:ascii="Arial" w:cs="Arial" w:eastAsia="Arial" w:hAnsi="Arial"/>
          <w:sz w:val="18"/>
          <w:szCs w:val="18"/>
          <w:color w:val="auto"/>
        </w:rPr>
        <w:t>. The investment options of the Plan are listed below.</w:t>
      </w:r>
    </w:p>
    <w:p>
      <w:pPr>
        <w:spacing w:after="0" w:line="200" w:lineRule="exact"/>
        <w:rPr>
          <w:sz w:val="20"/>
          <w:szCs w:val="20"/>
          <w:color w:val="auto"/>
        </w:rPr>
      </w:pPr>
    </w:p>
    <w:p>
      <w:pPr>
        <w:spacing w:after="0" w:line="20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Analog Devices, Inc. Common Stock Fund</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Calamos Growth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Equity Income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Growth Company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Growth &amp; Income Portfolio</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Low-Priced Stock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Income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2000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2005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2010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2015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2020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2025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2030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2035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2040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Magellan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U.S. Bond Index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U.S. Equity Index Commingled Pool</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Income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Hotchkis and Wiley Mid-Cap Value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Templeton Foreign Fund I</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Spartan International Index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Royce Low-Priced Stock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Vanguard Mid-Cap Index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Vanguard Short-Term Bond Index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Vanguard Small-Cap Index Fund</w:t>
      </w:r>
    </w:p>
    <w:p>
      <w:pPr>
        <w:spacing w:after="0" w:line="170" w:lineRule="exact"/>
        <w:rPr>
          <w:sz w:val="20"/>
          <w:szCs w:val="20"/>
          <w:color w:val="auto"/>
        </w:rPr>
      </w:pPr>
    </w:p>
    <w:p>
      <w:pPr>
        <w:ind w:left="360" w:right="200"/>
        <w:spacing w:after="0" w:line="308" w:lineRule="auto"/>
        <w:rPr>
          <w:sz w:val="20"/>
          <w:szCs w:val="20"/>
          <w:color w:val="auto"/>
        </w:rPr>
      </w:pPr>
      <w:r>
        <w:rPr>
          <w:rFonts w:ascii="Arial" w:cs="Arial" w:eastAsia="Arial" w:hAnsi="Arial"/>
          <w:sz w:val="17"/>
          <w:szCs w:val="17"/>
          <w:color w:val="auto"/>
        </w:rPr>
        <w:t>Additionally, participants have the option to invest vested assets in Fidelity and non-Fidelity funds, which are not offered in the Plan, through a self-directed brokerage service that allows participants access to a wide variety of stocks, bonds, short-term securities and mutual funds.</w:t>
      </w:r>
    </w:p>
    <w:p>
      <w:pPr>
        <w:spacing w:after="0" w:line="120" w:lineRule="exact"/>
        <w:rPr>
          <w:sz w:val="20"/>
          <w:szCs w:val="20"/>
          <w:color w:val="auto"/>
        </w:rPr>
      </w:pPr>
    </w:p>
    <w:p>
      <w:pPr>
        <w:ind w:left="360" w:hanging="10"/>
        <w:spacing w:after="0" w:line="25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Employee contributions are immediately 100% vested and nonforfeitable at the time they are deducted from the participants’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on employee contributions vests as earned. Effective January 1, 2002, company match contributions made thereon and investment earnings become 100% vested after three years of service. Company contributions (both basic and pre-2002 match) and investment earnings thereon become fully vested upon the first to occur of (i) completion of five years of service with the Company, (ii) after reaching age 65 or (iii) upon death or permanent disability while employed by the Company.</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2004 and 2003</w:t>
      </w:r>
    </w:p>
    <w:p>
      <w:pPr>
        <w:spacing w:after="0" w:line="198" w:lineRule="exact"/>
        <w:rPr>
          <w:sz w:val="20"/>
          <w:szCs w:val="20"/>
          <w:color w:val="auto"/>
        </w:rPr>
      </w:pPr>
    </w:p>
    <w:p>
      <w:pPr>
        <w:ind w:right="140" w:firstLine="8"/>
        <w:spacing w:after="0" w:line="255"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Upon normal retirement at age 65, death, permanent disability or termination of employment, the participant’s vested benefits are paid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$5,000 for 2004 and 2003, upon termination of employment, distribution will be made in the form of a lump-sum payment within one year following termination of employment. Effective March 28, 2005 the $5,000 has been reduced to $1,000. Participants may request an in-service withdrawal for any reason after he or she attains age 59 1/2.</w:t>
      </w:r>
    </w:p>
    <w:p>
      <w:pPr>
        <w:spacing w:after="0" w:line="152" w:lineRule="exact"/>
        <w:rPr>
          <w:rFonts w:ascii="Arial" w:cs="Arial" w:eastAsia="Arial" w:hAnsi="Arial"/>
          <w:sz w:val="18"/>
          <w:szCs w:val="18"/>
          <w:color w:val="auto"/>
        </w:rPr>
      </w:pPr>
    </w:p>
    <w:p>
      <w:pPr>
        <w:ind w:right="100" w:firstLine="8"/>
        <w:spacing w:after="0" w:line="279"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Loans</w:t>
      </w:r>
      <w:r>
        <w:rPr>
          <w:rFonts w:ascii="Arial" w:cs="Arial" w:eastAsia="Arial" w:hAnsi="Arial"/>
          <w:sz w:val="17"/>
          <w:szCs w:val="17"/>
          <w:color w:val="auto"/>
        </w:rPr>
        <w:t>. Participants may borrow the lesser of 50% of their vested account balance or $50,000, as defined by the Plan. Participants repay loans plus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to their accounts through payroll deductions generally over a five-year period unless for the purchase of a primary residence, in which case the repayment period may be extended up to twenty years. The interest rate on loans, which is announced quarterly, is tied to the interest rate of Treasury Bonds with 3- and 10-year maturities. Once determined, the interest rate is fixed for the duration of the loan.</w:t>
      </w:r>
    </w:p>
    <w:p>
      <w:pPr>
        <w:spacing w:after="0" w:line="130" w:lineRule="exact"/>
        <w:rPr>
          <w:rFonts w:ascii="Arial" w:cs="Arial" w:eastAsia="Arial" w:hAnsi="Arial"/>
          <w:sz w:val="17"/>
          <w:szCs w:val="17"/>
          <w:color w:val="auto"/>
        </w:rPr>
      </w:pPr>
    </w:p>
    <w:p>
      <w:pPr>
        <w:jc w:val="both"/>
        <w:ind w:right="20" w:firstLine="8"/>
        <w:spacing w:after="0" w:line="30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Accounting</w:t>
      </w:r>
      <w:r>
        <w:rPr>
          <w:rFonts w:ascii="Arial" w:cs="Arial" w:eastAsia="Arial" w:hAnsi="Arial"/>
          <w:sz w:val="16"/>
          <w:szCs w:val="16"/>
          <w:color w:val="auto"/>
        </w:rPr>
        <w:t>. A separate account is maintained for each participant. Account balances are adjusted periodically for employee and Company contributions,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withdrawals and a pro rata share of net investment income (loss). Forfeitures that arise when participants terminate employment with the Company prior to vesting are used to offset future Company contributions and administrative expenses of the Plan. If an employee who had terminated after December 31, 1984 returns to the employment of the Company within five years, any amount that had been forfeited will be reinstated by the Company.</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All transactions of the Plan (including contributions, withdrawals and exchanges) have been accounted for and reported using units as well as dollars. Net investment income (loss) in each fund is allocated based on the shares or units in each participant’s account, except for the Self-Directed Brokerage Service, whereby earnings are recorded on a transaction specific basis.</w:t>
      </w:r>
    </w:p>
    <w:p>
      <w:pPr>
        <w:spacing w:after="0" w:line="141" w:lineRule="exact"/>
        <w:rPr>
          <w:sz w:val="20"/>
          <w:szCs w:val="20"/>
          <w:color w:val="auto"/>
        </w:rPr>
      </w:pPr>
    </w:p>
    <w:p>
      <w:pPr>
        <w:ind w:right="400" w:firstLine="8"/>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The vested and nonvested share of a participant’s account balance is invested in one or more of the funds depending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instructions of the participant. In the absence of such allocation instructions, all amounts accruing to the participant are invested in the Fidelity Income Fund.</w:t>
      </w:r>
    </w:p>
    <w:p>
      <w:pPr>
        <w:spacing w:after="0" w:line="140" w:lineRule="exact"/>
        <w:rPr>
          <w:rFonts w:ascii="Arial" w:cs="Arial" w:eastAsia="Arial" w:hAnsi="Arial"/>
          <w:sz w:val="18"/>
          <w:szCs w:val="18"/>
          <w:color w:val="auto"/>
        </w:rPr>
      </w:pPr>
    </w:p>
    <w:p>
      <w:pPr>
        <w:ind w:firstLine="8"/>
        <w:spacing w:after="0" w:line="308" w:lineRule="auto"/>
        <w:tabs>
          <w:tab w:leader="none" w:pos="27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Continuation of the Plan</w:t>
      </w:r>
      <w:r>
        <w:rPr>
          <w:rFonts w:ascii="Arial" w:cs="Arial" w:eastAsia="Arial" w:hAnsi="Arial"/>
          <w:sz w:val="17"/>
          <w:szCs w:val="17"/>
          <w:color w:val="auto"/>
        </w:rPr>
        <w:t>. While the Company has not expressed any intent to terminate the Plan or suspend contributions, it is free to do so at any time.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event of such termination or suspension, each participant would have a nonforfeitable right to all monies in his or her account.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2004 and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189" w:lineRule="exact"/>
        <w:rPr>
          <w:sz w:val="20"/>
          <w:szCs w:val="20"/>
          <w:color w:val="auto"/>
        </w:rPr>
      </w:pPr>
    </w:p>
    <w:p>
      <w:pPr>
        <w:ind w:left="420" w:hanging="184"/>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accompanying financial statements have been prepared on the accrual basis of accounting.</w:t>
      </w:r>
    </w:p>
    <w:p>
      <w:pPr>
        <w:spacing w:after="0" w:line="184" w:lineRule="exact"/>
        <w:rPr>
          <w:rFonts w:ascii="Arial" w:cs="Arial" w:eastAsia="Arial" w:hAnsi="Arial"/>
          <w:sz w:val="18"/>
          <w:szCs w:val="18"/>
          <w:color w:val="auto"/>
        </w:rPr>
      </w:pPr>
    </w:p>
    <w:p>
      <w:pPr>
        <w:ind w:left="240" w:right="180" w:hanging="4"/>
        <w:spacing w:after="0" w:line="27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Investments are reported at fair value, based on quoted market prices. Participant loans are reported at their outstanding carrying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which approximates fair value.</w:t>
      </w:r>
    </w:p>
    <w:p>
      <w:pPr>
        <w:spacing w:after="0" w:line="143" w:lineRule="exact"/>
        <w:rPr>
          <w:rFonts w:ascii="Arial" w:cs="Arial" w:eastAsia="Arial" w:hAnsi="Arial"/>
          <w:sz w:val="18"/>
          <w:szCs w:val="18"/>
          <w:color w:val="auto"/>
        </w:rPr>
      </w:pPr>
    </w:p>
    <w:p>
      <w:pPr>
        <w:ind w:left="240" w:right="20" w:hanging="4"/>
        <w:spacing w:after="0" w:line="27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Contributions from employees are recorded when the Company makes payroll deductions from plan participants. Company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accrued at the end of the period in which they become obligations of the Company based upon the terms of the Plan.</w:t>
      </w:r>
    </w:p>
    <w:p>
      <w:pPr>
        <w:spacing w:after="0" w:line="129" w:lineRule="exact"/>
        <w:rPr>
          <w:rFonts w:ascii="Arial" w:cs="Arial" w:eastAsia="Arial" w:hAnsi="Arial"/>
          <w:sz w:val="18"/>
          <w:szCs w:val="18"/>
          <w:color w:val="auto"/>
        </w:rPr>
      </w:pPr>
    </w:p>
    <w:p>
      <w:pPr>
        <w:jc w:val="both"/>
        <w:ind w:left="240" w:hanging="4"/>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Investment income (loss)</w:t>
      </w:r>
      <w:r>
        <w:rPr>
          <w:rFonts w:ascii="Arial" w:cs="Arial" w:eastAsia="Arial" w:hAnsi="Arial"/>
          <w:sz w:val="18"/>
          <w:szCs w:val="18"/>
          <w:color w:val="auto"/>
        </w:rPr>
        <w:t>. Net investment income (loss) consists of interest income, dividends and capital gain/loss distributions from the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and mutual funds, realized gains or losses on sales of investments and the change in net unrealized appreciation (depreciation) between the cost and market value of investments at the beginning and end of the period.</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interest, dividends and capital gains distributions are reinvested in the respective funds and are recorded as earned on an accrual basis.</w:t>
      </w:r>
    </w:p>
    <w:p>
      <w:pPr>
        <w:spacing w:after="0" w:line="198" w:lineRule="exact"/>
        <w:rPr>
          <w:sz w:val="20"/>
          <w:szCs w:val="20"/>
          <w:color w:val="auto"/>
        </w:rPr>
      </w:pPr>
    </w:p>
    <w:p>
      <w:pPr>
        <w:ind w:left="240" w:right="80" w:hanging="4"/>
        <w:spacing w:after="0" w:line="257" w:lineRule="auto"/>
        <w:tabs>
          <w:tab w:leader="none" w:pos="4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Income tax status. </w:t>
      </w:r>
      <w:r>
        <w:rPr>
          <w:rFonts w:ascii="Arial" w:cs="Arial" w:eastAsia="Arial" w:hAnsi="Arial"/>
          <w:sz w:val="18"/>
          <w:szCs w:val="18"/>
          <w:color w:val="auto"/>
        </w:rPr>
        <w:t>The Plan has received a determination letter from the Internal Revenue Service dated May 1, 2003, stating that the Plan is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Committee believes the Plan is being operated in compliance with the applicable requirements of the Code and, therefore, that the Plan, as amended, is qualified and the related trust is tax exempt.</w:t>
      </w:r>
    </w:p>
    <w:p>
      <w:pPr>
        <w:spacing w:after="0" w:line="147" w:lineRule="exact"/>
        <w:rPr>
          <w:rFonts w:ascii="Arial" w:cs="Arial" w:eastAsia="Arial" w:hAnsi="Arial"/>
          <w:sz w:val="18"/>
          <w:szCs w:val="18"/>
          <w:i w:val="1"/>
          <w:iCs w:val="1"/>
          <w:color w:val="auto"/>
        </w:rPr>
      </w:pPr>
    </w:p>
    <w:p>
      <w:pPr>
        <w:ind w:left="420" w:hanging="184"/>
        <w:spacing w:after="0"/>
        <w:tabs>
          <w:tab w:leader="none" w:pos="4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Administrative expenses</w:t>
      </w:r>
      <w:r>
        <w:rPr>
          <w:rFonts w:ascii="Arial" w:cs="Arial" w:eastAsia="Arial" w:hAnsi="Arial"/>
          <w:sz w:val="16"/>
          <w:szCs w:val="16"/>
          <w:color w:val="auto"/>
        </w:rPr>
        <w:t>. For the years ended December 31, 2004 and 2003, the Company elected to pay the administrative expenses of the Plan</w:t>
      </w:r>
      <w:r>
        <w:rPr>
          <w:rFonts w:ascii="Arial" w:cs="Arial" w:eastAsia="Arial" w:hAnsi="Arial"/>
          <w:sz w:val="16"/>
          <w:szCs w:val="16"/>
          <w:i w:val="1"/>
          <w:iCs w:val="1"/>
          <w:color w:val="auto"/>
        </w:rPr>
        <w:t>.</w:t>
      </w:r>
    </w:p>
    <w:p>
      <w:pPr>
        <w:spacing w:after="0" w:line="207" w:lineRule="exact"/>
        <w:rPr>
          <w:rFonts w:ascii="Arial" w:cs="Arial" w:eastAsia="Arial" w:hAnsi="Arial"/>
          <w:sz w:val="16"/>
          <w:szCs w:val="16"/>
          <w:i w:val="1"/>
          <w:iCs w:val="1"/>
          <w:color w:val="auto"/>
        </w:rPr>
      </w:pPr>
    </w:p>
    <w:p>
      <w:pPr>
        <w:ind w:left="240" w:right="200" w:hanging="4"/>
        <w:spacing w:after="0" w:line="286" w:lineRule="auto"/>
        <w:tabs>
          <w:tab w:leader="none" w:pos="4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U.S. generally accepted accounting principles requires management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estimates that affect the reported amounts of assets and liabilities at the date of the financial statements and the reported amounts of changes in net assets available for benefits during the reporting period. Actual results could differ from those estimates</w:t>
      </w:r>
      <w:r>
        <w:rPr>
          <w:rFonts w:ascii="Arial" w:cs="Arial" w:eastAsia="Arial" w:hAnsi="Arial"/>
          <w:sz w:val="17"/>
          <w:szCs w:val="17"/>
          <w:i w:val="1"/>
          <w:iCs w:val="1"/>
          <w:color w:val="auto"/>
        </w:rPr>
        <w:t>.</w:t>
      </w:r>
    </w:p>
    <w:p>
      <w:pPr>
        <w:spacing w:after="0" w:line="138" w:lineRule="exact"/>
        <w:rPr>
          <w:rFonts w:ascii="Arial" w:cs="Arial" w:eastAsia="Arial" w:hAnsi="Arial"/>
          <w:sz w:val="17"/>
          <w:szCs w:val="17"/>
          <w:i w:val="1"/>
          <w:iCs w:val="1"/>
          <w:color w:val="auto"/>
        </w:rPr>
      </w:pPr>
    </w:p>
    <w:p>
      <w:pPr>
        <w:ind w:left="420" w:hanging="184"/>
        <w:spacing w:after="0"/>
        <w:tabs>
          <w:tab w:leader="none" w:pos="4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 Certain 2003 financial statement amounts have been reclassified to conform with the 2004 presentation.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2004 and 2003</w:t>
      </w:r>
    </w:p>
    <w:p>
      <w:pPr>
        <w:spacing w:after="0" w:line="198" w:lineRule="exact"/>
        <w:rPr>
          <w:sz w:val="20"/>
          <w:szCs w:val="20"/>
          <w:color w:val="auto"/>
        </w:rPr>
      </w:pPr>
    </w:p>
    <w:p>
      <w:pPr>
        <w:jc w:val="both"/>
        <w:ind w:left="360" w:right="160" w:hanging="10"/>
        <w:spacing w:after="0" w:line="259" w:lineRule="auto"/>
        <w:tabs>
          <w:tab w:leader="none" w:pos="5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The Plan and its participants invest in various securities. Investment securities are exposed to various risks such as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Trustee and Plan Recordkeeper</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Fidelity Management Trust Company and Fidelity Institutional Retirement Services Company serve as trustee and recordkeeper, respectively, to the Plan.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2004 and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rFonts w:ascii="Arial" w:cs="Arial" w:eastAsia="Arial" w:hAnsi="Arial"/>
          <w:sz w:val="18"/>
          <w:szCs w:val="18"/>
          <w:b w:val="1"/>
          <w:bCs w:val="1"/>
          <w:color w:val="auto"/>
        </w:rPr>
        <w:t>Investments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investments represent 5 percent or more of the Plan’s net assets.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560" w:type="dxa"/>
            <w:vAlign w:val="bottom"/>
            <w:gridSpan w:val="5"/>
          </w:tcPr>
          <w:p>
            <w:pPr>
              <w:ind w:left="820"/>
              <w:spacing w:after="0"/>
              <w:rPr>
                <w:sz w:val="20"/>
                <w:szCs w:val="20"/>
                <w:color w:val="auto"/>
              </w:rPr>
            </w:pPr>
            <w:r>
              <w:rPr>
                <w:rFonts w:ascii="Arial" w:cs="Arial" w:eastAsia="Arial" w:hAnsi="Arial"/>
                <w:sz w:val="14"/>
                <w:szCs w:val="14"/>
                <w:i w:val="1"/>
                <w:i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2004</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 Common Stock Fund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$ 170,487,267</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$ 222,690,927</w:t>
            </w: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Fidelity Income Fund</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132,375,094</w:t>
            </w:r>
          </w:p>
        </w:tc>
        <w:tc>
          <w:tcPr>
            <w:tcW w:w="220" w:type="dxa"/>
            <w:vAlign w:val="bottom"/>
          </w:tcPr>
          <w:p>
            <w:pPr>
              <w:spacing w:after="0"/>
              <w:rPr>
                <w:sz w:val="24"/>
                <w:szCs w:val="24"/>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129,208,765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Fidelity Magellan Fund</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50,642,869</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55,146,220</w:t>
            </w: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Fidelity Equity Income Fund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47,161,446</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39,344,041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Fidelity Growth Company Fund</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46,399,620</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40,162,339</w:t>
            </w: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Fidelity Low-Priced Stock Fund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43,961,017</w:t>
            </w:r>
          </w:p>
        </w:tc>
        <w:tc>
          <w:tcPr>
            <w:tcW w:w="2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60" w:right="60"/>
        <w:spacing w:after="0" w:line="277" w:lineRule="auto"/>
        <w:rPr>
          <w:sz w:val="20"/>
          <w:szCs w:val="20"/>
          <w:color w:val="auto"/>
        </w:rPr>
      </w:pPr>
      <w:r>
        <w:rPr>
          <w:rFonts w:ascii="Arial" w:cs="Arial" w:eastAsia="Arial" w:hAnsi="Arial"/>
          <w:sz w:val="18"/>
          <w:szCs w:val="18"/>
          <w:color w:val="auto"/>
        </w:rPr>
        <w:t>The Plan’s investments (including gains and losses on investments bought and sold, as well as held during the year) (depreciated) appreciated in value as follows:</w:t>
      </w:r>
    </w:p>
    <w:p>
      <w:pPr>
        <w:spacing w:after="0" w:line="341" w:lineRule="exact"/>
        <w:rPr>
          <w:sz w:val="20"/>
          <w:szCs w:val="20"/>
          <w:color w:val="auto"/>
        </w:rPr>
      </w:pPr>
    </w:p>
    <w:p>
      <w:pPr>
        <w:jc w:val="center"/>
        <w:ind w:left="8780"/>
        <w:spacing w:after="0"/>
        <w:rPr>
          <w:sz w:val="20"/>
          <w:szCs w:val="20"/>
          <w:color w:val="auto"/>
        </w:rPr>
      </w:pPr>
      <w:r>
        <w:rPr>
          <w:rFonts w:ascii="Arial" w:cs="Arial" w:eastAsia="Arial" w:hAnsi="Arial"/>
          <w:sz w:val="14"/>
          <w:szCs w:val="14"/>
          <w:i w:val="1"/>
          <w:iCs w:val="1"/>
          <w:color w:val="auto"/>
        </w:rPr>
        <w:t>Year Ended</w:t>
      </w:r>
    </w:p>
    <w:p>
      <w:pPr>
        <w:jc w:val="center"/>
        <w:ind w:left="8780"/>
        <w:spacing w:after="0" w:line="231" w:lineRule="auto"/>
        <w:rPr>
          <w:sz w:val="20"/>
          <w:szCs w:val="20"/>
          <w:color w:val="auto"/>
        </w:rPr>
      </w:pPr>
      <w:r>
        <w:rPr>
          <w:rFonts w:ascii="Arial" w:cs="Arial" w:eastAsia="Arial" w:hAnsi="Arial"/>
          <w:sz w:val="14"/>
          <w:szCs w:val="14"/>
          <w:i w:val="1"/>
          <w:i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rPr>
              <w:t>2004</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5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(39,631,868)</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$ 116,374,355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Mutual funds</w:t>
            </w:r>
          </w:p>
        </w:tc>
        <w:tc>
          <w:tcPr>
            <w:tcW w:w="5180" w:type="dxa"/>
            <w:vAlign w:val="bottom"/>
            <w:gridSpan w:val="3"/>
          </w:tcPr>
          <w:p>
            <w:pPr>
              <w:jc w:val="right"/>
              <w:ind w:right="260"/>
              <w:spacing w:after="0"/>
              <w:rPr>
                <w:sz w:val="20"/>
                <w:szCs w:val="20"/>
                <w:color w:val="auto"/>
              </w:rPr>
            </w:pPr>
            <w:r>
              <w:rPr>
                <w:rFonts w:ascii="Arial" w:cs="Arial" w:eastAsia="Arial" w:hAnsi="Arial"/>
                <w:sz w:val="18"/>
                <w:szCs w:val="18"/>
                <w:color w:val="auto"/>
              </w:rPr>
              <w:t>24,651,280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48,688,069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5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(3,769)</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Others</w:t>
            </w:r>
          </w:p>
        </w:tc>
        <w:tc>
          <w:tcPr>
            <w:tcW w:w="39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149,138</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185,370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(depreciation) appreciation in fair value of investments</w:t>
            </w:r>
          </w:p>
        </w:tc>
        <w:tc>
          <w:tcPr>
            <w:tcW w:w="39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(14,835,219)</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165,242,968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940" w:type="dxa"/>
            <w:vAlign w:val="bottom"/>
            <w:vMerge w:val="restart"/>
          </w:tcPr>
          <w:p>
            <w:pPr>
              <w:jc w:val="right"/>
              <w:ind w:right="2990"/>
              <w:spacing w:after="0"/>
              <w:rPr>
                <w:sz w:val="20"/>
                <w:szCs w:val="20"/>
                <w:color w:val="auto"/>
              </w:rPr>
            </w:pPr>
            <w:r>
              <w:rPr>
                <w:rFonts w:ascii="Arial" w:cs="Arial" w:eastAsia="Arial" w:hAnsi="Arial"/>
                <w:sz w:val="18"/>
                <w:szCs w:val="18"/>
                <w:color w:val="auto"/>
              </w:rPr>
              <w:t>11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THE INVESTMENT PARTNERSHIP PLAN</w:t>
      </w:r>
    </w:p>
    <w:p>
      <w:pPr>
        <w:spacing w:after="0" w:line="19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SUPPLEMENTAL SCHEDULE</w:t>
      </w:r>
    </w:p>
    <w:p>
      <w:pPr>
        <w:spacing w:after="0" w:line="18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DECEMBER 31, 2004</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NO: 04-2348234 PLAN NO: 003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 H-LN 4i — SCHEDULE OF ASSETS (HELD AT END OF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Current</w:t>
            </w:r>
          </w:p>
        </w:tc>
      </w:tr>
      <w:tr>
        <w:trPr>
          <w:trHeight w:val="167"/>
        </w:trPr>
        <w:tc>
          <w:tcPr>
            <w:tcW w:w="8860" w:type="dxa"/>
            <w:vAlign w:val="bottom"/>
          </w:tcPr>
          <w:p>
            <w:pPr>
              <w:spacing w:after="0"/>
              <w:rPr>
                <w:sz w:val="14"/>
                <w:szCs w:val="14"/>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Value</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Investment:</w:t>
            </w: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Income Fund</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132,375,094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132,375,094</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Diversified International Fund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79,830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2,286,322</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Equity Income Fund</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893,548</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47,161,446</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Income Fund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253,306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2,854,753</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2000 Fund</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185,008</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2,234,894</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2005 Fund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29,709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320,853</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2010 Fund</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733,657</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9,992,411</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2015 Fund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30,370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335,588</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2020 Fund</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639,228</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8,923,627</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2025 Fund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40,378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455,465</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2030 Fund</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838,741</w:t>
            </w: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11,809,479</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2035 Fund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7,552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86,395</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2040 Fund</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276,770</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2,288,885</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Growth Company Fund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827,530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46,399,620</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Growth &amp; Income Portfolio</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426,580</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16,299,606</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Low-Priced Stock Fund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43,961,017</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Magellan Fund</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487,936</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50,642,869</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Bond Index Fund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1,884,705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20,995,611</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Equity Index Commingled Pool</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408,304</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15,278,740</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Calamos Growth Fund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48,148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2,550,887</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Hotchkis and Wiley Mid-Cap Value Fund</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176,159</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4,807,371</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Royce Low-Priced Stock Fund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151,930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2,329,092</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Templeton Foreign Fund I</w:t>
            </w:r>
          </w:p>
        </w:tc>
        <w:tc>
          <w:tcPr>
            <w:tcW w:w="1000" w:type="dxa"/>
            <w:vAlign w:val="bottom"/>
          </w:tcPr>
          <w:p>
            <w:pPr>
              <w:jc w:val="right"/>
              <w:spacing w:after="0"/>
              <w:rPr>
                <w:sz w:val="20"/>
                <w:szCs w:val="20"/>
                <w:color w:val="auto"/>
              </w:rPr>
            </w:pPr>
            <w:r>
              <w:rPr>
                <w:rFonts w:ascii="Arial" w:cs="Arial" w:eastAsia="Arial" w:hAnsi="Arial"/>
                <w:sz w:val="18"/>
                <w:szCs w:val="18"/>
                <w:color w:val="auto"/>
              </w:rPr>
              <w:t>1,201,026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14,772,614</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Spartan International Index Fund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13,601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435,516</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Vanguard Mid-Cap Index Fund</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109,739</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1,716,315</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Vanguard Short-Term Bond Index Fund</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18,180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184,346</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Vanguard Small-Cap Index Fund</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37,528</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1,006,499</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Participants Self-Directed Brokerage Accounts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63,631,167</w:t>
            </w:r>
          </w:p>
        </w:tc>
        <w:tc>
          <w:tcPr>
            <w:tcW w:w="80" w:type="dxa"/>
            <w:vAlign w:val="bottom"/>
            <w:shd w:val="clear" w:color="auto" w:fill="CCEEFF"/>
          </w:tcPr>
          <w:p>
            <w:pPr>
              <w:spacing w:after="0"/>
              <w:rPr>
                <w:sz w:val="18"/>
                <w:szCs w:val="18"/>
                <w:color w:val="auto"/>
              </w:rPr>
            </w:pPr>
          </w:p>
        </w:tc>
      </w:tr>
      <w:tr>
        <w:trPr>
          <w:trHeight w:val="223"/>
        </w:trPr>
        <w:tc>
          <w:tcPr>
            <w:tcW w:w="8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506,136,482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8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Analog Devices, Inc. Common Stock Fund:</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Analog Devices Inc. Common Stock</w:t>
            </w:r>
            <w:r>
              <w:rPr>
                <w:rFonts w:ascii="Arial" w:cs="Arial" w:eastAsia="Arial" w:hAnsi="Arial"/>
                <w:sz w:val="15"/>
                <w:szCs w:val="15"/>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4,390,723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162,105,493</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Institutional Cash Portfolio — Money Market Portfolio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8,381,774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8,381,774</w:t>
            </w:r>
          </w:p>
        </w:tc>
        <w:tc>
          <w:tcPr>
            <w:tcW w:w="80" w:type="dxa"/>
            <w:vAlign w:val="bottom"/>
            <w:shd w:val="clear" w:color="auto" w:fill="CCEEFF"/>
          </w:tcPr>
          <w:p>
            <w:pPr>
              <w:spacing w:after="0"/>
              <w:rPr>
                <w:sz w:val="18"/>
                <w:szCs w:val="18"/>
                <w:color w:val="auto"/>
              </w:rPr>
            </w:pPr>
          </w:p>
        </w:tc>
      </w:tr>
      <w:tr>
        <w:trPr>
          <w:trHeight w:val="223"/>
        </w:trPr>
        <w:tc>
          <w:tcPr>
            <w:tcW w:w="8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170,487,267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8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676,623,749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8860" w:type="dxa"/>
            <w:vAlign w:val="bottom"/>
          </w:tcPr>
          <w:p>
            <w:pPr>
              <w:ind w:left="220"/>
              <w:spacing w:after="0"/>
              <w:rPr>
                <w:sz w:val="20"/>
                <w:szCs w:val="20"/>
                <w:color w:val="auto"/>
              </w:rPr>
            </w:pPr>
            <w:r>
              <w:rPr>
                <w:rFonts w:ascii="Arial" w:cs="Arial" w:eastAsia="Arial" w:hAnsi="Arial"/>
                <w:sz w:val="18"/>
                <w:szCs w:val="18"/>
                <w:color w:val="auto"/>
              </w:rPr>
              <w:t xml:space="preserve">Participant Loans Receivable </w:t>
            </w:r>
            <w:r>
              <w:rPr>
                <w:rFonts w:ascii="Arial" w:cs="Arial" w:eastAsia="Arial" w:hAnsi="Arial"/>
                <w:sz w:val="15"/>
                <w:szCs w:val="15"/>
                <w:color w:val="auto"/>
              </w:rPr>
              <w:t>(1) (2)</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9,114,116</w:t>
            </w:r>
          </w:p>
        </w:tc>
        <w:tc>
          <w:tcPr>
            <w:tcW w:w="80" w:type="dxa"/>
            <w:vAlign w:val="bottom"/>
          </w:tcPr>
          <w:p>
            <w:pPr>
              <w:spacing w:after="0"/>
              <w:rPr>
                <w:sz w:val="24"/>
                <w:szCs w:val="24"/>
                <w:color w:val="auto"/>
              </w:rPr>
            </w:pPr>
          </w:p>
        </w:tc>
      </w:tr>
      <w:tr>
        <w:trPr>
          <w:trHeight w:val="20"/>
        </w:trPr>
        <w:tc>
          <w:tcPr>
            <w:tcW w:w="8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Indicates party-in-interest to the Plan.</w:t>
      </w:r>
    </w:p>
    <w:p>
      <w:pPr>
        <w:spacing w:after="0" w:line="225" w:lineRule="exact"/>
        <w:rPr>
          <w:rFonts w:ascii="Arial" w:cs="Arial" w:eastAsia="Arial" w:hAnsi="Arial"/>
          <w:sz w:val="15"/>
          <w:szCs w:val="15"/>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6"/>
          <w:szCs w:val="16"/>
          <w:color w:val="auto"/>
        </w:rPr>
        <w:t>The loan account at December 31, 2004 bears interest at rates ranging from 3.5% to 11.96% with terms ranging from less than 1 year to 21 years.</w:t>
      </w:r>
    </w:p>
    <w:p>
      <w:pPr>
        <w:spacing w:after="0" w:line="221"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u w:val="single" w:color="auto"/>
          <w:color w:val="auto"/>
        </w:rPr>
        <w:t>THE INVESTMENT PARTNERSHIP PLAN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Joseph E. McDonough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2759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President-Finance and Chief Financial Officer of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Analog Devices, Inc. and Member of The Investment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Partnership Plan Administration Committee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June 14, 2005</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19" w:right="4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ACCOUNTING FIRM</w:t>
      </w:r>
    </w:p>
    <w:p>
      <w:pPr>
        <w:spacing w:after="0" w:line="18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(Form S-8 Nos. 33-2502, 2-95495, 33-43128, and 333-08493) pertaining to the Analog Devices, Inc. The Investment Partnership Plan of our report dated April 11, 2005, with respect to the financial statements and schedule of the Analog Devices Inc. The Investment Partnership Plan included in this Annual Report (Form 11-K) for the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88265</wp:posOffset>
            </wp:positionV>
            <wp:extent cx="2126615"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266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10, 2005</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emdash "/>
      <w:numFmt w:val="bullet"/>
      <w:start w:val="1"/>
    </w:lvl>
  </w:abstractNum>
  <w:abstractNum w:abstractNumId="3">
    <w:nsid w:val="7545E146"/>
    <w:multiLevelType w:val="hybridMultilevel"/>
    <w:lvl w:ilvl="0">
      <w:lvlJc w:val="left"/>
      <w:lvlText w:val="\emdash "/>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9"/>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2019-12-20T04:41:09Z</dcterms:created>
  <dcterms:modified xsi:type="dcterms:W3CDTF">2019-12-20T04:41:09Z</dcterms:modified>
</cp:coreProperties>
</file>