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pacing w:after="0" w:line="6" w:lineRule="exact"/>
        <w:rPr>
          <w:sz w:val="24"/>
          <w:szCs w:val="24"/>
          <w:color w:val="auto"/>
        </w:rPr>
      </w:pPr>
    </w:p>
    <w:p>
      <w:pPr>
        <w:ind w:left="366"/>
        <w:spacing w:after="0"/>
        <w:rPr>
          <w:sz w:val="20"/>
          <w:szCs w:val="20"/>
          <w:color w:val="auto"/>
        </w:rPr>
      </w:pPr>
      <w:r>
        <w:rPr>
          <w:rFonts w:ascii="Courier New" w:cs="Courier New" w:eastAsia="Courier New" w:hAnsi="Courier New"/>
          <w:sz w:val="15"/>
          <w:szCs w:val="15"/>
          <w:color w:val="auto"/>
        </w:rPr>
        <w:t>AS FILED WITH THE SECURITIES AND EXCHANGE COMMISSION ON DECEMBER 8, 2000</w:t>
      </w:r>
    </w:p>
    <w:p>
      <w:pPr>
        <w:spacing w:after="0" w:line="182" w:lineRule="exact"/>
        <w:rPr>
          <w:sz w:val="24"/>
          <w:szCs w:val="24"/>
          <w:color w:val="auto"/>
        </w:rPr>
      </w:pPr>
    </w:p>
    <w:p>
      <w:pPr>
        <w:ind w:left="3846"/>
        <w:spacing w:after="0"/>
        <w:rPr>
          <w:sz w:val="20"/>
          <w:szCs w:val="20"/>
          <w:color w:val="auto"/>
        </w:rPr>
      </w:pPr>
      <w:r>
        <w:rPr>
          <w:rFonts w:ascii="Courier New" w:cs="Courier New" w:eastAsia="Courier New" w:hAnsi="Courier New"/>
          <w:sz w:val="15"/>
          <w:szCs w:val="15"/>
          <w:color w:val="auto"/>
        </w:rPr>
        <w:t>REGISTRATION STATEMENT NO. 333-</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4"/>
          <w:szCs w:val="24"/>
          <w:color w:val="auto"/>
        </w:rPr>
      </w:pPr>
    </w:p>
    <w:p>
      <w:pPr>
        <w:jc w:val="center"/>
        <w:ind w:right="3934"/>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3934"/>
        <w:spacing w:after="0"/>
        <w:rPr>
          <w:sz w:val="20"/>
          <w:szCs w:val="20"/>
          <w:color w:val="auto"/>
        </w:rPr>
      </w:pPr>
      <w:r>
        <w:rPr>
          <w:rFonts w:ascii="Courier New" w:cs="Courier New" w:eastAsia="Courier New" w:hAnsi="Courier New"/>
          <w:sz w:val="15"/>
          <w:szCs w:val="15"/>
          <w:color w:val="auto"/>
        </w:rPr>
        <w:t>WASHINGTON, D.C. 20549</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3934"/>
        <w:spacing w:after="0"/>
        <w:rPr>
          <w:sz w:val="20"/>
          <w:szCs w:val="20"/>
          <w:color w:val="auto"/>
        </w:rPr>
      </w:pPr>
      <w:r>
        <w:rPr>
          <w:rFonts w:ascii="Courier New" w:cs="Courier New" w:eastAsia="Courier New" w:hAnsi="Courier New"/>
          <w:sz w:val="15"/>
          <w:szCs w:val="15"/>
          <w:color w:val="auto"/>
        </w:rPr>
        <w:t>FORM S-3</w:t>
      </w:r>
    </w:p>
    <w:p>
      <w:pPr>
        <w:spacing w:after="0" w:line="6" w:lineRule="exact"/>
        <w:rPr>
          <w:sz w:val="24"/>
          <w:szCs w:val="24"/>
          <w:color w:val="auto"/>
        </w:rPr>
      </w:pPr>
    </w:p>
    <w:p>
      <w:pPr>
        <w:jc w:val="center"/>
        <w:ind w:right="4014"/>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3934"/>
        <w:spacing w:after="0"/>
        <w:rPr>
          <w:sz w:val="20"/>
          <w:szCs w:val="20"/>
          <w:color w:val="auto"/>
        </w:rPr>
      </w:pPr>
      <w:r>
        <w:rPr>
          <w:rFonts w:ascii="Courier New" w:cs="Courier New" w:eastAsia="Courier New" w:hAnsi="Courier New"/>
          <w:sz w:val="15"/>
          <w:szCs w:val="15"/>
          <w:color w:val="auto"/>
        </w:rPr>
        <w:t>ANALOG DEVICES, INC.</w:t>
      </w:r>
    </w:p>
    <w:p>
      <w:pPr>
        <w:spacing w:after="0" w:line="6" w:lineRule="exact"/>
        <w:rPr>
          <w:sz w:val="24"/>
          <w:szCs w:val="24"/>
          <w:color w:val="auto"/>
        </w:rPr>
      </w:pPr>
    </w:p>
    <w:p>
      <w:pPr>
        <w:jc w:val="center"/>
        <w:ind w:right="3934"/>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266"/>
          </w:cols>
          <w:pgMar w:left="234" w:top="235" w:right="399" w:bottom="0" w:gutter="0" w:footer="0" w:header="0"/>
        </w:sectPr>
      </w:pPr>
    </w:p>
    <w:p>
      <w:pPr>
        <w:spacing w:after="0" w:line="200" w:lineRule="exact"/>
        <w:rPr>
          <w:sz w:val="24"/>
          <w:szCs w:val="24"/>
          <w:color w:val="auto"/>
        </w:rPr>
      </w:pPr>
    </w:p>
    <w:p>
      <w:pPr>
        <w:spacing w:after="0" w:line="335" w:lineRule="exact"/>
        <w:rPr>
          <w:sz w:val="24"/>
          <w:szCs w:val="24"/>
          <w:color w:val="auto"/>
        </w:rPr>
      </w:pPr>
    </w:p>
    <w:p>
      <w:pPr>
        <w:ind w:left="1746"/>
        <w:spacing w:after="0"/>
        <w:rPr>
          <w:sz w:val="20"/>
          <w:szCs w:val="20"/>
          <w:color w:val="auto"/>
        </w:rPr>
      </w:pPr>
      <w:r>
        <w:rPr>
          <w:rFonts w:ascii="Courier New" w:cs="Courier New" w:eastAsia="Courier New" w:hAnsi="Courier New"/>
          <w:sz w:val="15"/>
          <w:szCs w:val="15"/>
          <w:color w:val="auto"/>
        </w:rPr>
        <w:t>MASSACHUSETTS</w:t>
      </w:r>
    </w:p>
    <w:p>
      <w:pPr>
        <w:spacing w:after="0" w:line="6" w:lineRule="exact"/>
        <w:rPr>
          <w:sz w:val="24"/>
          <w:szCs w:val="24"/>
          <w:color w:val="auto"/>
        </w:rPr>
      </w:pPr>
    </w:p>
    <w:p>
      <w:pPr>
        <w:ind w:left="86"/>
        <w:spacing w:after="0"/>
        <w:rPr>
          <w:sz w:val="20"/>
          <w:szCs w:val="20"/>
          <w:color w:val="auto"/>
        </w:rPr>
      </w:pPr>
      <w:r>
        <w:rPr>
          <w:rFonts w:ascii="Courier New" w:cs="Courier New" w:eastAsia="Courier New" w:hAnsi="Courier New"/>
          <w:sz w:val="15"/>
          <w:szCs w:val="15"/>
          <w:color w:val="auto"/>
        </w:rPr>
        <w:t>(State or other jurisdiction of incorporation or</w:t>
      </w:r>
    </w:p>
    <w:p>
      <w:pPr>
        <w:spacing w:after="0" w:line="6" w:lineRule="exact"/>
        <w:rPr>
          <w:sz w:val="24"/>
          <w:szCs w:val="24"/>
          <w:color w:val="auto"/>
        </w:rPr>
      </w:pPr>
    </w:p>
    <w:p>
      <w:pPr>
        <w:ind w:left="1826"/>
        <w:spacing w:after="0"/>
        <w:rPr>
          <w:sz w:val="20"/>
          <w:szCs w:val="20"/>
          <w:color w:val="auto"/>
        </w:rPr>
      </w:pPr>
      <w:r>
        <w:rPr>
          <w:rFonts w:ascii="Courier New" w:cs="Courier New" w:eastAsia="Courier New" w:hAnsi="Courier New"/>
          <w:sz w:val="15"/>
          <w:szCs w:val="15"/>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jc w:val="center"/>
        <w:ind w:right="2560"/>
        <w:spacing w:after="0"/>
        <w:rPr>
          <w:sz w:val="20"/>
          <w:szCs w:val="20"/>
          <w:color w:val="auto"/>
        </w:rPr>
      </w:pPr>
      <w:r>
        <w:rPr>
          <w:rFonts w:ascii="Courier New" w:cs="Courier New" w:eastAsia="Courier New" w:hAnsi="Courier New"/>
          <w:sz w:val="15"/>
          <w:szCs w:val="15"/>
          <w:color w:val="auto"/>
        </w:rPr>
        <w:t>04-2348234</w:t>
      </w:r>
    </w:p>
    <w:p>
      <w:pPr>
        <w:spacing w:after="0" w:line="6" w:lineRule="exact"/>
        <w:rPr>
          <w:sz w:val="24"/>
          <w:szCs w:val="24"/>
          <w:color w:val="auto"/>
        </w:rPr>
      </w:pPr>
    </w:p>
    <w:p>
      <w:pPr>
        <w:jc w:val="center"/>
        <w:ind w:right="2560"/>
        <w:spacing w:after="0"/>
        <w:rPr>
          <w:sz w:val="20"/>
          <w:szCs w:val="20"/>
          <w:color w:val="auto"/>
        </w:rPr>
      </w:pPr>
      <w:r>
        <w:rPr>
          <w:rFonts w:ascii="Courier New" w:cs="Courier New" w:eastAsia="Courier New" w:hAnsi="Courier New"/>
          <w:sz w:val="15"/>
          <w:szCs w:val="15"/>
          <w:color w:val="auto"/>
        </w:rPr>
        <w:t>(I.R.S. Employer Identification No.)</w:t>
      </w:r>
    </w:p>
    <w:p>
      <w:pPr>
        <w:spacing w:after="0" w:line="376" w:lineRule="exact"/>
        <w:rPr>
          <w:sz w:val="24"/>
          <w:szCs w:val="24"/>
          <w:color w:val="auto"/>
        </w:rPr>
      </w:pPr>
    </w:p>
    <w:p>
      <w:pPr>
        <w:sectPr>
          <w:pgSz w:w="11900" w:h="16838" w:orient="portrait"/>
          <w:cols w:equalWidth="0" w:num="2">
            <w:col w:w="4686" w:space="720"/>
            <w:col w:w="5860"/>
          </w:cols>
          <w:pgMar w:left="234" w:top="235" w:right="399" w:bottom="0" w:gutter="0" w:footer="0" w:header="0"/>
          <w:type w:val="continuous"/>
        </w:sectPr>
      </w:pPr>
    </w:p>
    <w:p>
      <w:pPr>
        <w:spacing w:after="0" w:line="159" w:lineRule="exact"/>
        <w:rPr>
          <w:sz w:val="24"/>
          <w:szCs w:val="24"/>
          <w:color w:val="auto"/>
        </w:rPr>
      </w:pPr>
    </w:p>
    <w:p>
      <w:pPr>
        <w:ind w:left="2846"/>
        <w:spacing w:after="0"/>
        <w:rPr>
          <w:sz w:val="20"/>
          <w:szCs w:val="20"/>
          <w:color w:val="auto"/>
        </w:rPr>
      </w:pPr>
      <w:r>
        <w:rPr>
          <w:rFonts w:ascii="Courier New" w:cs="Courier New" w:eastAsia="Courier New" w:hAnsi="Courier New"/>
          <w:sz w:val="15"/>
          <w:szCs w:val="15"/>
          <w:color w:val="auto"/>
        </w:rPr>
        <w:t>ONE TECHNOLOGY WAY</w:t>
      </w:r>
    </w:p>
    <w:p>
      <w:pPr>
        <w:spacing w:after="0" w:line="6" w:lineRule="exact"/>
        <w:rPr>
          <w:sz w:val="24"/>
          <w:szCs w:val="24"/>
          <w:color w:val="auto"/>
        </w:rPr>
      </w:pPr>
    </w:p>
    <w:p>
      <w:pPr>
        <w:jc w:val="center"/>
        <w:ind w:right="4014"/>
        <w:spacing w:after="0"/>
        <w:rPr>
          <w:sz w:val="20"/>
          <w:szCs w:val="20"/>
          <w:color w:val="auto"/>
        </w:rPr>
      </w:pPr>
      <w:r>
        <w:rPr>
          <w:rFonts w:ascii="Courier New" w:cs="Courier New" w:eastAsia="Courier New" w:hAnsi="Courier New"/>
          <w:sz w:val="15"/>
          <w:szCs w:val="15"/>
          <w:color w:val="auto"/>
        </w:rPr>
        <w:t>NORWOOD, MASSACHUSETTS 02062-9106</w:t>
      </w:r>
    </w:p>
    <w:p>
      <w:pPr>
        <w:spacing w:after="0" w:line="6" w:lineRule="exact"/>
        <w:rPr>
          <w:sz w:val="24"/>
          <w:szCs w:val="24"/>
          <w:color w:val="auto"/>
        </w:rPr>
      </w:pPr>
    </w:p>
    <w:p>
      <w:pPr>
        <w:jc w:val="center"/>
        <w:ind w:right="3934"/>
        <w:spacing w:after="0"/>
        <w:rPr>
          <w:sz w:val="20"/>
          <w:szCs w:val="20"/>
          <w:color w:val="auto"/>
        </w:rPr>
      </w:pPr>
      <w:r>
        <w:rPr>
          <w:rFonts w:ascii="Courier New" w:cs="Courier New" w:eastAsia="Courier New" w:hAnsi="Courier New"/>
          <w:sz w:val="15"/>
          <w:szCs w:val="15"/>
          <w:color w:val="auto"/>
        </w:rPr>
        <w:t>(781) 329-4700</w:t>
      </w:r>
    </w:p>
    <w:p>
      <w:pPr>
        <w:spacing w:after="0" w:line="6" w:lineRule="exact"/>
        <w:rPr>
          <w:sz w:val="24"/>
          <w:szCs w:val="24"/>
          <w:color w:val="auto"/>
        </w:rPr>
      </w:pPr>
    </w:p>
    <w:p>
      <w:pPr>
        <w:jc w:val="center"/>
        <w:ind w:right="4014"/>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6" w:lineRule="exact"/>
        <w:rPr>
          <w:sz w:val="24"/>
          <w:szCs w:val="24"/>
          <w:color w:val="auto"/>
        </w:rPr>
      </w:pPr>
    </w:p>
    <w:p>
      <w:pPr>
        <w:jc w:val="center"/>
        <w:ind w:right="4014"/>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3934"/>
        <w:spacing w:after="0"/>
        <w:rPr>
          <w:sz w:val="20"/>
          <w:szCs w:val="20"/>
          <w:color w:val="auto"/>
        </w:rPr>
      </w:pPr>
      <w:r>
        <w:rPr>
          <w:rFonts w:ascii="Courier New" w:cs="Courier New" w:eastAsia="Courier New" w:hAnsi="Courier New"/>
          <w:sz w:val="15"/>
          <w:szCs w:val="15"/>
          <w:color w:val="auto"/>
        </w:rPr>
        <w:t>PAUL P. BROUNTAS, ESQ.</w:t>
      </w:r>
    </w:p>
    <w:p>
      <w:pPr>
        <w:spacing w:after="0" w:line="6" w:lineRule="exact"/>
        <w:rPr>
          <w:sz w:val="24"/>
          <w:szCs w:val="24"/>
          <w:color w:val="auto"/>
        </w:rPr>
      </w:pPr>
    </w:p>
    <w:p>
      <w:pPr>
        <w:jc w:val="center"/>
        <w:ind w:right="4014"/>
        <w:spacing w:after="0"/>
        <w:rPr>
          <w:sz w:val="20"/>
          <w:szCs w:val="20"/>
          <w:color w:val="auto"/>
        </w:rPr>
      </w:pPr>
      <w:r>
        <w:rPr>
          <w:rFonts w:ascii="Courier New" w:cs="Courier New" w:eastAsia="Courier New" w:hAnsi="Courier New"/>
          <w:sz w:val="15"/>
          <w:szCs w:val="15"/>
          <w:color w:val="auto"/>
        </w:rPr>
        <w:t>HALE AND DORR LLP</w:t>
      </w:r>
    </w:p>
    <w:p>
      <w:pPr>
        <w:spacing w:after="0" w:line="6" w:lineRule="exact"/>
        <w:rPr>
          <w:sz w:val="24"/>
          <w:szCs w:val="24"/>
          <w:color w:val="auto"/>
        </w:rPr>
      </w:pPr>
    </w:p>
    <w:p>
      <w:pPr>
        <w:jc w:val="center"/>
        <w:ind w:right="4014"/>
        <w:spacing w:after="0"/>
        <w:rPr>
          <w:sz w:val="20"/>
          <w:szCs w:val="20"/>
          <w:color w:val="auto"/>
        </w:rPr>
      </w:pPr>
      <w:r>
        <w:rPr>
          <w:rFonts w:ascii="Courier New" w:cs="Courier New" w:eastAsia="Courier New" w:hAnsi="Courier New"/>
          <w:sz w:val="15"/>
          <w:szCs w:val="15"/>
          <w:color w:val="auto"/>
        </w:rPr>
        <w:t>60 STATE STREET</w:t>
      </w:r>
    </w:p>
    <w:p>
      <w:pPr>
        <w:spacing w:after="0" w:line="6" w:lineRule="exact"/>
        <w:rPr>
          <w:sz w:val="24"/>
          <w:szCs w:val="24"/>
          <w:color w:val="auto"/>
        </w:rPr>
      </w:pPr>
    </w:p>
    <w:p>
      <w:pPr>
        <w:jc w:val="center"/>
        <w:ind w:right="4014"/>
        <w:spacing w:after="0"/>
        <w:rPr>
          <w:sz w:val="20"/>
          <w:szCs w:val="20"/>
          <w:color w:val="auto"/>
        </w:rPr>
      </w:pPr>
      <w:r>
        <w:rPr>
          <w:rFonts w:ascii="Courier New" w:cs="Courier New" w:eastAsia="Courier New" w:hAnsi="Courier New"/>
          <w:sz w:val="15"/>
          <w:szCs w:val="15"/>
          <w:color w:val="auto"/>
        </w:rPr>
        <w:t>BOSTON, MASSACHUSETTS 02109</w:t>
      </w:r>
    </w:p>
    <w:p>
      <w:pPr>
        <w:spacing w:after="0" w:line="6" w:lineRule="exact"/>
        <w:rPr>
          <w:sz w:val="24"/>
          <w:szCs w:val="24"/>
          <w:color w:val="auto"/>
        </w:rPr>
      </w:pPr>
    </w:p>
    <w:p>
      <w:pPr>
        <w:jc w:val="center"/>
        <w:ind w:right="4014"/>
        <w:spacing w:after="0"/>
        <w:rPr>
          <w:sz w:val="20"/>
          <w:szCs w:val="20"/>
          <w:color w:val="auto"/>
        </w:rPr>
      </w:pPr>
      <w:r>
        <w:rPr>
          <w:rFonts w:ascii="Courier New" w:cs="Courier New" w:eastAsia="Courier New" w:hAnsi="Courier New"/>
          <w:sz w:val="15"/>
          <w:szCs w:val="15"/>
          <w:color w:val="auto"/>
        </w:rPr>
        <w:t>TEL: (617) 526-6000</w:t>
      </w:r>
    </w:p>
    <w:p>
      <w:pPr>
        <w:spacing w:after="0" w:line="6" w:lineRule="exact"/>
        <w:rPr>
          <w:sz w:val="24"/>
          <w:szCs w:val="24"/>
          <w:color w:val="auto"/>
        </w:rPr>
      </w:pPr>
    </w:p>
    <w:p>
      <w:pPr>
        <w:jc w:val="center"/>
        <w:ind w:right="4014"/>
        <w:spacing w:after="0"/>
        <w:rPr>
          <w:sz w:val="20"/>
          <w:szCs w:val="20"/>
          <w:color w:val="auto"/>
        </w:rPr>
      </w:pPr>
      <w:r>
        <w:rPr>
          <w:rFonts w:ascii="Courier New" w:cs="Courier New" w:eastAsia="Courier New" w:hAnsi="Courier New"/>
          <w:sz w:val="15"/>
          <w:szCs w:val="15"/>
          <w:color w:val="auto"/>
        </w:rPr>
        <w:t>FAX: (617) 526-5000</w:t>
      </w:r>
    </w:p>
    <w:p>
      <w:pPr>
        <w:spacing w:after="0" w:line="6" w:lineRule="exact"/>
        <w:rPr>
          <w:sz w:val="24"/>
          <w:szCs w:val="24"/>
          <w:color w:val="auto"/>
        </w:rPr>
      </w:pPr>
    </w:p>
    <w:p>
      <w:pPr>
        <w:jc w:val="center"/>
        <w:ind w:right="3934"/>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6" w:lineRule="exact"/>
        <w:rPr>
          <w:sz w:val="24"/>
          <w:szCs w:val="24"/>
          <w:color w:val="auto"/>
        </w:rPr>
      </w:pPr>
    </w:p>
    <w:p>
      <w:pPr>
        <w:jc w:val="center"/>
        <w:ind w:right="4014"/>
        <w:spacing w:after="0"/>
        <w:rPr>
          <w:sz w:val="20"/>
          <w:szCs w:val="20"/>
          <w:color w:val="auto"/>
        </w:rPr>
      </w:pPr>
      <w:r>
        <w:rPr>
          <w:rFonts w:ascii="Courier New" w:cs="Courier New" w:eastAsia="Courier New" w:hAnsi="Courier New"/>
          <w:sz w:val="15"/>
          <w:szCs w:val="15"/>
          <w:color w:val="auto"/>
        </w:rPr>
        <w:t>of agent for service)</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6" w:right="4120" w:firstLine="458"/>
        <w:spacing w:after="0" w:line="250" w:lineRule="auto"/>
        <w:rPr>
          <w:sz w:val="20"/>
          <w:szCs w:val="20"/>
          <w:color w:val="auto"/>
        </w:rPr>
      </w:pPr>
      <w:r>
        <w:rPr>
          <w:rFonts w:ascii="Courier New" w:cs="Courier New" w:eastAsia="Courier New" w:hAnsi="Courier New"/>
          <w:sz w:val="15"/>
          <w:szCs w:val="15"/>
          <w:color w:val="auto"/>
        </w:rPr>
        <w:t>Approximate date of commencement of proposed sale to public: From time to time after this Registration Statement becomes effective.</w:t>
      </w:r>
    </w:p>
    <w:p>
      <w:pPr>
        <w:spacing w:after="0" w:line="175" w:lineRule="exact"/>
        <w:rPr>
          <w:sz w:val="24"/>
          <w:szCs w:val="24"/>
          <w:color w:val="auto"/>
        </w:rPr>
      </w:pPr>
    </w:p>
    <w:p>
      <w:pPr>
        <w:ind w:left="6" w:right="4020" w:firstLine="458"/>
        <w:spacing w:after="0" w:line="249"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6" w:lineRule="exact"/>
        <w:rPr>
          <w:sz w:val="24"/>
          <w:szCs w:val="24"/>
          <w:color w:val="auto"/>
        </w:rPr>
      </w:pPr>
    </w:p>
    <w:p>
      <w:pPr>
        <w:ind w:left="6" w:right="3940" w:firstLine="458"/>
        <w:spacing w:after="0" w:line="249"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6" w:lineRule="exact"/>
        <w:rPr>
          <w:sz w:val="24"/>
          <w:szCs w:val="24"/>
          <w:color w:val="auto"/>
        </w:rPr>
      </w:pPr>
    </w:p>
    <w:p>
      <w:pPr>
        <w:ind w:left="6" w:right="3940" w:firstLine="458"/>
        <w:spacing w:after="0" w:line="248"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w:t>
      </w:r>
    </w:p>
    <w:p>
      <w:pPr>
        <w:sectPr>
          <w:pgSz w:w="11900" w:h="16838" w:orient="portrait"/>
          <w:cols w:equalWidth="0" w:num="1">
            <w:col w:w="11266"/>
          </w:cols>
          <w:pgMar w:left="234" w:top="235" w:right="399" w:bottom="0" w:gutter="0" w:footer="0" w:header="0"/>
          <w:type w:val="continuous"/>
        </w:sectPr>
      </w:pPr>
    </w:p>
    <w:p>
      <w:pPr>
        <w:spacing w:after="0" w:line="1" w:lineRule="exact"/>
        <w:rPr>
          <w:sz w:val="24"/>
          <w:szCs w:val="24"/>
          <w:color w:val="auto"/>
        </w:rPr>
      </w:pPr>
    </w:p>
    <w:p>
      <w:pPr>
        <w:ind w:left="6"/>
        <w:spacing w:after="0" w:line="250" w:lineRule="auto"/>
        <w:rPr>
          <w:sz w:val="20"/>
          <w:szCs w:val="20"/>
          <w:color w:val="auto"/>
        </w:rPr>
      </w:pPr>
      <w:r>
        <w:rPr>
          <w:rFonts w:ascii="Courier New" w:cs="Courier New" w:eastAsia="Courier New" w:hAnsi="Courier New"/>
          <w:sz w:val="15"/>
          <w:szCs w:val="15"/>
          <w:color w:val="auto"/>
        </w:rPr>
        <w:t>and list the Securities Act registration statement number of the earlier effective registration statement for the same offering. [ ] 333-</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5" w:lineRule="exact"/>
        <w:rPr>
          <w:sz w:val="24"/>
          <w:szCs w:val="24"/>
          <w:color w:val="auto"/>
        </w:rPr>
      </w:pPr>
    </w:p>
    <w:p>
      <w:pPr>
        <w:sectPr>
          <w:pgSz w:w="11900" w:h="16838" w:orient="portrait"/>
          <w:cols w:equalWidth="0" w:num="2">
            <w:col w:w="6606" w:space="0"/>
            <w:col w:w="4660"/>
          </w:cols>
          <w:pgMar w:left="234" w:top="235" w:right="399" w:bottom="0" w:gutter="0" w:footer="0" w:header="0"/>
          <w:type w:val="continuous"/>
        </w:sectPr>
      </w:pPr>
    </w:p>
    <w:p>
      <w:pPr>
        <w:jc w:val="both"/>
        <w:ind w:left="6" w:right="4220" w:firstLine="458"/>
        <w:spacing w:after="0" w:line="248"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w:t>
      </w:r>
    </w:p>
    <w:p>
      <w:pPr>
        <w:spacing w:after="0" w:line="2" w:lineRule="exact"/>
        <w:rPr>
          <w:sz w:val="24"/>
          <w:szCs w:val="24"/>
          <w:color w:val="auto"/>
        </w:rPr>
      </w:pPr>
    </w:p>
    <w:p>
      <w:pPr>
        <w:ind w:left="6"/>
        <w:spacing w:after="0"/>
        <w:tabs>
          <w:tab w:leader="none" w:pos="3546" w:val="left"/>
        </w:tabs>
        <w:rPr>
          <w:sz w:val="20"/>
          <w:szCs w:val="20"/>
          <w:color w:val="auto"/>
        </w:rPr>
      </w:pPr>
      <w:r>
        <w:rPr>
          <w:rFonts w:ascii="Courier New" w:cs="Courier New" w:eastAsia="Courier New" w:hAnsi="Courier New"/>
          <w:sz w:val="15"/>
          <w:szCs w:val="15"/>
          <w:color w:val="auto"/>
        </w:rPr>
        <w:t>for the same offering. [ ] 333-</w:t>
      </w:r>
      <w:r>
        <w:rPr>
          <w:sz w:val="20"/>
          <w:szCs w:val="20"/>
          <w:color w:val="auto"/>
        </w:rPr>
        <w:tab/>
      </w:r>
      <w:r>
        <w:rPr>
          <w:rFonts w:ascii="Courier New" w:cs="Courier New" w:eastAsia="Courier New" w:hAnsi="Courier New"/>
          <w:sz w:val="15"/>
          <w:szCs w:val="15"/>
          <w:color w:val="auto"/>
        </w:rPr>
        <w:t>.</w:t>
      </w:r>
    </w:p>
    <w:p>
      <w:pPr>
        <w:spacing w:after="0" w:line="182" w:lineRule="exact"/>
        <w:rPr>
          <w:sz w:val="24"/>
          <w:szCs w:val="24"/>
          <w:color w:val="auto"/>
        </w:rPr>
      </w:pPr>
    </w:p>
    <w:p>
      <w:pPr>
        <w:ind w:left="6" w:right="4020" w:firstLine="458"/>
        <w:spacing w:after="0" w:line="248"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2206"/>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35" w:lineRule="exact"/>
        <w:rPr>
          <w:sz w:val="24"/>
          <w:szCs w:val="24"/>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4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PROPOSEDPROPOSED</w:t>
      </w:r>
    </w:p>
    <w:p>
      <w:pPr>
        <w:spacing w:after="0" w:line="6" w:lineRule="exact"/>
        <w:rPr>
          <w:sz w:val="24"/>
          <w:szCs w:val="24"/>
          <w:color w:val="auto"/>
        </w:rPr>
      </w:pPr>
    </w:p>
    <w:tbl>
      <w:tblPr>
        <w:tblLayout w:type="fixed"/>
        <w:tblInd w:w="546"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800" w:type="dxa"/>
            <w:vAlign w:val="bottom"/>
          </w:tcPr>
          <w:p>
            <w:pPr>
              <w:ind w:left="740"/>
              <w:spacing w:after="0"/>
              <w:rPr>
                <w:sz w:val="20"/>
                <w:szCs w:val="20"/>
                <w:color w:val="auto"/>
              </w:rPr>
            </w:pPr>
            <w:r>
              <w:rPr>
                <w:rFonts w:ascii="Courier New" w:cs="Courier New" w:eastAsia="Courier New" w:hAnsi="Courier New"/>
                <w:sz w:val="15"/>
                <w:szCs w:val="15"/>
                <w:color w:val="auto"/>
              </w:rPr>
              <w:t>AMOUNT</w:t>
            </w:r>
          </w:p>
        </w:tc>
        <w:tc>
          <w:tcPr>
            <w:tcW w:w="1740" w:type="dxa"/>
            <w:vAlign w:val="bottom"/>
          </w:tcPr>
          <w:p>
            <w:pPr>
              <w:ind w:left="580"/>
              <w:spacing w:after="0"/>
              <w:rPr>
                <w:sz w:val="20"/>
                <w:szCs w:val="20"/>
                <w:color w:val="auto"/>
              </w:rPr>
            </w:pPr>
            <w:r>
              <w:rPr>
                <w:rFonts w:ascii="Courier New" w:cs="Courier New" w:eastAsia="Courier New" w:hAnsi="Courier New"/>
                <w:sz w:val="15"/>
                <w:szCs w:val="15"/>
                <w:color w:val="auto"/>
              </w:rPr>
              <w:t>MAXIMUM</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rPr>
              <w:t>MAXIMUM</w:t>
            </w:r>
          </w:p>
        </w:tc>
        <w:tc>
          <w:tcPr>
            <w:tcW w:w="1600" w:type="dxa"/>
            <w:vAlign w:val="bottom"/>
          </w:tcPr>
          <w:p>
            <w:pPr>
              <w:spacing w:after="0"/>
              <w:rPr>
                <w:sz w:val="14"/>
                <w:szCs w:val="14"/>
                <w:color w:val="auto"/>
              </w:rPr>
            </w:pPr>
          </w:p>
        </w:tc>
      </w:tr>
      <w:tr>
        <w:trPr>
          <w:trHeight w:val="176"/>
        </w:trPr>
        <w:tc>
          <w:tcPr>
            <w:tcW w:w="3480" w:type="dxa"/>
            <w:vAlign w:val="bottom"/>
          </w:tcPr>
          <w:p>
            <w:pPr>
              <w:spacing w:after="0"/>
              <w:rPr>
                <w:sz w:val="15"/>
                <w:szCs w:val="15"/>
                <w:color w:val="auto"/>
              </w:rPr>
            </w:pPr>
          </w:p>
        </w:tc>
        <w:tc>
          <w:tcPr>
            <w:tcW w:w="1800" w:type="dxa"/>
            <w:vAlign w:val="bottom"/>
          </w:tcPr>
          <w:p>
            <w:pPr>
              <w:ind w:left="740"/>
              <w:spacing w:after="0"/>
              <w:rPr>
                <w:sz w:val="20"/>
                <w:szCs w:val="20"/>
                <w:color w:val="auto"/>
              </w:rPr>
            </w:pPr>
            <w:r>
              <w:rPr>
                <w:rFonts w:ascii="Courier New" w:cs="Courier New" w:eastAsia="Courier New" w:hAnsi="Courier New"/>
                <w:sz w:val="15"/>
                <w:szCs w:val="15"/>
                <w:color w:val="auto"/>
              </w:rPr>
              <w:t>TO BE</w:t>
            </w:r>
          </w:p>
        </w:tc>
        <w:tc>
          <w:tcPr>
            <w:tcW w:w="174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OFFERING PRICE</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rPr>
              <w:t>AGGREGATE</w:t>
            </w:r>
          </w:p>
        </w:tc>
        <w:tc>
          <w:tcPr>
            <w:tcW w:w="1600" w:type="dxa"/>
            <w:vAlign w:val="bottom"/>
          </w:tcPr>
          <w:p>
            <w:pPr>
              <w:ind w:left="420"/>
              <w:spacing w:after="0"/>
              <w:rPr>
                <w:sz w:val="20"/>
                <w:szCs w:val="20"/>
                <w:color w:val="auto"/>
              </w:rPr>
            </w:pPr>
            <w:r>
              <w:rPr>
                <w:rFonts w:ascii="Courier New" w:cs="Courier New" w:eastAsia="Courier New" w:hAnsi="Courier New"/>
                <w:sz w:val="15"/>
                <w:szCs w:val="15"/>
                <w:color w:val="auto"/>
              </w:rPr>
              <w:t>AMOUNT OF</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TITLE OF SHARES TO BE REGISTERED</w:t>
            </w:r>
          </w:p>
        </w:tc>
        <w:tc>
          <w:tcPr>
            <w:tcW w:w="1800" w:type="dxa"/>
            <w:vAlign w:val="bottom"/>
          </w:tcPr>
          <w:p>
            <w:pPr>
              <w:ind w:left="560"/>
              <w:spacing w:after="0"/>
              <w:rPr>
                <w:sz w:val="20"/>
                <w:szCs w:val="20"/>
                <w:color w:val="auto"/>
              </w:rPr>
            </w:pPr>
            <w:r>
              <w:rPr>
                <w:rFonts w:ascii="Courier New" w:cs="Courier New" w:eastAsia="Courier New" w:hAnsi="Courier New"/>
                <w:sz w:val="15"/>
                <w:szCs w:val="15"/>
                <w:color w:val="auto"/>
              </w:rPr>
              <w:t>REGISTERED</w:t>
            </w:r>
          </w:p>
        </w:tc>
        <w:tc>
          <w:tcPr>
            <w:tcW w:w="1740" w:type="dxa"/>
            <w:vAlign w:val="bottom"/>
          </w:tcPr>
          <w:p>
            <w:pPr>
              <w:jc w:val="center"/>
              <w:ind w:left="84"/>
              <w:spacing w:after="0"/>
              <w:rPr>
                <w:sz w:val="20"/>
                <w:szCs w:val="20"/>
                <w:color w:val="auto"/>
              </w:rPr>
            </w:pPr>
            <w:r>
              <w:rPr>
                <w:rFonts w:ascii="Courier New" w:cs="Courier New" w:eastAsia="Courier New" w:hAnsi="Courier New"/>
                <w:sz w:val="15"/>
                <w:szCs w:val="15"/>
                <w:color w:val="auto"/>
              </w:rPr>
              <w:t>PER SHARE(1)</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rPr>
              <w:t>OFFERING PRICE(1)</w:t>
            </w:r>
          </w:p>
        </w:tc>
        <w:tc>
          <w:tcPr>
            <w:tcW w:w="1600" w:type="dxa"/>
            <w:vAlign w:val="bottom"/>
          </w:tcPr>
          <w:p>
            <w:pPr>
              <w:ind w:left="140"/>
              <w:spacing w:after="0"/>
              <w:rPr>
                <w:sz w:val="20"/>
                <w:szCs w:val="20"/>
                <w:color w:val="auto"/>
              </w:rPr>
            </w:pPr>
            <w:r>
              <w:rPr>
                <w:rFonts w:ascii="Courier New" w:cs="Courier New" w:eastAsia="Courier New" w:hAnsi="Courier New"/>
                <w:sz w:val="15"/>
                <w:szCs w:val="15"/>
                <w:color w:val="auto"/>
                <w:w w:val="99"/>
              </w:rPr>
              <w:t>REGISTRATION FEE</w:t>
            </w:r>
          </w:p>
        </w:tc>
      </w:tr>
    </w:tbl>
    <w:p>
      <w:pPr>
        <w:spacing w:after="0" w:line="5"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4"/>
          <w:szCs w:val="24"/>
          <w:color w:val="auto"/>
        </w:rPr>
      </w:pPr>
    </w:p>
    <w:tbl>
      <w:tblPr>
        <w:tblLayout w:type="fixed"/>
        <w:tblInd w:w="6" w:type="dxa"/>
        <w:tblCellMar>
          <w:top w:w="0" w:type="dxa"/>
          <w:left w:w="0" w:type="dxa"/>
          <w:bottom w:w="0" w:type="dxa"/>
          <w:right w:w="0" w:type="dxa"/>
        </w:tblCellMar>
      </w:tblP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Common Stock, $0.16 2/3 par value per</w:t>
            </w:r>
          </w:p>
        </w:tc>
        <w:tc>
          <w:tcPr>
            <w:tcW w:w="1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1,359,329</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$54.50</w:t>
            </w:r>
          </w:p>
        </w:tc>
        <w:tc>
          <w:tcPr>
            <w:tcW w:w="19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$74,083,431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$19,559</w:t>
            </w:r>
          </w:p>
        </w:tc>
      </w:tr>
    </w:tbl>
    <w:p>
      <w:pPr>
        <w:spacing w:after="0" w:line="5" w:lineRule="exact"/>
        <w:rPr>
          <w:sz w:val="24"/>
          <w:szCs w:val="24"/>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9" w:lineRule="exact"/>
        <w:rPr>
          <w:sz w:val="24"/>
          <w:szCs w:val="24"/>
          <w:color w:val="auto"/>
        </w:rPr>
      </w:pPr>
    </w:p>
    <w:p>
      <w:pPr>
        <w:ind w:left="366" w:right="4120" w:hanging="366"/>
        <w:spacing w:after="0" w:line="248" w:lineRule="auto"/>
        <w:tabs>
          <w:tab w:leader="none" w:pos="3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purposes of calculating the registration fee pursuant to Rule 457(c) under the Securities Act and based upon the average of the high and low prices on the New York Stock Exchange on December 7, 2000.</w:t>
      </w:r>
    </w:p>
    <w:p>
      <w:pPr>
        <w:spacing w:after="0" w:line="2"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THE COMPANY HEREBY AMENDS THIS REGISTRATION STATEMENT ON SUCH DATE OR DATES</w:t>
      </w:r>
    </w:p>
    <w:p>
      <w:pPr>
        <w:sectPr>
          <w:pgSz w:w="11900" w:h="16838" w:orient="portrait"/>
          <w:cols w:equalWidth="0" w:num="1">
            <w:col w:w="11266"/>
          </w:cols>
          <w:pgMar w:left="234" w:top="235" w:right="399" w:bottom="0" w:gutter="0" w:footer="0" w:header="0"/>
          <w:type w:val="continuous"/>
        </w:sectPr>
      </w:pPr>
    </w:p>
    <w:bookmarkStart w:id="1" w:name="page2"/>
    <w:bookmarkEnd w:id="1"/>
    <w:p>
      <w:pPr>
        <w:ind w:left="6" w:right="2979"/>
        <w:spacing w:after="0" w:line="248" w:lineRule="auto"/>
        <w:rPr>
          <w:sz w:val="20"/>
          <w:szCs w:val="20"/>
          <w:color w:val="auto"/>
        </w:rPr>
      </w:pPr>
      <w:r>
        <w:rPr>
          <w:rFonts w:ascii="Courier New" w:cs="Courier New" w:eastAsia="Courier New" w:hAnsi="Courier New"/>
          <w:sz w:val="15"/>
          <w:szCs w:val="15"/>
          <w:color w:val="auto"/>
        </w:rPr>
        <w:t>AS MAY BE NECESSARY TO DELAY ITS EFFECTIVE DATE UNTIL THE COMPANY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SHALL DETERMINE.</w:t>
      </w:r>
    </w:p>
    <w:p>
      <w:pPr>
        <w:spacing w:after="0" w:line="4" w:lineRule="exact"/>
        <w:rPr>
          <w:sz w:val="20"/>
          <w:szCs w:val="20"/>
          <w:color w:val="auto"/>
        </w:rPr>
      </w:pPr>
    </w:p>
    <w:p>
      <w:pPr>
        <w:ind w:left="186" w:hanging="186"/>
        <w:spacing w:after="0"/>
        <w:tabs>
          <w:tab w:leader="none" w:pos="18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4" w:top="142"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ind w:left="920" w:right="2899"/>
        <w:spacing w:after="0" w:line="249"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SUBJECT TO COMPLETION,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DECEMBER 8, 2000</w:t>
      </w:r>
    </w:p>
    <w:p>
      <w:pPr>
        <w:spacing w:after="0" w:line="182" w:lineRule="exact"/>
        <w:rPr>
          <w:sz w:val="20"/>
          <w:szCs w:val="20"/>
          <w:color w:val="auto"/>
        </w:rPr>
      </w:pPr>
    </w:p>
    <w:p>
      <w:pPr>
        <w:sectPr>
          <w:pgSz w:w="11900" w:h="16838" w:orient="portrait"/>
          <w:cols w:equalWidth="0" w:num="2">
            <w:col w:w="4580" w:space="720"/>
            <w:col w:w="4919"/>
          </w:cols>
          <w:pgMar w:left="240" w:top="294" w:right="1440" w:bottom="1440" w:gutter="0" w:footer="0" w:header="0"/>
          <w:type w:val="continuous"/>
        </w:sectPr>
      </w:pPr>
    </w:p>
    <w:p>
      <w:pPr>
        <w:ind w:left="2460"/>
        <w:spacing w:after="0"/>
        <w:rPr>
          <w:sz w:val="20"/>
          <w:szCs w:val="20"/>
          <w:color w:val="auto"/>
        </w:rPr>
      </w:pPr>
      <w:r>
        <w:rPr>
          <w:rFonts w:ascii="Courier New" w:cs="Courier New" w:eastAsia="Courier New" w:hAnsi="Courier New"/>
          <w:sz w:val="15"/>
          <w:szCs w:val="15"/>
          <w:color w:val="auto"/>
        </w:rPr>
        <w:t>ANALOG DEVICES, INC. LOGO</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1,359,329 SHARES OF COMMON STOCK</w:t>
      </w:r>
    </w:p>
    <w:p>
      <w:pPr>
        <w:spacing w:after="0" w:line="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$0.16 2/3 Par Value Per Share</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4" w:right="1440" w:bottom="1440" w:gutter="0" w:footer="0" w:header="0"/>
          <w:type w:val="continuous"/>
        </w:sectPr>
      </w:pP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This prospectus relates to resales of shares of our common stock issued by us to the former stockholders of ChipLogic, Inc. in connection with our acquisition of that company.</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We will not receive any proceeds from the sale of the shares.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selling stockholders identified in this prospectus, or their pledgees, donees, transferees or other successors-in-interest, may offer the shares from time to time through public or private transactions at prevailing market prices, at prices related to prevailing market prices or at privately negotiated prices.</w:t>
      </w:r>
    </w:p>
    <w:p>
      <w:pPr>
        <w:spacing w:after="0" w:line="176"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Our common stock is traded on the New York Stock Exchange under the symbol "ADI."</w:t>
      </w:r>
    </w:p>
    <w:p>
      <w:pPr>
        <w:spacing w:after="0" w:line="17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right="3259" w:firstLine="458"/>
        <w:spacing w:after="0" w:line="250" w:lineRule="auto"/>
        <w:rPr>
          <w:sz w:val="20"/>
          <w:szCs w:val="20"/>
          <w:color w:val="auto"/>
        </w:rPr>
      </w:pPr>
      <w:r>
        <w:rPr>
          <w:rFonts w:ascii="Courier New" w:cs="Courier New" w:eastAsia="Courier New" w:hAnsi="Courier New"/>
          <w:sz w:val="15"/>
          <w:szCs w:val="15"/>
          <w:color w:val="auto"/>
        </w:rPr>
        <w:t>INVESTING IN OUR COMMON STOCK INVOLVES A HIGH DEGREE OF RISK. SEE "RISK FACTORS" BEGINNING ON PAGE 3.</w:t>
      </w:r>
    </w:p>
    <w:p>
      <w:pPr>
        <w:spacing w:after="0" w:line="17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350"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1360"/>
        <w:spacing w:after="0"/>
        <w:tabs>
          <w:tab w:leader="none" w:pos="5200" w:val="left"/>
        </w:tabs>
        <w:rPr>
          <w:sz w:val="20"/>
          <w:szCs w:val="20"/>
          <w:color w:val="auto"/>
        </w:rPr>
      </w:pPr>
      <w:r>
        <w:rPr>
          <w:rFonts w:ascii="Courier New" w:cs="Courier New" w:eastAsia="Courier New" w:hAnsi="Courier New"/>
          <w:sz w:val="15"/>
          <w:szCs w:val="15"/>
          <w:color w:val="auto"/>
        </w:rPr>
        <w:t>The date of this prospectus is December</w:t>
      </w:r>
      <w:r>
        <w:rPr>
          <w:sz w:val="20"/>
          <w:szCs w:val="20"/>
          <w:color w:val="auto"/>
        </w:rPr>
        <w:tab/>
      </w:r>
      <w:r>
        <w:rPr>
          <w:rFonts w:ascii="Courier New" w:cs="Courier New" w:eastAsia="Courier New" w:hAnsi="Courier New"/>
          <w:sz w:val="15"/>
          <w:szCs w:val="15"/>
          <w:color w:val="auto"/>
        </w:rPr>
        <w:t>, 2000.</w:t>
      </w:r>
    </w:p>
    <w:p>
      <w:pPr>
        <w:sectPr>
          <w:pgSz w:w="11900" w:h="16838" w:orient="portrait"/>
          <w:cols w:equalWidth="0" w:num="1">
            <w:col w:w="10219"/>
          </w:cols>
          <w:pgMar w:left="240" w:top="294"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ind w:left="2840"/>
              <w:spacing w:after="0"/>
              <w:rPr>
                <w:sz w:val="20"/>
                <w:szCs w:val="20"/>
                <w:color w:val="auto"/>
              </w:rPr>
            </w:pPr>
            <w:r>
              <w:rPr>
                <w:rFonts w:ascii="Courier New" w:cs="Courier New" w:eastAsia="Courier New" w:hAnsi="Courier New"/>
                <w:sz w:val="15"/>
                <w:szCs w:val="15"/>
                <w:color w:val="auto"/>
              </w:rPr>
              <w:t>TABLE OF CONTENTS</w:t>
            </w:r>
          </w:p>
        </w:tc>
        <w:tc>
          <w:tcPr>
            <w:tcW w:w="460" w:type="dxa"/>
            <w:vAlign w:val="bottom"/>
          </w:tcPr>
          <w:p>
            <w:pPr>
              <w:spacing w:after="0"/>
              <w:rPr>
                <w:sz w:val="14"/>
                <w:szCs w:val="14"/>
                <w:color w:val="auto"/>
              </w:rPr>
            </w:pPr>
          </w:p>
        </w:tc>
      </w:tr>
      <w:tr>
        <w:trPr>
          <w:trHeight w:val="705"/>
        </w:trPr>
        <w:tc>
          <w:tcPr>
            <w:tcW w:w="55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6"/>
        </w:trPr>
        <w:tc>
          <w:tcPr>
            <w:tcW w:w="55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5580" w:type="dxa"/>
            <w:vAlign w:val="bottom"/>
          </w:tcPr>
          <w:p>
            <w:pPr>
              <w:spacing w:after="0"/>
              <w:rPr>
                <w:sz w:val="20"/>
                <w:szCs w:val="20"/>
                <w:color w:val="auto"/>
              </w:rPr>
            </w:pPr>
            <w:r>
              <w:rPr>
                <w:rFonts w:ascii="Courier New" w:cs="Courier New" w:eastAsia="Courier New" w:hAnsi="Courier New"/>
                <w:sz w:val="15"/>
                <w:szCs w:val="15"/>
                <w:color w:val="auto"/>
              </w:rPr>
              <w:t>The Company.................................................</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Cautionary Statement Concerning Forward-Looking</w:t>
            </w:r>
          </w:p>
        </w:tc>
        <w:tc>
          <w:tcPr>
            <w:tcW w:w="46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Information...............................................</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Selling Stockholders........................................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Plan of Distribution........................................</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Legal Matters...............................................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Where You Can Find More Information.........................</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Incorporation of Certain Documents by Reference.............</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r>
    </w:tbl>
    <w:p>
      <w:pPr>
        <w:spacing w:after="0" w:line="357"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We have not authorized anyone to provide you with information different from that contained or incorporated by reference in this prospectus. The selling stockholders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of any sale of common stock.</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4"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COMPANY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Analog Devices, Inc.'s executive offices are located at One Technology Way, Norwood, Massachusetts 02062-9106. Our telephone number is (781) 329-4700 and our Internet address is www.analog.com. The information on our Internet website is not incorporated by reference in this prospectus. Unless the context otherwise requires references in this prospectus to "Analog Devices," "we," "us," and "our" refer to Analog Devices, Inc. and its subsidiaries.</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RISK FACTORS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Investing in our common stock involves a high degree of risk. You should carefully consider the risks and uncertainties described below before purchasing our common stock. The risks and uncertainties described below are not the only ones facing our company. Additional risks and uncertainties may also impair our business operations. If any of the following risks actually occur, our business, financial condition or results of operations would likely suffer. In that case, the trading price of our common stock could fall, and you may lose all or part of the money you paid to buy our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EXPERIENCE MATERIAL FLUCTUATIONS IN FUTURE OPERATING RESULTS.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future operating results are difficult to predict and may be affected by a number of factors including the timing of new product announcements or introductions by us and our competitors, competitive pricing pressures, fluctuations in manufacturing yields, adequate availability of wafers and manufacturing capacity, our ability to continue hiring engineers and other qualified employees needed to meet the expected demands of our largest customers and changes in product mix and economic conditions in the United States and international markets. In addition, the semiconductor market has historically been cyclical and subject to significant economic downturns at various times.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351"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OUR FUTURE SUCCESS DEPENDS UPON OUR ABILITY TO DEVELOP AND MARKET NEW PRODUCTS AND ENTER NEW MARKETS.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success depends in part on our continued ability to develop and market new products. There can be no assurance that we will be able to develop and introduce new products in a timely manner or that new products, if developed, will achieve market acceptance.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Also, some of our customers in these markets are less well established, which could subject us to increased credit risk.</w:t>
      </w:r>
    </w:p>
    <w:p>
      <w:pPr>
        <w:spacing w:after="0" w:line="175"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WE MAY NOT BE ABLE TO COMPETE SUCCESSFULLY IN THE SEMICONDUCTOR INDUSTRY IN THE FUTURE.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semiconductor industry is intensely competitive. Some of our competitors have greater technical, marketing, manufacturing and financial resources than we do. Our competitors also include emerging companies attempting to sell products to specialized markets such as those that we serve. Our competitors have, in some cases, developed and marketed products having similar design and functionality as our products. There can be no assurance that we will be able to compete successfully in the future against existing or new competitors or that our operating results will not be adversely affected by increased price competition.</w:t>
      </w:r>
    </w:p>
    <w:p>
      <w:pPr>
        <w:spacing w:after="0" w:line="352"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WE MAY NOT BE ABLE TO SATISFY INCREASING DEMAND FOR OUR PRODUCTS, AND INCREASED PRODUCTION MAY LEAD TO OVERCAPACITY AND LOWER PRICES.</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4"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cyclical nature of the semiconductor industry has resulted in sustained or short-term periods when demand for our products has increased or decreased rapidly. We and the semiconductor industry have experienced a period of rapid increases in demand during fiscal 2000 and during the current fiscal year. We have increased our manufacturing capacity over the past three years through both expansion of our production facilities and increased access to third-party foundries. However, we cannot be sure that we will not encounter unanticipated production problems at either our own facilities or at third-party foundries, or that the increased capacity will be sufficient to satisfy demand for our products. We believe that other semiconductor manufacturers have expanded their production capacity over the past several years. This expansion by us and our competitors could lead to overcapacity in our target markets, which could lead to price erosion that would adversely affect our operating results.</w:t>
      </w:r>
    </w:p>
    <w:p>
      <w:pPr>
        <w:spacing w:after="0" w:line="184" w:lineRule="exact"/>
        <w:rPr>
          <w:sz w:val="20"/>
          <w:szCs w:val="20"/>
          <w:color w:val="auto"/>
        </w:rPr>
      </w:pPr>
    </w:p>
    <w:p>
      <w:pPr>
        <w:ind w:right="3359"/>
        <w:spacing w:after="0" w:line="249" w:lineRule="auto"/>
        <w:rPr>
          <w:sz w:val="20"/>
          <w:szCs w:val="20"/>
          <w:color w:val="auto"/>
        </w:rPr>
      </w:pPr>
      <w:r>
        <w:rPr>
          <w:rFonts w:ascii="Courier New" w:cs="Courier New" w:eastAsia="Courier New" w:hAnsi="Courier New"/>
          <w:sz w:val="15"/>
          <w:szCs w:val="15"/>
          <w:color w:val="auto"/>
        </w:rPr>
        <w:t>WE RELY ON THIRD-PARTY SUBCONTRACTORS AND MANUFACTURERS FOR SOME INDUSTRY-STANDARD WAFERS AND THEREFORE CANNOT CONTROL THEIR AVAILABILITY OR CONDITIONS OF SUPPLY.</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We rely, and plan to continue to rely, on assembly and test subcontractors and on third-party wafer fabricators to supply most of our wafers that can be manufactured using industry-standard digital processes. This reliance involves several risks, including reduced control over delivery schedules, manufacturing yields and costs. Also, noncompliance with "take or pay" covenants in supply agreements could adversely impact our operating results.</w:t>
      </w:r>
    </w:p>
    <w:p>
      <w:pPr>
        <w:spacing w:after="0" w:line="176" w:lineRule="exact"/>
        <w:rPr>
          <w:sz w:val="20"/>
          <w:szCs w:val="20"/>
          <w:color w:val="auto"/>
        </w:rPr>
      </w:pPr>
    </w:p>
    <w:p>
      <w:pPr>
        <w:ind w:right="3619"/>
        <w:spacing w:after="0" w:line="250" w:lineRule="auto"/>
        <w:rPr>
          <w:sz w:val="20"/>
          <w:szCs w:val="20"/>
          <w:color w:val="auto"/>
        </w:rPr>
      </w:pPr>
      <w:r>
        <w:rPr>
          <w:rFonts w:ascii="Courier New" w:cs="Courier New" w:eastAsia="Courier New" w:hAnsi="Courier New"/>
          <w:sz w:val="15"/>
          <w:szCs w:val="15"/>
          <w:color w:val="auto"/>
        </w:rPr>
        <w:t>OUR REVENUES MAY NOT INCREASE ENOUGH TO OFFSET THE EXPENSE OF ADDITIONAL CAPACITY.</w:t>
      </w:r>
    </w:p>
    <w:p>
      <w:pPr>
        <w:spacing w:after="0" w:line="175"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Our capacity additions resulted in a significant increase in operating expenses. If revenue levels do not increase enough to offset these additional expense levels, our future operating results could be adversely affected. In addition, asset values could be impaired if the additional capacity is underutilized for an extended period of time.</w:t>
      </w:r>
    </w:p>
    <w:p>
      <w:pPr>
        <w:spacing w:after="0" w:line="176"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WE RELY ON MANUFACTURING CAPACITY LOCATED IN GEOLOGICALLY UNSTABLE AREAS, WHICH COULD AFFECT THE AVAILABILITY OF SUPPLIES AND SERVICES.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We and many companies in the semiconductor industry rely on internal manufacturing capacity located in California and Taiwan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w:t>
      </w:r>
    </w:p>
    <w:p>
      <w:pPr>
        <w:spacing w:after="0" w:line="175" w:lineRule="exact"/>
        <w:rPr>
          <w:sz w:val="20"/>
          <w:szCs w:val="20"/>
          <w:color w:val="auto"/>
        </w:rPr>
      </w:pPr>
    </w:p>
    <w:p>
      <w:pPr>
        <w:ind w:right="3819"/>
        <w:spacing w:after="0" w:line="250" w:lineRule="auto"/>
        <w:rPr>
          <w:sz w:val="20"/>
          <w:szCs w:val="20"/>
          <w:color w:val="auto"/>
        </w:rPr>
      </w:pPr>
      <w:r>
        <w:rPr>
          <w:rFonts w:ascii="Courier New" w:cs="Courier New" w:eastAsia="Courier New" w:hAnsi="Courier New"/>
          <w:sz w:val="15"/>
          <w:szCs w:val="15"/>
          <w:color w:val="auto"/>
        </w:rPr>
        <w:t>WE ARE EXPOSED TO ECONOMIC AND POLITICAL RISKS THROUGH OUR SIGNIFICANT INTERNATIONAL OPERATIONS.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fiscal 2000, 55% of our revenues were derived from customers in international markets. We have manufacturing facilities outside the U.S. in Ireland, the United Kingdom, the Philippines and Taiwan. In addition to being exposed to the ongoing economic cycles in the semiconductor industry, we are also subject to the economic and political risks inherent in international operations, including the risks associated with the ongoing uncertainties in many developing economies around the world. These risks include air transportation disruptions, expropriation, currency controls and changes in currency exchange rates, tax and tariff rates and freight rates. Although we engage in hedging transactions to reduce our exposure to currency exchange rate fluctuations, there can be no assurance that our competitive position will not be adversely affected by changes in the exchange rate of the U.S. dollar against other currencies.</w:t>
      </w:r>
    </w:p>
    <w:p>
      <w:pPr>
        <w:spacing w:after="0" w:line="351"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WE ARE INVOLVED IN FREQUENT LITIGATION REGARDING INTELLECTUAL PROPERTY RIGHTS, WHICH COULD BE COSTLY TO UNDERTAKE AND COULD REQUIRE US TO REDESIGN PRODUCTS OR PAY SIGNIFICANT ROYALTIES.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semiconductor industry is characterized by frequent claims and litigation involving patent and other intellectual property rights. We have from time to time received, and may in the future receive, claims from third parties asserting that our products or processes infringe their patents or other intellectual property rights. In the event a third party makes a valid intellectual property claim and a license is not available on</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4"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commercially reasonable terms, we could be forced either to redesign or to stop production of products incorporating that intellectual property, and our operating results could be materially and adversely affected. Litigation may be necessary to enforce patents or other of our intellectual property rights or to defend us against claims of infringement, and this litigation can be costly and divert the attention of key personnel. See Note 11 of the Notes to our Consolidated Financial Statements contained in our Form 10-K for the fiscal year ended October 30, 1999 incorporated by reference in this prospectus for information concerning pending litigation involving us. An adverse outcome in this litigation could have a material adverse effect on our consolidated financial position or on our consolidated results of operations or cash flows in the period in which the litigation is resolved.</w:t>
      </w:r>
    </w:p>
    <w:p>
      <w:pPr>
        <w:spacing w:after="0" w:line="175"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THE PRICE OF OUR COMMON STOCK MAY FLUCTUATE SIGNIFICANTLY, WHICH MAY RESULT IN LOSSES FOR INVESTORS.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market price for our common stock has been and may continue to be volatile. For example, during the 52-week period ended December 7, 2000, the closing prices of our common stock as reported on the New York Stock Exchange ranged from a high of $103.00 to a low of $32.88. We expect our stock price to be subject to fluctuations as a result of a variety of factors, including factors beyond our control. These factors include:</w:t>
      </w:r>
    </w:p>
    <w:p>
      <w:pPr>
        <w:spacing w:after="0" w:line="176" w:lineRule="exact"/>
        <w:rPr>
          <w:sz w:val="20"/>
          <w:szCs w:val="20"/>
          <w:color w:val="auto"/>
        </w:rPr>
      </w:pPr>
    </w:p>
    <w:p>
      <w:pPr>
        <w:ind w:left="720" w:hanging="268"/>
        <w:spacing w:after="0"/>
        <w:tabs>
          <w:tab w:leader="none" w:pos="7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variations in our quarterly operating results;</w:t>
      </w:r>
    </w:p>
    <w:p>
      <w:pPr>
        <w:spacing w:after="0" w:line="182" w:lineRule="exact"/>
        <w:rPr>
          <w:rFonts w:ascii="Courier New" w:cs="Courier New" w:eastAsia="Courier New" w:hAnsi="Courier New"/>
          <w:sz w:val="15"/>
          <w:szCs w:val="15"/>
          <w:color w:val="auto"/>
        </w:rPr>
      </w:pPr>
    </w:p>
    <w:p>
      <w:pPr>
        <w:ind w:left="720" w:right="3079" w:hanging="268"/>
        <w:spacing w:after="0" w:line="250" w:lineRule="auto"/>
        <w:tabs>
          <w:tab w:leader="none" w:pos="7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or new products or services by us or our competitors;</w:t>
      </w:r>
    </w:p>
    <w:p>
      <w:pPr>
        <w:spacing w:after="0" w:line="174"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relating to strategic relationships or acquisitions;</w:t>
      </w:r>
    </w:p>
    <w:p>
      <w:pPr>
        <w:spacing w:after="0" w:line="182" w:lineRule="exact"/>
        <w:rPr>
          <w:rFonts w:ascii="Courier New" w:cs="Courier New" w:eastAsia="Courier New" w:hAnsi="Courier New"/>
          <w:sz w:val="15"/>
          <w:szCs w:val="15"/>
          <w:color w:val="auto"/>
        </w:rPr>
      </w:pPr>
    </w:p>
    <w:p>
      <w:pPr>
        <w:ind w:left="720" w:right="3619" w:hanging="268"/>
        <w:spacing w:after="0" w:line="250" w:lineRule="auto"/>
        <w:tabs>
          <w:tab w:leader="none" w:pos="7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financial estimates or other statements by securities analysts;</w:t>
      </w:r>
    </w:p>
    <w:p>
      <w:pPr>
        <w:spacing w:after="0" w:line="174"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general economic conditions;</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or trends affecting the semiconductor industry; and</w:t>
      </w:r>
    </w:p>
    <w:p>
      <w:pPr>
        <w:spacing w:after="0" w:line="182" w:lineRule="exact"/>
        <w:rPr>
          <w:rFonts w:ascii="Courier New" w:cs="Courier New" w:eastAsia="Courier New" w:hAnsi="Courier New"/>
          <w:sz w:val="15"/>
          <w:szCs w:val="15"/>
          <w:color w:val="auto"/>
        </w:rPr>
      </w:pPr>
    </w:p>
    <w:p>
      <w:pPr>
        <w:ind w:left="720" w:right="3179" w:hanging="268"/>
        <w:spacing w:after="0" w:line="250" w:lineRule="auto"/>
        <w:tabs>
          <w:tab w:leader="none" w:pos="7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economic performance and/or market valuations of other semiconductor and high-technology companies.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Because of this volatility, we may fail to meet the expectations of our stockholders or of securities analysts at some time in the future, and our stock price could decline as a result.</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addition, the stock market has experienced significant price and volume fluctuations that have particularly affected the trading prices of equity securities of many high technology companies. These fluctuations have often been unrelated or disproportionate to changes in the operating performance of these companies. Any negative change in the public's perception of semiconductor companies could depress our stock price regardless of our operating results.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LEVERAGE AND DEBT SERVICE OBLIGATIONS MAY ADVERSELY AFFECT OUR CASH FLOW.</w:t>
      </w:r>
    </w:p>
    <w:p>
      <w:pPr>
        <w:spacing w:after="0" w:line="182"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We have a substantial amount of outstanding indebtedness. Our substantial leverage could have significant negative consequences, including:</w:t>
      </w:r>
    </w:p>
    <w:p>
      <w:pPr>
        <w:spacing w:after="0" w:line="175" w:lineRule="exact"/>
        <w:rPr>
          <w:sz w:val="20"/>
          <w:szCs w:val="20"/>
          <w:color w:val="auto"/>
        </w:rPr>
      </w:pPr>
    </w:p>
    <w:p>
      <w:pPr>
        <w:ind w:left="720" w:right="3179" w:hanging="268"/>
        <w:spacing w:after="0" w:line="250" w:lineRule="auto"/>
        <w:tabs>
          <w:tab w:leader="none" w:pos="7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our vulnerability to general adverse economic and industry conditions;</w:t>
      </w:r>
    </w:p>
    <w:p>
      <w:pPr>
        <w:spacing w:after="0" w:line="174" w:lineRule="exact"/>
        <w:rPr>
          <w:rFonts w:ascii="Courier New" w:cs="Courier New" w:eastAsia="Courier New" w:hAnsi="Courier New"/>
          <w:sz w:val="15"/>
          <w:szCs w:val="15"/>
          <w:color w:val="auto"/>
        </w:rPr>
      </w:pPr>
    </w:p>
    <w:p>
      <w:pPr>
        <w:ind w:left="720" w:right="2899" w:hanging="268"/>
        <w:spacing w:after="0" w:line="249" w:lineRule="auto"/>
        <w:tabs>
          <w:tab w:leader="none" w:pos="7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requiring the dedication of a substantial portion of our expected cash flow from operations to service our indebtedness, thereby reducing the amount of our expected cash flow available for other purposes, including capital expenditures; and</w:t>
      </w:r>
    </w:p>
    <w:p>
      <w:pPr>
        <w:spacing w:after="0" w:line="175" w:lineRule="exact"/>
        <w:rPr>
          <w:rFonts w:ascii="Courier New" w:cs="Courier New" w:eastAsia="Courier New" w:hAnsi="Courier New"/>
          <w:sz w:val="15"/>
          <w:szCs w:val="15"/>
          <w:color w:val="auto"/>
        </w:rPr>
      </w:pPr>
    </w:p>
    <w:p>
      <w:pPr>
        <w:ind w:left="720" w:right="2899" w:hanging="268"/>
        <w:spacing w:after="0" w:line="250" w:lineRule="auto"/>
        <w:tabs>
          <w:tab w:leader="none" w:pos="7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limiting our flexibility in planning for, or reacting to, changes in our business and the industry in which we compete.</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4"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CAUTIONARY STATEMENT CONCERNING FORWARD-LOOKING INFORMATION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Some statements in this prospectus and in the documents incorporated by reference may constitute "forward-looking statements" within the meaning of the Private Securities Litigation Reform Act of 1995. These statements are subject to risks and uncertainties and are based on beliefs and assumptions of Analog, based on information currently available to the company's management. For this purpose, any statements contained herein or incorporated herein that are not statements of historical fact may be deemed to be forward-looking statements. Without limiting the foregoing, the words "believes", "plans", "expects" and similar expressions are intended to identify forward-looking statements. Actual results may vary materially from those we express in forward looking statements. Factors which could cause actual results to differ from expectations include those set forth under "Risk Factors".</w:t>
      </w:r>
    </w:p>
    <w:p>
      <w:pPr>
        <w:spacing w:after="0" w:line="175"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USE OF PROCEEDS</w:t>
      </w:r>
    </w:p>
    <w:p>
      <w:pPr>
        <w:spacing w:after="0" w:line="182" w:lineRule="exact"/>
        <w:rPr>
          <w:sz w:val="20"/>
          <w:szCs w:val="20"/>
          <w:color w:val="auto"/>
        </w:rPr>
      </w:pPr>
    </w:p>
    <w:p>
      <w:pPr>
        <w:ind w:right="3259" w:firstLine="458"/>
        <w:spacing w:after="0" w:line="250" w:lineRule="auto"/>
        <w:rPr>
          <w:sz w:val="20"/>
          <w:szCs w:val="20"/>
          <w:color w:val="auto"/>
        </w:rPr>
      </w:pPr>
      <w:r>
        <w:rPr>
          <w:rFonts w:ascii="Courier New" w:cs="Courier New" w:eastAsia="Courier New" w:hAnsi="Courier New"/>
          <w:sz w:val="15"/>
          <w:szCs w:val="15"/>
          <w:color w:val="auto"/>
        </w:rPr>
        <w:t>We will not receive any proceeds from the sale of shares by the selling stockholders.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selling stockholders will pay any underwriting discounts and commissions and expenses incurred by the selling stockholders for brokerage, accounting, tax or legal services or any other expenses incurred by the selling stockholders in disposing of the shares. We will bear all other costs, fees and expenses incurred in effecting the registration of the shares covered by this prospectus, including, without limitation, all registration and filing fees, exchange listing fees and fees and expenses of our counsel and our accountants.</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4" w:right="1440" w:bottom="1440" w:gutter="0" w:footer="0" w:header="0"/>
        </w:sectPr>
      </w:pPr>
    </w:p>
    <w:bookmarkStart w:id="8" w:name="page9"/>
    <w:bookmarkEnd w:id="8"/>
    <w:p>
      <w:pPr>
        <w:ind w:left="266"/>
        <w:spacing w:after="0"/>
        <w:rPr>
          <w:sz w:val="20"/>
          <w:szCs w:val="20"/>
          <w:color w:val="auto"/>
        </w:rPr>
      </w:pPr>
      <w:r>
        <w:rPr>
          <w:rFonts w:ascii="Courier New" w:cs="Courier New" w:eastAsia="Courier New" w:hAnsi="Courier New"/>
          <w:sz w:val="15"/>
          <w:szCs w:val="15"/>
          <w:color w:val="auto"/>
        </w:rPr>
        <w:t>8</w:t>
      </w:r>
    </w:p>
    <w:p>
      <w:pPr>
        <w:spacing w:after="0" w:line="182" w:lineRule="exact"/>
        <w:rPr>
          <w:sz w:val="20"/>
          <w:szCs w:val="20"/>
          <w:color w:val="auto"/>
        </w:rPr>
      </w:pPr>
    </w:p>
    <w:p>
      <w:pPr>
        <w:ind w:left="2746"/>
        <w:spacing w:after="0"/>
        <w:rPr>
          <w:sz w:val="20"/>
          <w:szCs w:val="20"/>
          <w:color w:val="auto"/>
        </w:rPr>
      </w:pPr>
      <w:r>
        <w:rPr>
          <w:rFonts w:ascii="Courier New" w:cs="Courier New" w:eastAsia="Courier New" w:hAnsi="Courier New"/>
          <w:sz w:val="15"/>
          <w:szCs w:val="15"/>
          <w:color w:val="auto"/>
        </w:rPr>
        <w:t>SELLING STOCKHOLDERS</w:t>
      </w:r>
    </w:p>
    <w:p>
      <w:pPr>
        <w:spacing w:after="0" w:line="182" w:lineRule="exact"/>
        <w:rPr>
          <w:sz w:val="20"/>
          <w:szCs w:val="20"/>
          <w:color w:val="auto"/>
        </w:rPr>
      </w:pPr>
    </w:p>
    <w:p>
      <w:pPr>
        <w:ind w:left="6" w:firstLine="458"/>
        <w:spacing w:after="0" w:line="249" w:lineRule="auto"/>
        <w:rPr>
          <w:sz w:val="20"/>
          <w:szCs w:val="20"/>
          <w:color w:val="auto"/>
        </w:rPr>
      </w:pPr>
      <w:r>
        <w:rPr>
          <w:rFonts w:ascii="Courier New" w:cs="Courier New" w:eastAsia="Courier New" w:hAnsi="Courier New"/>
          <w:sz w:val="15"/>
          <w:szCs w:val="15"/>
          <w:color w:val="auto"/>
        </w:rPr>
        <w:t>The following table sets forth, to our knowledge, certain information about the selling stockholders as of October 28, 2000. We do not know when or in what amounts a selling stockholder may offer shares for sale. The selling stockholders may not sell any or all of the shares offered by this prospectus. Because the selling stockholders may offer all or some of the shares pursuant to this offering, and because there are currently no agreements, arrangements or understandings with respect to the sale of any of the shares, we cannot estimate the number of the shares that will be held by the selling stockholders after completion of the offering. However, for purposes of this table, we have assumed that, after completion of the offering, none of the shares covered by this prospectus will be held by the selling stockholders.</w:t>
      </w:r>
    </w:p>
    <w:p>
      <w:pPr>
        <w:spacing w:after="0" w:line="175" w:lineRule="exact"/>
        <w:rPr>
          <w:sz w:val="20"/>
          <w:szCs w:val="20"/>
          <w:color w:val="auto"/>
        </w:rPr>
      </w:pPr>
    </w:p>
    <w:p>
      <w:pPr>
        <w:ind w:left="6" w:firstLine="458"/>
        <w:spacing w:after="0" w:line="249" w:lineRule="auto"/>
        <w:rPr>
          <w:sz w:val="20"/>
          <w:szCs w:val="20"/>
          <w:color w:val="auto"/>
        </w:rPr>
      </w:pPr>
      <w:r>
        <w:rPr>
          <w:rFonts w:ascii="Courier New" w:cs="Courier New" w:eastAsia="Courier New" w:hAnsi="Courier New"/>
          <w:sz w:val="15"/>
          <w:szCs w:val="15"/>
          <w:color w:val="auto"/>
        </w:rPr>
        <w:t>Beneficial ownership is determined in accordance with the rules of the SEC, and includes voting or investment power with respect to shares. Shares of common stock issuable under stock options that are exercisable within 60 days after October 28, 2000 are deemed outstanding for computing the percentage ownership of the person holding the options but are not deemed outstanding for computing the percentage ownership of any other person. Unless otherwise indicated below, to our knowledge, all persons named in the table have sole voting and investment power with respect to their shares of common stock, except to the extent authority is shared by spouses under applicable law. The inclusion of any shares in this table does not constitute an admission of beneficial ownership for the person named below.</w:t>
      </w:r>
    </w:p>
    <w:p>
      <w:pPr>
        <w:spacing w:after="0" w:line="200" w:lineRule="exact"/>
        <w:rPr>
          <w:sz w:val="20"/>
          <w:szCs w:val="20"/>
          <w:color w:val="auto"/>
        </w:rPr>
      </w:pPr>
    </w:p>
    <w:p>
      <w:pPr>
        <w:spacing w:after="0" w:line="32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SHARES OF COMMON STOCK</w:t>
            </w:r>
          </w:p>
        </w:tc>
      </w:tr>
      <w:tr>
        <w:trPr>
          <w:trHeight w:val="176"/>
        </w:trPr>
        <w:tc>
          <w:tcPr>
            <w:tcW w:w="4580" w:type="dxa"/>
            <w:vAlign w:val="bottom"/>
          </w:tcPr>
          <w:p>
            <w:pPr>
              <w:spacing w:after="0"/>
              <w:rPr>
                <w:sz w:val="15"/>
                <w:szCs w:val="15"/>
                <w:color w:val="auto"/>
              </w:rPr>
            </w:pPr>
          </w:p>
        </w:tc>
        <w:tc>
          <w:tcPr>
            <w:tcW w:w="27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BENEFICIALLY OWNED PRIOR</w:t>
            </w:r>
          </w:p>
        </w:tc>
      </w:tr>
      <w:tr>
        <w:trPr>
          <w:trHeight w:val="176"/>
        </w:trPr>
        <w:tc>
          <w:tcPr>
            <w:tcW w:w="4580" w:type="dxa"/>
            <w:vAlign w:val="bottom"/>
          </w:tcPr>
          <w:p>
            <w:pPr>
              <w:spacing w:after="0"/>
              <w:rPr>
                <w:sz w:val="15"/>
                <w:szCs w:val="15"/>
                <w:color w:val="auto"/>
              </w:rPr>
            </w:pPr>
          </w:p>
        </w:tc>
        <w:tc>
          <w:tcPr>
            <w:tcW w:w="274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TO OFFERING</w:t>
            </w:r>
          </w:p>
        </w:tc>
      </w:tr>
      <w:tr>
        <w:trPr>
          <w:trHeight w:val="176"/>
        </w:trPr>
        <w:tc>
          <w:tcPr>
            <w:tcW w:w="4580" w:type="dxa"/>
            <w:vAlign w:val="bottom"/>
          </w:tcPr>
          <w:p>
            <w:pPr>
              <w:spacing w:after="0"/>
              <w:rPr>
                <w:sz w:val="15"/>
                <w:szCs w:val="15"/>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NAME OF SELLING STOCKHOLDER</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NUMBER</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PERCENTAGE</w:t>
            </w:r>
          </w:p>
        </w:tc>
      </w:tr>
      <w:tr>
        <w:trPr>
          <w:trHeight w:val="176"/>
        </w:trPr>
        <w:tc>
          <w:tcPr>
            <w:tcW w:w="45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5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Hari R. Surapaneni(1)(2).........................</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803,213</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Roshan B. Gudapati (1)(3)........................</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534,809</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Anandaram Katragadda.............................</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167</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Sanjeeva Reddy Challa............................</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6,685</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Vilesh Shah......................................</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401</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Fred Koehler.....................................</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1,671</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Ravindra Bhilave.................................</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1,169</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Chakra Parvathaneni..............................</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4,011</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Ajay Dubey.......................................</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181</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Arogyaswami J. Palraj............................</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8,022</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186" w:hanging="186"/>
        <w:spacing w:after="0"/>
        <w:tabs>
          <w:tab w:leader="none" w:pos="18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one percent.</w:t>
      </w:r>
    </w:p>
    <w:p>
      <w:pPr>
        <w:spacing w:after="0" w:line="182" w:lineRule="exact"/>
        <w:rPr>
          <w:sz w:val="20"/>
          <w:szCs w:val="20"/>
          <w:color w:val="auto"/>
        </w:rPr>
      </w:pPr>
    </w:p>
    <w:p>
      <w:pPr>
        <w:ind w:left="366" w:hanging="366"/>
        <w:spacing w:after="0" w:line="249" w:lineRule="auto"/>
        <w:tabs>
          <w:tab w:leader="none" w:pos="3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total shares of common stock listed as held by the selling stockholder, ten percent of such shares are held in an escrow account to secure indemnification obligations of such individual to us. It is expected that these shares (less any shares that may be distributed from the escrow account to us in satisfaction of indemnification claims) will be released from escrow and distributed to the selling stockholder on or about the first anniversary of the closing of our acquisition of ChipLogic.</w:t>
      </w:r>
    </w:p>
    <w:p>
      <w:pPr>
        <w:spacing w:after="0" w:line="175" w:lineRule="exact"/>
        <w:rPr>
          <w:rFonts w:ascii="Courier New" w:cs="Courier New" w:eastAsia="Courier New" w:hAnsi="Courier New"/>
          <w:sz w:val="15"/>
          <w:szCs w:val="15"/>
          <w:color w:val="auto"/>
        </w:rPr>
      </w:pPr>
    </w:p>
    <w:p>
      <w:pPr>
        <w:ind w:left="366" w:hanging="366"/>
        <w:spacing w:after="0" w:line="249" w:lineRule="auto"/>
        <w:tabs>
          <w:tab w:leader="none" w:pos="3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149,625 shares that are subject to our right to require the forfeiture of such shares for no consideration in the event that certain employment conditions are not satisfied and 72,000 shares that are subject to our right to require the forfeiture of such shares for no consideration in the event that certain development milestones are not met, in each case, pursuant to the terms of stock restriction agreements between Mr. Surapeneni and us.</w:t>
      </w:r>
    </w:p>
    <w:p>
      <w:pPr>
        <w:spacing w:after="0" w:line="175" w:lineRule="exact"/>
        <w:rPr>
          <w:rFonts w:ascii="Courier New" w:cs="Courier New" w:eastAsia="Courier New" w:hAnsi="Courier New"/>
          <w:sz w:val="15"/>
          <w:szCs w:val="15"/>
          <w:color w:val="auto"/>
        </w:rPr>
      </w:pPr>
    </w:p>
    <w:p>
      <w:pPr>
        <w:ind w:left="366" w:right="80" w:hanging="366"/>
        <w:spacing w:after="0" w:line="249" w:lineRule="auto"/>
        <w:tabs>
          <w:tab w:leader="none" w:pos="3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99,750 shares that are subject to our right to require the forfeiture of such shares for no consideration in the event that certain employment conditions are not satisfied, and 48,000 shares that are subject to our right to require the forfeiture of such shares for no consideration in the event that certain development milestones are not met, in each case, pursuant to the terms of stock restriction agreements between Mr. Gudapati and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879"/>
        <w:spacing w:after="0" w:line="248" w:lineRule="auto"/>
        <w:rPr>
          <w:sz w:val="20"/>
          <w:szCs w:val="20"/>
          <w:color w:val="auto"/>
        </w:rPr>
      </w:pPr>
      <w:r>
        <w:rPr>
          <w:rFonts w:ascii="Courier New" w:cs="Courier New" w:eastAsia="Courier New" w:hAnsi="Courier New"/>
          <w:sz w:val="15"/>
          <w:szCs w:val="15"/>
          <w:color w:val="auto"/>
        </w:rPr>
        <w:t>NUMBER OF SHARES OF COMMON STOCK BEING OFFERED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right"/>
        <w:ind w:right="1239"/>
        <w:spacing w:after="0"/>
        <w:rPr>
          <w:sz w:val="20"/>
          <w:szCs w:val="20"/>
          <w:color w:val="auto"/>
        </w:rPr>
      </w:pPr>
      <w:r>
        <w:rPr>
          <w:rFonts w:ascii="Courier New" w:cs="Courier New" w:eastAsia="Courier New" w:hAnsi="Courier New"/>
          <w:sz w:val="15"/>
          <w:szCs w:val="15"/>
          <w:color w:val="auto"/>
        </w:rPr>
        <w:t>802,213</w:t>
      </w:r>
    </w:p>
    <w:p>
      <w:pPr>
        <w:spacing w:after="0" w:line="6" w:lineRule="exact"/>
        <w:rPr>
          <w:sz w:val="20"/>
          <w:szCs w:val="20"/>
          <w:color w:val="auto"/>
        </w:rPr>
      </w:pPr>
    </w:p>
    <w:p>
      <w:pPr>
        <w:jc w:val="right"/>
        <w:ind w:right="1239"/>
        <w:spacing w:after="0"/>
        <w:rPr>
          <w:sz w:val="20"/>
          <w:szCs w:val="20"/>
          <w:color w:val="auto"/>
        </w:rPr>
      </w:pPr>
      <w:r>
        <w:rPr>
          <w:rFonts w:ascii="Courier New" w:cs="Courier New" w:eastAsia="Courier New" w:hAnsi="Courier New"/>
          <w:sz w:val="15"/>
          <w:szCs w:val="15"/>
          <w:color w:val="auto"/>
        </w:rPr>
        <w:t>534,809</w:t>
      </w:r>
    </w:p>
    <w:p>
      <w:pPr>
        <w:spacing w:after="0" w:line="6" w:lineRule="exact"/>
        <w:rPr>
          <w:sz w:val="20"/>
          <w:szCs w:val="20"/>
          <w:color w:val="auto"/>
        </w:rPr>
      </w:pPr>
    </w:p>
    <w:p>
      <w:pPr>
        <w:jc w:val="right"/>
        <w:ind w:right="1239"/>
        <w:spacing w:after="0"/>
        <w:rPr>
          <w:sz w:val="20"/>
          <w:szCs w:val="20"/>
          <w:color w:val="auto"/>
        </w:rPr>
      </w:pPr>
      <w:r>
        <w:rPr>
          <w:rFonts w:ascii="Courier New" w:cs="Courier New" w:eastAsia="Courier New" w:hAnsi="Courier New"/>
          <w:sz w:val="15"/>
          <w:szCs w:val="15"/>
          <w:color w:val="auto"/>
        </w:rPr>
        <w:t>167</w:t>
      </w:r>
    </w:p>
    <w:p>
      <w:pPr>
        <w:spacing w:after="0" w:line="6" w:lineRule="exact"/>
        <w:rPr>
          <w:sz w:val="20"/>
          <w:szCs w:val="20"/>
          <w:color w:val="auto"/>
        </w:rPr>
      </w:pPr>
    </w:p>
    <w:p>
      <w:pPr>
        <w:jc w:val="right"/>
        <w:ind w:right="1239"/>
        <w:spacing w:after="0"/>
        <w:rPr>
          <w:sz w:val="20"/>
          <w:szCs w:val="20"/>
          <w:color w:val="auto"/>
        </w:rPr>
      </w:pPr>
      <w:r>
        <w:rPr>
          <w:rFonts w:ascii="Courier New" w:cs="Courier New" w:eastAsia="Courier New" w:hAnsi="Courier New"/>
          <w:sz w:val="15"/>
          <w:szCs w:val="15"/>
          <w:color w:val="auto"/>
        </w:rPr>
        <w:t>6,685</w:t>
      </w:r>
    </w:p>
    <w:p>
      <w:pPr>
        <w:spacing w:after="0" w:line="6" w:lineRule="exact"/>
        <w:rPr>
          <w:sz w:val="20"/>
          <w:szCs w:val="20"/>
          <w:color w:val="auto"/>
        </w:rPr>
      </w:pPr>
    </w:p>
    <w:p>
      <w:pPr>
        <w:jc w:val="right"/>
        <w:ind w:right="1239"/>
        <w:spacing w:after="0"/>
        <w:rPr>
          <w:sz w:val="20"/>
          <w:szCs w:val="20"/>
          <w:color w:val="auto"/>
        </w:rPr>
      </w:pPr>
      <w:r>
        <w:rPr>
          <w:rFonts w:ascii="Courier New" w:cs="Courier New" w:eastAsia="Courier New" w:hAnsi="Courier New"/>
          <w:sz w:val="15"/>
          <w:szCs w:val="15"/>
          <w:color w:val="auto"/>
        </w:rPr>
        <w:t>401</w:t>
      </w:r>
    </w:p>
    <w:p>
      <w:pPr>
        <w:spacing w:after="0" w:line="6" w:lineRule="exact"/>
        <w:rPr>
          <w:sz w:val="20"/>
          <w:szCs w:val="20"/>
          <w:color w:val="auto"/>
        </w:rPr>
      </w:pPr>
    </w:p>
    <w:p>
      <w:pPr>
        <w:jc w:val="right"/>
        <w:ind w:right="1239"/>
        <w:spacing w:after="0"/>
        <w:rPr>
          <w:sz w:val="20"/>
          <w:szCs w:val="20"/>
          <w:color w:val="auto"/>
        </w:rPr>
      </w:pPr>
      <w:r>
        <w:rPr>
          <w:rFonts w:ascii="Courier New" w:cs="Courier New" w:eastAsia="Courier New" w:hAnsi="Courier New"/>
          <w:sz w:val="15"/>
          <w:szCs w:val="15"/>
          <w:color w:val="auto"/>
        </w:rPr>
        <w:t>1,671</w:t>
      </w:r>
    </w:p>
    <w:p>
      <w:pPr>
        <w:spacing w:after="0" w:line="6" w:lineRule="exact"/>
        <w:rPr>
          <w:sz w:val="20"/>
          <w:szCs w:val="20"/>
          <w:color w:val="auto"/>
        </w:rPr>
      </w:pPr>
    </w:p>
    <w:p>
      <w:pPr>
        <w:jc w:val="right"/>
        <w:ind w:right="1239"/>
        <w:spacing w:after="0"/>
        <w:rPr>
          <w:sz w:val="20"/>
          <w:szCs w:val="20"/>
          <w:color w:val="auto"/>
        </w:rPr>
      </w:pPr>
      <w:r>
        <w:rPr>
          <w:rFonts w:ascii="Courier New" w:cs="Courier New" w:eastAsia="Courier New" w:hAnsi="Courier New"/>
          <w:sz w:val="15"/>
          <w:szCs w:val="15"/>
          <w:color w:val="auto"/>
        </w:rPr>
        <w:t>1,169</w:t>
      </w:r>
    </w:p>
    <w:p>
      <w:pPr>
        <w:spacing w:after="0" w:line="6" w:lineRule="exact"/>
        <w:rPr>
          <w:sz w:val="20"/>
          <w:szCs w:val="20"/>
          <w:color w:val="auto"/>
        </w:rPr>
      </w:pPr>
    </w:p>
    <w:p>
      <w:pPr>
        <w:jc w:val="right"/>
        <w:ind w:right="1239"/>
        <w:spacing w:after="0"/>
        <w:rPr>
          <w:sz w:val="20"/>
          <w:szCs w:val="20"/>
          <w:color w:val="auto"/>
        </w:rPr>
      </w:pPr>
      <w:r>
        <w:rPr>
          <w:rFonts w:ascii="Courier New" w:cs="Courier New" w:eastAsia="Courier New" w:hAnsi="Courier New"/>
          <w:sz w:val="15"/>
          <w:szCs w:val="15"/>
          <w:color w:val="auto"/>
        </w:rPr>
        <w:t>4,011</w:t>
      </w:r>
    </w:p>
    <w:p>
      <w:pPr>
        <w:spacing w:after="0" w:line="6" w:lineRule="exact"/>
        <w:rPr>
          <w:sz w:val="20"/>
          <w:szCs w:val="20"/>
          <w:color w:val="auto"/>
        </w:rPr>
      </w:pPr>
    </w:p>
    <w:p>
      <w:pPr>
        <w:jc w:val="right"/>
        <w:ind w:right="1239"/>
        <w:spacing w:after="0"/>
        <w:rPr>
          <w:sz w:val="20"/>
          <w:szCs w:val="20"/>
          <w:color w:val="auto"/>
        </w:rPr>
      </w:pPr>
      <w:r>
        <w:rPr>
          <w:rFonts w:ascii="Courier New" w:cs="Courier New" w:eastAsia="Courier New" w:hAnsi="Courier New"/>
          <w:sz w:val="15"/>
          <w:szCs w:val="15"/>
          <w:color w:val="auto"/>
        </w:rPr>
        <w:t>181</w:t>
      </w:r>
    </w:p>
    <w:p>
      <w:pPr>
        <w:spacing w:after="0" w:line="6" w:lineRule="exact"/>
        <w:rPr>
          <w:sz w:val="20"/>
          <w:szCs w:val="20"/>
          <w:color w:val="auto"/>
        </w:rPr>
      </w:pPr>
    </w:p>
    <w:p>
      <w:pPr>
        <w:jc w:val="right"/>
        <w:ind w:right="1239"/>
        <w:spacing w:after="0"/>
        <w:rPr>
          <w:sz w:val="20"/>
          <w:szCs w:val="20"/>
          <w:color w:val="auto"/>
        </w:rPr>
      </w:pPr>
      <w:r>
        <w:rPr>
          <w:rFonts w:ascii="Courier New" w:cs="Courier New" w:eastAsia="Courier New" w:hAnsi="Courier New"/>
          <w:sz w:val="15"/>
          <w:szCs w:val="15"/>
          <w:color w:val="auto"/>
        </w:rPr>
        <w:t>8,022</w:t>
      </w:r>
    </w:p>
    <w:p>
      <w:pPr>
        <w:spacing w:after="0" w:line="5115" w:lineRule="exact"/>
        <w:rPr>
          <w:sz w:val="20"/>
          <w:szCs w:val="20"/>
          <w:color w:val="auto"/>
        </w:rPr>
      </w:pPr>
    </w:p>
    <w:p>
      <w:pPr>
        <w:sectPr>
          <w:pgSz w:w="11900" w:h="16838" w:orient="portrait"/>
          <w:cols w:equalWidth="0" w:num="2">
            <w:col w:w="7326" w:space="560"/>
            <w:col w:w="2339"/>
          </w:cols>
          <w:pgMar w:left="234" w:top="294" w:right="1440" w:bottom="1440" w:gutter="0" w:footer="0" w:header="0"/>
        </w:sectPr>
      </w:pPr>
    </w:p>
    <w:p>
      <w:pPr>
        <w:ind w:left="366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4" w:top="294" w:right="1440" w:bottom="1440" w:gutter="0" w:footer="0" w:header="0"/>
          <w:type w:val="continuous"/>
        </w:sectPr>
      </w:pPr>
    </w:p>
    <w:bookmarkStart w:id="9" w:name="page10"/>
    <w:bookmarkEnd w:id="9"/>
    <w:p>
      <w:pPr>
        <w:ind w:left="266"/>
        <w:spacing w:after="0"/>
        <w:rPr>
          <w:sz w:val="20"/>
          <w:szCs w:val="20"/>
          <w:color w:val="auto"/>
        </w:rPr>
      </w:pPr>
      <w:r>
        <w:rPr>
          <w:rFonts w:ascii="Courier New" w:cs="Courier New" w:eastAsia="Courier New" w:hAnsi="Courier New"/>
          <w:sz w:val="15"/>
          <w:szCs w:val="15"/>
          <w:color w:val="auto"/>
        </w:rPr>
        <w:t>9</w:t>
      </w:r>
    </w:p>
    <w:p>
      <w:pPr>
        <w:spacing w:after="0" w:line="182" w:lineRule="exact"/>
        <w:rPr>
          <w:sz w:val="20"/>
          <w:szCs w:val="20"/>
          <w:color w:val="auto"/>
        </w:rPr>
      </w:pPr>
    </w:p>
    <w:p>
      <w:pPr>
        <w:ind w:left="6" w:right="4200" w:firstLine="458"/>
        <w:spacing w:after="0" w:line="249" w:lineRule="auto"/>
        <w:rPr>
          <w:sz w:val="20"/>
          <w:szCs w:val="20"/>
          <w:color w:val="auto"/>
        </w:rPr>
      </w:pPr>
      <w:r>
        <w:rPr>
          <w:rFonts w:ascii="Courier New" w:cs="Courier New" w:eastAsia="Courier New" w:hAnsi="Courier New"/>
          <w:sz w:val="15"/>
          <w:szCs w:val="15"/>
          <w:color w:val="auto"/>
        </w:rPr>
        <w:t>None of the selling stockholders has held any position or office with, or has otherwise had a material relationship with, us or any of our subsidiaries within the past three years, except that the selling stockholders indicated have been employed by their respective companies prior to the acquisition by us of those companies, and such persons are expected to be employed by us following the closing of the respective acquisitions.</w:t>
      </w:r>
    </w:p>
    <w:p>
      <w:pPr>
        <w:spacing w:after="0" w:line="176"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6" w:lineRule="exact"/>
        <w:rPr>
          <w:sz w:val="20"/>
          <w:szCs w:val="20"/>
          <w:color w:val="auto"/>
        </w:rPr>
      </w:pPr>
    </w:p>
    <w:p>
      <w:pPr>
        <w:ind w:left="1926"/>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82" w:lineRule="exact"/>
        <w:rPr>
          <w:sz w:val="20"/>
          <w:szCs w:val="20"/>
          <w:color w:val="auto"/>
        </w:rPr>
      </w:pPr>
    </w:p>
    <w:p>
      <w:pPr>
        <w:ind w:left="6" w:right="4200" w:firstLine="458"/>
        <w:spacing w:after="0" w:line="248" w:lineRule="auto"/>
        <w:rPr>
          <w:sz w:val="20"/>
          <w:szCs w:val="20"/>
          <w:color w:val="auto"/>
        </w:rPr>
      </w:pPr>
      <w:r>
        <w:rPr>
          <w:rFonts w:ascii="Courier New" w:cs="Courier New" w:eastAsia="Courier New" w:hAnsi="Courier New"/>
          <w:sz w:val="15"/>
          <w:szCs w:val="15"/>
          <w:color w:val="auto"/>
        </w:rPr>
        <w:t>The selected consolidated financial data set forth below for each of the fiscal years in the three-year period ended October 30, 1999 and as at October 31, 1998 and October 30, 1999 have been derived from our audited consolidated financial statements in the Annual Report on Form 10-K for the fiscal year ended October 30, 1999, incorporated by reference into this prospectus. The selected consolidated financial data set forth below for each of the fiscal years in the two-year period ended November 2, 1996 and as at October 28, 1995, November 2, 1996, and November 1, 1997 are derived from our audited consolidated financial statements that are neither included in nor incorporated by reference into this prospectus. We have prepared our consolidated financial statements in accordance with U.S. generally accepted accounting principles. The following data should be read in conjunction with our audited consolidated financial statements and notes thereto and "Management Analysis" in the Annual Report on Form 10-K for the fiscal year ended October 30, 1999, incorporated by reference into this prospectus.</w:t>
      </w:r>
    </w:p>
    <w:p>
      <w:pPr>
        <w:spacing w:after="0" w:line="200" w:lineRule="exact"/>
        <w:rPr>
          <w:sz w:val="20"/>
          <w:szCs w:val="20"/>
          <w:color w:val="auto"/>
        </w:rPr>
      </w:pPr>
    </w:p>
    <w:p>
      <w:pPr>
        <w:spacing w:after="0" w:line="33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YEAR ENDED</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5300" w:type="dxa"/>
            <w:vAlign w:val="bottom"/>
          </w:tcPr>
          <w:p>
            <w:pPr>
              <w:spacing w:after="0"/>
              <w:rPr>
                <w:sz w:val="15"/>
                <w:szCs w:val="15"/>
                <w:color w:val="auto"/>
              </w:rPr>
            </w:pPr>
          </w:p>
        </w:tc>
        <w:tc>
          <w:tcPr>
            <w:tcW w:w="62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OCTOBER 28,</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NOVEMBER 2,</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NOVEMBER 1,</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OCTOBER 31,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OCTOBER 30,</w:t>
            </w:r>
          </w:p>
        </w:tc>
      </w:tr>
      <w:tr>
        <w:trPr>
          <w:trHeight w:val="176"/>
        </w:trPr>
        <w:tc>
          <w:tcPr>
            <w:tcW w:w="5300" w:type="dxa"/>
            <w:vAlign w:val="bottom"/>
          </w:tcPr>
          <w:p>
            <w:pPr>
              <w:spacing w:after="0"/>
              <w:rPr>
                <w:sz w:val="15"/>
                <w:szCs w:val="15"/>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1995</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530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6"/>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Net sales..............................................</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$941,546</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$1,193,786</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$1,243,494</w:t>
            </w:r>
          </w:p>
        </w:tc>
        <w:tc>
          <w:tcPr>
            <w:tcW w:w="13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$1,230,571</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$1,450,379</w:t>
            </w:r>
          </w:p>
        </w:tc>
      </w:tr>
      <w:tr>
        <w:trPr>
          <w:trHeight w:val="176"/>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Net income before cumulative effect of change in</w:t>
            </w: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accounting principle.................................</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119,270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171,901</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178,219</w:t>
            </w:r>
          </w:p>
        </w:tc>
        <w:tc>
          <w:tcPr>
            <w:tcW w:w="13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119,488</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196,819</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(37,080)</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Net income after cumulative effect of change in</w:t>
            </w: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accounting principle.................................</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119,270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171,901</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178,219</w:t>
            </w:r>
          </w:p>
        </w:tc>
        <w:tc>
          <w:tcPr>
            <w:tcW w:w="13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82,408</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196,819</w:t>
            </w:r>
          </w:p>
        </w:tc>
      </w:tr>
      <w:tr>
        <w:trPr>
          <w:trHeight w:val="176"/>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Net income per share(1):</w:t>
            </w: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Basic................................................</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0.40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0.56</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0.56</w:t>
            </w:r>
          </w:p>
        </w:tc>
        <w:tc>
          <w:tcPr>
            <w:tcW w:w="13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0.26</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0.58</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Diluted..............................................</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0.38</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0.52</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0.52</w:t>
            </w:r>
          </w:p>
        </w:tc>
        <w:tc>
          <w:tcPr>
            <w:tcW w:w="13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0.25</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0.55</w:t>
            </w:r>
          </w:p>
        </w:tc>
      </w:tr>
      <w:tr>
        <w:trPr>
          <w:trHeight w:val="176"/>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Pro forma amounts with the change in accounting</w:t>
            </w: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principle related to revenue recognition applied</w:t>
            </w: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retroactively:</w:t>
            </w: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sales..............................................</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$1,183,186</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$1,214,602</w:t>
            </w:r>
          </w:p>
        </w:tc>
        <w:tc>
          <w:tcPr>
            <w:tcW w:w="13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$1,230,571</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168,328</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167,515</w:t>
            </w:r>
          </w:p>
        </w:tc>
        <w:tc>
          <w:tcPr>
            <w:tcW w:w="13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119,488</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Net income per share(1):</w:t>
            </w: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Basic................................................</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0.55</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0.53</w:t>
            </w:r>
          </w:p>
        </w:tc>
        <w:tc>
          <w:tcPr>
            <w:tcW w:w="13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0.37</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Diluted..............................................</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0.51</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0.49</w:t>
            </w:r>
          </w:p>
        </w:tc>
        <w:tc>
          <w:tcPr>
            <w:tcW w:w="13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0.35</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881"/>
        </w:trPr>
        <w:tc>
          <w:tcPr>
            <w:tcW w:w="5300" w:type="dxa"/>
            <w:vAlign w:val="bottom"/>
          </w:tcPr>
          <w:p>
            <w:pPr>
              <w:spacing w:after="0"/>
              <w:rPr>
                <w:sz w:val="24"/>
                <w:szCs w:val="24"/>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OCTOBER 28,</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NOVEMBER 2,</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NOVEMBER 1,</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OCTOBER 31,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OCTOBER 30,</w:t>
            </w:r>
          </w:p>
        </w:tc>
      </w:tr>
      <w:tr>
        <w:trPr>
          <w:trHeight w:val="176"/>
        </w:trPr>
        <w:tc>
          <w:tcPr>
            <w:tcW w:w="5300" w:type="dxa"/>
            <w:vAlign w:val="bottom"/>
          </w:tcPr>
          <w:p>
            <w:pPr>
              <w:spacing w:after="0"/>
              <w:rPr>
                <w:sz w:val="15"/>
                <w:szCs w:val="15"/>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1995</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530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assets...........................................</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$993,349</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$1,508,272</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$1,763,853</w:t>
            </w:r>
          </w:p>
        </w:tc>
        <w:tc>
          <w:tcPr>
            <w:tcW w:w="13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$1,861,730</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$2,218,354</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Long-term debt and non-current obligations under capital</w:t>
            </w: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5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leases.................................................</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80,000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353,666</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348,852</w:t>
            </w:r>
          </w:p>
        </w:tc>
        <w:tc>
          <w:tcPr>
            <w:tcW w:w="13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340,758</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16,214</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jc w:val="both"/>
        <w:ind w:left="366" w:right="4480" w:hanging="366"/>
        <w:spacing w:after="0" w:line="249" w:lineRule="auto"/>
        <w:tabs>
          <w:tab w:leader="none" w:pos="36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 and per share information gives effect to our two-for-one stock split, distributed to stockholders as a 100% stock dividend, on March 15, 2000.</w:t>
      </w:r>
    </w:p>
    <w:p>
      <w:pPr>
        <w:spacing w:after="0" w:line="175" w:lineRule="exact"/>
        <w:rPr>
          <w:rFonts w:ascii="Courier New" w:cs="Courier New" w:eastAsia="Courier New" w:hAnsi="Courier New"/>
          <w:sz w:val="15"/>
          <w:szCs w:val="15"/>
          <w:color w:val="auto"/>
        </w:rPr>
      </w:pPr>
    </w:p>
    <w:p>
      <w:pPr>
        <w:ind w:left="366" w:right="4200" w:hanging="366"/>
        <w:spacing w:after="0" w:line="250" w:lineRule="auto"/>
        <w:tabs>
          <w:tab w:leader="none" w:pos="36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Data was not available in sufficient detail to provide pro forma information for fiscal 1995.</w:t>
      </w:r>
    </w:p>
    <w:p>
      <w:pPr>
        <w:sectPr>
          <w:pgSz w:w="11900" w:h="16838" w:orient="portrait"/>
          <w:cols w:equalWidth="0" w:num="1">
            <w:col w:w="11526"/>
          </w:cols>
          <w:pgMar w:left="234" w:top="294" w:right="139" w:bottom="1440" w:gutter="0" w:footer="0" w:header="0"/>
        </w:sectPr>
      </w:pPr>
    </w:p>
    <w:p>
      <w:pPr>
        <w:spacing w:after="0" w:line="175"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526"/>
          </w:cols>
          <w:pgMar w:left="234" w:top="294" w:right="139"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DESCRIPTION OF CAPITAL STOCK</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We are authorized to issue up to 600,000,000 shares of common stock, par value $0.16 2/3 per share, and 471,934 shares of preferred stock, par value $1.00 per share.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82"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As of October 28, 2000, there were 357,923,824 shares of our common stock outstanding that were held of record by approximately 4,358 stockholders.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Holders of our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Holders of common stock are entitled to receive ratably any dividends that may be declared by the Board of Directors out of funds legally available therefor, subject to any preferential dividend rights of outstanding preferred stock. In the event of our liquidation, dissolution or winding up, the holders of common stock are entitled to share ratably in our net assets available after the payment of all debts and other liabilities and subject to the prior rights of any outstanding preferred stock. Holders of the common stock have no preemptive, subscription, redemption or conversion rights. The outstanding shares of common stock are fully paid and nonassessable. The rights, preferences and privileges of holders of common stock are subject to, and may be adversely affected by, the rights of the holders of shares of any series of preferred stock which we may designate and issue in the future. There are no shares of preferred stock outstanding.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Board of Directors is authorized, subject to some limitations prescribed by law, without further stockholder approval to issue from time to time up to an aggregate of 471,934 shares of preferred stock in one or more series and to fix or alter the designations, preferences, rights and any qualifications, limitations or restrictions of the shares of each series, including the dividend rights, dividend rates, conversion rights, voting rights, terms of redemption (including sinking fund provisions), redemption price or prices, liquidation preferences and the number of shares constituting any series or designation of that series. The issuance of preferred stock may have the effect of delaying, deferring or preventing a change of control of Analog Devices. We have no present plans to issue any shares of preferred stock.</w:t>
      </w:r>
    </w:p>
    <w:p>
      <w:pPr>
        <w:spacing w:after="0" w:line="175" w:lineRule="exact"/>
        <w:rPr>
          <w:sz w:val="20"/>
          <w:szCs w:val="20"/>
          <w:color w:val="auto"/>
        </w:rPr>
      </w:pPr>
    </w:p>
    <w:p>
      <w:pPr>
        <w:ind w:right="3999"/>
        <w:spacing w:after="0" w:line="250" w:lineRule="auto"/>
        <w:rPr>
          <w:sz w:val="20"/>
          <w:szCs w:val="20"/>
          <w:color w:val="auto"/>
        </w:rPr>
      </w:pPr>
      <w:r>
        <w:rPr>
          <w:rFonts w:ascii="Courier New" w:cs="Courier New" w:eastAsia="Courier New" w:hAnsi="Courier New"/>
          <w:sz w:val="15"/>
          <w:szCs w:val="15"/>
          <w:color w:val="auto"/>
        </w:rPr>
        <w:t>MASSACHUSETTS LAW AND CERTAIN PROVISIONS OF OUR RESTATED ARTICLES OF ORGANIZATION AND BY-LAWS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Because we have more than 200 stockholders of record, we are subject to Chapter 110F of the Massachusetts General Laws, an anti-takeover law. In general, this statute prohibits a publicly held Massachusetts corporation from engaging in a "business combination" with an "interested stockholder" for a period of three years after the date of the transaction in which the person becomes an interested stockholder, unless</w:t>
      </w:r>
    </w:p>
    <w:p>
      <w:pPr>
        <w:spacing w:after="0" w:line="176" w:lineRule="exact"/>
        <w:rPr>
          <w:sz w:val="20"/>
          <w:szCs w:val="20"/>
          <w:color w:val="auto"/>
        </w:rPr>
      </w:pPr>
    </w:p>
    <w:p>
      <w:pPr>
        <w:ind w:left="720" w:right="3719" w:hanging="268"/>
        <w:spacing w:after="0" w:line="250" w:lineRule="auto"/>
        <w:tabs>
          <w:tab w:leader="none" w:pos="7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interested stockholder obtains the approval of the Board of Directors prior to becoming an interested stockholder,</w:t>
      </w:r>
    </w:p>
    <w:p>
      <w:pPr>
        <w:spacing w:after="0" w:line="174" w:lineRule="exact"/>
        <w:rPr>
          <w:rFonts w:ascii="Courier New" w:cs="Courier New" w:eastAsia="Courier New" w:hAnsi="Courier New"/>
          <w:sz w:val="15"/>
          <w:szCs w:val="15"/>
          <w:color w:val="auto"/>
        </w:rPr>
      </w:pPr>
    </w:p>
    <w:p>
      <w:pPr>
        <w:ind w:left="720" w:right="2979" w:hanging="268"/>
        <w:spacing w:after="0" w:line="249" w:lineRule="auto"/>
        <w:tabs>
          <w:tab w:leader="none" w:pos="7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interested stockholder acquires 90% of the outstanding voting stock of the corporation (excluding shares held by some affiliates of the corporation) at the time it becomes an interested stockholder, or</w:t>
      </w:r>
    </w:p>
    <w:p>
      <w:pPr>
        <w:spacing w:after="0" w:line="175" w:lineRule="exact"/>
        <w:rPr>
          <w:rFonts w:ascii="Courier New" w:cs="Courier New" w:eastAsia="Courier New" w:hAnsi="Courier New"/>
          <w:sz w:val="15"/>
          <w:szCs w:val="15"/>
          <w:color w:val="auto"/>
        </w:rPr>
      </w:pPr>
    </w:p>
    <w:p>
      <w:pPr>
        <w:ind w:left="720" w:right="2979" w:hanging="268"/>
        <w:spacing w:after="0" w:line="249" w:lineRule="auto"/>
        <w:tabs>
          <w:tab w:leader="none" w:pos="7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combination is approved by both the Board of Directors and the holders of two-thirds of the outstanding voting stock of the corporation (excluding shares held by the interested stockholder).</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An "interested stockholder" is a person who, together with affiliates and associates, owns (or at any time within the prior three years did own) 5% or more of the outstanding voting stock of the corporation. A "business combination" includes a merger, a stock or asset sale, and some other transactions resulting in a financial benefit to the interested stockholders.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Massachusetts General Laws Chapter 156B, Section 50A generally requires that a publicly-held Massachusetts corporation have a classified board of directors consisting of three classes as nearly equal in size as possible, unless the corporation elects to opt out of the statute's coverage. Our By-Laws contain provisions which give effect to Section 50A.</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4"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By-Laws include a provision excluding us from the applicability of Massachusetts General Laws Chapter 110D, entitled "Regulation of Control Share Acquisitions". In general, this statute provides that any stockholder of a corporation subject to this statute who acquires 20% or more of the outstanding voting stock of a corporation may not vote that stock unless the stockholders of the corporation so authorize. The Board of Directors may amend our By-Laws at any time to subject us to this statute prospectively.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Restated Articles of Organization provide that we shall indemnify our directors and officers to the fullest extent authorized by Massachusetts law, as it now exists or may in the future be amended, against all liabilities and expenses incurred in connection with service for us or on our behalf. In addition, the Restated Articles of Organization provide that our directors will not be personally liable for monetary damages to us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 This provision does not eliminate director liability under federal securities laws or preclude non-monetary relief under state law.</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RIGHTS PLAN</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March 1998, the Board of Directors adopted a Stockholder Rights Plan that replaced a plan adopted by the Board in 1988. Pursuant to the Stockholder Rights Plan, each share of common stock has an associated right. Under certain circumstances, each right would entitle the registered holder to purchase from us one one-thousandth share of Series A Junior Participating Preferred Stock at a purchase price of $90 in cash, subject to adjustment.</w:t>
      </w:r>
    </w:p>
    <w:p>
      <w:pPr>
        <w:spacing w:after="0" w:line="17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The rights are not exercisable and cannot be transferred separately from the common stock until ten business days (or such later date as may be determined by the Board of Directors) after</w:t>
      </w:r>
    </w:p>
    <w:p>
      <w:pPr>
        <w:spacing w:after="0" w:line="176" w:lineRule="exact"/>
        <w:rPr>
          <w:sz w:val="20"/>
          <w:szCs w:val="20"/>
          <w:color w:val="auto"/>
        </w:rPr>
      </w:pPr>
    </w:p>
    <w:p>
      <w:pPr>
        <w:jc w:val="both"/>
        <w:ind w:left="720" w:right="3719" w:hanging="268"/>
        <w:spacing w:after="0" w:line="249" w:lineRule="auto"/>
        <w:tabs>
          <w:tab w:leader="none" w:pos="7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public announcement that a person or group of affiliated or associated persons has acquired (or obtained rights to acquire) beneficial ownership of 15% or more of our common stock or</w:t>
      </w:r>
    </w:p>
    <w:p>
      <w:pPr>
        <w:spacing w:after="0" w:line="175" w:lineRule="exact"/>
        <w:rPr>
          <w:rFonts w:ascii="Courier New" w:cs="Courier New" w:eastAsia="Courier New" w:hAnsi="Courier New"/>
          <w:sz w:val="15"/>
          <w:szCs w:val="15"/>
          <w:color w:val="auto"/>
        </w:rPr>
      </w:pPr>
    </w:p>
    <w:p>
      <w:pPr>
        <w:ind w:left="720" w:right="2979" w:hanging="268"/>
        <w:spacing w:after="0" w:line="249" w:lineRule="auto"/>
        <w:tabs>
          <w:tab w:leader="none" w:pos="7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of a tender offer or exchange offer that would result in a person or group beneficially owning 20% or more of the outstanding common stock.</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and when the rights become exercisable, each holder of a right shall have the right to receive, upon exercise, that number of common stock (or in certain circumstances, cash, property or other of our securities) that equals the price of the right divided by 50% of the current market price (as defined in the Stockholder Rights Plan) per share of common stock at the date of the occurrence of the event. In the event at any time after any person becomes an acquiring person,</w:t>
      </w:r>
    </w:p>
    <w:p>
      <w:pPr>
        <w:spacing w:after="0" w:line="175" w:lineRule="exact"/>
        <w:rPr>
          <w:sz w:val="20"/>
          <w:szCs w:val="20"/>
          <w:color w:val="auto"/>
        </w:rPr>
      </w:pPr>
    </w:p>
    <w:p>
      <w:pPr>
        <w:jc w:val="both"/>
        <w:ind w:left="720" w:right="2899" w:hanging="268"/>
        <w:spacing w:after="0" w:line="249" w:lineRule="auto"/>
        <w:tabs>
          <w:tab w:leader="none" w:pos="7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consolidated with, or merged with and into, another entity and we are not the surviving entity of the consolidation or merger or if we are the surviving entity, shares of our outstanding common stock are changed or exchanged for stock or securities or cash or any other property, or</w:t>
      </w:r>
    </w:p>
    <w:p>
      <w:pPr>
        <w:spacing w:after="0" w:line="175"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or more of our assets or earning power is sold or transferred,</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each holder of a right shall thereafter have the right to receive upon exercise that number of shares of common stock of the acquiring company that equals the exercise price of the right divided by 50% of the current market price of the common stock at the date of the occurrence of the event.</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rights have anti-takeover effects, in that they would cause substantial dilution to a person or group that attempts to acquire a significant interest in our stock on terms not approved by the Board of Directors. The rights expire on March 17, 2008 but may be redeemed by us for $.0005 per right at any time prior to the tenth day following a person's acquisition of 15% or more of our then outstanding common stock. So long as the rights are not separately transferable, each new share of common stock issued will have a right associated with it.</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4"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18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PLAN OF DISTRIBUTION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shares covered by this prospectus may be offered and sold from time to time by the selling stockholders. The term "selling stockholders" includes donees, pledgees, transferees or other successors-in-interest selling shares received after the date of this prospectus from a selling stockholder as a gift, pledge, partnership distribution or other non-sale related transfer. The selling stockholders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stockholders may sell their shares by one or more of, or a combination of, the following methods:</w:t>
      </w:r>
    </w:p>
    <w:p>
      <w:pPr>
        <w:spacing w:after="0" w:line="175" w:lineRule="exact"/>
        <w:rPr>
          <w:sz w:val="20"/>
          <w:szCs w:val="20"/>
          <w:color w:val="auto"/>
        </w:rPr>
      </w:pPr>
    </w:p>
    <w:p>
      <w:pPr>
        <w:ind w:left="720" w:right="3819" w:hanging="268"/>
        <w:spacing w:after="0" w:line="250" w:lineRule="auto"/>
        <w:tabs>
          <w:tab w:leader="none" w:pos="7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by a broker-dealer as principal and resale by such broker-dealer for its own account pursuant to this prospectus;</w:t>
      </w:r>
    </w:p>
    <w:p>
      <w:pPr>
        <w:spacing w:after="0" w:line="174" w:lineRule="exact"/>
        <w:rPr>
          <w:rFonts w:ascii="Courier New" w:cs="Courier New" w:eastAsia="Courier New" w:hAnsi="Courier New"/>
          <w:sz w:val="15"/>
          <w:szCs w:val="15"/>
          <w:color w:val="auto"/>
        </w:rPr>
      </w:pPr>
    </w:p>
    <w:p>
      <w:pPr>
        <w:ind w:left="720" w:right="3259" w:hanging="268"/>
        <w:spacing w:after="0" w:line="250" w:lineRule="auto"/>
        <w:tabs>
          <w:tab w:leader="none" w:pos="7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brokerage transactions and transactions in which the broker solicits purchasers;</w:t>
      </w:r>
    </w:p>
    <w:p>
      <w:pPr>
        <w:spacing w:after="0" w:line="174" w:lineRule="exact"/>
        <w:rPr>
          <w:rFonts w:ascii="Courier New" w:cs="Courier New" w:eastAsia="Courier New" w:hAnsi="Courier New"/>
          <w:sz w:val="15"/>
          <w:szCs w:val="15"/>
          <w:color w:val="auto"/>
        </w:rPr>
      </w:pPr>
    </w:p>
    <w:p>
      <w:pPr>
        <w:ind w:left="720" w:right="2979" w:hanging="268"/>
        <w:spacing w:after="0" w:line="249" w:lineRule="auto"/>
        <w:tabs>
          <w:tab w:leader="none" w:pos="7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block trades in which the broker-dealer so engaged will attempt to sell the shares as agent but may position and resell a portion of the block as principal to facilitate the transaction;</w:t>
      </w:r>
    </w:p>
    <w:p>
      <w:pPr>
        <w:spacing w:after="0" w:line="175"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over-the-counter distribution;</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privately negotiated transactions; and</w:t>
      </w:r>
    </w:p>
    <w:p>
      <w:pPr>
        <w:spacing w:after="0" w:line="182" w:lineRule="exact"/>
        <w:rPr>
          <w:rFonts w:ascii="Courier New" w:cs="Courier New" w:eastAsia="Courier New" w:hAnsi="Courier New"/>
          <w:sz w:val="15"/>
          <w:szCs w:val="15"/>
          <w:color w:val="auto"/>
        </w:rPr>
      </w:pPr>
    </w:p>
    <w:p>
      <w:pPr>
        <w:ind w:left="720" w:hanging="268"/>
        <w:spacing w:after="0"/>
        <w:tabs>
          <w:tab w:leader="none" w:pos="7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options transactions.</w:t>
      </w:r>
    </w:p>
    <w:p>
      <w:pPr>
        <w:spacing w:after="0" w:line="182"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In addition, any shares that qualify for sale pursuant to Rule 144 may be sold under Rule 144 rather than pursuant to this prospectus.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To the extent required, this prospectus may be amended or supplemented from time to time to describe a specific plan of distribution. In connection with distributions of the shares or otherwise, the selling stockholders may enter into hedging transactions with broker-dealers or other financial institutions. In connection with such transactions, broker-dealers or other financial institutions may engage in short sales of the common stock in the course of hedging the positions they assume with selling stockholders. The selling stockholders may also sell the common stock short and redeliver the shares to close out such short positions. The selling stockholders may also enter into option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stockholders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8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effecting sales, broker-dealers or agents engaged by the selling stockholders may arrange for other broker-dealers to participate. Broker-dealers or agents may receive commissions, discounts or concessions from the selling stockholders in amounts to be negotiated immediately prior to the sale.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offering the shares covered by this prospectus, the selling stockholders and any broker-dealers who execute sales for the selling stockholders may be deemed to be "underwriters" within the meaning of the Securities Act in connection with such sales. Any profits realized by the selling stockholders and the compensation of any broker-dealer may be deemed to be underwriting discounts and commissions.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We have advised the selling stockholders that the anti-manipulation rules of Regulation M under the Exchange Act may apply to sales of shares in the market and to the activities of the selling stockholders and their affiliates. In addition, we will make copies of this prospectus available to the selling stockholders for the purpose of satisfying the prospectus delivery requirements of the Securities Act, which may include delivery</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4"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through the facilities of the New York Stock Exchange pursuant to Rule 153 under the Securities Act. The selling stockholders may indemnify any broker-dealer that participates in transactions involving the sale of the shares against certain liabilities, including liabilities arising under the Securities Act.</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75" w:lineRule="exact"/>
        <w:rPr>
          <w:sz w:val="20"/>
          <w:szCs w:val="20"/>
          <w:color w:val="auto"/>
        </w:rPr>
      </w:pPr>
    </w:p>
    <w:p>
      <w:pPr>
        <w:ind w:right="3539" w:firstLine="458"/>
        <w:spacing w:after="0" w:line="250" w:lineRule="auto"/>
        <w:rPr>
          <w:sz w:val="20"/>
          <w:szCs w:val="20"/>
          <w:color w:val="auto"/>
        </w:rPr>
      </w:pPr>
      <w:r>
        <w:rPr>
          <w:rFonts w:ascii="Courier New" w:cs="Courier New" w:eastAsia="Courier New" w:hAnsi="Courier New"/>
          <w:sz w:val="15"/>
          <w:szCs w:val="15"/>
          <w:color w:val="auto"/>
        </w:rPr>
        <w:t>We have agreed to indemnify the selling stockholders against certain liabilities, including certain liabilities under the Securities Act.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have agreed with the selling stockholders to keep the registration statement of which this prospectus constitutes a part effective until the earlier of (i) such time as all of the shares covered by this prospectus have been disposed of pursuant to and in accordance with the registration statement or (ii) the first anniversary of the date on which the Registration Statement of which this prospectus constitutes a part, becomes effective.</w:t>
      </w:r>
    </w:p>
    <w:p>
      <w:pPr>
        <w:spacing w:after="0" w:line="17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LEGAL MATTERS</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The validity of the shares offered by this prospectus has been passed upon by Hale and Dorr LLP. Paul P. Brountas, a partner of Hale and Dorr LLP, is Clerk of Analog Devices and owns 70,000 shares of common stock of Analog Devices.</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EXPERTS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consolidated financial statements and financial statement schedule of Analog Devices, Inc. incorporated by reference and included, respectively, in Analog Devices, Inc.'s Annual Report on Form 10-K for the year ended October 30, 1999, have been audited by Ernst &amp; Young LLP, independent auditors, as set forth in their reports thereon incorporated by reference and included therein, respectively, and incorporated herein by reference. Such consolidated financial statements and financial statement schedule are incorporated herein by reference in reliance upon such reports given on the authority of such firm as experts in accounting and auditing.</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file reports, proxy statements and other documents with the Securities and Exchange Commission. You may read and copy any document we file at the SEC's public reference room at Judiciary Plaza Building, 450 Fifth Street, N.W., Room 1024, Washington, D.C. 20549. You should call 1-800-SEC-0330 for more information on the public reference room. Our SEC filings are also available to you on the SEC's Internet site at http://www.sec.gov. In addition, these materials may be read at the offices of the New York Stock Exchange, 20 Broad Street, New York, New York 10005.</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This prospectus is part of a registration statement that we filed with the SEC. The registration statement contains more information than this prospectus regarding us and our common stock, including certain exhibits and schedules. You can obtain a copy of the registration statement from the SEC at the address listed above or from the SEC's Internet site.</w:t>
      </w:r>
    </w:p>
    <w:p>
      <w:pPr>
        <w:spacing w:after="0" w:line="17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SEC allows us to "incorporate by reference" into this prospectus information that we file with the SEC in other documents. This means that we can disclose important information to you by referring to other documents that contain that information. The information incorporated by reference is considered to be part of this prospectus. Information contained in this prospectus and information that we file with the SEC in the future and incorporate by reference in this prospectus automatically updates and supersedes previously filed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4"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information. We incorporate by reference the documents listed below and any future filings we make with the SEC under Sections 13(a), 13(c), 14 or 15(d) of the Securities Exchange Act of 1934, prior to the sale of all the shares covered by this prospectus.</w:t>
      </w:r>
    </w:p>
    <w:p>
      <w:pPr>
        <w:spacing w:after="0" w:line="176" w:lineRule="exact"/>
        <w:rPr>
          <w:sz w:val="20"/>
          <w:szCs w:val="20"/>
          <w:color w:val="auto"/>
        </w:rPr>
      </w:pPr>
    </w:p>
    <w:p>
      <w:pPr>
        <w:ind w:left="920" w:hanging="468"/>
        <w:spacing w:after="0"/>
        <w:tabs>
          <w:tab w:leader="none" w:pos="9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year ended October 30, 1999;</w:t>
      </w:r>
    </w:p>
    <w:p>
      <w:pPr>
        <w:spacing w:after="0" w:line="182" w:lineRule="exact"/>
        <w:rPr>
          <w:rFonts w:ascii="Courier New" w:cs="Courier New" w:eastAsia="Courier New" w:hAnsi="Courier New"/>
          <w:sz w:val="15"/>
          <w:szCs w:val="15"/>
          <w:color w:val="auto"/>
        </w:rPr>
      </w:pPr>
    </w:p>
    <w:p>
      <w:pPr>
        <w:ind w:left="920" w:right="2979" w:hanging="468"/>
        <w:spacing w:after="0" w:line="250" w:lineRule="auto"/>
        <w:tabs>
          <w:tab w:leader="none" w:pos="9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10-Q for the quarters ended January 29, 2000, April 29, 2000 and July 29, 2000;</w:t>
      </w:r>
    </w:p>
    <w:p>
      <w:pPr>
        <w:spacing w:after="0" w:line="174"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Reports on Form 8-K dated November 19, 1999 and October 6, 2000; and</w:t>
      </w:r>
    </w:p>
    <w:p>
      <w:pPr>
        <w:spacing w:after="0" w:line="174" w:lineRule="exact"/>
        <w:rPr>
          <w:rFonts w:ascii="Courier New" w:cs="Courier New" w:eastAsia="Courier New" w:hAnsi="Courier New"/>
          <w:sz w:val="15"/>
          <w:szCs w:val="15"/>
          <w:color w:val="auto"/>
        </w:rPr>
      </w:pPr>
    </w:p>
    <w:p>
      <w:pPr>
        <w:ind w:left="920" w:right="3079" w:hanging="468"/>
        <w:spacing w:after="0" w:line="249" w:lineRule="auto"/>
        <w:tabs>
          <w:tab w:leader="none" w:pos="9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filings pursuant to the Exchange Act after the date of filing the initial registration statement and prior to effectiveness of the registration statement.</w:t>
      </w:r>
    </w:p>
    <w:p>
      <w:pPr>
        <w:spacing w:after="0" w:line="176"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You may request a copy of these documents, which will be provided to you at no cost, by contacting:</w:t>
      </w:r>
    </w:p>
    <w:p>
      <w:pPr>
        <w:spacing w:after="0" w:line="17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Analog Devices, Inc.</w:t>
      </w:r>
    </w:p>
    <w:p>
      <w:pPr>
        <w:spacing w:after="0" w:line="6"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One Technology Way</w:t>
      </w:r>
    </w:p>
    <w:p>
      <w:pPr>
        <w:spacing w:after="0" w:line="6"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Norwood, MA 02062-9106</w:t>
      </w:r>
    </w:p>
    <w:p>
      <w:pPr>
        <w:spacing w:after="0" w:line="6" w:lineRule="exact"/>
        <w:rPr>
          <w:sz w:val="20"/>
          <w:szCs w:val="20"/>
          <w:color w:val="auto"/>
        </w:rPr>
      </w:pPr>
    </w:p>
    <w:p>
      <w:pPr>
        <w:ind w:left="720"/>
        <w:spacing w:after="0"/>
        <w:tabs>
          <w:tab w:leader="none" w:pos="1800" w:val="left"/>
        </w:tabs>
        <w:rPr>
          <w:sz w:val="20"/>
          <w:szCs w:val="20"/>
          <w:color w:val="auto"/>
        </w:rPr>
      </w:pPr>
      <w:r>
        <w:rPr>
          <w:rFonts w:ascii="Courier New" w:cs="Courier New" w:eastAsia="Courier New" w:hAnsi="Courier New"/>
          <w:sz w:val="15"/>
          <w:szCs w:val="15"/>
          <w:color w:val="auto"/>
        </w:rPr>
        <w:t>Attention:</w:t>
        <w:tab/>
        <w:t>Joseph E. McDonough</w:t>
      </w:r>
    </w:p>
    <w:p>
      <w:pPr>
        <w:spacing w:after="0" w:line="6"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Vice President, Finance</w:t>
      </w:r>
    </w:p>
    <w:p>
      <w:pPr>
        <w:spacing w:after="0" w:line="6"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Telephone: (781) 329-4700</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4"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PART II</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14.</w:t>
        <w:tab/>
        <w:t>OTHER EXPENSES OF ISSUANCE AND DISTRIBUTION.</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following table sets forth the various expenses to be incurred in connection with the sale and distribution of the securities being registered hereby, all of which will be borne by Analog Devices (except any underwriting discounts and commissions and expenses incurred by the selling stockholders for brokerage, accounting, tax or legal services or any other expenses incurred by the selling stockholders in disposing of the shares). All amounts shown are estimates except the Securities and Exchange Commission registration fee.</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Filing Fee -- Securities and Exchange Commission............</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$19,559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Legal fees and expenses.....................................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$ 5,000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Miscellaneous expenses......................................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 Expenses....................................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$34,559</w:t>
            </w:r>
          </w:p>
        </w:tc>
      </w:tr>
      <w:tr>
        <w:trPr>
          <w:trHeight w:val="176"/>
        </w:trPr>
        <w:tc>
          <w:tcPr>
            <w:tcW w:w="5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15.</w:t>
        <w:tab/>
        <w:t>INDEMNIFICATION OF DIRECTORS AND OFFICERS.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Article 6A of the Registrant's Restated Articles of Organization (the "Restated Articles") provides for indemnification of directors and officers to the full extent permitted under Massachusetts law. Section 67 of Chapter 156B of the Massachusetts General Laws provides that a corporation has the power to indemnify a director, officer, employee or agent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the best interests of the corporation, provided that, no indemnification shall be made with respect to any matter as to which such person shall have been adjudged not to be entitled to indemnification under Section 67.</w:t>
      </w:r>
    </w:p>
    <w:p>
      <w:pPr>
        <w:spacing w:after="0" w:line="184"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Article 6A also provides for indemnification of directors and officers of the Registrant against liabilities and expenses in connection with any legal proceedings to which they may be made a party or with which they may become involved or threatened by reason of having been an officer or director of the Registrant or of any other organization at the request of the Registrant. Article 6A generally provides that a director or officer of the Registrant (i) shall be indemnified by the Registrant for all expenses of such legal proceedings unless he has been adjudicated not to have acted in good faith in the reasonable belief that his action was in the best interests of the Registrant, and (ii) shall be indemnified by the Registrant for the expenses, judgments, fines and amounts paid in settlement and compromise of such proceedings. No indemnification will be made to cover costs of settlements and compromises if the Board determines by a majority vote of a quorum consisting of disinterested directors (or, if such quorum is not obtainable, by a majority of the disinterested directors of the Registrant), that such settlement or compromise is not in the best interests of the Registrant.</w:t>
      </w:r>
    </w:p>
    <w:p>
      <w:pPr>
        <w:spacing w:after="0" w:line="18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Article 6A permits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Restated Articles. No advance may be made if the Board of Directors determines, by a majority vote of a quorum consisting of disinterested directors (or, if such quorum is not obtainable, by a majority of the disinterested directors of the Registrant), that such person did not act in good faith in the reasonable belief that his action was in the best interest of the Registrant.</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Article 6D of the Restated Articles provides that no director shall be liable to the Registrant or its stockholders for monetary damages for breach of his fiduciary duty as a director, except for liability (i) for any breach of the director's duty of loyalty to the Registrant or its stockholders, (ii) for acts or omissions not in good faith or which involve intentional misconduct or a knowing violation of law, (iii) under Section 61 or 62 of Chapter 156B, or (iv) for any transaction from which the director derived an improper personal benefit.</w:t>
      </w:r>
    </w:p>
    <w:p>
      <w:pPr>
        <w:spacing w:after="0" w:line="352" w:lineRule="exact"/>
        <w:rPr>
          <w:sz w:val="20"/>
          <w:szCs w:val="20"/>
          <w:color w:val="auto"/>
        </w:rPr>
      </w:pPr>
    </w:p>
    <w:p>
      <w:pPr>
        <w:ind w:right="3439" w:firstLine="458"/>
        <w:spacing w:after="0" w:line="250" w:lineRule="auto"/>
        <w:rPr>
          <w:sz w:val="20"/>
          <w:szCs w:val="20"/>
          <w:color w:val="auto"/>
        </w:rPr>
      </w:pPr>
      <w:r>
        <w:rPr>
          <w:rFonts w:ascii="Courier New" w:cs="Courier New" w:eastAsia="Courier New" w:hAnsi="Courier New"/>
          <w:sz w:val="15"/>
          <w:szCs w:val="15"/>
          <w:color w:val="auto"/>
        </w:rPr>
        <w:t>The Registrant has directors and officers liability insurance for the benefit of its directors and officers.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94"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8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16.</w:t>
        <w:tab/>
        <w:t>EXHIBITS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EXHIBIT</w:t>
            </w:r>
          </w:p>
        </w:tc>
        <w:tc>
          <w:tcPr>
            <w:tcW w:w="5600" w:type="dxa"/>
            <w:vAlign w:val="bottom"/>
          </w:tcPr>
          <w:p>
            <w:pPr>
              <w:spacing w:after="0"/>
              <w:rPr>
                <w:sz w:val="14"/>
                <w:szCs w:val="14"/>
                <w:color w:val="auto"/>
              </w:rPr>
            </w:pPr>
          </w:p>
        </w:tc>
      </w:tr>
      <w:tr>
        <w:trPr>
          <w:trHeight w:val="176"/>
        </w:trPr>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NUMBER</w:t>
            </w:r>
          </w:p>
        </w:tc>
        <w:tc>
          <w:tcPr>
            <w:tcW w:w="5600" w:type="dxa"/>
            <w:vAlign w:val="bottom"/>
          </w:tcPr>
          <w:p>
            <w:pPr>
              <w:ind w:left="2380"/>
              <w:spacing w:after="0"/>
              <w:rPr>
                <w:sz w:val="20"/>
                <w:szCs w:val="20"/>
                <w:color w:val="auto"/>
              </w:rPr>
            </w:pPr>
            <w:r>
              <w:rPr>
                <w:rFonts w:ascii="Courier New" w:cs="Courier New" w:eastAsia="Courier New" w:hAnsi="Courier New"/>
                <w:sz w:val="15"/>
                <w:szCs w:val="15"/>
                <w:color w:val="auto"/>
              </w:rPr>
              <w:t>DESCRIPTION</w:t>
            </w:r>
          </w:p>
        </w:tc>
      </w:tr>
      <w:tr>
        <w:trPr>
          <w:trHeight w:val="176"/>
        </w:trPr>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 ---------</w:t>
            </w:r>
          </w:p>
        </w:tc>
        <w:tc>
          <w:tcPr>
            <w:tcW w:w="5600" w:type="dxa"/>
            <w:vAlign w:val="bottom"/>
          </w:tcPr>
          <w:p>
            <w:pPr>
              <w:ind w:left="2580"/>
              <w:spacing w:after="0"/>
              <w:rPr>
                <w:sz w:val="20"/>
                <w:szCs w:val="20"/>
                <w:color w:val="auto"/>
              </w:rPr>
            </w:pPr>
            <w:r>
              <w:rPr>
                <w:rFonts w:ascii="Courier New" w:cs="Courier New" w:eastAsia="Courier New" w:hAnsi="Courier New"/>
                <w:sz w:val="15"/>
                <w:szCs w:val="15"/>
                <w:color w:val="auto"/>
              </w:rPr>
              <w:t>-----------</w:t>
            </w:r>
          </w:p>
        </w:tc>
      </w:tr>
      <w:tr>
        <w:trPr>
          <w:trHeight w:val="529"/>
        </w:trPr>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5.1</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Opinion of Hale and Dorr LLP.</w:t>
            </w:r>
          </w:p>
        </w:tc>
      </w:tr>
      <w:tr>
        <w:trPr>
          <w:trHeight w:val="176"/>
        </w:trPr>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23.1</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Consent of Independent Auditors.</w:t>
            </w:r>
          </w:p>
        </w:tc>
      </w:tr>
      <w:tr>
        <w:trPr>
          <w:trHeight w:val="176"/>
        </w:trPr>
        <w:tc>
          <w:tcPr>
            <w:tcW w:w="1180" w:type="dxa"/>
            <w:vAlign w:val="bottom"/>
          </w:tcPr>
          <w:p>
            <w:pPr>
              <w:spacing w:after="0"/>
              <w:rPr>
                <w:sz w:val="15"/>
                <w:szCs w:val="15"/>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Consent of Hale and Dorr LLP, included in Exhibit 5.1 filed</w:t>
            </w:r>
          </w:p>
        </w:tc>
      </w:tr>
      <w:tr>
        <w:trPr>
          <w:trHeight w:val="176"/>
        </w:trPr>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23.2</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herewith.</w:t>
            </w:r>
          </w:p>
        </w:tc>
      </w:tr>
      <w:tr>
        <w:trPr>
          <w:trHeight w:val="176"/>
        </w:trPr>
        <w:tc>
          <w:tcPr>
            <w:tcW w:w="1180" w:type="dxa"/>
            <w:vAlign w:val="bottom"/>
          </w:tcPr>
          <w:p>
            <w:pPr>
              <w:spacing w:after="0"/>
              <w:rPr>
                <w:sz w:val="15"/>
                <w:szCs w:val="15"/>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Power of Attorney (See page II-4 of this Registration</w:t>
            </w:r>
          </w:p>
        </w:tc>
      </w:tr>
      <w:tr>
        <w:trPr>
          <w:trHeight w:val="176"/>
        </w:trPr>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24.1</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Statement).</w:t>
            </w:r>
          </w:p>
        </w:tc>
      </w:tr>
    </w:tbl>
    <w:p>
      <w:pPr>
        <w:spacing w:after="0" w:line="35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17.</w:t>
        <w:tab/>
        <w:t>UNDERTAKINGS.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82" w:lineRule="exact"/>
        <w:rPr>
          <w:sz w:val="20"/>
          <w:szCs w:val="20"/>
          <w:color w:val="auto"/>
        </w:rPr>
      </w:pPr>
    </w:p>
    <w:p>
      <w:pPr>
        <w:ind w:right="2979" w:firstLine="452"/>
        <w:spacing w:after="0" w:line="250" w:lineRule="auto"/>
        <w:tabs>
          <w:tab w:leader="none" w:pos="91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4" w:lineRule="exact"/>
        <w:rPr>
          <w:rFonts w:ascii="Courier New" w:cs="Courier New" w:eastAsia="Courier New" w:hAnsi="Courier New"/>
          <w:sz w:val="15"/>
          <w:szCs w:val="15"/>
          <w:color w:val="auto"/>
        </w:rPr>
      </w:pPr>
    </w:p>
    <w:p>
      <w:pPr>
        <w:ind w:left="460" w:right="3179" w:firstLine="542"/>
        <w:spacing w:after="0" w:line="250" w:lineRule="auto"/>
        <w:tabs>
          <w:tab w:leader="none" w:pos="1468"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4" w:lineRule="exact"/>
        <w:rPr>
          <w:rFonts w:ascii="Courier New" w:cs="Courier New" w:eastAsia="Courier New" w:hAnsi="Courier New"/>
          <w:sz w:val="15"/>
          <w:szCs w:val="15"/>
          <w:color w:val="auto"/>
        </w:rPr>
      </w:pPr>
    </w:p>
    <w:p>
      <w:pPr>
        <w:ind w:left="460" w:right="2979" w:firstLine="542"/>
        <w:spacing w:after="0" w:line="248" w:lineRule="auto"/>
        <w:tabs>
          <w:tab w:leader="none" w:pos="1559"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3" w:lineRule="exact"/>
        <w:rPr>
          <w:rFonts w:ascii="Courier New" w:cs="Courier New" w:eastAsia="Courier New" w:hAnsi="Courier New"/>
          <w:sz w:val="15"/>
          <w:szCs w:val="15"/>
          <w:color w:val="auto"/>
        </w:rPr>
      </w:pPr>
    </w:p>
    <w:p>
      <w:pPr>
        <w:jc w:val="both"/>
        <w:ind w:left="460" w:right="3079" w:firstLine="542"/>
        <w:spacing w:after="0" w:line="249" w:lineRule="auto"/>
        <w:tabs>
          <w:tab w:leader="none" w:pos="1651"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this registration statement;</w:t>
      </w:r>
    </w:p>
    <w:p>
      <w:pPr>
        <w:spacing w:after="0" w:line="176" w:lineRule="exact"/>
        <w:rPr>
          <w:sz w:val="20"/>
          <w:szCs w:val="20"/>
          <w:color w:val="auto"/>
        </w:rPr>
      </w:pPr>
    </w:p>
    <w:p>
      <w:pPr>
        <w:jc w:val="both"/>
        <w:ind w:right="3359"/>
        <w:spacing w:after="0" w:line="249" w:lineRule="auto"/>
        <w:rPr>
          <w:sz w:val="20"/>
          <w:szCs w:val="20"/>
          <w:color w:val="auto"/>
        </w:rPr>
      </w:pPr>
      <w:r>
        <w:rPr>
          <w:rFonts w:ascii="Courier New" w:cs="Courier New" w:eastAsia="Courier New" w:hAnsi="Courier New"/>
          <w:sz w:val="15"/>
          <w:szCs w:val="15"/>
          <w:color w:val="auto"/>
        </w:rPr>
        <w:t>provided, however, that paragraphs (1)(i) and (1)(ii) do not apply if the information required to be included is a post-effective amendment by those paragraphs is contained in periodic reports filed with or furnished to the Commission by the registrant pursuant to Section 13 or Section 15(d) of the Securities Exchange Act of 1934, as amended (the "Exchange Act"), that are incorporated by reference in the registration statement.</w:t>
      </w:r>
    </w:p>
    <w:p>
      <w:pPr>
        <w:spacing w:after="0" w:line="176" w:lineRule="exact"/>
        <w:rPr>
          <w:sz w:val="20"/>
          <w:szCs w:val="20"/>
          <w:color w:val="auto"/>
        </w:rPr>
      </w:pPr>
    </w:p>
    <w:p>
      <w:pPr>
        <w:ind w:right="2979" w:firstLine="452"/>
        <w:spacing w:after="0" w:line="249" w:lineRule="auto"/>
        <w:tabs>
          <w:tab w:leader="none" w:pos="91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purposes of determining any liability under the Securities Act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jc w:val="both"/>
        <w:ind w:right="2899" w:firstLine="452"/>
        <w:spacing w:after="0" w:line="249" w:lineRule="auto"/>
        <w:tabs>
          <w:tab w:leader="none" w:pos="91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15(d) of the Exchange Act of 1934 (and, where applicable, each filing of an employee benefit plan's annual report pursuant to Section 15(d) of the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94"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94"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Norwood, Commonwealth of Massachusetts, on December 8, 2000.</w:t>
      </w:r>
    </w:p>
    <w:p>
      <w:pPr>
        <w:spacing w:after="0" w:line="17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ANALOG DEVICES, INC.</w:t>
      </w:r>
    </w:p>
    <w:p>
      <w:pPr>
        <w:spacing w:after="0" w:line="182" w:lineRule="exact"/>
        <w:rPr>
          <w:sz w:val="20"/>
          <w:szCs w:val="20"/>
          <w:color w:val="auto"/>
        </w:rPr>
      </w:pPr>
    </w:p>
    <w:p>
      <w:pPr>
        <w:ind w:left="3840"/>
        <w:spacing w:after="0"/>
        <w:tabs>
          <w:tab w:leader="none" w:pos="45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JERALD G. FISHMAN</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5"/>
          <w:szCs w:val="15"/>
          <w:color w:val="auto"/>
        </w:rPr>
        <w:t>JERALD G. FISHMAN</w:t>
      </w:r>
    </w:p>
    <w:p>
      <w:pPr>
        <w:spacing w:after="0" w:line="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PRESIDENT AND CHIEF EXECUTIVE</w:t>
      </w:r>
    </w:p>
    <w:p>
      <w:pPr>
        <w:spacing w:after="0" w:line="6"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OFFICER</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SIGNATURES AND POWER OF ATTORNEY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the undersigned officers and directors of Analog Devices, Inc., hereby severally constitute and appoint Jerald G. Fishman and Joseph E. McDonough and each of them singly, our true and lawful attorneys with full power to any of them, and to each of them singly, to sign for us and in our names in the capacities indicated below the Registration Statement on Form S-3 filed herewith and any and all pre-effective and post-effective amendments to said Registration Statement and generally to do all such things in our name and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75" w:lineRule="exact"/>
        <w:rPr>
          <w:sz w:val="20"/>
          <w:szCs w:val="20"/>
          <w:color w:val="auto"/>
        </w:rPr>
      </w:pPr>
    </w:p>
    <w:p>
      <w:pPr>
        <w:jc w:val="both"/>
        <w:ind w:right="3259" w:firstLine="458"/>
        <w:spacing w:after="0" w:line="249"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by the following persons in the capacities and on the dates indicated.</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SIGNATURE</w:t>
            </w:r>
          </w:p>
        </w:tc>
        <w:tc>
          <w:tcPr>
            <w:tcW w:w="4320" w:type="dxa"/>
            <w:vAlign w:val="bottom"/>
          </w:tcPr>
          <w:p>
            <w:pPr>
              <w:ind w:left="1840"/>
              <w:spacing w:after="0"/>
              <w:rPr>
                <w:sz w:val="20"/>
                <w:szCs w:val="20"/>
                <w:color w:val="auto"/>
              </w:rPr>
            </w:pPr>
            <w:r>
              <w:rPr>
                <w:rFonts w:ascii="Courier New" w:cs="Courier New" w:eastAsia="Courier New" w:hAnsi="Courier New"/>
                <w:sz w:val="15"/>
                <w:szCs w:val="15"/>
                <w:color w:val="auto"/>
              </w:rPr>
              <w:t>TITLE</w:t>
            </w:r>
          </w:p>
        </w:tc>
        <w:tc>
          <w:tcPr>
            <w:tcW w:w="1640" w:type="dxa"/>
            <w:vAlign w:val="bottom"/>
          </w:tcPr>
          <w:p>
            <w:pPr>
              <w:ind w:left="640"/>
              <w:spacing w:after="0"/>
              <w:rPr>
                <w:sz w:val="20"/>
                <w:szCs w:val="20"/>
                <w:color w:val="auto"/>
              </w:rPr>
            </w:pPr>
            <w:r>
              <w:rPr>
                <w:rFonts w:ascii="Courier New" w:cs="Courier New" w:eastAsia="Courier New" w:hAnsi="Courier New"/>
                <w:sz w:val="15"/>
                <w:szCs w:val="15"/>
                <w:color w:val="auto"/>
              </w:rPr>
              <w:t>DATE</w:t>
            </w:r>
          </w:p>
        </w:tc>
      </w:tr>
      <w:tr>
        <w:trPr>
          <w:trHeight w:val="176"/>
        </w:trPr>
        <w:tc>
          <w:tcPr>
            <w:tcW w:w="402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w:t>
            </w:r>
          </w:p>
        </w:tc>
        <w:tc>
          <w:tcPr>
            <w:tcW w:w="4320" w:type="dxa"/>
            <w:vAlign w:val="bottom"/>
          </w:tcPr>
          <w:p>
            <w:pPr>
              <w:ind w:left="18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r>
      <w:tr>
        <w:trPr>
          <w:trHeight w:val="529"/>
        </w:trPr>
        <w:tc>
          <w:tcPr>
            <w:tcW w:w="402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 JERALD G. FISHMAN</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President, Chief Executive Officer and</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w w:val="99"/>
              </w:rPr>
              <w:t>December 8, 2000</w:t>
            </w:r>
          </w:p>
        </w:tc>
      </w:tr>
      <w:tr>
        <w:trPr>
          <w:trHeight w:val="176"/>
        </w:trPr>
        <w:tc>
          <w:tcPr>
            <w:tcW w:w="40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Director (Principal Executive Officer)</w:t>
            </w:r>
          </w:p>
        </w:tc>
        <w:tc>
          <w:tcPr>
            <w:tcW w:w="1640" w:type="dxa"/>
            <w:vAlign w:val="bottom"/>
          </w:tcPr>
          <w:p>
            <w:pPr>
              <w:spacing w:after="0"/>
              <w:rPr>
                <w:sz w:val="15"/>
                <w:szCs w:val="15"/>
                <w:color w:val="auto"/>
              </w:rPr>
            </w:pPr>
          </w:p>
        </w:tc>
      </w:tr>
      <w:tr>
        <w:trPr>
          <w:trHeight w:val="176"/>
        </w:trPr>
        <w:tc>
          <w:tcPr>
            <w:tcW w:w="402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Jerald G. Fishman</w:t>
            </w:r>
          </w:p>
        </w:tc>
        <w:tc>
          <w:tcPr>
            <w:tcW w:w="43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352"/>
        </w:trPr>
        <w:tc>
          <w:tcPr>
            <w:tcW w:w="402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/s/ RAY STATA</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Chairman of the Board and Director</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w w:val="99"/>
              </w:rPr>
              <w:t>December 8, 2000</w:t>
            </w:r>
          </w:p>
        </w:tc>
      </w:tr>
      <w:tr>
        <w:trPr>
          <w:trHeight w:val="176"/>
        </w:trPr>
        <w:tc>
          <w:tcPr>
            <w:tcW w:w="40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43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6"/>
        </w:trPr>
        <w:tc>
          <w:tcPr>
            <w:tcW w:w="402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Ray Stata</w:t>
            </w:r>
          </w:p>
        </w:tc>
        <w:tc>
          <w:tcPr>
            <w:tcW w:w="43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352"/>
        </w:trPr>
        <w:tc>
          <w:tcPr>
            <w:tcW w:w="402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/s/ JOSEPH E. MCDONOUGH</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Vice President-Finance and Chief Financial</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w w:val="99"/>
              </w:rPr>
              <w:t>December 8, 2000</w:t>
            </w:r>
          </w:p>
        </w:tc>
      </w:tr>
      <w:tr>
        <w:trPr>
          <w:trHeight w:val="176"/>
        </w:trPr>
        <w:tc>
          <w:tcPr>
            <w:tcW w:w="40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Officer (Principal Financial and Accounting</w:t>
            </w:r>
          </w:p>
        </w:tc>
        <w:tc>
          <w:tcPr>
            <w:tcW w:w="1640" w:type="dxa"/>
            <w:vAlign w:val="bottom"/>
          </w:tcPr>
          <w:p>
            <w:pPr>
              <w:spacing w:after="0"/>
              <w:rPr>
                <w:sz w:val="15"/>
                <w:szCs w:val="15"/>
                <w:color w:val="auto"/>
              </w:rPr>
            </w:pPr>
          </w:p>
        </w:tc>
      </w:tr>
      <w:tr>
        <w:trPr>
          <w:trHeight w:val="176"/>
        </w:trPr>
        <w:tc>
          <w:tcPr>
            <w:tcW w:w="402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Joseph E. McDonough</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1640" w:type="dxa"/>
            <w:vAlign w:val="bottom"/>
          </w:tcPr>
          <w:p>
            <w:pPr>
              <w:spacing w:after="0"/>
              <w:rPr>
                <w:sz w:val="15"/>
                <w:szCs w:val="15"/>
                <w:color w:val="auto"/>
              </w:rPr>
            </w:pPr>
          </w:p>
        </w:tc>
      </w:tr>
      <w:tr>
        <w:trPr>
          <w:trHeight w:val="352"/>
        </w:trPr>
        <w:tc>
          <w:tcPr>
            <w:tcW w:w="402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/s/ JOHN L. DOYLE</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w w:val="99"/>
              </w:rPr>
              <w:t>December 8, 2000</w:t>
            </w:r>
          </w:p>
        </w:tc>
      </w:tr>
      <w:tr>
        <w:trPr>
          <w:trHeight w:val="176"/>
        </w:trPr>
        <w:tc>
          <w:tcPr>
            <w:tcW w:w="40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43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6"/>
        </w:trPr>
        <w:tc>
          <w:tcPr>
            <w:tcW w:w="402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John L. Doyle</w:t>
            </w:r>
          </w:p>
        </w:tc>
        <w:tc>
          <w:tcPr>
            <w:tcW w:w="43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352"/>
        </w:trPr>
        <w:tc>
          <w:tcPr>
            <w:tcW w:w="40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/s/ CHARLES O. HOLLIDAY, JR.</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w w:val="99"/>
              </w:rPr>
              <w:t>December 8, 2000</w:t>
            </w:r>
          </w:p>
        </w:tc>
      </w:tr>
      <w:tr>
        <w:trPr>
          <w:trHeight w:val="176"/>
        </w:trPr>
        <w:tc>
          <w:tcPr>
            <w:tcW w:w="40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43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6"/>
        </w:trPr>
        <w:tc>
          <w:tcPr>
            <w:tcW w:w="40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Charles O. Holliday, Jr.</w:t>
            </w:r>
          </w:p>
        </w:tc>
        <w:tc>
          <w:tcPr>
            <w:tcW w:w="43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352"/>
        </w:trPr>
        <w:tc>
          <w:tcPr>
            <w:tcW w:w="40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/s/ JOEL MOSES</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w w:val="99"/>
              </w:rPr>
              <w:t>December 8, 2000</w:t>
            </w:r>
          </w:p>
        </w:tc>
      </w:tr>
      <w:tr>
        <w:trPr>
          <w:trHeight w:val="176"/>
        </w:trPr>
        <w:tc>
          <w:tcPr>
            <w:tcW w:w="40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43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6"/>
        </w:trPr>
        <w:tc>
          <w:tcPr>
            <w:tcW w:w="40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Joel Moses</w:t>
            </w:r>
          </w:p>
        </w:tc>
        <w:tc>
          <w:tcPr>
            <w:tcW w:w="43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352"/>
        </w:trPr>
        <w:tc>
          <w:tcPr>
            <w:tcW w:w="40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/s/ F. GRANT SAVIERS</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w w:val="99"/>
              </w:rPr>
              <w:t>December 8, 2000</w:t>
            </w:r>
          </w:p>
        </w:tc>
      </w:tr>
      <w:tr>
        <w:trPr>
          <w:trHeight w:val="176"/>
        </w:trPr>
        <w:tc>
          <w:tcPr>
            <w:tcW w:w="40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43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6"/>
        </w:trPr>
        <w:tc>
          <w:tcPr>
            <w:tcW w:w="40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F. Grant Saviers</w:t>
            </w:r>
          </w:p>
        </w:tc>
        <w:tc>
          <w:tcPr>
            <w:tcW w:w="43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352"/>
        </w:trPr>
        <w:tc>
          <w:tcPr>
            <w:tcW w:w="40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/s/ LESTER C. THUROW</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w w:val="99"/>
              </w:rPr>
              <w:t>December 8, 2000</w:t>
            </w:r>
          </w:p>
        </w:tc>
      </w:tr>
      <w:tr>
        <w:trPr>
          <w:trHeight w:val="176"/>
        </w:trPr>
        <w:tc>
          <w:tcPr>
            <w:tcW w:w="40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43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6"/>
        </w:trPr>
        <w:tc>
          <w:tcPr>
            <w:tcW w:w="40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Lester C. Thurow</w:t>
            </w:r>
          </w:p>
        </w:tc>
        <w:tc>
          <w:tcPr>
            <w:tcW w:w="4320" w:type="dxa"/>
            <w:vAlign w:val="bottom"/>
          </w:tcPr>
          <w:p>
            <w:pPr>
              <w:spacing w:after="0"/>
              <w:rPr>
                <w:sz w:val="15"/>
                <w:szCs w:val="15"/>
                <w:color w:val="auto"/>
              </w:rPr>
            </w:pPr>
          </w:p>
        </w:tc>
        <w:tc>
          <w:tcPr>
            <w:tcW w:w="164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0219"/>
          </w:cols>
          <w:pgMar w:left="240" w:top="294" w:right="1440" w:bottom="1440" w:gutter="0" w:footer="0" w:header="0"/>
        </w:sectPr>
      </w:pPr>
    </w:p>
    <w:p>
      <w:pPr>
        <w:spacing w:after="0" w:line="157"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19"/>
          </w:cols>
          <w:pgMar w:left="240" w:top="294"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5600" w:type="dxa"/>
            <w:vAlign w:val="bottom"/>
          </w:tcPr>
          <w:p>
            <w:pPr>
              <w:ind w:left="1840"/>
              <w:spacing w:after="0"/>
              <w:rPr>
                <w:sz w:val="20"/>
                <w:szCs w:val="20"/>
                <w:color w:val="auto"/>
              </w:rPr>
            </w:pPr>
            <w:r>
              <w:rPr>
                <w:rFonts w:ascii="Courier New" w:cs="Courier New" w:eastAsia="Courier New" w:hAnsi="Courier New"/>
                <w:sz w:val="15"/>
                <w:szCs w:val="15"/>
                <w:color w:val="auto"/>
              </w:rPr>
              <w:t>EXHIBIT INDEX</w:t>
            </w:r>
          </w:p>
        </w:tc>
      </w:tr>
      <w:tr>
        <w:trPr>
          <w:trHeight w:val="705"/>
        </w:trPr>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EXHIBIT</w:t>
            </w:r>
          </w:p>
        </w:tc>
        <w:tc>
          <w:tcPr>
            <w:tcW w:w="5600" w:type="dxa"/>
            <w:vAlign w:val="bottom"/>
          </w:tcPr>
          <w:p>
            <w:pPr>
              <w:spacing w:after="0"/>
              <w:rPr>
                <w:sz w:val="24"/>
                <w:szCs w:val="24"/>
                <w:color w:val="auto"/>
              </w:rPr>
            </w:pPr>
          </w:p>
        </w:tc>
      </w:tr>
      <w:tr>
        <w:trPr>
          <w:trHeight w:val="176"/>
        </w:trPr>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NUMBER</w:t>
            </w:r>
          </w:p>
        </w:tc>
        <w:tc>
          <w:tcPr>
            <w:tcW w:w="5600" w:type="dxa"/>
            <w:vAlign w:val="bottom"/>
          </w:tcPr>
          <w:p>
            <w:pPr>
              <w:ind w:left="2380"/>
              <w:spacing w:after="0"/>
              <w:rPr>
                <w:sz w:val="20"/>
                <w:szCs w:val="20"/>
                <w:color w:val="auto"/>
              </w:rPr>
            </w:pPr>
            <w:r>
              <w:rPr>
                <w:rFonts w:ascii="Courier New" w:cs="Courier New" w:eastAsia="Courier New" w:hAnsi="Courier New"/>
                <w:sz w:val="15"/>
                <w:szCs w:val="15"/>
                <w:color w:val="auto"/>
              </w:rPr>
              <w:t>DESCRIPTION</w:t>
            </w:r>
          </w:p>
        </w:tc>
      </w:tr>
      <w:tr>
        <w:trPr>
          <w:trHeight w:val="176"/>
        </w:trPr>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 ---------</w:t>
            </w:r>
          </w:p>
        </w:tc>
        <w:tc>
          <w:tcPr>
            <w:tcW w:w="5600" w:type="dxa"/>
            <w:vAlign w:val="bottom"/>
          </w:tcPr>
          <w:p>
            <w:pPr>
              <w:ind w:left="2580"/>
              <w:spacing w:after="0"/>
              <w:rPr>
                <w:sz w:val="20"/>
                <w:szCs w:val="20"/>
                <w:color w:val="auto"/>
              </w:rPr>
            </w:pPr>
            <w:r>
              <w:rPr>
                <w:rFonts w:ascii="Courier New" w:cs="Courier New" w:eastAsia="Courier New" w:hAnsi="Courier New"/>
                <w:sz w:val="15"/>
                <w:szCs w:val="15"/>
                <w:color w:val="auto"/>
              </w:rPr>
              <w:t>-----------</w:t>
            </w:r>
          </w:p>
        </w:tc>
      </w:tr>
      <w:tr>
        <w:trPr>
          <w:trHeight w:val="529"/>
        </w:trPr>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5.1</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Opinion of Hale and Dorr LLP.</w:t>
            </w:r>
          </w:p>
        </w:tc>
      </w:tr>
      <w:tr>
        <w:trPr>
          <w:trHeight w:val="176"/>
        </w:trPr>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23.1</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Consent of Ernst &amp; Young LLP.</w:t>
            </w:r>
          </w:p>
        </w:tc>
      </w:tr>
      <w:tr>
        <w:trPr>
          <w:trHeight w:val="176"/>
        </w:trPr>
        <w:tc>
          <w:tcPr>
            <w:tcW w:w="1180" w:type="dxa"/>
            <w:vAlign w:val="bottom"/>
          </w:tcPr>
          <w:p>
            <w:pPr>
              <w:spacing w:after="0"/>
              <w:rPr>
                <w:sz w:val="15"/>
                <w:szCs w:val="15"/>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Consent of Hale and Dorr LLP, included in Exhibit 5.1 filed</w:t>
            </w:r>
          </w:p>
        </w:tc>
      </w:tr>
      <w:tr>
        <w:trPr>
          <w:trHeight w:val="176"/>
        </w:trPr>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23.2</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herewith.</w:t>
            </w:r>
          </w:p>
        </w:tc>
      </w:tr>
      <w:tr>
        <w:trPr>
          <w:trHeight w:val="176"/>
        </w:trPr>
        <w:tc>
          <w:tcPr>
            <w:tcW w:w="1180" w:type="dxa"/>
            <w:vAlign w:val="bottom"/>
          </w:tcPr>
          <w:p>
            <w:pPr>
              <w:spacing w:after="0"/>
              <w:rPr>
                <w:sz w:val="15"/>
                <w:szCs w:val="15"/>
                <w:color w:val="auto"/>
              </w:rPr>
            </w:pP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Power of Attorney (See page II-4 of this Registration</w:t>
            </w:r>
          </w:p>
        </w:tc>
      </w:tr>
      <w:tr>
        <w:trPr>
          <w:trHeight w:val="176"/>
        </w:trPr>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24.1</w:t>
            </w:r>
          </w:p>
        </w:tc>
        <w:tc>
          <w:tcPr>
            <w:tcW w:w="5600" w:type="dxa"/>
            <w:vAlign w:val="bottom"/>
          </w:tcPr>
          <w:p>
            <w:pPr>
              <w:ind w:left="180"/>
              <w:spacing w:after="0"/>
              <w:rPr>
                <w:sz w:val="20"/>
                <w:szCs w:val="20"/>
                <w:color w:val="auto"/>
              </w:rPr>
            </w:pPr>
            <w:r>
              <w:rPr>
                <w:rFonts w:ascii="Courier New" w:cs="Courier New" w:eastAsia="Courier New" w:hAnsi="Courier New"/>
                <w:sz w:val="15"/>
                <w:szCs w:val="15"/>
                <w:color w:val="auto"/>
              </w:rPr>
              <w:t>Statement).</w:t>
            </w:r>
          </w:p>
        </w:tc>
      </w:tr>
    </w:tbl>
    <w:p>
      <w:pPr>
        <w:sectPr>
          <w:pgSz w:w="11900" w:h="16838" w:orient="portrait"/>
          <w:cols w:equalWidth="0" w:num="1">
            <w:col w:w="10219"/>
          </w:cols>
          <w:pgMar w:left="240" w:top="294" w:right="1440" w:bottom="1440" w:gutter="0" w:footer="0" w:header="0"/>
        </w:sectPr>
      </w:pPr>
    </w:p>
    <w:bookmarkStart w:id="20" w:name="page21"/>
    <w:bookmarkEnd w:id="20"/>
    <w:p>
      <w:pPr>
        <w:ind w:left="266"/>
        <w:spacing w:after="0"/>
        <w:rPr>
          <w:sz w:val="20"/>
          <w:szCs w:val="20"/>
          <w:color w:val="auto"/>
        </w:rPr>
      </w:pPr>
      <w:r>
        <w:rPr>
          <w:rFonts w:ascii="Courier New" w:cs="Courier New" w:eastAsia="Courier New" w:hAnsi="Courier New"/>
          <w:sz w:val="15"/>
          <w:szCs w:val="15"/>
          <w:color w:val="auto"/>
        </w:rPr>
        <w:t>1</w:t>
      </w:r>
    </w:p>
    <w:p>
      <w:pPr>
        <w:spacing w:after="0" w:line="6" w:lineRule="exact"/>
        <w:rPr>
          <w:sz w:val="20"/>
          <w:szCs w:val="20"/>
          <w:color w:val="auto"/>
        </w:rPr>
      </w:pPr>
    </w:p>
    <w:p>
      <w:pPr>
        <w:ind w:left="6326"/>
        <w:spacing w:after="0"/>
        <w:rPr>
          <w:sz w:val="20"/>
          <w:szCs w:val="20"/>
          <w:color w:val="auto"/>
        </w:rPr>
      </w:pPr>
      <w:r>
        <w:rPr>
          <w:rFonts w:ascii="Courier New" w:cs="Courier New" w:eastAsia="Courier New" w:hAnsi="Courier New"/>
          <w:sz w:val="15"/>
          <w:szCs w:val="15"/>
          <w:color w:val="auto"/>
        </w:rPr>
        <w:t>EXHIBIT 5.1</w:t>
      </w:r>
    </w:p>
    <w:p>
      <w:pPr>
        <w:spacing w:after="0" w:line="182"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HALE AND DORR LLP</w:t>
      </w:r>
    </w:p>
    <w:p>
      <w:pPr>
        <w:spacing w:after="0" w:line="6" w:lineRule="exact"/>
        <w:rPr>
          <w:sz w:val="20"/>
          <w:szCs w:val="20"/>
          <w:color w:val="auto"/>
        </w:rPr>
      </w:pPr>
    </w:p>
    <w:p>
      <w:pPr>
        <w:ind w:left="2846"/>
        <w:spacing w:after="0"/>
        <w:rPr>
          <w:sz w:val="20"/>
          <w:szCs w:val="20"/>
          <w:color w:val="auto"/>
        </w:rPr>
      </w:pPr>
      <w:r>
        <w:rPr>
          <w:rFonts w:ascii="Courier New" w:cs="Courier New" w:eastAsia="Courier New" w:hAnsi="Courier New"/>
          <w:sz w:val="15"/>
          <w:szCs w:val="15"/>
          <w:color w:val="auto"/>
        </w:rPr>
        <w:t>COUNSELLORS AT LAW</w:t>
      </w:r>
    </w:p>
    <w:p>
      <w:pPr>
        <w:spacing w:after="0" w:line="6" w:lineRule="exact"/>
        <w:rPr>
          <w:sz w:val="20"/>
          <w:szCs w:val="20"/>
          <w:color w:val="auto"/>
        </w:rPr>
      </w:pPr>
    </w:p>
    <w:p>
      <w:pPr>
        <w:ind w:left="1646"/>
        <w:spacing w:after="0"/>
        <w:rPr>
          <w:sz w:val="20"/>
          <w:szCs w:val="20"/>
          <w:color w:val="auto"/>
        </w:rPr>
      </w:pPr>
      <w:r>
        <w:rPr>
          <w:rFonts w:ascii="Courier New" w:cs="Courier New" w:eastAsia="Courier New" w:hAnsi="Courier New"/>
          <w:sz w:val="15"/>
          <w:szCs w:val="15"/>
          <w:color w:val="auto"/>
        </w:rPr>
        <w:t>60 STATE STREET, BOSTON, MASSACHUSETTS 02109</w:t>
      </w:r>
    </w:p>
    <w:p>
      <w:pPr>
        <w:spacing w:after="0" w:line="6"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617-526-6000 - FAX 617-526-5000</w:t>
      </w:r>
    </w:p>
    <w:p>
      <w:pPr>
        <w:spacing w:after="0" w:line="182"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December 8, 2000</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Analog Devices, Inc.</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One Technology Way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Norwood, Massachusetts 02062-9106</w:t>
      </w:r>
    </w:p>
    <w:p>
      <w:pPr>
        <w:spacing w:after="0" w:line="182"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Registration Statement on Form S-3</w:t>
      </w:r>
    </w:p>
    <w:p>
      <w:pPr>
        <w:spacing w:after="0" w:line="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Ladies and Gentlemen:</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This opinion is furnished to you in connection with a Registration Statement on Form S-3 (the "Registration Statement") to be filed with the Securities and Exchange Commission (the "Commission") under the Securities Act of 1933, as amended (the "Securities Act"), for the registration of an aggregate of 1,359,329 shares of Common Stock, $0.16 2/3 par value per share (the "Shares"), of Analog Devices, Inc., a Massachusetts corporation (the "Company"). All of the Shares are being registered on behalf of certain stockholders of the Company (the "Selling Stockholders").</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We are acting as counsel for the Company in connection with the registration for resale of the Shares. We have examined signed copies of the Registration Statement to be filed with the Commission. We have also examined and relied upon minutes of meetings of the Board of Directors of the Company as provided to us by the Company, the Articles of Organization and By-Laws of the Company, each as restated and/or amended to date, and such other documents as we have deemed necessary for purposes of rendering the opinions hereinafter set forth.</w:t>
      </w:r>
    </w:p>
    <w:p>
      <w:pPr>
        <w:spacing w:after="0" w:line="35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w:t>
      </w:r>
    </w:p>
    <w:p>
      <w:pPr>
        <w:spacing w:after="0" w:line="176"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Our opinion below, insofar as it relates to the Selling Stockholders' shares being fully paid, is based solely on a certificate of the Chief Financial Officer of the Company confirming the Company's receipt of the consideration called for by the applicable resolutions authorizing the issuance of such shares.</w:t>
      </w:r>
    </w:p>
    <w:p>
      <w:pPr>
        <w:spacing w:after="0" w:line="35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We assume that the appropriate action will be taken, prior to the offer and sale of the Shares, to register and qualify the Shares for sale under all applicable state securities or "blue sky" laws.</w:t>
      </w:r>
    </w:p>
    <w:p>
      <w:pPr>
        <w:spacing w:after="0" w:line="176"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We express no opinion herein as to the laws of any state or jurisdiction other than the state laws of the Commonwealth of Massachusetts, and the federal laws of the United States of America.</w:t>
      </w:r>
    </w:p>
    <w:p>
      <w:pPr>
        <w:spacing w:after="0" w:line="176" w:lineRule="exact"/>
        <w:rPr>
          <w:sz w:val="20"/>
          <w:szCs w:val="20"/>
          <w:color w:val="auto"/>
        </w:rPr>
      </w:pPr>
    </w:p>
    <w:p>
      <w:pPr>
        <w:ind w:left="6" w:right="3259" w:firstLine="458"/>
        <w:spacing w:after="0" w:line="249" w:lineRule="auto"/>
        <w:rPr>
          <w:sz w:val="20"/>
          <w:szCs w:val="20"/>
          <w:color w:val="auto"/>
        </w:rPr>
      </w:pPr>
      <w:r>
        <w:rPr>
          <w:rFonts w:ascii="Courier New" w:cs="Courier New" w:eastAsia="Courier New" w:hAnsi="Courier New"/>
          <w:sz w:val="15"/>
          <w:szCs w:val="15"/>
          <w:color w:val="auto"/>
        </w:rPr>
        <w:t>Based upon and subject to the foregoing, we are of the opinion that the Shares have been duly authorized and are validly issued, fully paid and nonassessable.</w:t>
      </w:r>
    </w:p>
    <w:p>
      <w:pPr>
        <w:spacing w:after="0" w:line="176" w:lineRule="exact"/>
        <w:rPr>
          <w:sz w:val="20"/>
          <w:szCs w:val="20"/>
          <w:color w:val="auto"/>
        </w:rPr>
      </w:pPr>
    </w:p>
    <w:p>
      <w:pPr>
        <w:ind w:left="6" w:right="2979" w:firstLine="458"/>
        <w:spacing w:after="0" w:line="250" w:lineRule="auto"/>
        <w:rPr>
          <w:sz w:val="20"/>
          <w:szCs w:val="20"/>
          <w:color w:val="auto"/>
        </w:rPr>
      </w:pPr>
      <w:r>
        <w:rPr>
          <w:rFonts w:ascii="Courier New" w:cs="Courier New" w:eastAsia="Courier New" w:hAnsi="Courier New"/>
          <w:sz w:val="15"/>
          <w:szCs w:val="15"/>
          <w:color w:val="auto"/>
        </w:rPr>
        <w:t>It is understood that this opinion is to be used only in connection with the offer and sale of the Shares while the Registration Statement is in effect.</w:t>
      </w:r>
    </w:p>
    <w:p>
      <w:pPr>
        <w:spacing w:after="0" w:line="175"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76" w:lineRule="exact"/>
        <w:rPr>
          <w:sz w:val="20"/>
          <w:szCs w:val="20"/>
          <w:color w:val="auto"/>
        </w:rPr>
      </w:pPr>
    </w:p>
    <w:p>
      <w:pPr>
        <w:ind w:left="6"/>
        <w:spacing w:after="0"/>
        <w:tabs>
          <w:tab w:leader="none" w:pos="1346" w:val="left"/>
          <w:tab w:leader="none" w:pos="3366" w:val="left"/>
          <w:tab w:leader="none" w:pos="4826" w:val="left"/>
          <w:tab w:leader="none" w:pos="6666" w:val="left"/>
        </w:tabs>
        <w:rPr>
          <w:sz w:val="20"/>
          <w:szCs w:val="20"/>
          <w:color w:val="auto"/>
        </w:rPr>
      </w:pPr>
      <w:r>
        <w:rPr>
          <w:rFonts w:ascii="Courier New" w:cs="Courier New" w:eastAsia="Courier New" w:hAnsi="Courier New"/>
          <w:sz w:val="15"/>
          <w:szCs w:val="15"/>
          <w:color w:val="auto"/>
        </w:rPr>
        <w:t>BOSTON</w:t>
      </w:r>
      <w:r>
        <w:rPr>
          <w:sz w:val="20"/>
          <w:szCs w:val="20"/>
          <w:color w:val="auto"/>
        </w:rPr>
        <w:tab/>
      </w: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5"/>
          <w:szCs w:val="15"/>
          <w:color w:val="auto"/>
        </w:rPr>
        <w:t>NEW YORK</w:t>
      </w:r>
      <w:r>
        <w:rPr>
          <w:sz w:val="20"/>
          <w:szCs w:val="20"/>
          <w:color w:val="auto"/>
        </w:rPr>
        <w:tab/>
      </w:r>
      <w:r>
        <w:rPr>
          <w:rFonts w:ascii="Courier New" w:cs="Courier New" w:eastAsia="Courier New" w:hAnsi="Courier New"/>
          <w:sz w:val="15"/>
          <w:szCs w:val="15"/>
          <w:color w:val="auto"/>
        </w:rPr>
        <w:t>RESTON, VA</w:t>
      </w:r>
      <w:r>
        <w:rPr>
          <w:sz w:val="20"/>
          <w:szCs w:val="20"/>
          <w:color w:val="auto"/>
        </w:rPr>
        <w:tab/>
      </w:r>
      <w:r>
        <w:rPr>
          <w:rFonts w:ascii="Courier New" w:cs="Courier New" w:eastAsia="Courier New" w:hAnsi="Courier New"/>
          <w:sz w:val="15"/>
          <w:szCs w:val="15"/>
          <w:color w:val="auto"/>
        </w:rPr>
        <w:t>LONDON*</w:t>
      </w:r>
    </w:p>
    <w:p>
      <w:pPr>
        <w:spacing w:after="0" w:line="6" w:lineRule="exact"/>
        <w:rPr>
          <w:sz w:val="20"/>
          <w:szCs w:val="20"/>
          <w:color w:val="auto"/>
        </w:rPr>
      </w:pPr>
    </w:p>
    <w:p>
      <w:pPr>
        <w:ind w:left="186" w:hanging="186"/>
        <w:spacing w:after="0"/>
        <w:tabs>
          <w:tab w:leader="none" w:pos="18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26" w:right="4179" w:hanging="550"/>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Hale and Dorr LLP Includes Professional Corporations * an independent joint venture law firm</w:t>
      </w:r>
    </w:p>
    <w:p>
      <w:pPr>
        <w:sectPr>
          <w:pgSz w:w="11900" w:h="16838" w:orient="portrait"/>
          <w:cols w:equalWidth="0" w:num="1">
            <w:col w:w="10225"/>
          </w:cols>
          <w:pgMar w:left="234" w:top="142"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8, 2000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under the caption "Legal Matters." In giving such consent, we do not hereby admit that we are in the category of persons whose consent is required under Section 7 of the Securities Act or the rules and regulations of the Commission.</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Very truly yours,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/s/ Hale and Dorr LLP</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HALE AND DORR LLP</w:t>
      </w:r>
    </w:p>
    <w:p>
      <w:pPr>
        <w:sectPr>
          <w:pgSz w:w="11900" w:h="16838" w:orient="portrait"/>
          <w:cols w:equalWidth="0" w:num="1">
            <w:col w:w="10219"/>
          </w:cols>
          <w:pgMar w:left="240" w:top="294"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1</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23.1</w:t>
      </w:r>
    </w:p>
    <w:p>
      <w:pPr>
        <w:spacing w:after="0" w:line="18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We consent to the reference to our firm under the caption "Experts" in the Registration Statement (Form S-3) and related Prospectus of Analog Devices, Inc. for the registration of shares of its common stock and to the incorporation by reference therein of our report dated November 30, 1999, with respect to the consolidated financial statements of Analog Devices, Inc. incorporated by reference in its Annual Report (Form 10-K) for the year ended October 30, 1999, and our report dated January 25, 2000 with respect to the related financial statement schedule included therein, filed with the Securities and Exchange Commission.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5, 2000</w:t>
      </w:r>
    </w:p>
    <w:sectPr>
      <w:pgSz w:w="11900" w:h="16838" w:orient="portrait"/>
      <w:cols w:equalWidth="0" w:num="1">
        <w:col w:w="10219"/>
      </w:cols>
      <w:pgMar w:left="24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lvl w:ilvl="1">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lvl w:ilvl="1">
      <w:lvlJc w:val="left"/>
      <w:lvlText w:val="(%2)"/>
      <w:numFmt w:val="lowerRoman"/>
      <w:start w:val="1"/>
    </w:lvl>
  </w:abstractNum>
  <w:abstractNum w:abstractNumId="15">
    <w:nsid w:val="4E6AFB66"/>
    <w:multiLevelType w:val="hybridMultilevel"/>
    <w:lvl w:ilvl="0">
      <w:lvlJc w:val="left"/>
      <w:lvlText w:val="(%1)"/>
      <w:numFmt w:val="decimal"/>
      <w:start w:val="2"/>
    </w:lvl>
  </w:abstractNum>
  <w:abstractNum w:abstractNumId="16">
    <w:nsid w:val="25E45D32"/>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2019-12-20T05:23:02Z</dcterms:created>
  <dcterms:modified xsi:type="dcterms:W3CDTF">2019-12-20T05:23:02Z</dcterms:modified>
</cp:coreProperties>
</file>