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0"/>
          <w:szCs w:val="20"/>
          <w:color w:val="auto"/>
        </w:rPr>
      </w:pPr>
    </w:p>
    <w:p>
      <w:pPr>
        <w:ind w:left="2320" w:right="3240" w:hanging="1353"/>
        <w:spacing w:after="0" w:line="183" w:lineRule="auto"/>
        <w:tabs>
          <w:tab w:leader="none" w:pos="2320" w:val="left"/>
        </w:tabs>
        <w:numPr>
          <w:ilvl w:val="0"/>
          <w:numId w:val="1"/>
        </w:numPr>
        <w:rPr>
          <w:rFonts w:ascii="MS PGothic" w:cs="MS PGothic" w:eastAsia="MS PGothic" w:hAnsi="MS PGothic"/>
          <w:sz w:val="38"/>
          <w:szCs w:val="38"/>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205" w:lineRule="exact"/>
        <w:rPr>
          <w:rFonts w:ascii="MS PGothic" w:cs="MS PGothic" w:eastAsia="MS PGothic" w:hAnsi="MS PGothic"/>
          <w:sz w:val="38"/>
          <w:szCs w:val="38"/>
          <w:color w:val="auto"/>
          <w:vertAlign w:val="subscript"/>
        </w:rPr>
      </w:pPr>
    </w:p>
    <w:p>
      <w:pPr>
        <w:ind w:left="2320"/>
        <w:spacing w:after="0"/>
        <w:rPr>
          <w:rFonts w:ascii="MS PGothic" w:cs="MS PGothic" w:eastAsia="MS PGothic" w:hAnsi="MS PGothic"/>
          <w:sz w:val="38"/>
          <w:szCs w:val="38"/>
          <w:color w:val="auto"/>
          <w:vertAlign w:val="subscript"/>
        </w:rPr>
      </w:pPr>
      <w:r>
        <w:rPr>
          <w:rFonts w:ascii="Arial" w:cs="Arial" w:eastAsia="Arial" w:hAnsi="Arial"/>
          <w:sz w:val="18"/>
          <w:szCs w:val="18"/>
          <w:b w:val="1"/>
          <w:bCs w:val="1"/>
          <w:color w:val="auto"/>
        </w:rPr>
        <w:t>For the quarterly period ended May 4, 2002</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2320" w:right="3220" w:hanging="1313"/>
        <w:spacing w:after="0" w:line="231" w:lineRule="auto"/>
        <w:tabs>
          <w:tab w:leader="none" w:pos="232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5" w:lineRule="exact"/>
        <w:rPr>
          <w:rFonts w:ascii="Arial" w:cs="Arial" w:eastAsia="Arial" w:hAnsi="Arial"/>
          <w:sz w:val="22"/>
          <w:szCs w:val="22"/>
          <w:color w:val="auto"/>
        </w:rPr>
      </w:pPr>
    </w:p>
    <w:p>
      <w:pPr>
        <w:ind w:left="2320"/>
        <w:spacing w:after="0"/>
        <w:rPr>
          <w:rFonts w:ascii="Arial" w:cs="Arial" w:eastAsia="Arial" w:hAnsi="Arial"/>
          <w:sz w:val="22"/>
          <w:szCs w:val="22"/>
          <w:color w:val="auto"/>
        </w:rPr>
      </w:pPr>
      <w:r>
        <w:rPr>
          <w:rFonts w:ascii="Arial" w:cs="Arial" w:eastAsia="Arial" w:hAnsi="Arial"/>
          <w:sz w:val="18"/>
          <w:szCs w:val="18"/>
          <w:b w:val="1"/>
          <w:bCs w:val="1"/>
          <w:color w:val="auto"/>
        </w:rPr>
        <w:t>For the Transition period from _______________ to ________________</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No. 1-7819</w:t>
      </w:r>
    </w:p>
    <w:p>
      <w:pPr>
        <w:spacing w:after="0" w:line="196"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Analog Devices, Inc.</w:t>
      </w:r>
    </w:p>
    <w:p>
      <w:pPr>
        <w:spacing w:after="0" w:line="49" w:lineRule="exact"/>
        <w:rPr>
          <w:sz w:val="20"/>
          <w:szCs w:val="20"/>
          <w:color w:val="auto"/>
        </w:rPr>
      </w:pPr>
    </w:p>
    <w:p>
      <w:pPr>
        <w:jc w:val="center"/>
        <w:ind w:right="-19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0" w:lineRule="exact"/>
        <w:rPr>
          <w:sz w:val="20"/>
          <w:szCs w:val="20"/>
          <w:color w:val="auto"/>
        </w:rPr>
      </w:pPr>
    </w:p>
    <w:p>
      <w:pPr>
        <w:spacing w:after="0" w:line="232" w:lineRule="exact"/>
        <w:rPr>
          <w:sz w:val="20"/>
          <w:szCs w:val="20"/>
          <w:color w:val="auto"/>
        </w:rPr>
      </w:pPr>
    </w:p>
    <w:tbl>
      <w:tblPr>
        <w:tblLayout w:type="fixed"/>
        <w:tblInd w:w="1600" w:type="dxa"/>
        <w:tblCellMar>
          <w:top w:w="0" w:type="dxa"/>
          <w:left w:w="0" w:type="dxa"/>
          <w:bottom w:w="0" w:type="dxa"/>
          <w:right w:w="0" w:type="dxa"/>
        </w:tblCellMar>
      </w:tblPr>
      <w:tr>
        <w:trPr>
          <w:trHeight w:val="220"/>
        </w:trPr>
        <w:tc>
          <w:tcPr>
            <w:tcW w:w="5960" w:type="dxa"/>
            <w:vAlign w:val="bottom"/>
          </w:tcPr>
          <w:p>
            <w:pPr>
              <w:jc w:val="center"/>
              <w:ind w:right="3124"/>
              <w:spacing w:after="0"/>
              <w:rPr>
                <w:sz w:val="20"/>
                <w:szCs w:val="20"/>
                <w:color w:val="auto"/>
              </w:rPr>
            </w:pPr>
            <w:r>
              <w:rPr>
                <w:rFonts w:ascii="Arial" w:cs="Arial" w:eastAsia="Arial" w:hAnsi="Arial"/>
                <w:sz w:val="18"/>
                <w:szCs w:val="18"/>
                <w:b w:val="1"/>
                <w:bCs w:val="1"/>
                <w:color w:val="auto"/>
                <w:w w:val="83"/>
              </w:rPr>
              <w:t>Massachusetts</w:t>
            </w:r>
          </w:p>
        </w:tc>
        <w:tc>
          <w:tcPr>
            <w:tcW w:w="1400" w:type="dxa"/>
            <w:vAlign w:val="bottom"/>
          </w:tcPr>
          <w:p>
            <w:pPr>
              <w:jc w:val="center"/>
              <w:ind w:left="324"/>
              <w:spacing w:after="0"/>
              <w:rPr>
                <w:sz w:val="20"/>
                <w:szCs w:val="20"/>
                <w:color w:val="auto"/>
              </w:rPr>
            </w:pPr>
            <w:r>
              <w:rPr>
                <w:rFonts w:ascii="Arial" w:cs="Arial" w:eastAsia="Arial" w:hAnsi="Arial"/>
                <w:sz w:val="18"/>
                <w:szCs w:val="18"/>
                <w:b w:val="1"/>
                <w:bCs w:val="1"/>
                <w:color w:val="auto"/>
                <w:w w:val="87"/>
              </w:rPr>
              <w:t>04-2348234</w:t>
            </w:r>
          </w:p>
        </w:tc>
      </w:tr>
      <w:tr>
        <w:trPr>
          <w:trHeight w:val="149"/>
        </w:trPr>
        <w:tc>
          <w:tcPr>
            <w:tcW w:w="5960" w:type="dxa"/>
            <w:vAlign w:val="bottom"/>
          </w:tcPr>
          <w:p>
            <w:pPr>
              <w:jc w:val="center"/>
              <w:ind w:right="3124"/>
              <w:spacing w:after="0" w:line="149" w:lineRule="exact"/>
              <w:rPr>
                <w:sz w:val="20"/>
                <w:szCs w:val="20"/>
                <w:color w:val="auto"/>
              </w:rPr>
            </w:pPr>
            <w:r>
              <w:rPr>
                <w:rFonts w:ascii="Arial" w:cs="Arial" w:eastAsia="Arial" w:hAnsi="Arial"/>
                <w:sz w:val="14"/>
                <w:szCs w:val="14"/>
                <w:i w:val="1"/>
                <w:iCs w:val="1"/>
                <w:color w:val="auto"/>
                <w:w w:val="91"/>
              </w:rPr>
              <w:t>(State or other jurisdiction of</w:t>
            </w:r>
          </w:p>
        </w:tc>
        <w:tc>
          <w:tcPr>
            <w:tcW w:w="1400" w:type="dxa"/>
            <w:vAlign w:val="bottom"/>
          </w:tcPr>
          <w:p>
            <w:pPr>
              <w:jc w:val="center"/>
              <w:ind w:left="304"/>
              <w:spacing w:after="0" w:line="149" w:lineRule="exact"/>
              <w:rPr>
                <w:sz w:val="20"/>
                <w:szCs w:val="20"/>
                <w:color w:val="auto"/>
              </w:rPr>
            </w:pPr>
            <w:r>
              <w:rPr>
                <w:rFonts w:ascii="Arial" w:cs="Arial" w:eastAsia="Arial" w:hAnsi="Arial"/>
                <w:sz w:val="14"/>
                <w:szCs w:val="14"/>
                <w:i w:val="1"/>
                <w:iCs w:val="1"/>
                <w:color w:val="auto"/>
                <w:w w:val="87"/>
              </w:rPr>
              <w:t>(I.R.S. Employer</w:t>
            </w:r>
          </w:p>
        </w:tc>
      </w:tr>
      <w:tr>
        <w:trPr>
          <w:trHeight w:val="172"/>
        </w:trPr>
        <w:tc>
          <w:tcPr>
            <w:tcW w:w="5960" w:type="dxa"/>
            <w:vAlign w:val="bottom"/>
          </w:tcPr>
          <w:p>
            <w:pPr>
              <w:jc w:val="center"/>
              <w:ind w:right="3124"/>
              <w:spacing w:after="0"/>
              <w:rPr>
                <w:sz w:val="20"/>
                <w:szCs w:val="20"/>
                <w:color w:val="auto"/>
              </w:rPr>
            </w:pPr>
            <w:r>
              <w:rPr>
                <w:rFonts w:ascii="Arial" w:cs="Arial" w:eastAsia="Arial" w:hAnsi="Arial"/>
                <w:sz w:val="14"/>
                <w:szCs w:val="14"/>
                <w:i w:val="1"/>
                <w:iCs w:val="1"/>
                <w:color w:val="auto"/>
                <w:w w:val="92"/>
              </w:rPr>
              <w:t>incorporation or organization)</w:t>
            </w:r>
          </w:p>
        </w:tc>
        <w:tc>
          <w:tcPr>
            <w:tcW w:w="1400" w:type="dxa"/>
            <w:vAlign w:val="bottom"/>
          </w:tcPr>
          <w:p>
            <w:pPr>
              <w:jc w:val="center"/>
              <w:ind w:left="324"/>
              <w:spacing w:after="0"/>
              <w:rPr>
                <w:sz w:val="20"/>
                <w:szCs w:val="20"/>
                <w:color w:val="auto"/>
              </w:rPr>
            </w:pPr>
            <w:r>
              <w:rPr>
                <w:rFonts w:ascii="Arial" w:cs="Arial" w:eastAsia="Arial" w:hAnsi="Arial"/>
                <w:sz w:val="14"/>
                <w:szCs w:val="14"/>
                <w:i w:val="1"/>
                <w:iCs w:val="1"/>
                <w:color w:val="auto"/>
                <w:w w:val="91"/>
              </w:rPr>
              <w:t>Identification No.)</w:t>
            </w:r>
          </w:p>
        </w:tc>
      </w:tr>
      <w:tr>
        <w:trPr>
          <w:trHeight w:val="408"/>
        </w:trPr>
        <w:tc>
          <w:tcPr>
            <w:tcW w:w="5960" w:type="dxa"/>
            <w:vAlign w:val="bottom"/>
          </w:tcPr>
          <w:p>
            <w:pPr>
              <w:jc w:val="center"/>
              <w:ind w:right="3124"/>
              <w:spacing w:after="0"/>
              <w:rPr>
                <w:sz w:val="20"/>
                <w:szCs w:val="20"/>
                <w:color w:val="auto"/>
              </w:rPr>
            </w:pPr>
            <w:r>
              <w:rPr>
                <w:rFonts w:ascii="Arial" w:cs="Arial" w:eastAsia="Arial" w:hAnsi="Arial"/>
                <w:sz w:val="18"/>
                <w:szCs w:val="18"/>
                <w:b w:val="1"/>
                <w:bCs w:val="1"/>
                <w:color w:val="auto"/>
                <w:w w:val="89"/>
              </w:rPr>
              <w:t>One Technology Way, Norwood, MA</w:t>
            </w:r>
          </w:p>
        </w:tc>
        <w:tc>
          <w:tcPr>
            <w:tcW w:w="1400" w:type="dxa"/>
            <w:vAlign w:val="bottom"/>
          </w:tcPr>
          <w:p>
            <w:pPr>
              <w:jc w:val="center"/>
              <w:ind w:left="324"/>
              <w:spacing w:after="0"/>
              <w:rPr>
                <w:sz w:val="20"/>
                <w:szCs w:val="20"/>
                <w:color w:val="auto"/>
              </w:rPr>
            </w:pPr>
            <w:r>
              <w:rPr>
                <w:rFonts w:ascii="Arial" w:cs="Arial" w:eastAsia="Arial" w:hAnsi="Arial"/>
                <w:sz w:val="18"/>
                <w:szCs w:val="18"/>
                <w:b w:val="1"/>
                <w:bCs w:val="1"/>
                <w:color w:val="auto"/>
                <w:w w:val="87"/>
              </w:rPr>
              <w:t>02062-9106</w:t>
            </w:r>
          </w:p>
        </w:tc>
      </w:tr>
      <w:tr>
        <w:trPr>
          <w:trHeight w:val="172"/>
        </w:trPr>
        <w:tc>
          <w:tcPr>
            <w:tcW w:w="5960" w:type="dxa"/>
            <w:vAlign w:val="bottom"/>
          </w:tcPr>
          <w:p>
            <w:pPr>
              <w:jc w:val="center"/>
              <w:ind w:right="3124"/>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1400" w:type="dxa"/>
            <w:vAlign w:val="bottom"/>
          </w:tcPr>
          <w:p>
            <w:pPr>
              <w:jc w:val="center"/>
              <w:ind w:left="324"/>
              <w:spacing w:after="0"/>
              <w:rPr>
                <w:sz w:val="20"/>
                <w:szCs w:val="20"/>
                <w:color w:val="auto"/>
              </w:rPr>
            </w:pPr>
            <w:r>
              <w:rPr>
                <w:rFonts w:ascii="Arial" w:cs="Arial" w:eastAsia="Arial" w:hAnsi="Arial"/>
                <w:sz w:val="14"/>
                <w:szCs w:val="14"/>
                <w:i w:val="1"/>
                <w:iCs w:val="1"/>
                <w:color w:val="auto"/>
                <w:w w:val="90"/>
              </w:rPr>
              <w:t>(Zip Code)</w:t>
            </w:r>
          </w:p>
        </w:tc>
      </w:tr>
      <w:tr>
        <w:trPr>
          <w:trHeight w:val="476"/>
        </w:trPr>
        <w:tc>
          <w:tcPr>
            <w:tcW w:w="5960" w:type="dxa"/>
            <w:vAlign w:val="bottom"/>
          </w:tcPr>
          <w:p>
            <w:pPr>
              <w:jc w:val="right"/>
              <w:ind w:right="1224"/>
              <w:spacing w:after="0"/>
              <w:rPr>
                <w:sz w:val="20"/>
                <w:szCs w:val="20"/>
                <w:color w:val="auto"/>
              </w:rPr>
            </w:pPr>
            <w:r>
              <w:rPr>
                <w:rFonts w:ascii="Arial" w:cs="Arial" w:eastAsia="Arial" w:hAnsi="Arial"/>
                <w:sz w:val="18"/>
                <w:szCs w:val="18"/>
                <w:b w:val="1"/>
                <w:bCs w:val="1"/>
                <w:color w:val="auto"/>
              </w:rPr>
              <w:t>(781) 329-4700</w:t>
            </w:r>
          </w:p>
        </w:tc>
        <w:tc>
          <w:tcPr>
            <w:tcW w:w="1400" w:type="dxa"/>
            <w:vAlign w:val="bottom"/>
          </w:tcPr>
          <w:p>
            <w:pPr>
              <w:spacing w:after="0"/>
              <w:rPr>
                <w:sz w:val="24"/>
                <w:szCs w:val="24"/>
                <w:color w:val="auto"/>
              </w:rPr>
            </w:pPr>
          </w:p>
        </w:tc>
      </w:tr>
      <w:tr>
        <w:trPr>
          <w:trHeight w:val="172"/>
        </w:trPr>
        <w:tc>
          <w:tcPr>
            <w:tcW w:w="5960" w:type="dxa"/>
            <w:vAlign w:val="bottom"/>
          </w:tcPr>
          <w:p>
            <w:pPr>
              <w:jc w:val="center"/>
              <w:ind w:left="2184"/>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14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128905</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firstLine="2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number of shares outstanding of each of the issuer’s classes of Common Stock as of May 4, 2002 was 365,695,987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581025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2" w:right="4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FINANCIAL INFORMATION</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spacing w:after="0" w:line="1" w:lineRule="exact"/>
        <w:rPr>
          <w:sz w:val="20"/>
          <w:szCs w:val="20"/>
          <w:color w:val="auto"/>
        </w:rPr>
      </w:pPr>
    </w:p>
    <w:p>
      <w:pPr>
        <w:ind w:left="320" w:right="259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CONDENSED CONSOLIDATED STATEMENTS OF INCOME</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CONDENSED CONSOLIDATED STATEMENTS OF INCOME</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CONDENSED CONSOLIDATED BALANCE SHEETS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CONDENSED CONSOLIDATED BALANCE SHEETS</w:t>
        </w:r>
      </w:hyperlink>
      <w:r>
        <w:rPr>
          <w:rFonts w:ascii="Arial" w:cs="Arial" w:eastAsia="Arial" w:hAnsi="Arial"/>
          <w:sz w:val="22"/>
          <w:szCs w:val="22"/>
          <w:u w:val="single" w:color="auto"/>
          <w:color w:val="0000EE"/>
        </w:rPr>
        <w:t xml:space="preserve"> </w:t>
      </w:r>
      <w:hyperlink w:anchor="page8">
        <w:r>
          <w:rPr>
            <w:rFonts w:ascii="Arial" w:cs="Arial" w:eastAsia="Arial" w:hAnsi="Arial"/>
            <w:sz w:val="22"/>
            <w:szCs w:val="22"/>
            <w:u w:val="single" w:color="auto"/>
            <w:color w:val="0000EE"/>
          </w:rPr>
          <w:t>CONDENSED CONSOLIDATED STATEMENTS OF CASH FLOWS</w:t>
        </w:r>
      </w:hyperlink>
      <w:r>
        <w:rPr>
          <w:rFonts w:ascii="Arial" w:cs="Arial" w:eastAsia="Arial" w:hAnsi="Arial"/>
          <w:sz w:val="22"/>
          <w:szCs w:val="22"/>
          <w:u w:val="single" w:color="auto"/>
          <w:color w:val="0000EE"/>
        </w:rPr>
        <w:t xml:space="preserve"> </w:t>
      </w:r>
      <w:hyperlink w:anchor="page9">
        <w:r>
          <w:rPr>
            <w:rFonts w:ascii="Arial" w:cs="Arial" w:eastAsia="Arial" w:hAnsi="Arial"/>
            <w:sz w:val="22"/>
            <w:szCs w:val="22"/>
            <w:u w:val="single" w:color="auto"/>
            <w:color w:val="0000EE"/>
          </w:rPr>
          <w:t>NOTES TO CONDENSED CONSOLIDATED FINANCIAL STATEMENTS</w:t>
        </w:r>
      </w:hyperlink>
    </w:p>
    <w:p>
      <w:pPr>
        <w:spacing w:after="0" w:line="4" w:lineRule="exact"/>
        <w:rPr>
          <w:rFonts w:ascii="Arial" w:cs="Arial" w:eastAsia="Arial" w:hAnsi="Arial"/>
          <w:sz w:val="22"/>
          <w:szCs w:val="22"/>
          <w:u w:val="single" w:color="auto"/>
          <w:color w:val="0000EE"/>
        </w:rPr>
      </w:pPr>
    </w:p>
    <w:p>
      <w:pPr>
        <w:ind w:left="320" w:right="799"/>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0">
        <w:r>
          <w:rPr>
            <w:rFonts w:ascii="Arial" w:cs="Arial" w:eastAsia="Arial" w:hAnsi="Arial"/>
            <w:sz w:val="22"/>
            <w:szCs w:val="22"/>
            <w:u w:val="single" w:color="auto"/>
            <w:color w:val="0000EE"/>
          </w:rPr>
          <w:t>Item 3. Quantitative and Qualitative Disclosures About Market Risk</w:t>
        </w:r>
      </w:hyperlink>
    </w:p>
    <w:p>
      <w:pPr>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PART II — OTHER INFORMATION</w:t>
        </w:r>
      </w:hyperlink>
    </w:p>
    <w:p>
      <w:pPr>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ANALOG DEVICES, INC.</w:t>
        </w:r>
      </w:hyperlink>
    </w:p>
    <w:p>
      <w:pPr>
        <w:ind w:left="320"/>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2.  Changes in Securities and Use of Proceeds</w:t>
        </w:r>
      </w:hyperlink>
    </w:p>
    <w:p>
      <w:pPr>
        <w:ind w:left="320" w:right="4039"/>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21">
        <w:r>
          <w:rPr>
            <w:rFonts w:ascii="Arial" w:cs="Arial" w:eastAsia="Arial" w:hAnsi="Arial"/>
            <w:sz w:val="22"/>
            <w:szCs w:val="22"/>
            <w:u w:val="single" w:color="auto"/>
            <w:color w:val="0000EE"/>
          </w:rPr>
          <w:t>Item 6. Exhibits and reports on Form 8-K</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FINANCIAL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r>
      <w:tr>
        <w:trPr>
          <w:trHeight w:val="95"/>
        </w:trPr>
        <w:tc>
          <w:tcPr>
            <w:tcW w:w="58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r>
      <w:tr>
        <w:trPr>
          <w:trHeight w:val="263"/>
        </w:trPr>
        <w:tc>
          <w:tcPr>
            <w:tcW w:w="5800" w:type="dxa"/>
            <w:vAlign w:val="bottom"/>
          </w:tcPr>
          <w:p>
            <w:pPr>
              <w:spacing w:after="0"/>
              <w:rPr>
                <w:sz w:val="22"/>
                <w:szCs w:val="22"/>
                <w:color w:val="auto"/>
              </w:rPr>
            </w:pPr>
          </w:p>
        </w:tc>
        <w:tc>
          <w:tcPr>
            <w:tcW w:w="1180" w:type="dxa"/>
            <w:vAlign w:val="bottom"/>
            <w:gridSpan w:val="3"/>
          </w:tcPr>
          <w:p>
            <w:pPr>
              <w:ind w:left="240"/>
              <w:spacing w:after="0"/>
              <w:rPr>
                <w:sz w:val="20"/>
                <w:szCs w:val="20"/>
                <w:color w:val="auto"/>
              </w:rPr>
            </w:pPr>
            <w:r>
              <w:rPr>
                <w:rFonts w:ascii="Arial" w:cs="Arial" w:eastAsia="Arial" w:hAnsi="Arial"/>
                <w:sz w:val="14"/>
                <w:szCs w:val="14"/>
                <w:b w:val="1"/>
                <w:bCs w:val="1"/>
                <w:color w:val="auto"/>
              </w:rPr>
              <w:t>May 4, 2002</w:t>
            </w:r>
          </w:p>
        </w:tc>
        <w:tc>
          <w:tcPr>
            <w:tcW w:w="360" w:type="dxa"/>
            <w:vAlign w:val="bottom"/>
          </w:tcPr>
          <w:p>
            <w:pPr>
              <w:spacing w:after="0"/>
              <w:rPr>
                <w:sz w:val="22"/>
                <w:szCs w:val="2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May 5, 2001</w:t>
            </w:r>
          </w:p>
        </w:tc>
      </w:tr>
      <w:tr>
        <w:trPr>
          <w:trHeight w:val="95"/>
        </w:trPr>
        <w:tc>
          <w:tcPr>
            <w:tcW w:w="58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EEEEEE"/>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413,368</w:t>
            </w:r>
          </w:p>
        </w:tc>
        <w:tc>
          <w:tcPr>
            <w:tcW w:w="3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601,442</w:t>
            </w:r>
          </w:p>
        </w:tc>
        <w:tc>
          <w:tcPr>
            <w:tcW w:w="300" w:type="dxa"/>
            <w:vAlign w:val="bottom"/>
            <w:shd w:val="clear" w:color="auto" w:fill="EEEEEE"/>
          </w:tcPr>
          <w:p>
            <w:pPr>
              <w:spacing w:after="0"/>
              <w:rPr>
                <w:sz w:val="18"/>
                <w:szCs w:val="18"/>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192,537</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258,635</w:t>
            </w:r>
          </w:p>
        </w:tc>
        <w:tc>
          <w:tcPr>
            <w:tcW w:w="300" w:type="dxa"/>
            <w:vAlign w:val="bottom"/>
          </w:tcPr>
          <w:p>
            <w:pPr>
              <w:spacing w:after="0"/>
              <w:rPr>
                <w:sz w:val="19"/>
                <w:szCs w:val="19"/>
                <w:color w:val="auto"/>
              </w:rPr>
            </w:pPr>
          </w:p>
        </w:tc>
      </w:tr>
      <w:tr>
        <w:trPr>
          <w:trHeight w:val="102"/>
        </w:trPr>
        <w:tc>
          <w:tcPr>
            <w:tcW w:w="5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220,831</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342,807</w:t>
            </w:r>
          </w:p>
        </w:tc>
        <w:tc>
          <w:tcPr>
            <w:tcW w:w="300" w:type="dxa"/>
            <w:vAlign w:val="bottom"/>
            <w:shd w:val="clear" w:color="auto" w:fill="EEEEEE"/>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58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102,821</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124,821</w:t>
            </w:r>
          </w:p>
        </w:tc>
        <w:tc>
          <w:tcPr>
            <w:tcW w:w="300" w:type="dxa"/>
            <w:vAlign w:val="bottom"/>
            <w:shd w:val="clear" w:color="auto" w:fill="EEEEEE"/>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14,234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13,996</w:t>
            </w:r>
          </w:p>
        </w:tc>
        <w:tc>
          <w:tcPr>
            <w:tcW w:w="300" w:type="dxa"/>
            <w:vAlign w:val="bottom"/>
          </w:tcPr>
          <w:p>
            <w:pPr>
              <w:spacing w:after="0"/>
              <w:rPr>
                <w:sz w:val="18"/>
                <w:szCs w:val="18"/>
                <w:color w:val="auto"/>
              </w:rPr>
            </w:pPr>
          </w:p>
        </w:tc>
      </w:tr>
      <w:tr>
        <w:trPr>
          <w:trHeight w:val="216"/>
        </w:trPr>
        <w:tc>
          <w:tcPr>
            <w:tcW w:w="58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Special charge</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27,250</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r>
      <w:tr>
        <w:trPr>
          <w:trHeight w:val="222"/>
        </w:trPr>
        <w:tc>
          <w:tcPr>
            <w:tcW w:w="5800" w:type="dxa"/>
            <w:vAlign w:val="bottom"/>
          </w:tcPr>
          <w:p>
            <w:pPr>
              <w:ind w:left="360"/>
              <w:spacing w:after="0"/>
              <w:rPr>
                <w:sz w:val="20"/>
                <w:szCs w:val="20"/>
                <w:color w:val="auto"/>
              </w:rPr>
            </w:pPr>
            <w:r>
              <w:rPr>
                <w:rFonts w:ascii="Arial" w:cs="Arial" w:eastAsia="Arial" w:hAnsi="Arial"/>
                <w:sz w:val="18"/>
                <w:szCs w:val="18"/>
                <w:color w:val="auto"/>
              </w:rPr>
              <w:t>Selling, marketing, general and administrative</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62,354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77,563</w:t>
            </w:r>
          </w:p>
        </w:tc>
        <w:tc>
          <w:tcPr>
            <w:tcW w:w="300" w:type="dxa"/>
            <w:vAlign w:val="bottom"/>
          </w:tcPr>
          <w:p>
            <w:pPr>
              <w:spacing w:after="0"/>
              <w:rPr>
                <w:sz w:val="19"/>
                <w:szCs w:val="19"/>
                <w:color w:val="auto"/>
              </w:rPr>
            </w:pPr>
          </w:p>
        </w:tc>
      </w:tr>
      <w:tr>
        <w:trPr>
          <w:trHeight w:val="102"/>
        </w:trPr>
        <w:tc>
          <w:tcPr>
            <w:tcW w:w="5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206,659</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216,380</w:t>
            </w:r>
          </w:p>
        </w:tc>
        <w:tc>
          <w:tcPr>
            <w:tcW w:w="300" w:type="dxa"/>
            <w:vAlign w:val="bottom"/>
            <w:shd w:val="clear" w:color="auto" w:fill="EEEEEE"/>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14,172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126,427</w:t>
            </w:r>
          </w:p>
        </w:tc>
        <w:tc>
          <w:tcPr>
            <w:tcW w:w="300" w:type="dxa"/>
            <w:vAlign w:val="bottom"/>
          </w:tcPr>
          <w:p>
            <w:pPr>
              <w:spacing w:after="0"/>
              <w:rPr>
                <w:sz w:val="18"/>
                <w:szCs w:val="18"/>
                <w:color w:val="auto"/>
              </w:rPr>
            </w:pPr>
          </w:p>
        </w:tc>
      </w:tr>
      <w:tr>
        <w:trPr>
          <w:trHeight w:val="216"/>
        </w:trPr>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Nonoperating (income) expenses:</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9,542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16,245</w:t>
            </w:r>
          </w:p>
        </w:tc>
        <w:tc>
          <w:tcPr>
            <w:tcW w:w="300" w:type="dxa"/>
            <w:vAlign w:val="bottom"/>
          </w:tcPr>
          <w:p>
            <w:pPr>
              <w:spacing w:after="0"/>
              <w:rPr>
                <w:sz w:val="18"/>
                <w:szCs w:val="18"/>
                <w:color w:val="auto"/>
              </w:rPr>
            </w:pPr>
          </w:p>
        </w:tc>
      </w:tr>
      <w:tr>
        <w:trPr>
          <w:trHeight w:val="216"/>
        </w:trPr>
        <w:tc>
          <w:tcPr>
            <w:tcW w:w="58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2"/>
              </w:rPr>
              <w:t>(15,358)</w:t>
            </w: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2"/>
              </w:rPr>
              <w:t>(35,817)</w:t>
            </w:r>
          </w:p>
        </w:tc>
      </w:tr>
      <w:tr>
        <w:trPr>
          <w:trHeight w:val="222"/>
        </w:trPr>
        <w:tc>
          <w:tcPr>
            <w:tcW w:w="58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(1,173)</w:t>
            </w:r>
          </w:p>
        </w:tc>
      </w:tr>
      <w:tr>
        <w:trPr>
          <w:trHeight w:val="102"/>
        </w:trPr>
        <w:tc>
          <w:tcPr>
            <w:tcW w:w="5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r>
      <w:tr>
        <w:trPr>
          <w:trHeight w:val="216"/>
        </w:trPr>
        <w:tc>
          <w:tcPr>
            <w:tcW w:w="5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(5,864)</w:t>
            </w: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2"/>
              </w:rPr>
              <w:t>(20,745)</w:t>
            </w:r>
          </w:p>
        </w:tc>
      </w:tr>
      <w:tr>
        <w:trPr>
          <w:trHeight w:val="108"/>
        </w:trPr>
        <w:tc>
          <w:tcPr>
            <w:tcW w:w="5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r>
      <w:tr>
        <w:trPr>
          <w:trHeight w:val="317"/>
        </w:trPr>
        <w:tc>
          <w:tcPr>
            <w:tcW w:w="58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20,036</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147,172</w:t>
            </w:r>
          </w:p>
        </w:tc>
        <w:tc>
          <w:tcPr>
            <w:tcW w:w="300" w:type="dxa"/>
            <w:vAlign w:val="bottom"/>
          </w:tcPr>
          <w:p>
            <w:pPr>
              <w:spacing w:after="0"/>
              <w:rPr>
                <w:sz w:val="24"/>
                <w:szCs w:val="24"/>
                <w:color w:val="auto"/>
              </w:rPr>
            </w:pPr>
          </w:p>
        </w:tc>
      </w:tr>
      <w:tr>
        <w:trPr>
          <w:trHeight w:val="217"/>
        </w:trPr>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5,610</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44,676</w:t>
            </w:r>
          </w:p>
        </w:tc>
        <w:tc>
          <w:tcPr>
            <w:tcW w:w="300" w:type="dxa"/>
            <w:vAlign w:val="bottom"/>
            <w:shd w:val="clear" w:color="auto" w:fill="EEEEEE"/>
          </w:tcPr>
          <w:p>
            <w:pPr>
              <w:spacing w:after="0"/>
              <w:rPr>
                <w:sz w:val="18"/>
                <w:szCs w:val="18"/>
                <w:color w:val="auto"/>
              </w:rPr>
            </w:pPr>
          </w:p>
        </w:tc>
      </w:tr>
      <w:tr>
        <w:trPr>
          <w:trHeight w:val="108"/>
        </w:trPr>
        <w:tc>
          <w:tcPr>
            <w:tcW w:w="5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580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14,426</w:t>
            </w:r>
          </w:p>
        </w:tc>
        <w:tc>
          <w:tcPr>
            <w:tcW w:w="3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102,496</w:t>
            </w:r>
          </w:p>
        </w:tc>
        <w:tc>
          <w:tcPr>
            <w:tcW w:w="300" w:type="dxa"/>
            <w:vAlign w:val="bottom"/>
          </w:tcPr>
          <w:p>
            <w:pPr>
              <w:spacing w:after="0"/>
              <w:rPr>
                <w:sz w:val="24"/>
                <w:szCs w:val="24"/>
                <w:color w:val="auto"/>
              </w:rPr>
            </w:pPr>
          </w:p>
        </w:tc>
      </w:tr>
      <w:tr>
        <w:trPr>
          <w:trHeight w:val="107"/>
        </w:trPr>
        <w:tc>
          <w:tcPr>
            <w:tcW w:w="5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5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r>
        <w:trPr>
          <w:trHeight w:val="105"/>
        </w:trPr>
        <w:tc>
          <w:tcPr>
            <w:tcW w:w="5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216"/>
        </w:trPr>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Shares used to compute earnings per share — basic</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364,545</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358,739</w:t>
            </w:r>
          </w:p>
        </w:tc>
        <w:tc>
          <w:tcPr>
            <w:tcW w:w="300" w:type="dxa"/>
            <w:vAlign w:val="bottom"/>
            <w:shd w:val="clear" w:color="auto" w:fill="EEEEEE"/>
          </w:tcPr>
          <w:p>
            <w:pPr>
              <w:spacing w:after="0"/>
              <w:rPr>
                <w:sz w:val="18"/>
                <w:szCs w:val="18"/>
                <w:color w:val="auto"/>
              </w:rPr>
            </w:pPr>
          </w:p>
        </w:tc>
      </w:tr>
      <w:tr>
        <w:trPr>
          <w:trHeight w:val="105"/>
        </w:trPr>
        <w:tc>
          <w:tcPr>
            <w:tcW w:w="5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5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color w:val="auto"/>
              </w:rPr>
              <w:t>Shares used to compute earnings per share — diluted</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383,455</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380,777</w:t>
            </w:r>
          </w:p>
        </w:tc>
        <w:tc>
          <w:tcPr>
            <w:tcW w:w="300" w:type="dxa"/>
            <w:vAlign w:val="bottom"/>
          </w:tcPr>
          <w:p>
            <w:pPr>
              <w:spacing w:after="0"/>
              <w:rPr>
                <w:sz w:val="24"/>
                <w:szCs w:val="24"/>
                <w:color w:val="auto"/>
              </w:rPr>
            </w:pPr>
          </w:p>
        </w:tc>
      </w:tr>
      <w:tr>
        <w:trPr>
          <w:trHeight w:val="107"/>
        </w:trPr>
        <w:tc>
          <w:tcPr>
            <w:tcW w:w="5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5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r>
        <w:trPr>
          <w:trHeight w:val="105"/>
        </w:trPr>
        <w:tc>
          <w:tcPr>
            <w:tcW w:w="5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216"/>
        </w:trPr>
        <w:tc>
          <w:tcPr>
            <w:tcW w:w="58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basic</w:t>
            </w:r>
          </w:p>
        </w:tc>
        <w:tc>
          <w:tcPr>
            <w:tcW w:w="300" w:type="dxa"/>
            <w:vAlign w:val="bottom"/>
            <w:shd w:val="clear" w:color="auto" w:fill="EEEEEE"/>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300" w:type="dxa"/>
            <w:vAlign w:val="bottom"/>
            <w:shd w:val="clear" w:color="auto" w:fill="EEEEEE"/>
          </w:tcPr>
          <w:p>
            <w:pPr>
              <w:spacing w:after="0"/>
              <w:rPr>
                <w:sz w:val="18"/>
                <w:szCs w:val="18"/>
                <w:color w:val="auto"/>
              </w:rPr>
            </w:pPr>
          </w:p>
        </w:tc>
      </w:tr>
      <w:tr>
        <w:trPr>
          <w:trHeight w:val="105"/>
        </w:trPr>
        <w:tc>
          <w:tcPr>
            <w:tcW w:w="5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5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color w:val="auto"/>
              </w:rPr>
              <w:t>Earnings per share — diluted</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0.27</w:t>
            </w:r>
          </w:p>
        </w:tc>
        <w:tc>
          <w:tcPr>
            <w:tcW w:w="300" w:type="dxa"/>
            <w:vAlign w:val="bottom"/>
          </w:tcPr>
          <w:p>
            <w:pPr>
              <w:spacing w:after="0"/>
              <w:rPr>
                <w:sz w:val="24"/>
                <w:szCs w:val="24"/>
                <w:color w:val="auto"/>
              </w:rPr>
            </w:pPr>
          </w:p>
        </w:tc>
      </w:tr>
      <w:tr>
        <w:trPr>
          <w:trHeight w:val="107"/>
        </w:trPr>
        <w:tc>
          <w:tcPr>
            <w:tcW w:w="5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61"/>
        </w:trPr>
        <w:tc>
          <w:tcPr>
            <w:tcW w:w="5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(thousands except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w w:val="87"/>
              </w:rPr>
              <w:t>Six Months Ended</w:t>
            </w:r>
          </w:p>
        </w:tc>
      </w:tr>
      <w:tr>
        <w:trPr>
          <w:trHeight w:val="95"/>
        </w:trPr>
        <w:tc>
          <w:tcPr>
            <w:tcW w:w="55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263"/>
        </w:trPr>
        <w:tc>
          <w:tcPr>
            <w:tcW w:w="5560" w:type="dxa"/>
            <w:vAlign w:val="bottom"/>
          </w:tcPr>
          <w:p>
            <w:pPr>
              <w:spacing w:after="0"/>
              <w:rPr>
                <w:sz w:val="22"/>
                <w:szCs w:val="22"/>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May 4, 2002</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May 5, 2001</w:t>
            </w:r>
          </w:p>
        </w:tc>
      </w:tr>
      <w:tr>
        <w:trPr>
          <w:trHeight w:val="95"/>
        </w:trPr>
        <w:tc>
          <w:tcPr>
            <w:tcW w:w="55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r>
      <w:tr>
        <w:trPr>
          <w:trHeight w:val="102"/>
        </w:trPr>
        <w:tc>
          <w:tcPr>
            <w:tcW w:w="5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806,342</w:t>
            </w:r>
          </w:p>
        </w:tc>
        <w:tc>
          <w:tcPr>
            <w:tcW w:w="1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1,373,716</w:t>
            </w:r>
          </w:p>
        </w:tc>
        <w:tc>
          <w:tcPr>
            <w:tcW w:w="420" w:type="dxa"/>
            <w:vAlign w:val="bottom"/>
            <w:shd w:val="clear" w:color="auto" w:fill="EEEEEE"/>
          </w:tcPr>
          <w:p>
            <w:pPr>
              <w:spacing w:after="0"/>
              <w:rPr>
                <w:sz w:val="18"/>
                <w:szCs w:val="18"/>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381,714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578,655</w:t>
            </w:r>
          </w:p>
        </w:tc>
        <w:tc>
          <w:tcPr>
            <w:tcW w:w="420" w:type="dxa"/>
            <w:vAlign w:val="bottom"/>
          </w:tcPr>
          <w:p>
            <w:pPr>
              <w:spacing w:after="0"/>
              <w:rPr>
                <w:sz w:val="19"/>
                <w:szCs w:val="19"/>
                <w:color w:val="auto"/>
              </w:rPr>
            </w:pPr>
          </w:p>
        </w:tc>
      </w:tr>
      <w:tr>
        <w:trPr>
          <w:trHeight w:val="102"/>
        </w:trPr>
        <w:tc>
          <w:tcPr>
            <w:tcW w:w="5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424,628</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795,061</w:t>
            </w:r>
          </w:p>
        </w:tc>
        <w:tc>
          <w:tcPr>
            <w:tcW w:w="420" w:type="dxa"/>
            <w:vAlign w:val="bottom"/>
            <w:shd w:val="clear" w:color="auto" w:fill="EEEEEE"/>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5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207,530</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246,531</w:t>
            </w:r>
          </w:p>
        </w:tc>
        <w:tc>
          <w:tcPr>
            <w:tcW w:w="420" w:type="dxa"/>
            <w:vAlign w:val="bottom"/>
            <w:shd w:val="clear" w:color="auto" w:fill="EEEEEE"/>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Purchased in-process research and development</w:t>
            </w: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9,500</w:t>
            </w:r>
          </w:p>
        </w:tc>
        <w:tc>
          <w:tcPr>
            <w:tcW w:w="420" w:type="dxa"/>
            <w:vAlign w:val="bottom"/>
          </w:tcPr>
          <w:p>
            <w:pPr>
              <w:spacing w:after="0"/>
              <w:rPr>
                <w:sz w:val="18"/>
                <w:szCs w:val="18"/>
                <w:color w:val="auto"/>
              </w:rPr>
            </w:pPr>
          </w:p>
        </w:tc>
      </w:tr>
      <w:tr>
        <w:trPr>
          <w:trHeight w:val="216"/>
        </w:trPr>
        <w:tc>
          <w:tcPr>
            <w:tcW w:w="55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28,339</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24,302</w:t>
            </w:r>
          </w:p>
        </w:tc>
        <w:tc>
          <w:tcPr>
            <w:tcW w:w="420" w:type="dxa"/>
            <w:vAlign w:val="bottom"/>
            <w:shd w:val="clear" w:color="auto" w:fill="EEEEEE"/>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Special charge</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Selling, marketing, general and administrative</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120,712</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163,116</w:t>
            </w:r>
          </w:p>
        </w:tc>
        <w:tc>
          <w:tcPr>
            <w:tcW w:w="420" w:type="dxa"/>
            <w:vAlign w:val="bottom"/>
            <w:shd w:val="clear" w:color="auto" w:fill="EEEEEE"/>
          </w:tcPr>
          <w:p>
            <w:pPr>
              <w:spacing w:after="0"/>
              <w:rPr>
                <w:sz w:val="18"/>
                <w:szCs w:val="18"/>
                <w:color w:val="auto"/>
              </w:rPr>
            </w:pPr>
          </w:p>
        </w:tc>
      </w:tr>
      <w:tr>
        <w:trPr>
          <w:trHeight w:val="108"/>
        </w:trPr>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7"/>
        </w:trPr>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383,831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443,449</w:t>
            </w:r>
          </w:p>
        </w:tc>
        <w:tc>
          <w:tcPr>
            <w:tcW w:w="420" w:type="dxa"/>
            <w:vAlign w:val="bottom"/>
          </w:tcPr>
          <w:p>
            <w:pPr>
              <w:spacing w:after="0"/>
              <w:rPr>
                <w:sz w:val="24"/>
                <w:szCs w:val="24"/>
                <w:color w:val="auto"/>
              </w:rPr>
            </w:pPr>
          </w:p>
        </w:tc>
      </w:tr>
      <w:tr>
        <w:trPr>
          <w:trHeight w:val="217"/>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40,797</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351,612</w:t>
            </w:r>
          </w:p>
        </w:tc>
        <w:tc>
          <w:tcPr>
            <w:tcW w:w="420" w:type="dxa"/>
            <w:vAlign w:val="bottom"/>
            <w:shd w:val="clear" w:color="auto" w:fill="EEEEEE"/>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Nonoperating (income) expenses: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5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23,325</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33,114</w:t>
            </w:r>
          </w:p>
        </w:tc>
        <w:tc>
          <w:tcPr>
            <w:tcW w:w="420" w:type="dxa"/>
            <w:vAlign w:val="bottom"/>
            <w:shd w:val="clear" w:color="auto" w:fill="EEEEEE"/>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(35,717)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(77,065)</w:t>
            </w:r>
          </w:p>
        </w:tc>
      </w:tr>
      <w:tr>
        <w:trPr>
          <w:trHeight w:val="216"/>
        </w:trPr>
        <w:tc>
          <w:tcPr>
            <w:tcW w:w="55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(1,139)</w:t>
            </w: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(29,289)</w:t>
            </w:r>
          </w:p>
        </w:tc>
      </w:tr>
      <w:tr>
        <w:trPr>
          <w:trHeight w:val="108"/>
        </w:trPr>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316"/>
        </w:trPr>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(13,531)</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(73,240)</w:t>
            </w:r>
          </w:p>
        </w:tc>
      </w:tr>
      <w:tr>
        <w:trPr>
          <w:trHeight w:val="110"/>
        </w:trPr>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r>
      <w:tr>
        <w:trPr>
          <w:trHeight w:val="102"/>
        </w:trPr>
        <w:tc>
          <w:tcPr>
            <w:tcW w:w="5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54,328</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424,852</w:t>
            </w:r>
          </w:p>
        </w:tc>
        <w:tc>
          <w:tcPr>
            <w:tcW w:w="420" w:type="dxa"/>
            <w:vAlign w:val="bottom"/>
            <w:shd w:val="clear" w:color="auto" w:fill="EEEEEE"/>
          </w:tcPr>
          <w:p>
            <w:pPr>
              <w:spacing w:after="0"/>
              <w:rPr>
                <w:sz w:val="18"/>
                <w:szCs w:val="18"/>
                <w:color w:val="auto"/>
              </w:rPr>
            </w:pP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131,979</w:t>
            </w:r>
          </w:p>
        </w:tc>
        <w:tc>
          <w:tcPr>
            <w:tcW w:w="420" w:type="dxa"/>
            <w:vAlign w:val="bottom"/>
          </w:tcPr>
          <w:p>
            <w:pPr>
              <w:spacing w:after="0"/>
              <w:rPr>
                <w:sz w:val="19"/>
                <w:szCs w:val="19"/>
                <w:color w:val="auto"/>
              </w:rPr>
            </w:pPr>
          </w:p>
        </w:tc>
      </w:tr>
      <w:tr>
        <w:trPr>
          <w:trHeight w:val="102"/>
        </w:trPr>
        <w:tc>
          <w:tcPr>
            <w:tcW w:w="5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r>
      <w:tr>
        <w:trPr>
          <w:trHeight w:val="102"/>
        </w:trPr>
        <w:tc>
          <w:tcPr>
            <w:tcW w:w="5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39,116</w:t>
            </w:r>
          </w:p>
        </w:tc>
        <w:tc>
          <w:tcPr>
            <w:tcW w:w="1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292,873</w:t>
            </w:r>
          </w:p>
        </w:tc>
        <w:tc>
          <w:tcPr>
            <w:tcW w:w="420" w:type="dxa"/>
            <w:vAlign w:val="bottom"/>
            <w:shd w:val="clear" w:color="auto" w:fill="EEEEEE"/>
          </w:tcPr>
          <w:p>
            <w:pPr>
              <w:spacing w:after="0"/>
              <w:rPr>
                <w:sz w:val="18"/>
                <w:szCs w:val="18"/>
                <w:color w:val="auto"/>
              </w:rPr>
            </w:pPr>
          </w:p>
        </w:tc>
      </w:tr>
      <w:tr>
        <w:trPr>
          <w:trHeight w:val="105"/>
        </w:trPr>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9"/>
        </w:trPr>
        <w:tc>
          <w:tcPr>
            <w:tcW w:w="5560" w:type="dxa"/>
            <w:vAlign w:val="bottom"/>
          </w:tcPr>
          <w:p>
            <w:pPr>
              <w:spacing w:after="0"/>
              <w:rPr>
                <w:sz w:val="20"/>
                <w:szCs w:val="20"/>
                <w:color w:val="auto"/>
              </w:rPr>
            </w:pPr>
            <w:r>
              <w:rPr>
                <w:rFonts w:ascii="Arial" w:cs="Arial" w:eastAsia="Arial" w:hAnsi="Arial"/>
                <w:sz w:val="18"/>
                <w:szCs w:val="18"/>
                <w:color w:val="auto"/>
              </w:rPr>
              <w:t>Shares used to compute earnings per share — basic</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363,846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357,905</w:t>
            </w:r>
          </w:p>
        </w:tc>
        <w:tc>
          <w:tcPr>
            <w:tcW w:w="420" w:type="dxa"/>
            <w:vAlign w:val="bottom"/>
          </w:tcPr>
          <w:p>
            <w:pPr>
              <w:spacing w:after="0"/>
              <w:rPr>
                <w:sz w:val="24"/>
                <w:szCs w:val="24"/>
                <w:color w:val="auto"/>
              </w:rPr>
            </w:pPr>
          </w:p>
        </w:tc>
      </w:tr>
      <w:tr>
        <w:trPr>
          <w:trHeight w:val="107"/>
        </w:trPr>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Shares used to compute earnings per share — diluted</w:t>
            </w: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383,463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382,084</w:t>
            </w:r>
          </w:p>
        </w:tc>
        <w:tc>
          <w:tcPr>
            <w:tcW w:w="420" w:type="dxa"/>
            <w:vAlign w:val="bottom"/>
            <w:shd w:val="clear" w:color="auto" w:fill="EEEEEE"/>
          </w:tcPr>
          <w:p>
            <w:pPr>
              <w:spacing w:after="0"/>
              <w:rPr>
                <w:sz w:val="18"/>
                <w:szCs w:val="18"/>
                <w:color w:val="auto"/>
              </w:rPr>
            </w:pPr>
          </w:p>
        </w:tc>
      </w:tr>
      <w:tr>
        <w:trPr>
          <w:trHeight w:val="105"/>
        </w:trPr>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3"/>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319"/>
        </w:trPr>
        <w:tc>
          <w:tcPr>
            <w:tcW w:w="5560" w:type="dxa"/>
            <w:vAlign w:val="bottom"/>
          </w:tcPr>
          <w:p>
            <w:pPr>
              <w:spacing w:after="0"/>
              <w:rPr>
                <w:sz w:val="20"/>
                <w:szCs w:val="20"/>
                <w:color w:val="auto"/>
              </w:rPr>
            </w:pPr>
            <w:r>
              <w:rPr>
                <w:rFonts w:ascii="Arial" w:cs="Arial" w:eastAsia="Arial" w:hAnsi="Arial"/>
                <w:sz w:val="18"/>
                <w:szCs w:val="18"/>
                <w:color w:val="auto"/>
              </w:rPr>
              <w:t>Earnings per share — basic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0.82</w:t>
            </w:r>
          </w:p>
        </w:tc>
        <w:tc>
          <w:tcPr>
            <w:tcW w:w="420" w:type="dxa"/>
            <w:vAlign w:val="bottom"/>
          </w:tcPr>
          <w:p>
            <w:pPr>
              <w:spacing w:after="0"/>
              <w:rPr>
                <w:sz w:val="24"/>
                <w:szCs w:val="24"/>
                <w:color w:val="auto"/>
              </w:rPr>
            </w:pPr>
          </w:p>
        </w:tc>
      </w:tr>
      <w:tr>
        <w:trPr>
          <w:trHeight w:val="107"/>
        </w:trPr>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r>
        <w:trPr>
          <w:trHeight w:val="105"/>
        </w:trPr>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 — diluted</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EEEEEE"/>
          </w:tcPr>
          <w:p>
            <w:pPr>
              <w:spacing w:after="0"/>
              <w:rPr>
                <w:sz w:val="18"/>
                <w:szCs w:val="18"/>
                <w:color w:val="auto"/>
              </w:rPr>
            </w:pPr>
          </w:p>
        </w:tc>
        <w:tc>
          <w:tcPr>
            <w:tcW w:w="9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0.77</w:t>
            </w:r>
          </w:p>
        </w:tc>
        <w:tc>
          <w:tcPr>
            <w:tcW w:w="420" w:type="dxa"/>
            <w:vAlign w:val="bottom"/>
            <w:shd w:val="clear" w:color="auto" w:fill="EEEEEE"/>
          </w:tcPr>
          <w:p>
            <w:pPr>
              <w:spacing w:after="0"/>
              <w:rPr>
                <w:sz w:val="18"/>
                <w:szCs w:val="18"/>
                <w:color w:val="auto"/>
              </w:rPr>
            </w:pPr>
          </w:p>
        </w:tc>
      </w:tr>
      <w:tr>
        <w:trPr>
          <w:trHeight w:val="105"/>
        </w:trPr>
        <w:tc>
          <w:tcPr>
            <w:tcW w:w="5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5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4, 2002</w:t>
            </w:r>
          </w:p>
        </w:tc>
        <w:tc>
          <w:tcPr>
            <w:tcW w:w="240" w:type="dxa"/>
            <w:vAlign w:val="bottom"/>
          </w:tcPr>
          <w:p>
            <w:pPr>
              <w:spacing w:after="0"/>
              <w:rPr>
                <w:sz w:val="15"/>
                <w:szCs w:val="15"/>
                <w:color w:val="auto"/>
              </w:rPr>
            </w:pPr>
          </w:p>
        </w:tc>
        <w:tc>
          <w:tcPr>
            <w:tcW w:w="1740" w:type="dxa"/>
            <w:vAlign w:val="bottom"/>
            <w:gridSpan w:val="3"/>
          </w:tcPr>
          <w:p>
            <w:pPr>
              <w:ind w:left="340"/>
              <w:spacing w:after="0"/>
              <w:rPr>
                <w:sz w:val="20"/>
                <w:szCs w:val="20"/>
                <w:color w:val="auto"/>
              </w:rPr>
            </w:pPr>
            <w:r>
              <w:rPr>
                <w:rFonts w:ascii="Arial" w:cs="Arial" w:eastAsia="Arial" w:hAnsi="Arial"/>
                <w:sz w:val="14"/>
                <w:szCs w:val="14"/>
                <w:b w:val="1"/>
                <w:bCs w:val="1"/>
                <w:color w:val="auto"/>
              </w:rPr>
              <w:t>November 3, 2001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5,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$1,394,127</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$1,364,949</w:t>
            </w:r>
          </w:p>
        </w:tc>
        <w:tc>
          <w:tcPr>
            <w:tcW w:w="5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$1,217,084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Short-term investments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1,514,837</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1,428,278</w:t>
            </w:r>
          </w:p>
        </w:tc>
        <w:tc>
          <w:tcPr>
            <w:tcW w:w="5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1,292,462</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221,524</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218,151</w:t>
            </w:r>
          </w:p>
        </w:tc>
        <w:tc>
          <w:tcPr>
            <w:tcW w:w="5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343,848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Raw materials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15,077</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18,221</w:t>
            </w:r>
          </w:p>
        </w:tc>
        <w:tc>
          <w:tcPr>
            <w:tcW w:w="5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22,227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Work in process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188,059</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159,463</w:t>
            </w:r>
          </w:p>
        </w:tc>
        <w:tc>
          <w:tcPr>
            <w:tcW w:w="5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191,453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Finished goods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50,015</w:t>
            </w:r>
          </w:p>
        </w:tc>
        <w:tc>
          <w:tcPr>
            <w:tcW w:w="44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69,168</w:t>
            </w:r>
          </w:p>
        </w:tc>
        <w:tc>
          <w:tcPr>
            <w:tcW w:w="58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105,154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253,151</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246,852</w:t>
            </w:r>
          </w:p>
        </w:tc>
        <w:tc>
          <w:tcPr>
            <w:tcW w:w="5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318,834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Deferred tax assets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139,418</w:t>
            </w:r>
          </w:p>
        </w:tc>
        <w:tc>
          <w:tcPr>
            <w:tcW w:w="5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113,000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32,596</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37,271</w:t>
            </w:r>
          </w:p>
        </w:tc>
        <w:tc>
          <w:tcPr>
            <w:tcW w:w="5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38,237</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3,566,235</w:t>
            </w:r>
          </w:p>
        </w:tc>
        <w:tc>
          <w:tcPr>
            <w:tcW w:w="4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3,434,919</w:t>
            </w:r>
          </w:p>
        </w:tc>
        <w:tc>
          <w:tcPr>
            <w:tcW w:w="5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3,323,465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Land and buildings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293,054</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294,598</w:t>
            </w:r>
          </w:p>
        </w:tc>
        <w:tc>
          <w:tcPr>
            <w:tcW w:w="5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277,730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Machinery and equipment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1,438,186</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1,447,639</w:t>
            </w:r>
          </w:p>
        </w:tc>
        <w:tc>
          <w:tcPr>
            <w:tcW w:w="5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1,429,411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Office equipment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94,803</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92,792</w:t>
            </w:r>
          </w:p>
        </w:tc>
        <w:tc>
          <w:tcPr>
            <w:tcW w:w="5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92,830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Leasehold improvements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130,616</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130,528</w:t>
            </w:r>
          </w:p>
        </w:tc>
        <w:tc>
          <w:tcPr>
            <w:tcW w:w="5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130,709</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1,956,659</w:t>
            </w:r>
          </w:p>
        </w:tc>
        <w:tc>
          <w:tcPr>
            <w:tcW w:w="4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1,965,557</w:t>
            </w:r>
          </w:p>
        </w:tc>
        <w:tc>
          <w:tcPr>
            <w:tcW w:w="5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1,930,680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1,110,976</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1,057,615</w:t>
            </w:r>
          </w:p>
        </w:tc>
        <w:tc>
          <w:tcPr>
            <w:tcW w:w="5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992,471</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Net property, plant and equipment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845,683</w:t>
            </w:r>
          </w:p>
        </w:tc>
        <w:tc>
          <w:tcPr>
            <w:tcW w:w="4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907,942</w:t>
            </w:r>
          </w:p>
        </w:tc>
        <w:tc>
          <w:tcPr>
            <w:tcW w:w="5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938,209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Investments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275,516</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246,505</w:t>
            </w:r>
          </w:p>
        </w:tc>
        <w:tc>
          <w:tcPr>
            <w:tcW w:w="5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223,006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203,455</w:t>
            </w:r>
          </w:p>
        </w:tc>
        <w:tc>
          <w:tcPr>
            <w:tcW w:w="4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229,330</w:t>
            </w:r>
          </w:p>
        </w:tc>
        <w:tc>
          <w:tcPr>
            <w:tcW w:w="5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256,271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61,877</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66,167</w:t>
            </w:r>
          </w:p>
        </w:tc>
        <w:tc>
          <w:tcPr>
            <w:tcW w:w="5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56,555</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Total other assets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540,848</w:t>
            </w:r>
          </w:p>
        </w:tc>
        <w:tc>
          <w:tcPr>
            <w:tcW w:w="44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542,002</w:t>
            </w:r>
          </w:p>
        </w:tc>
        <w:tc>
          <w:tcPr>
            <w:tcW w:w="5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535,832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$4,952,766</w:t>
            </w:r>
          </w:p>
        </w:tc>
        <w:tc>
          <w:tcPr>
            <w:tcW w:w="44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$4,884,863</w:t>
            </w:r>
          </w:p>
        </w:tc>
        <w:tc>
          <w:tcPr>
            <w:tcW w:w="5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$4,797,506</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(thousands, except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4, 2002</w:t>
            </w:r>
          </w:p>
        </w:tc>
        <w:tc>
          <w:tcPr>
            <w:tcW w:w="220" w:type="dxa"/>
            <w:vAlign w:val="bottom"/>
          </w:tcPr>
          <w:p>
            <w:pPr>
              <w:spacing w:after="0"/>
              <w:rPr>
                <w:sz w:val="15"/>
                <w:szCs w:val="15"/>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November 3, 2001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5,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7"/>
              </w:rPr>
              <w:t>Short-term borrowings and current portion of obligations under</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capital leases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4,814</w:t>
            </w:r>
          </w:p>
        </w:tc>
        <w:tc>
          <w:tcPr>
            <w:tcW w:w="3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6,432</w:t>
            </w:r>
          </w:p>
        </w:tc>
        <w:tc>
          <w:tcPr>
            <w:tcW w:w="5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7,183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82,831</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79,784</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129,756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Deferred income on shipments to distributors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105,614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142,011</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149,169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153,856</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121,844</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178,923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176,545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177,877</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191,982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523,660</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527,948</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657,013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8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color w:val="auto"/>
              </w:rPr>
              <w:t>Long-term debt and obligations under capital leases</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1,193,791</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1,206,038</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1,209,326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51,345</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52,420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286,367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256,506</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229,505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 non-current liabilities</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1,520,158</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1,513,889</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1,491,251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8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w w:val="95"/>
              </w:rPr>
              <w:t>Preferred stock, $1.00 par value, 471,934 shares authorized,</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none outstanding</w:t>
            </w:r>
          </w:p>
        </w:tc>
        <w:tc>
          <w:tcPr>
            <w:tcW w:w="3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Common stock, $.16 2/3 par value, 600,000,000 shares</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authorized, 365,695,987 shares issued (363,353,954 in</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November 2001 and 360,684,042 in May 2001)</w:t>
            </w:r>
          </w:p>
        </w:tc>
        <w:tc>
          <w:tcPr>
            <w:tcW w:w="300" w:type="dxa"/>
            <w:vAlign w:val="bottom"/>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60,950</w:t>
            </w:r>
          </w:p>
        </w:tc>
        <w:tc>
          <w:tcPr>
            <w:tcW w:w="3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60,560</w:t>
            </w:r>
          </w:p>
        </w:tc>
        <w:tc>
          <w:tcPr>
            <w:tcW w:w="5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60,115</w:t>
            </w:r>
          </w:p>
        </w:tc>
        <w:tc>
          <w:tcPr>
            <w:tcW w:w="3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736,160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713,427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598,938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2,113,436</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2,074,320</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2,010,816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2,912,269</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2,848,103</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2,673,969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8"/>
              </w:rPr>
              <w:t>Less 82,366 shares in treasury, at cost (103,630 in November</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2001 and 476,637 in May 2001)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5,077</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24,727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2,908,948</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2,843,026</w:t>
            </w:r>
          </w:p>
        </w:tc>
        <w:tc>
          <w:tcPr>
            <w:tcW w:w="5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2,649,242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4,952,766</w:t>
            </w:r>
          </w:p>
        </w:tc>
        <w:tc>
          <w:tcPr>
            <w:tcW w:w="3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4,884,863</w:t>
            </w:r>
          </w:p>
        </w:tc>
        <w:tc>
          <w:tcPr>
            <w:tcW w:w="5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4,797,506</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(thousands)</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Six Months Ended</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May 4, 2002</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5"/>
              </w:rPr>
              <w:t>May 5,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OPERATIONS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flows from operations:</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Net income</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39,116</w:t>
            </w:r>
          </w:p>
        </w:tc>
        <w:tc>
          <w:tcPr>
            <w:tcW w:w="12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292,873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w w:val="95"/>
              </w:rPr>
              <w:t>Adjustments to reconcile net income to net cash provided by operations:</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115,585</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101,492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80"/>
              <w:spacing w:after="0"/>
              <w:rPr>
                <w:sz w:val="20"/>
                <w:szCs w:val="20"/>
                <w:color w:val="auto"/>
              </w:rPr>
            </w:pPr>
            <w:r>
              <w:rPr>
                <w:rFonts w:ascii="Arial" w:cs="Arial" w:eastAsia="Arial" w:hAnsi="Arial"/>
                <w:sz w:val="18"/>
                <w:szCs w:val="18"/>
                <w:color w:val="auto"/>
              </w:rPr>
              <w:t>Gain on sale of investment</w:t>
            </w:r>
          </w:p>
        </w:tc>
        <w:tc>
          <w:tcPr>
            <w:tcW w:w="5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Non-cash portion of special charge</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4,987</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80"/>
              <w:spacing w:after="0"/>
              <w:rPr>
                <w:sz w:val="20"/>
                <w:szCs w:val="20"/>
                <w:color w:val="auto"/>
              </w:rPr>
            </w:pPr>
            <w:r>
              <w:rPr>
                <w:rFonts w:ascii="Arial" w:cs="Arial" w:eastAsia="Arial" w:hAnsi="Arial"/>
                <w:sz w:val="18"/>
                <w:szCs w:val="18"/>
                <w:color w:val="auto"/>
              </w:rPr>
              <w:t>Write-off of purchased research and development</w:t>
            </w:r>
          </w:p>
        </w:tc>
        <w:tc>
          <w:tcPr>
            <w:tcW w:w="5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 income taxes</w:t>
            </w: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(22,134)</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80"/>
              <w:spacing w:after="0"/>
              <w:rPr>
                <w:sz w:val="20"/>
                <w:szCs w:val="20"/>
                <w:color w:val="auto"/>
              </w:rPr>
            </w:pPr>
            <w:r>
              <w:rPr>
                <w:rFonts w:ascii="Arial" w:cs="Arial" w:eastAsia="Arial" w:hAnsi="Arial"/>
                <w:sz w:val="18"/>
                <w:szCs w:val="18"/>
                <w:color w:val="auto"/>
              </w:rPr>
              <w:t>Other non-cash expense</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(9,407)</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135,074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Total adjustments</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97,016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217,429</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operations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136,132</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510,302</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INVESTMENTS</w:t>
            </w: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investments: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Purchase of short-term investments available for sale</w:t>
            </w:r>
          </w:p>
        </w:tc>
        <w:tc>
          <w:tcPr>
            <w:tcW w:w="5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(1,623,930)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(1,444,042)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Maturities of short-term investments available for sale</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1,537,371</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650,424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Payments for acquisitions, net of cash acquired</w:t>
            </w:r>
          </w:p>
        </w:tc>
        <w:tc>
          <w:tcPr>
            <w:tcW w:w="5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(2,620)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(37,526)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sale of investment</w:t>
            </w: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60,936</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Additions to property, plant and equipment, net</w:t>
            </w:r>
          </w:p>
        </w:tc>
        <w:tc>
          <w:tcPr>
            <w:tcW w:w="5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(27,198)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(234,845)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Increase in other assets</w:t>
            </w: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(549)</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108"/>
        </w:trPr>
        <w:tc>
          <w:tcPr>
            <w:tcW w:w="57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gridSpan w:val="2"/>
          </w:tcPr>
          <w:p>
            <w:pPr>
              <w:spacing w:after="0"/>
              <w:rPr>
                <w:sz w:val="20"/>
                <w:szCs w:val="20"/>
                <w:color w:val="auto"/>
              </w:rPr>
            </w:pPr>
            <w:r>
              <w:rPr>
                <w:rFonts w:ascii="Arial" w:cs="Arial" w:eastAsia="Arial" w:hAnsi="Arial"/>
                <w:sz w:val="18"/>
                <w:szCs w:val="18"/>
                <w:color w:val="auto"/>
              </w:rPr>
              <w:t>Net cash used for investments</w:t>
            </w:r>
          </w:p>
        </w:tc>
        <w:tc>
          <w:tcPr>
            <w:tcW w:w="5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(116,926)</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(1,008,952)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FINANCING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employee stock plans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15,295</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9,108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5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Payments on capital lease obligations</w:t>
            </w:r>
          </w:p>
        </w:tc>
        <w:tc>
          <w:tcPr>
            <w:tcW w:w="50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(4,868)</w:t>
            </w: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Net decrease in variable rate borrowings</w:t>
            </w:r>
          </w:p>
        </w:tc>
        <w:tc>
          <w:tcPr>
            <w:tcW w:w="5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(5,439)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for) financing activities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10,235</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(24,904)</w:t>
            </w:r>
          </w:p>
        </w:tc>
        <w:tc>
          <w:tcPr>
            <w:tcW w:w="0" w:type="dxa"/>
            <w:vAlign w:val="bottom"/>
          </w:tcPr>
          <w:p>
            <w:pPr>
              <w:spacing w:after="0"/>
              <w:rPr>
                <w:sz w:val="1"/>
                <w:szCs w:val="1"/>
                <w:color w:val="auto"/>
              </w:rPr>
            </w:pPr>
          </w:p>
        </w:tc>
      </w:tr>
      <w:tr>
        <w:trPr>
          <w:trHeight w:val="108"/>
        </w:trPr>
        <w:tc>
          <w:tcPr>
            <w:tcW w:w="57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5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50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29,178</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(519,337)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1,364,949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1,736,421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1,394,127</w:t>
            </w:r>
          </w:p>
        </w:tc>
        <w:tc>
          <w:tcPr>
            <w:tcW w:w="12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2"/>
              </w:rPr>
              <w:t>1,217,084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 INC.</w:t>
      </w:r>
    </w:p>
    <w:p>
      <w:pPr>
        <w:spacing w:after="0" w:line="21" w:lineRule="exact"/>
        <w:rPr>
          <w:sz w:val="20"/>
          <w:szCs w:val="20"/>
          <w:color w:val="auto"/>
        </w:rPr>
      </w:pPr>
    </w:p>
    <w:p>
      <w:pPr>
        <w:ind w:right="5600"/>
        <w:spacing w:after="0" w:line="302" w:lineRule="auto"/>
        <w:rPr>
          <w:sz w:val="20"/>
          <w:szCs w:val="20"/>
          <w:color w:val="auto"/>
        </w:rPr>
      </w:pPr>
      <w:r>
        <w:rPr>
          <w:rFonts w:ascii="Arial" w:cs="Arial" w:eastAsia="Arial" w:hAnsi="Arial"/>
          <w:sz w:val="16"/>
          <w:szCs w:val="16"/>
          <w:b w:val="1"/>
          <w:bCs w:val="1"/>
          <w:color w:val="auto"/>
        </w:rPr>
        <w:t>NOTES TO CONDENSED CONSOLIDATED FINANCIAL STATEMENTS FOR THE THREE MONTHS AND SIX MONTHS ENDED MAY 4, 2002 (all tabular amounts in thousands except per share amounts)</w:t>
      </w:r>
    </w:p>
    <w:p>
      <w:pPr>
        <w:spacing w:after="0" w:line="15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 In the opinion of management, the information furnished in the accompanying condensed consolidated financial statements reflects all normal</w:t>
      </w:r>
      <w:r>
        <w:rPr>
          <w:rFonts w:ascii="Arial" w:cs="Arial" w:eastAsia="Arial" w:hAnsi="Arial"/>
          <w:sz w:val="18"/>
          <w:szCs w:val="18"/>
          <w:b w:val="1"/>
          <w:bCs w:val="1"/>
          <w:color w:val="auto"/>
        </w:rPr>
        <w:t xml:space="preserve"> </w:t>
      </w:r>
      <w:r>
        <w:rPr>
          <w:rFonts w:ascii="Arial" w:cs="Arial" w:eastAsia="Arial" w:hAnsi="Arial"/>
          <w:sz w:val="18"/>
          <w:szCs w:val="18"/>
          <w:color w:val="auto"/>
        </w:rPr>
        <w:t>recurring adjustments that are necessary to fairly state the results for these interim periods and should be read in conjunction with the Company’s Annual Report to Stockholders on Form 10-K for the fiscal year ended November 3, 2001 (2001 Annual Report).</w:t>
      </w:r>
    </w:p>
    <w:p>
      <w:pPr>
        <w:spacing w:after="0" w:line="192" w:lineRule="exact"/>
        <w:rPr>
          <w:sz w:val="20"/>
          <w:szCs w:val="20"/>
          <w:color w:val="auto"/>
        </w:rPr>
      </w:pPr>
    </w:p>
    <w:p>
      <w:pPr>
        <w:ind w:right="20" w:firstLine="216"/>
        <w:spacing w:after="0" w:line="268"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2002 is a 52-week fiscal year. Fiscal 2001 was a 53-week fiscal year with the additional week occurring in the first quarter ended February 3,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color w:val="auto"/>
        </w:rPr>
        <w:t>Certain amounts reported in the previous year have been reclassified to conform to the fiscal 2002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Comprehensive Income</w:t>
      </w:r>
    </w:p>
    <w:p>
      <w:pPr>
        <w:spacing w:after="0" w:line="231" w:lineRule="exact"/>
        <w:rPr>
          <w:sz w:val="20"/>
          <w:szCs w:val="20"/>
          <w:color w:val="auto"/>
        </w:rPr>
      </w:pPr>
    </w:p>
    <w:p>
      <w:pPr>
        <w:ind w:right="80" w:firstLine="216"/>
        <w:spacing w:after="0" w:line="306" w:lineRule="auto"/>
        <w:rPr>
          <w:sz w:val="20"/>
          <w:szCs w:val="20"/>
          <w:color w:val="auto"/>
        </w:rPr>
      </w:pPr>
      <w:r>
        <w:rPr>
          <w:rFonts w:ascii="Arial" w:cs="Arial" w:eastAsia="Arial" w:hAnsi="Arial"/>
          <w:sz w:val="16"/>
          <w:szCs w:val="16"/>
          <w:color w:val="auto"/>
        </w:rPr>
        <w:t>Total comprehensive income, i.e., net income plus available-for-sale securities valuation adjustments, net gain or loss on derivative instruments designated as cash flow hedges and currency translation adjustments to stockholders’ equity, for the second quarter of fiscal 2002 and fiscal 2001 was $17 million and $104 million, respectively. For the first six months of fiscal 2002 and fiscal 2001, total comprehensive income was $44 million and $294 million,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Derivative Instruments and Hedging Agreements</w:t>
      </w:r>
    </w:p>
    <w:p>
      <w:pPr>
        <w:spacing w:after="0" w:line="231" w:lineRule="exact"/>
        <w:rPr>
          <w:sz w:val="20"/>
          <w:szCs w:val="20"/>
          <w:color w:val="auto"/>
        </w:rPr>
      </w:pPr>
    </w:p>
    <w:p>
      <w:pPr>
        <w:ind w:right="340" w:firstLine="220"/>
        <w:spacing w:after="0" w:line="294" w:lineRule="auto"/>
        <w:rPr>
          <w:sz w:val="20"/>
          <w:szCs w:val="20"/>
          <w:color w:val="auto"/>
        </w:rPr>
      </w:pPr>
      <w:r>
        <w:rPr>
          <w:rFonts w:ascii="Arial" w:cs="Arial" w:eastAsia="Arial" w:hAnsi="Arial"/>
          <w:sz w:val="16"/>
          <w:szCs w:val="16"/>
          <w:color w:val="auto"/>
        </w:rPr>
        <w:t>Derivative financial instruments are accounted for in accordance with Statement of Financial Accounting Standard No. 133, (FAS 133), “Accounting for Derivative Instruments and Hedging Activities”. The Company recognizes all derivative financial instruments in the consolidated financial statements at fair value regardless of the purpose or intent for holding the instrument. Changes in the fair value of the derivative financial instruments are either recognized periodically in earnings or in stockholders’ equity as a component of other comprehensive income (OCI) depending on whether the derivative financial instrument qualifies for hedge accounting. Changes in fair values of derivatives not qualifying for hedge accounting are reported in earnings.</w:t>
      </w:r>
    </w:p>
    <w:p>
      <w:pPr>
        <w:spacing w:after="0" w:line="170" w:lineRule="exact"/>
        <w:rPr>
          <w:sz w:val="20"/>
          <w:szCs w:val="20"/>
          <w:color w:val="auto"/>
        </w:rPr>
      </w:pPr>
    </w:p>
    <w:p>
      <w:pPr>
        <w:jc w:val="center"/>
        <w:spacing w:after="0" w:line="323" w:lineRule="auto"/>
        <w:rPr>
          <w:sz w:val="20"/>
          <w:szCs w:val="20"/>
          <w:color w:val="auto"/>
        </w:rPr>
      </w:pPr>
      <w:r>
        <w:rPr>
          <w:rFonts w:ascii="Arial" w:cs="Arial" w:eastAsia="Arial" w:hAnsi="Arial"/>
          <w:sz w:val="15"/>
          <w:szCs w:val="15"/>
          <w:color w:val="auto"/>
        </w:rPr>
        <w:t>The Company enters into forward foreign exchange contracts, foreign currency option contracts and currency swap agreements to offset certain operational and balance sheet exposures from the impact of changes in foreign currency exchange rates. Such exposures result from the portion of the Company’s operations, assets and liabilities that are denominated in currencies other than the U.S. dollar, primarily the Japanese yen and the Euro. These foreign exchange contracts are entered into to support product sales, purchases and financing transactions made in the normal course of business, and accordingly, are not speculative in nature.</w:t>
      </w:r>
    </w:p>
    <w:p>
      <w:pPr>
        <w:spacing w:after="0" w:line="152" w:lineRule="exact"/>
        <w:rPr>
          <w:sz w:val="20"/>
          <w:szCs w:val="20"/>
          <w:color w:val="auto"/>
        </w:rPr>
      </w:pPr>
    </w:p>
    <w:p>
      <w:pPr>
        <w:ind w:right="20" w:firstLine="220"/>
        <w:spacing w:after="0" w:line="287" w:lineRule="auto"/>
        <w:rPr>
          <w:sz w:val="20"/>
          <w:szCs w:val="20"/>
          <w:color w:val="auto"/>
        </w:rPr>
      </w:pPr>
      <w:r>
        <w:rPr>
          <w:rFonts w:ascii="Arial" w:cs="Arial" w:eastAsia="Arial" w:hAnsi="Arial"/>
          <w:sz w:val="16"/>
          <w:szCs w:val="16"/>
          <w:color w:val="auto"/>
        </w:rPr>
        <w:t>Foreign Exchange Exposure Management — The Company has significant international sales and purchase transactions in foreign currencies and has a policy of hedging forecasted and actual foreign currency risk with forward foreign exchange contracts. The Company’s forward foreign exchange contracts are denominated in Japanese yen and the Euro and are for periods consistent with the terms of the underlying transactions, generally one year or less. Derivative instruments are employed to eliminate or minimize certain foreign currency exposures that can be identified and quantified. In accordance with FAS 133, hedges related to anticipated transactions are designated and documented at the inception of the respective hedge as cash flow hedges and evaluated for effectiveness monthly. As the terms of the forward contract and the underlying transaction are matched at inception, forward contract effectiveness is calculated by comparing the fair value of the contract to the change in the forward value of the anticipated transaction, with the effective portion of the gain or loss on the derivative instrument reported as a component of OCI in stockholders’ equity and reclassified into earnings in the same period during which the hedged transaction affects earnings. Any residual change in fair value of the instruments, or ineffectiveness, is recognized immediately in other expense. No ineffectiveness was recognized in the first six months of fiscal 2002 or the first six months of fiscal 2001.</w:t>
      </w:r>
    </w:p>
    <w:p>
      <w:pPr>
        <w:spacing w:after="0" w:line="177" w:lineRule="exact"/>
        <w:rPr>
          <w:sz w:val="20"/>
          <w:szCs w:val="20"/>
          <w:color w:val="auto"/>
        </w:rPr>
      </w:pPr>
    </w:p>
    <w:p>
      <w:pPr>
        <w:ind w:right="200" w:firstLine="210"/>
        <w:spacing w:after="0" w:line="268" w:lineRule="auto"/>
        <w:rPr>
          <w:sz w:val="20"/>
          <w:szCs w:val="20"/>
          <w:color w:val="auto"/>
        </w:rPr>
      </w:pPr>
      <w:r>
        <w:rPr>
          <w:rFonts w:ascii="Arial" w:cs="Arial" w:eastAsia="Arial" w:hAnsi="Arial"/>
          <w:sz w:val="18"/>
          <w:szCs w:val="18"/>
          <w:color w:val="auto"/>
        </w:rPr>
        <w:t>Additionally, the Company enters into foreign currency forward contracts to hedge the gains and losses generated by the remeasurement of certain recorded assets and liabilities in a non-functional currency. Changes in the fair value of these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undesignated hedges are recognized in other expense immediately as an offset to the changes in the fair value of the asset or liability being hedged.</w:t>
      </w:r>
    </w:p>
    <w:p>
      <w:pPr>
        <w:spacing w:after="0" w:line="248" w:lineRule="exact"/>
        <w:rPr>
          <w:sz w:val="20"/>
          <w:szCs w:val="20"/>
          <w:color w:val="auto"/>
        </w:rPr>
      </w:pPr>
    </w:p>
    <w:p>
      <w:pPr>
        <w:ind w:right="20" w:firstLine="220"/>
        <w:spacing w:after="0" w:line="290" w:lineRule="auto"/>
        <w:rPr>
          <w:sz w:val="20"/>
          <w:szCs w:val="20"/>
          <w:color w:val="auto"/>
        </w:rPr>
      </w:pPr>
      <w:r>
        <w:rPr>
          <w:rFonts w:ascii="Arial" w:cs="Arial" w:eastAsia="Arial" w:hAnsi="Arial"/>
          <w:sz w:val="16"/>
          <w:szCs w:val="16"/>
          <w:color w:val="auto"/>
        </w:rPr>
        <w:t>Interest Rate Exposure Management — In January 2002, the Company entered in to an interest rate swap with an aggregate notional amount of $1,200 million. The swap is a derivative instrument as defined by FAS 133 and has been designated as a fair value hedge. The swap hedges the interest component of the fair value of the Company’s $1,200 million convertible subordinated notes due to changes in the LIBOR interest rate and has the effect of swapping the 4.75% fixed rate of the convertible subordinated notes into a LIBOR-based floating rate (currently 3.09%). The interest rate swap, as well as the convertible subordinated notes, matures on October 1, 2005. A derivative liability and a corresponding reduction to long-term debt of approximately $8.8 million were recorded for the fair market value of the swap at May 4, 2002. The interest rate swap was determined to be highly effective and no amount of ineffectiveness was recorded in earnings during the six months ended May 4, 2002.</w:t>
      </w:r>
    </w:p>
    <w:p>
      <w:pPr>
        <w:spacing w:after="0" w:line="172"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color w:val="auto"/>
        </w:rPr>
        <w:t>By using derivative financial instruments, the Company can expose itself, to a varying degree, to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to the Company exceed the obligations of the Company to the counterparties.</w:t>
      </w:r>
    </w:p>
    <w:p>
      <w:pPr>
        <w:spacing w:after="0" w:line="174" w:lineRule="exact"/>
        <w:rPr>
          <w:sz w:val="20"/>
          <w:szCs w:val="20"/>
          <w:color w:val="auto"/>
        </w:rPr>
      </w:pPr>
    </w:p>
    <w:p>
      <w:pPr>
        <w:ind w:right="120" w:firstLine="216"/>
        <w:spacing w:after="0" w:line="268" w:lineRule="auto"/>
        <w:rPr>
          <w:sz w:val="20"/>
          <w:szCs w:val="20"/>
          <w:color w:val="auto"/>
        </w:rPr>
      </w:pPr>
      <w:r>
        <w:rPr>
          <w:rFonts w:ascii="Arial" w:cs="Arial" w:eastAsia="Arial" w:hAnsi="Arial"/>
          <w:sz w:val="18"/>
          <w:szCs w:val="18"/>
          <w:color w:val="auto"/>
        </w:rPr>
        <w:t>The following table summarizes activity in other comprehensive income related to derivatives classified as cash flow hedges held by the Company during the period of November 3, 2001 through May 4, 2002: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shd w:val="clear" w:color="auto" w:fill="EEEEEE"/>
          </w:tcPr>
          <w:p>
            <w:pPr>
              <w:spacing w:after="0"/>
              <w:rPr>
                <w:sz w:val="20"/>
                <w:szCs w:val="20"/>
                <w:color w:val="auto"/>
              </w:rPr>
            </w:pPr>
            <w:r>
              <w:rPr>
                <w:rFonts w:ascii="Arial" w:cs="Arial" w:eastAsia="Arial" w:hAnsi="Arial"/>
                <w:sz w:val="18"/>
                <w:szCs w:val="18"/>
                <w:color w:val="auto"/>
              </w:rPr>
              <w:t>Accumulated (gain) loss included in other comprehensive income as of November 3, 2001</w:t>
            </w:r>
          </w:p>
        </w:tc>
        <w:tc>
          <w:tcPr>
            <w:tcW w:w="1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(176)</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Changes in fair value of derivatives — (gain) loss</w:t>
            </w:r>
          </w:p>
        </w:tc>
        <w:tc>
          <w:tcPr>
            <w:tcW w:w="19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(3,298)</w:t>
            </w:r>
          </w:p>
        </w:tc>
      </w:tr>
      <w:tr>
        <w:trPr>
          <w:trHeight w:val="216"/>
        </w:trPr>
        <w:tc>
          <w:tcPr>
            <w:tcW w:w="8160" w:type="dxa"/>
            <w:vAlign w:val="bottom"/>
            <w:shd w:val="clear" w:color="auto" w:fill="EEEEEE"/>
          </w:tcPr>
          <w:p>
            <w:pPr>
              <w:spacing w:after="0"/>
              <w:rPr>
                <w:sz w:val="20"/>
                <w:szCs w:val="20"/>
                <w:color w:val="auto"/>
              </w:rPr>
            </w:pPr>
            <w:r>
              <w:rPr>
                <w:rFonts w:ascii="Arial" w:cs="Arial" w:eastAsia="Arial" w:hAnsi="Arial"/>
                <w:sz w:val="18"/>
                <w:szCs w:val="18"/>
                <w:color w:val="auto"/>
              </w:rPr>
              <w:t>Less: Reclassifications into earnings from other comprehensive income</w:t>
            </w:r>
          </w:p>
        </w:tc>
        <w:tc>
          <w:tcPr>
            <w:tcW w:w="19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EEEEEE"/>
          </w:tcPr>
          <w:p>
            <w:pPr>
              <w:spacing w:after="0"/>
              <w:rPr>
                <w:sz w:val="18"/>
                <w:szCs w:val="18"/>
                <w:color w:val="auto"/>
              </w:rPr>
            </w:pPr>
          </w:p>
        </w:tc>
      </w:tr>
      <w:tr>
        <w:trPr>
          <w:trHeight w:val="108"/>
        </w:trPr>
        <w:tc>
          <w:tcPr>
            <w:tcW w:w="81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16"/>
        </w:trPr>
        <w:tc>
          <w:tcPr>
            <w:tcW w:w="8160" w:type="dxa"/>
            <w:vAlign w:val="bottom"/>
          </w:tcPr>
          <w:p>
            <w:pPr>
              <w:spacing w:after="0"/>
              <w:rPr>
                <w:sz w:val="20"/>
                <w:szCs w:val="20"/>
                <w:color w:val="auto"/>
              </w:rPr>
            </w:pPr>
            <w:r>
              <w:rPr>
                <w:rFonts w:ascii="Arial" w:cs="Arial" w:eastAsia="Arial" w:hAnsi="Arial"/>
                <w:sz w:val="18"/>
                <w:szCs w:val="18"/>
                <w:color w:val="auto"/>
              </w:rPr>
              <w:t>Accumulated (gain) loss included in other comprehensive income as of May 4, 2002</w:t>
            </w: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(3,304)</w:t>
            </w:r>
          </w:p>
        </w:tc>
      </w:tr>
      <w:tr>
        <w:trPr>
          <w:trHeight w:val="107"/>
        </w:trPr>
        <w:tc>
          <w:tcPr>
            <w:tcW w:w="81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81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amount of accumulated gain that will be reclassified into earnings over the next twelve months is $3.3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w:t>
      </w:r>
    </w:p>
    <w:p>
      <w:pPr>
        <w:spacing w:after="0" w:line="231"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color w:val="auto"/>
        </w:rPr>
        <w:t>During fiscal 2001, the Company recorded special charges of approximately $47 million related to cost reduction actions taken in response to the current economic climate.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U.S., Europe, Asia and the Philippines of which approximately 930 of these employees have been terminated as of May 4, 2002. The special charge also included $11.6 million related to the abandonment of equipment resulting from the consolidation of worldwide manufacturing operations and $5.8 million of other charges primarily related to equipment and lease cancellation fees. Based on developments that occurred during the second quarter of fiscal 2002 related to charges recorded during the fourth quarter of fiscal 2001, the Company revised its estimate of the reserve balance needed for purchase order cancellation fees. Based on the current status of negotiations with vendors regarding purchase order cancellation fees, the Company believes the amount that will ultimately be paid will be approximately $1.5 million less than the amount recorded for such charges at November 3, 2001. Accordingly, the Company decreased the provision for purchase order cancellation fees by $1.5 million to reflect this change in estimate. The Company expects to complete these actions within the next six months.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activity related to the above action is as follows:</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Arial" w:cs="Arial" w:eastAsia="Arial" w:hAnsi="Arial"/>
                <w:sz w:val="14"/>
                <w:szCs w:val="14"/>
                <w:b w:val="1"/>
                <w:bCs w:val="1"/>
                <w:color w:val="auto"/>
              </w:rPr>
              <w:t>Workforce</w:t>
            </w:r>
          </w:p>
        </w:tc>
        <w:tc>
          <w:tcPr>
            <w:tcW w:w="320" w:type="dxa"/>
            <w:vAlign w:val="bottom"/>
          </w:tcPr>
          <w:p>
            <w:pPr>
              <w:spacing w:after="0"/>
              <w:rPr>
                <w:sz w:val="14"/>
                <w:szCs w:val="1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Abandonment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4"/>
        </w:trPr>
        <w:tc>
          <w:tcPr>
            <w:tcW w:w="3120" w:type="dxa"/>
            <w:vAlign w:val="bottom"/>
          </w:tcPr>
          <w:p>
            <w:pPr>
              <w:spacing w:after="0"/>
              <w:rPr>
                <w:sz w:val="15"/>
                <w:szCs w:val="15"/>
                <w:color w:val="auto"/>
              </w:rPr>
            </w:pP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w w:val="99"/>
              </w:rPr>
              <w:t>Reductions</w:t>
            </w:r>
          </w:p>
        </w:tc>
        <w:tc>
          <w:tcPr>
            <w:tcW w:w="320" w:type="dxa"/>
            <w:vAlign w:val="bottom"/>
          </w:tcPr>
          <w:p>
            <w:pPr>
              <w:spacing w:after="0"/>
              <w:rPr>
                <w:sz w:val="15"/>
                <w:szCs w:val="15"/>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of Equipment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95"/>
        </w:trPr>
        <w:tc>
          <w:tcPr>
            <w:tcW w:w="3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r>
      <w:tr>
        <w:trPr>
          <w:trHeight w:val="102"/>
        </w:trPr>
        <w:tc>
          <w:tcPr>
            <w:tcW w:w="3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Special charges</w:t>
            </w:r>
          </w:p>
        </w:tc>
        <w:tc>
          <w:tcPr>
            <w:tcW w:w="700" w:type="dxa"/>
            <w:vAlign w:val="bottom"/>
            <w:tcBorders>
              <w:right w:val="single" w:sz="8" w:color="EEEEEE"/>
            </w:tcBorders>
            <w:gridSpan w:val="2"/>
            <w:shd w:val="clear" w:color="auto" w:fill="EEEEEE"/>
          </w:tcPr>
          <w:p>
            <w:pPr>
              <w:ind w:left="120"/>
              <w:spacing w:after="0"/>
              <w:rPr>
                <w:sz w:val="20"/>
                <w:szCs w:val="20"/>
                <w:color w:val="auto"/>
              </w:rPr>
            </w:pPr>
            <w:r>
              <w:rPr>
                <w:rFonts w:ascii="Arial" w:cs="Arial" w:eastAsia="Arial" w:hAnsi="Arial"/>
                <w:sz w:val="18"/>
                <w:szCs w:val="18"/>
                <w:color w:val="auto"/>
                <w:w w:val="82"/>
              </w:rPr>
              <w:t>$29,636</w:t>
            </w:r>
          </w:p>
        </w:tc>
        <w:tc>
          <w:tcPr>
            <w:tcW w:w="20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$ 11,573</w:t>
            </w:r>
          </w:p>
        </w:tc>
        <w:tc>
          <w:tcPr>
            <w:tcW w:w="40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$ 5,798</w:t>
            </w:r>
          </w:p>
        </w:tc>
        <w:tc>
          <w:tcPr>
            <w:tcW w:w="2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$ 47,007</w:t>
            </w:r>
          </w:p>
        </w:tc>
        <w:tc>
          <w:tcPr>
            <w:tcW w:w="320" w:type="dxa"/>
            <w:vAlign w:val="bottom"/>
            <w:shd w:val="clear" w:color="auto" w:fill="EEEEEE"/>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Cash payments</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(6,178)</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260"/>
              <w:spacing w:after="0"/>
              <w:rPr>
                <w:sz w:val="20"/>
                <w:szCs w:val="20"/>
                <w:color w:val="auto"/>
              </w:rPr>
            </w:pPr>
            <w:r>
              <w:rPr>
                <w:rFonts w:ascii="Arial" w:cs="Arial" w:eastAsia="Arial" w:hAnsi="Arial"/>
                <w:sz w:val="18"/>
                <w:szCs w:val="18"/>
                <w:color w:val="auto"/>
              </w:rPr>
              <w:t>(6,178)</w:t>
            </w:r>
          </w:p>
        </w:tc>
      </w:tr>
      <w:tr>
        <w:trPr>
          <w:trHeight w:val="216"/>
        </w:trPr>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Non-cash impairment charge</w:t>
            </w:r>
          </w:p>
        </w:tc>
        <w:tc>
          <w:tcPr>
            <w:tcW w:w="20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(11,573)</w:t>
            </w:r>
          </w:p>
        </w:tc>
        <w:tc>
          <w:tcPr>
            <w:tcW w:w="132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(2,500)</w:t>
            </w:r>
          </w:p>
        </w:tc>
        <w:tc>
          <w:tcPr>
            <w:tcW w:w="15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(14,073)</w:t>
            </w:r>
          </w:p>
        </w:tc>
      </w:tr>
      <w:tr>
        <w:trPr>
          <w:trHeight w:val="108"/>
        </w:trPr>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17"/>
        </w:trPr>
        <w:tc>
          <w:tcPr>
            <w:tcW w:w="3120" w:type="dxa"/>
            <w:vAlign w:val="bottom"/>
          </w:tcPr>
          <w:p>
            <w:pPr>
              <w:spacing w:after="0"/>
              <w:rPr>
                <w:sz w:val="20"/>
                <w:szCs w:val="20"/>
                <w:color w:val="auto"/>
              </w:rPr>
            </w:pPr>
            <w:r>
              <w:rPr>
                <w:rFonts w:ascii="Arial" w:cs="Arial" w:eastAsia="Arial" w:hAnsi="Arial"/>
                <w:sz w:val="18"/>
                <w:szCs w:val="18"/>
                <w:color w:val="auto"/>
              </w:rPr>
              <w:t>Balance at November 3, 2001</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w w:val="82"/>
              </w:rPr>
              <w:t>$23,458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3,298</w:t>
            </w:r>
          </w:p>
        </w:tc>
        <w:tc>
          <w:tcPr>
            <w:tcW w:w="2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$ 26,756</w:t>
            </w:r>
          </w:p>
        </w:tc>
        <w:tc>
          <w:tcPr>
            <w:tcW w:w="320" w:type="dxa"/>
            <w:vAlign w:val="bottom"/>
          </w:tcPr>
          <w:p>
            <w:pPr>
              <w:spacing w:after="0"/>
              <w:rPr>
                <w:sz w:val="24"/>
                <w:szCs w:val="24"/>
                <w:color w:val="auto"/>
              </w:rPr>
            </w:pPr>
          </w:p>
        </w:tc>
      </w:tr>
      <w:tr>
        <w:trPr>
          <w:trHeight w:val="217"/>
        </w:trPr>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Cash payments</w:t>
            </w:r>
          </w:p>
        </w:tc>
        <w:tc>
          <w:tcPr>
            <w:tcW w:w="9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(8,711)</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(8,711)</w:t>
            </w:r>
          </w:p>
        </w:tc>
      </w:tr>
      <w:tr>
        <w:trPr>
          <w:trHeight w:val="108"/>
        </w:trPr>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317"/>
        </w:trPr>
        <w:tc>
          <w:tcPr>
            <w:tcW w:w="3120" w:type="dxa"/>
            <w:vAlign w:val="bottom"/>
          </w:tcPr>
          <w:p>
            <w:pPr>
              <w:spacing w:after="0"/>
              <w:rPr>
                <w:sz w:val="20"/>
                <w:szCs w:val="20"/>
                <w:color w:val="auto"/>
              </w:rPr>
            </w:pPr>
            <w:r>
              <w:rPr>
                <w:rFonts w:ascii="Arial" w:cs="Arial" w:eastAsia="Arial" w:hAnsi="Arial"/>
                <w:sz w:val="18"/>
                <w:szCs w:val="18"/>
                <w:color w:val="auto"/>
              </w:rPr>
              <w:t>Balance at February 2, 2002</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w w:val="82"/>
              </w:rPr>
              <w:t>$14,747</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3,298</w:t>
            </w:r>
          </w:p>
        </w:tc>
        <w:tc>
          <w:tcPr>
            <w:tcW w:w="2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$ 18,045</w:t>
            </w:r>
          </w:p>
        </w:tc>
        <w:tc>
          <w:tcPr>
            <w:tcW w:w="320" w:type="dxa"/>
            <w:vAlign w:val="bottom"/>
          </w:tcPr>
          <w:p>
            <w:pPr>
              <w:spacing w:after="0"/>
              <w:rPr>
                <w:sz w:val="24"/>
                <w:szCs w:val="24"/>
                <w:color w:val="auto"/>
              </w:rPr>
            </w:pPr>
          </w:p>
        </w:tc>
      </w:tr>
      <w:tr>
        <w:trPr>
          <w:trHeight w:val="217"/>
        </w:trPr>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Cash payments</w:t>
            </w:r>
          </w:p>
        </w:tc>
        <w:tc>
          <w:tcPr>
            <w:tcW w:w="90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(3,952)</w:t>
            </w: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EEEEEE"/>
          </w:tcPr>
          <w:p>
            <w:pPr>
              <w:jc w:val="right"/>
              <w:ind w:right="260"/>
              <w:spacing w:after="0"/>
              <w:rPr>
                <w:sz w:val="20"/>
                <w:szCs w:val="20"/>
                <w:color w:val="auto"/>
              </w:rPr>
            </w:pPr>
            <w:r>
              <w:rPr>
                <w:rFonts w:ascii="Arial" w:cs="Arial" w:eastAsia="Arial" w:hAnsi="Arial"/>
                <w:sz w:val="18"/>
                <w:szCs w:val="18"/>
                <w:color w:val="auto"/>
              </w:rPr>
              <w:t>(3,952)</w:t>
            </w:r>
          </w:p>
        </w:tc>
      </w:tr>
      <w:tr>
        <w:trPr>
          <w:trHeight w:val="222"/>
        </w:trPr>
        <w:tc>
          <w:tcPr>
            <w:tcW w:w="3120" w:type="dxa"/>
            <w:vAlign w:val="bottom"/>
          </w:tcPr>
          <w:p>
            <w:pPr>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(1,465)</w:t>
            </w:r>
          </w:p>
        </w:tc>
        <w:tc>
          <w:tcPr>
            <w:tcW w:w="1540" w:type="dxa"/>
            <w:vAlign w:val="bottom"/>
            <w:gridSpan w:val="4"/>
          </w:tcPr>
          <w:p>
            <w:pPr>
              <w:jc w:val="right"/>
              <w:ind w:right="260"/>
              <w:spacing w:after="0"/>
              <w:rPr>
                <w:sz w:val="20"/>
                <w:szCs w:val="20"/>
                <w:color w:val="auto"/>
              </w:rPr>
            </w:pPr>
            <w:r>
              <w:rPr>
                <w:rFonts w:ascii="Arial" w:cs="Arial" w:eastAsia="Arial" w:hAnsi="Arial"/>
                <w:sz w:val="18"/>
                <w:szCs w:val="18"/>
                <w:color w:val="auto"/>
              </w:rPr>
              <w:t>(1,465)</w:t>
            </w:r>
          </w:p>
        </w:tc>
      </w:tr>
      <w:tr>
        <w:trPr>
          <w:trHeight w:val="102"/>
        </w:trPr>
        <w:tc>
          <w:tcPr>
            <w:tcW w:w="3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102"/>
        </w:trPr>
        <w:tc>
          <w:tcPr>
            <w:tcW w:w="3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6"/>
        </w:trPr>
        <w:tc>
          <w:tcPr>
            <w:tcW w:w="3120" w:type="dxa"/>
            <w:vAlign w:val="bottom"/>
            <w:shd w:val="clear" w:color="auto" w:fill="EEEEEE"/>
          </w:tcPr>
          <w:p>
            <w:pPr>
              <w:spacing w:after="0"/>
              <w:rPr>
                <w:sz w:val="20"/>
                <w:szCs w:val="20"/>
                <w:color w:val="auto"/>
              </w:rPr>
            </w:pPr>
            <w:r>
              <w:rPr>
                <w:rFonts w:ascii="Arial" w:cs="Arial" w:eastAsia="Arial" w:hAnsi="Arial"/>
                <w:sz w:val="18"/>
                <w:szCs w:val="18"/>
                <w:color w:val="auto"/>
              </w:rPr>
              <w:t>Balance at May 4, 2002</w:t>
            </w:r>
          </w:p>
        </w:tc>
        <w:tc>
          <w:tcPr>
            <w:tcW w:w="700" w:type="dxa"/>
            <w:vAlign w:val="bottom"/>
            <w:tcBorders>
              <w:right w:val="single" w:sz="8" w:color="EEEEEE"/>
            </w:tcBorders>
            <w:gridSpan w:val="2"/>
            <w:shd w:val="clear" w:color="auto" w:fill="EEEEEE"/>
          </w:tcPr>
          <w:p>
            <w:pPr>
              <w:ind w:left="120"/>
              <w:spacing w:after="0"/>
              <w:rPr>
                <w:sz w:val="20"/>
                <w:szCs w:val="20"/>
                <w:color w:val="auto"/>
              </w:rPr>
            </w:pPr>
            <w:r>
              <w:rPr>
                <w:rFonts w:ascii="Arial" w:cs="Arial" w:eastAsia="Arial" w:hAnsi="Arial"/>
                <w:sz w:val="18"/>
                <w:szCs w:val="18"/>
                <w:color w:val="auto"/>
                <w:w w:val="82"/>
              </w:rPr>
              <w:t>$10,795</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1,833</w:t>
            </w:r>
          </w:p>
        </w:tc>
        <w:tc>
          <w:tcPr>
            <w:tcW w:w="2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$ 12,628</w:t>
            </w:r>
          </w:p>
        </w:tc>
        <w:tc>
          <w:tcPr>
            <w:tcW w:w="320" w:type="dxa"/>
            <w:vAlign w:val="bottom"/>
            <w:shd w:val="clear" w:color="auto" w:fill="EEEEEE"/>
          </w:tcPr>
          <w:p>
            <w:pPr>
              <w:spacing w:after="0"/>
              <w:rPr>
                <w:sz w:val="18"/>
                <w:szCs w:val="18"/>
                <w:color w:val="auto"/>
              </w:rPr>
            </w:pPr>
          </w:p>
        </w:tc>
      </w:tr>
      <w:tr>
        <w:trPr>
          <w:trHeight w:val="105"/>
        </w:trPr>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61"/>
        </w:trPr>
        <w:tc>
          <w:tcPr>
            <w:tcW w:w="3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313" w:lineRule="exact"/>
        <w:rPr>
          <w:sz w:val="20"/>
          <w:szCs w:val="20"/>
          <w:color w:val="auto"/>
        </w:rPr>
      </w:pPr>
    </w:p>
    <w:p>
      <w:pPr>
        <w:ind w:right="20" w:firstLine="220"/>
        <w:spacing w:after="0" w:line="289" w:lineRule="auto"/>
        <w:rPr>
          <w:sz w:val="20"/>
          <w:szCs w:val="20"/>
          <w:color w:val="auto"/>
        </w:rPr>
      </w:pPr>
      <w:r>
        <w:rPr>
          <w:rFonts w:ascii="Arial" w:cs="Arial" w:eastAsia="Arial" w:hAnsi="Arial"/>
          <w:sz w:val="16"/>
          <w:szCs w:val="16"/>
          <w:color w:val="auto"/>
        </w:rPr>
        <w:t>During the second quarter of fiscal 2002, the Company recorded special charges of approximately $27.3 million (comprised of $28.7 million of current quarter charges offset by $1.5 million related to a change in estimate discussed above). The current quarter charge was comprised of $25.7 million related to the planned transfer of production from our three older four-inch wafer fabrication facilities to our six- and eight-inch wafer fabrication facilities and $3.0 million primarily related to the impairment of an investment. Included in the $25.7 million special charge are severance and fringe benefit costs of $15.3 million for 509 manufacturing employees in the U.S. and Ireland, $2.3 million related to the write-down of equipment to be abandoned and $8.1 million related to lease termination and cleanup costs. The Company expects to substantially complete these actions by the second quarter of fiscal 2003. In addition, the remaining service lives of the three older four-inch wafer fabrication facilities have been shortened. As a result, the Company anticipates depreciation expense will be increased by approximately $7 million per quarter over the next two quarters as compared to historical levels.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activity related to the above actions is as follows:</w:t>
      </w:r>
    </w:p>
    <w:p>
      <w:pPr>
        <w:spacing w:after="0" w:line="200" w:lineRule="exact"/>
        <w:rPr>
          <w:sz w:val="20"/>
          <w:szCs w:val="20"/>
          <w:color w:val="auto"/>
        </w:rPr>
      </w:pP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Workforce</w:t>
            </w:r>
          </w:p>
        </w:tc>
        <w:tc>
          <w:tcPr>
            <w:tcW w:w="200" w:type="dxa"/>
            <w:vAlign w:val="bottom"/>
          </w:tcPr>
          <w:p>
            <w:pPr>
              <w:spacing w:after="0"/>
              <w:rPr>
                <w:sz w:val="14"/>
                <w:szCs w:val="14"/>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Abandonment</w:t>
            </w:r>
          </w:p>
        </w:tc>
        <w:tc>
          <w:tcPr>
            <w:tcW w:w="20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Lease Termination/</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180" w:type="dxa"/>
            <w:vAlign w:val="bottom"/>
            <w:gridSpan w:val="3"/>
          </w:tcPr>
          <w:p>
            <w:pPr>
              <w:ind w:left="260"/>
              <w:spacing w:after="0"/>
              <w:rPr>
                <w:sz w:val="20"/>
                <w:szCs w:val="20"/>
                <w:color w:val="auto"/>
              </w:rPr>
            </w:pPr>
            <w:r>
              <w:rPr>
                <w:rFonts w:ascii="Arial" w:cs="Arial" w:eastAsia="Arial" w:hAnsi="Arial"/>
                <w:sz w:val="14"/>
                <w:szCs w:val="14"/>
                <w:b w:val="1"/>
                <w:bCs w:val="1"/>
                <w:color w:val="auto"/>
              </w:rPr>
              <w:t>Reductions</w:t>
            </w:r>
          </w:p>
        </w:tc>
        <w:tc>
          <w:tcPr>
            <w:tcW w:w="200" w:type="dxa"/>
            <w:vAlign w:val="bottom"/>
          </w:tcPr>
          <w:p>
            <w:pPr>
              <w:spacing w:after="0"/>
              <w:rPr>
                <w:sz w:val="15"/>
                <w:szCs w:val="15"/>
                <w:color w:val="auto"/>
              </w:rPr>
            </w:pPr>
          </w:p>
        </w:tc>
        <w:tc>
          <w:tcPr>
            <w:tcW w:w="12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of Equipment</w:t>
            </w:r>
          </w:p>
        </w:tc>
        <w:tc>
          <w:tcPr>
            <w:tcW w:w="200" w:type="dxa"/>
            <w:vAlign w:val="bottom"/>
          </w:tcPr>
          <w:p>
            <w:pPr>
              <w:spacing w:after="0"/>
              <w:rPr>
                <w:sz w:val="15"/>
                <w:szCs w:val="15"/>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Cleanup Costs</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Special charges</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$15,284</w:t>
            </w:r>
          </w:p>
        </w:tc>
        <w:tc>
          <w:tcPr>
            <w:tcW w:w="3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$ 2,327</w:t>
            </w:r>
          </w:p>
        </w:tc>
        <w:tc>
          <w:tcPr>
            <w:tcW w:w="46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$8,076</w:t>
            </w:r>
          </w:p>
        </w:tc>
        <w:tc>
          <w:tcPr>
            <w:tcW w:w="4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3,028</w:t>
            </w:r>
          </w:p>
        </w:tc>
        <w:tc>
          <w:tcPr>
            <w:tcW w:w="26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$28,715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Cash payments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(988)</w:t>
            </w:r>
          </w:p>
        </w:tc>
        <w:tc>
          <w:tcPr>
            <w:tcW w:w="1240" w:type="dxa"/>
            <w:vAlign w:val="bottom"/>
            <w:gridSpan w:val="4"/>
          </w:tcPr>
          <w:p>
            <w:pPr>
              <w:jc w:val="right"/>
              <w:ind w:right="2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Non-cash impairment charge</w:t>
            </w:r>
          </w:p>
        </w:tc>
        <w:tc>
          <w:tcPr>
            <w:tcW w:w="3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EEEEEE"/>
          </w:tcPr>
          <w:p>
            <w:pPr>
              <w:jc w:val="right"/>
              <w:ind w:right="400"/>
              <w:spacing w:after="0"/>
              <w:rPr>
                <w:sz w:val="20"/>
                <w:szCs w:val="20"/>
                <w:color w:val="auto"/>
              </w:rPr>
            </w:pPr>
            <w:r>
              <w:rPr>
                <w:rFonts w:ascii="Arial" w:cs="Arial" w:eastAsia="Arial" w:hAnsi="Arial"/>
                <w:sz w:val="18"/>
                <w:szCs w:val="18"/>
                <w:color w:val="auto"/>
              </w:rPr>
              <w:t>(2,327)</w:t>
            </w:r>
          </w:p>
        </w:tc>
        <w:tc>
          <w:tcPr>
            <w:tcW w:w="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(1,800)</w:t>
            </w:r>
          </w:p>
        </w:tc>
        <w:tc>
          <w:tcPr>
            <w:tcW w:w="124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122"/>
        </w:trPr>
        <w:tc>
          <w:tcPr>
            <w:tcW w:w="306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gridSpan w:val="2"/>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3060" w:type="dxa"/>
            <w:vAlign w:val="bottom"/>
            <w:gridSpan w:val="2"/>
          </w:tcPr>
          <w:p>
            <w:pPr>
              <w:spacing w:after="0"/>
              <w:rPr>
                <w:sz w:val="20"/>
                <w:szCs w:val="20"/>
                <w:color w:val="auto"/>
              </w:rPr>
            </w:pPr>
            <w:r>
              <w:rPr>
                <w:rFonts w:ascii="Arial" w:cs="Arial" w:eastAsia="Arial" w:hAnsi="Arial"/>
                <w:sz w:val="18"/>
                <w:szCs w:val="18"/>
                <w:color w:val="auto"/>
              </w:rPr>
              <w:t>Balance at May 4, 2002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$15,284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$8,076</w:t>
            </w:r>
          </w:p>
        </w:tc>
        <w:tc>
          <w:tcPr>
            <w:tcW w:w="46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23,600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Earnings Per Share</w:t>
      </w:r>
    </w:p>
    <w:p>
      <w:pPr>
        <w:spacing w:after="0" w:line="231" w:lineRule="exact"/>
        <w:rPr>
          <w:sz w:val="20"/>
          <w:szCs w:val="20"/>
          <w:color w:val="auto"/>
        </w:rPr>
      </w:pPr>
    </w:p>
    <w:p>
      <w:pPr>
        <w:ind w:firstLine="220"/>
        <w:spacing w:after="0" w:line="254" w:lineRule="auto"/>
        <w:rPr>
          <w:sz w:val="20"/>
          <w:szCs w:val="20"/>
          <w:color w:val="auto"/>
        </w:rPr>
      </w:pPr>
      <w:r>
        <w:rPr>
          <w:rFonts w:ascii="Arial" w:cs="Arial" w:eastAsia="Arial" w:hAnsi="Arial"/>
          <w:sz w:val="18"/>
          <w:szCs w:val="18"/>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other potentially dilutive securities. In calculating diluted earnings per share, the dilutive effect of stock options is computed using the average market price for the period. Shares related to convertible debt financing and certain of the Company’s outstanding stock options were excluded because they were anti-dilutive, but these shares could be dilutive in the future. The following table sets forth the computation of basic and diluted earnings per share: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w w:val="92"/>
              </w:rPr>
              <w:t>May 4, 2002</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May 5,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14,426</w:t>
            </w:r>
          </w:p>
        </w:tc>
        <w:tc>
          <w:tcPr>
            <w:tcW w:w="180" w:type="dxa"/>
            <w:vAlign w:val="bottom"/>
          </w:tcPr>
          <w:p>
            <w:pPr>
              <w:spacing w:after="0"/>
              <w:rPr>
                <w:sz w:val="19"/>
                <w:szCs w:val="19"/>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102,496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shares outstanding</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364,545</w:t>
            </w: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358,739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240" w:type="dxa"/>
            <w:vAlign w:val="bottom"/>
            <w:gridSpan w:val="2"/>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Earnings per share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4"/>
                <w:szCs w:val="24"/>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14,426</w:t>
            </w:r>
          </w:p>
        </w:tc>
        <w:tc>
          <w:tcPr>
            <w:tcW w:w="180" w:type="dxa"/>
            <w:vAlign w:val="bottom"/>
          </w:tcPr>
          <w:p>
            <w:pPr>
              <w:spacing w:after="0"/>
              <w:rPr>
                <w:sz w:val="19"/>
                <w:szCs w:val="19"/>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102,496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shares outstanding</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364,545</w:t>
            </w: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358,739</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18,910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22,038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common and common equivalent shares</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383,455</w:t>
            </w: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380,777</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gridSpan w:val="2"/>
          </w:tcPr>
          <w:p>
            <w:pPr>
              <w:spacing w:after="0"/>
              <w:rPr>
                <w:sz w:val="5"/>
                <w:szCs w:val="5"/>
                <w:color w:val="auto"/>
              </w:rPr>
            </w:pPr>
          </w:p>
        </w:tc>
        <w:tc>
          <w:tcPr>
            <w:tcW w:w="240" w:type="dxa"/>
            <w:vAlign w:val="bottom"/>
            <w:gridSpan w:val="2"/>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Earnings per share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4"/>
                <w:szCs w:val="24"/>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Anti-dilutive shares related to:</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Outstanding stock options</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14,310,078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4"/>
              </w:rPr>
              <w:t>14,126,026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Convertible debt</w:t>
            </w:r>
          </w:p>
        </w:tc>
        <w:tc>
          <w:tcPr>
            <w:tcW w:w="13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9,246,720</w:t>
            </w: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9,246,720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5"/>
              </w:rPr>
              <w:t>Six Months Ended</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May 4, 2002</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5,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39,116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292,873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shares outstanding</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363,846</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357,905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8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680" w:type="dxa"/>
            <w:vAlign w:val="bottom"/>
            <w:gridSpan w:val="3"/>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Earnings per share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39,116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292,873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shares outstanding</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363,846</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357,905</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19,617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24,179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Weighted average common and common equivalent shares</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383,463</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382,084</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680" w:type="dxa"/>
            <w:vAlign w:val="bottom"/>
            <w:gridSpan w:val="3"/>
          </w:tcPr>
          <w:p>
            <w:pPr>
              <w:spacing w:after="0"/>
              <w:rPr>
                <w:sz w:val="9"/>
                <w:szCs w:val="9"/>
                <w:color w:val="auto"/>
              </w:rPr>
            </w:pPr>
          </w:p>
        </w:tc>
        <w:tc>
          <w:tcPr>
            <w:tcW w:w="80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680" w:type="dxa"/>
            <w:vAlign w:val="bottom"/>
            <w:gridSpan w:val="3"/>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Earnings per share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Anti-dilutive shares related to:</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Outstanding stock options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4"/>
              </w:rPr>
              <w:t>14,277,860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7,063,013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Convertible debt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w w:val="94"/>
              </w:rPr>
              <w:t>9,246,720</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9,246,720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Investments</w:t>
      </w:r>
    </w:p>
    <w:p>
      <w:pPr>
        <w:spacing w:after="0" w:line="231" w:lineRule="exact"/>
        <w:rPr>
          <w:sz w:val="20"/>
          <w:szCs w:val="20"/>
          <w:color w:val="auto"/>
        </w:rPr>
      </w:pPr>
    </w:p>
    <w:p>
      <w:pPr>
        <w:ind w:firstLine="220"/>
        <w:spacing w:after="0" w:line="370" w:lineRule="auto"/>
        <w:rPr>
          <w:sz w:val="20"/>
          <w:szCs w:val="20"/>
          <w:color w:val="auto"/>
        </w:rPr>
      </w:pPr>
      <w:r>
        <w:rPr>
          <w:rFonts w:ascii="Arial" w:cs="Arial" w:eastAsia="Arial" w:hAnsi="Arial"/>
          <w:sz w:val="15"/>
          <w:szCs w:val="15"/>
          <w:color w:val="auto"/>
        </w:rPr>
        <w:t>On December 27, 2000, the Company sold its investment in WaferTech, LLC to Taiwan Semiconductor Manufacturing Company. The Company received approximately $61 million in cash and realized a pretax gain of approximately $28 million. The realized gain is included in other nonoperating income.</w:t>
      </w:r>
    </w:p>
    <w:p>
      <w:pPr>
        <w:sectPr>
          <w:pgSz w:w="11900" w:h="16838" w:orient="portrait"/>
          <w:cols w:equalWidth="0" w:num="1">
            <w:col w:w="11040"/>
          </w:cols>
          <w:pgMar w:left="240" w:top="419" w:right="619" w:bottom="1440" w:gutter="0" w:footer="0" w:header="0"/>
        </w:sectPr>
      </w:pP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419" w:right="6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Acquisitions</w:t>
      </w:r>
    </w:p>
    <w:p>
      <w:pPr>
        <w:spacing w:after="0" w:line="231" w:lineRule="exact"/>
        <w:rPr>
          <w:sz w:val="20"/>
          <w:szCs w:val="20"/>
          <w:color w:val="auto"/>
        </w:rPr>
      </w:pPr>
    </w:p>
    <w:p>
      <w:pPr>
        <w:ind w:right="80" w:firstLine="220"/>
        <w:spacing w:after="0" w:line="306" w:lineRule="auto"/>
        <w:rPr>
          <w:sz w:val="20"/>
          <w:szCs w:val="20"/>
          <w:color w:val="auto"/>
        </w:rPr>
      </w:pPr>
      <w:r>
        <w:rPr>
          <w:rFonts w:ascii="Arial" w:cs="Arial" w:eastAsia="Arial" w:hAnsi="Arial"/>
          <w:sz w:val="16"/>
          <w:szCs w:val="16"/>
          <w:color w:val="auto"/>
        </w:rPr>
        <w:t>During the first quarter of fiscal 2001, the Company completed several acquisitions. The Company acquired five companies for approximately $36 million in cash and approximately 1 million shares of the Company’s common stock valued at $60 million. During the first six months of fiscal 2002, the Company recorded approximately $5 million of expense due to performance-based contingent consideration related to these acquisitions.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231" w:lineRule="exact"/>
        <w:rPr>
          <w:sz w:val="20"/>
          <w:szCs w:val="20"/>
          <w:color w:val="auto"/>
        </w:rPr>
      </w:pPr>
    </w:p>
    <w:p>
      <w:pPr>
        <w:ind w:right="20" w:firstLine="216"/>
        <w:spacing w:after="0" w:line="259" w:lineRule="auto"/>
        <w:rPr>
          <w:sz w:val="20"/>
          <w:szCs w:val="20"/>
          <w:color w:val="auto"/>
        </w:rPr>
      </w:pPr>
      <w:r>
        <w:rPr>
          <w:rFonts w:ascii="Arial" w:cs="Arial" w:eastAsia="Arial" w:hAnsi="Arial"/>
          <w:sz w:val="18"/>
          <w:szCs w:val="18"/>
          <w:color w:val="auto"/>
        </w:rPr>
        <w:t>The Company operates in two segments: the design, manufacture and marketing of a broad range of integrated circuits, which comprises approximately 98% of the Company’s revenue, and the design, manufacture and marketing of a range of assembled products, which accounts for the remaining 2% of the Company’s revenue. Effectively, the Company operates in one reportable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New Accounting Standards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 &amp; Goodwill and Other Intangible Assets</w:t>
      </w:r>
    </w:p>
    <w:p>
      <w:pPr>
        <w:spacing w:after="0" w:line="225"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color w:val="auto"/>
        </w:rPr>
        <w:t>In June 2001 the Financial Accounting Standards Board issued Statements of Financial Accounting Standards No. 141, (FAS 141), “Business Combinations” and No. 142, (FAS 142), “Goodwill and Other Intangible Assets.” FAS 141 requires that all business combinations initiated after June 30, 2001 be accounted for using the purchase method of accounting. Under FAS 142, which is effective for fiscal years beginning after December 15, 2001, goodwill and intangible assets deemed to have indefinite lives will no longer be amortized but will be subject to annual impairment tests in accordance with the Statement. Other intangible assets will continue to be amortized over their estimated useful lives. We must adopt these new pronouncements no later than November 2002. Application of the non-amortization provisions of FAS 142 is expected to result in an increase in annual net income of approximately $54 million, beginning in fiscal 2003. We will apply the new rules on accounting for goodwill and other intangible assets beginning in the first quarter of fiscal 2003 and, other than the effect of the non-amortization provisions of FAS 142, have not yet determined what effect, if any, the adoption of FAS 142 will have on our financial position or results of operations.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ind w:right="140" w:firstLine="220"/>
        <w:spacing w:after="0" w:line="294" w:lineRule="auto"/>
        <w:rPr>
          <w:sz w:val="20"/>
          <w:szCs w:val="20"/>
          <w:color w:val="auto"/>
        </w:rPr>
      </w:pPr>
      <w:r>
        <w:rPr>
          <w:rFonts w:ascii="Arial" w:cs="Arial" w:eastAsia="Arial" w:hAnsi="Arial"/>
          <w:sz w:val="16"/>
          <w:szCs w:val="16"/>
          <w:color w:val="auto"/>
        </w:rPr>
        <w:t>In June 2001, the Financial Accounting Standards Board issued Statement of Financial Accounting Standards No. 143, (FAS 143), “Accounting for Asset Retirement Obligations,” which addresses financial accounting and reporting for obligations associated with the retirement of tangible long-lived assets and the associated asset retirement costs. It also applies to legal obligations associated with the retirement of long-lived assets that result from the acquisition, construction, development and (or) the normal operation of a long-lived asset, except for certain obligations of lessees. We are required to adopt FAS 143 in the first quarter of fiscal 2003 and we do not believe that the adoption of FAS 143 will have a material effect on our financial position or results of operations.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Impairment or Disposal of Long-Lived Assets</w:t>
      </w:r>
    </w:p>
    <w:p>
      <w:pPr>
        <w:spacing w:after="0" w:line="225" w:lineRule="exact"/>
        <w:rPr>
          <w:sz w:val="20"/>
          <w:szCs w:val="20"/>
          <w:color w:val="auto"/>
        </w:rPr>
      </w:pPr>
    </w:p>
    <w:p>
      <w:pPr>
        <w:ind w:right="100" w:firstLine="220"/>
        <w:spacing w:after="0" w:line="290" w:lineRule="auto"/>
        <w:rPr>
          <w:sz w:val="20"/>
          <w:szCs w:val="20"/>
          <w:color w:val="auto"/>
        </w:rPr>
      </w:pPr>
      <w:r>
        <w:rPr>
          <w:rFonts w:ascii="Arial" w:cs="Arial" w:eastAsia="Arial" w:hAnsi="Arial"/>
          <w:sz w:val="16"/>
          <w:szCs w:val="16"/>
          <w:color w:val="auto"/>
        </w:rPr>
        <w:t>In August 2001, the Financial Accounting Standards Board issued Statement of Financial Accounting Standards No. 144, (FAS 144), “Accounting for the Impairment or Disposal of Long-Lived Assets,” which addresses the financial accounting and reporting for the impairment of long-lived assets. This statement supersedes Statement of Financial Accounting Standards No. 121, “Accounting for the Impairment of Long-Lived Assets and for Long-Lived Assets to Be Disposed Of” and the accounting and reporting provisions for the disposal of a segment of a business of APB Opinion No. 30, “Reporting the Results of Operations-Reporting the Effects of Disposal of a Segment of a Business, and Extraordinary, Unusual and Infrequently Occurring Events and Transactions.” We are required to adopt FAS 144 in the first quarter of fiscal 2003 and we have not yet determined what effect, if any, the adoption of FAS 144 will have on our financial position or results of operations.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31" w:lineRule="exact"/>
        <w:rPr>
          <w:sz w:val="20"/>
          <w:szCs w:val="20"/>
          <w:color w:val="auto"/>
        </w:rPr>
      </w:pPr>
    </w:p>
    <w:p>
      <w:pPr>
        <w:ind w:firstLine="216"/>
        <w:spacing w:after="0" w:line="259" w:lineRule="auto"/>
        <w:rPr>
          <w:sz w:val="20"/>
          <w:szCs w:val="20"/>
          <w:color w:val="auto"/>
        </w:rPr>
      </w:pPr>
      <w:r>
        <w:rPr>
          <w:rFonts w:ascii="Arial" w:cs="Arial" w:eastAsia="Arial" w:hAnsi="Arial"/>
          <w:sz w:val="18"/>
          <w:szCs w:val="18"/>
          <w:color w:val="auto"/>
        </w:rPr>
        <w:t>This information should be read in conjunction with the unaudited condensed consolidated financial statements and related notes included in Item 1 of this Quarterly Report and the audited consolidated financial statements and related notes and Management Analysis contained in our Annual Report on Form 10-K for the fiscal year ended November 3, 2001.</w:t>
      </w:r>
    </w:p>
    <w:p>
      <w:pPr>
        <w:spacing w:after="0" w:line="194"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The following discussion and analysis may contain forward-looking statements. Such statements are subject to certain risks and uncertainties, including those discussed below or in our Annual Report on Form 10-K for the fiscal year ended November 3, 2001, which could cause actual results to differ materially from our expectations. Readers are cautioned not to place undue reliance on any forward-looking statements, as they reflect management’s current analysis. We undertake no obligation to release the results of any revision to these forward-looking statements that may be made to reflect events or circumstances after the date of this report or to reflect the occurrence of unanticipated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60" w:firstLine="220"/>
        <w:spacing w:after="0" w:line="291" w:lineRule="auto"/>
        <w:rPr>
          <w:sz w:val="20"/>
          <w:szCs w:val="20"/>
          <w:color w:val="auto"/>
        </w:rPr>
      </w:pPr>
      <w:r>
        <w:rPr>
          <w:rFonts w:ascii="Arial" w:cs="Arial" w:eastAsia="Arial" w:hAnsi="Arial"/>
          <w:sz w:val="16"/>
          <w:szCs w:val="16"/>
          <w:color w:val="auto"/>
        </w:rPr>
        <w:t>Net sales for the second quarter of fiscal 2002 were $413 million, a decrease of 31% from the $601 million reported for the second quarter of fiscal 2001. Net sales for the first six months of fiscal 2002 were $806 million, a decrease of 41% from the $1,374 million reported for the comparable period of fiscal 2001. Our analog IC product sales decreased by 33% from the same quarter in fiscal 2001 and decreased by 42% from the same six-month period in fiscal 2001. Sales of DSP IC products declined 25% from the same quarter in fiscal 2001 and declined 40% in the first six months of fiscal year 2002 from the same prior year period. The decrease in net sales was attributable to declining demand in several markets that we serve, particularly the communications market, as well as an overall decline in the semiconductor industry and the economy generally.</w:t>
      </w:r>
    </w:p>
    <w:p>
      <w:pPr>
        <w:spacing w:after="0" w:line="174" w:lineRule="exact"/>
        <w:rPr>
          <w:sz w:val="20"/>
          <w:szCs w:val="20"/>
          <w:color w:val="auto"/>
        </w:rPr>
      </w:pPr>
    </w:p>
    <w:p>
      <w:pPr>
        <w:ind w:right="60" w:firstLine="220"/>
        <w:spacing w:after="0" w:line="255" w:lineRule="auto"/>
        <w:rPr>
          <w:sz w:val="20"/>
          <w:szCs w:val="20"/>
          <w:color w:val="auto"/>
        </w:rPr>
      </w:pPr>
      <w:r>
        <w:rPr>
          <w:rFonts w:ascii="Arial" w:cs="Arial" w:eastAsia="Arial" w:hAnsi="Arial"/>
          <w:sz w:val="18"/>
          <w:szCs w:val="18"/>
          <w:color w:val="auto"/>
        </w:rPr>
        <w:t>Sales declined in all geographic regions in the second quarter of fiscal 2002 as compared to the second quarter of fiscal 2001, with the exception of Southeast Asia where an increase in sales was recorded. For the six months ended May 4, 2002, sales decreased in all regions as compared to the same prior year period. International sales in the second quarter of fiscal 2002 represented 70% of total sales compared to 61% in the second quarter of fiscal 2001. The decline in North American sales as a percentage of total sales was principally attributable to an overall decline in the communications market as well as a cyclical downturn in the semiconductor industry.</w:t>
      </w:r>
    </w:p>
    <w:p>
      <w:pPr>
        <w:spacing w:after="0" w:line="197" w:lineRule="exact"/>
        <w:rPr>
          <w:sz w:val="20"/>
          <w:szCs w:val="20"/>
          <w:color w:val="auto"/>
        </w:rPr>
      </w:pPr>
    </w:p>
    <w:p>
      <w:pPr>
        <w:ind w:right="160" w:firstLine="220"/>
        <w:spacing w:after="0" w:line="290" w:lineRule="auto"/>
        <w:rPr>
          <w:sz w:val="20"/>
          <w:szCs w:val="20"/>
          <w:color w:val="auto"/>
        </w:rPr>
      </w:pPr>
      <w:r>
        <w:rPr>
          <w:rFonts w:ascii="Arial" w:cs="Arial" w:eastAsia="Arial" w:hAnsi="Arial"/>
          <w:sz w:val="16"/>
          <w:szCs w:val="16"/>
          <w:color w:val="auto"/>
        </w:rPr>
        <w:t>Gross margin was 53.4% for the second quarter of fiscal 2002, a decrease of 360 basis points from the 57.0% gross margin achieved in the second quarter of fiscal 2001. Gross margin was 52.7% for the first six months of fiscal 2002, a decrease of 520 basis points from the 57.9% gross margin achieved in the first six months of fiscal 2001. The deterioration in gross margin was due to reduced revenue levels and lower utilization at our internal fabs. The gross margin decline was minimized by several actions taken over the past 15 months to reduce manufacturing costs, including scheduled periodic shutdowns of manufacturing operations worldwide, reductions in workforce in many of our manufacturing locations, the outsourcing of production for many of the products which have experienced the most significant decline in revenue and efforts to reduce all discretionary spending. As a result of these actions and the increase in sales volume during the second quarter, gross margin increased 150 basis points in the second quarter of 2002 compared to the first quarter of fiscal 2002.</w:t>
      </w:r>
    </w:p>
    <w:p>
      <w:pPr>
        <w:spacing w:after="0" w:line="172" w:lineRule="exact"/>
        <w:rPr>
          <w:sz w:val="20"/>
          <w:szCs w:val="20"/>
          <w:color w:val="auto"/>
        </w:rPr>
      </w:pPr>
    </w:p>
    <w:p>
      <w:pPr>
        <w:ind w:right="20" w:firstLine="220"/>
        <w:spacing w:after="0" w:line="289" w:lineRule="auto"/>
        <w:rPr>
          <w:sz w:val="20"/>
          <w:szCs w:val="20"/>
          <w:color w:val="auto"/>
        </w:rPr>
      </w:pPr>
      <w:r>
        <w:rPr>
          <w:rFonts w:ascii="Arial" w:cs="Arial" w:eastAsia="Arial" w:hAnsi="Arial"/>
          <w:sz w:val="16"/>
          <w:szCs w:val="16"/>
          <w:color w:val="auto"/>
        </w:rPr>
        <w:t>Research and development (R&amp;D) expenses were $103 million and $208 million for the three and six months ended May 4, 2002, respectively, compared to $125 million and $247 million for the corresponding periods of fiscal 2001. As a result of the decline in revenue from the second quarter of fiscal 2001 to the second quarter of fiscal 2002, R&amp;D spending as a percentage of sales increased to 24.9% in the second quarter of fiscal 2002 from 20.8% in the second quarter of fiscal 2001. At any point in time we have hundreds of R&amp;D projects underway, and we do not believe that any one of these projects is material to our business. We expect to continue the development of innovative technologies and processes for new products targeted for broadband and wireless communications applications, imaging, audio and high-performance power and thermal management products for computer and consumer product applications. We believe that a continued commitment to research and development is essential in order to maintain product leadership with our existing products and to provide innovative new product offerings, and therefore we expect to continue to make significant R&amp;D investments in the future.</w:t>
      </w:r>
    </w:p>
    <w:p>
      <w:pPr>
        <w:spacing w:after="0" w:line="172" w:lineRule="exact"/>
        <w:rPr>
          <w:sz w:val="20"/>
          <w:szCs w:val="20"/>
          <w:color w:val="auto"/>
        </w:rPr>
      </w:pPr>
    </w:p>
    <w:p>
      <w:pPr>
        <w:ind w:firstLine="220"/>
        <w:spacing w:after="0" w:line="259" w:lineRule="auto"/>
        <w:rPr>
          <w:sz w:val="20"/>
          <w:szCs w:val="20"/>
          <w:color w:val="auto"/>
        </w:rPr>
      </w:pPr>
      <w:r>
        <w:rPr>
          <w:rFonts w:ascii="Arial" w:cs="Arial" w:eastAsia="Arial" w:hAnsi="Arial"/>
          <w:sz w:val="18"/>
          <w:szCs w:val="18"/>
          <w:color w:val="auto"/>
        </w:rPr>
        <w:t>During the first quarter of fiscal 2001, we recorded a charge of $9.5 million in connection with the acquisition of ChipLogic, Inc. of Santa Clara, California for the write-off of in-process technology that had not yet reached technological feasibility and had no alternative future use. The total purchase price of $68.3 million consisted of cash of approximately $4 million,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 million shares of our commons stock valued at $60.2 million and the assumption of $4.1 million of outstanding ChipLogic stock options.</w:t>
      </w:r>
    </w:p>
    <w:p>
      <w:pPr>
        <w:spacing w:after="0" w:line="248" w:lineRule="exact"/>
        <w:rPr>
          <w:sz w:val="20"/>
          <w:szCs w:val="20"/>
          <w:color w:val="auto"/>
        </w:rPr>
      </w:pPr>
    </w:p>
    <w:p>
      <w:pPr>
        <w:ind w:right="40" w:firstLine="210"/>
        <w:spacing w:after="0" w:line="256" w:lineRule="auto"/>
        <w:rPr>
          <w:sz w:val="20"/>
          <w:szCs w:val="20"/>
          <w:color w:val="auto"/>
        </w:rPr>
      </w:pPr>
      <w:r>
        <w:rPr>
          <w:rFonts w:ascii="Arial" w:cs="Arial" w:eastAsia="Arial" w:hAnsi="Arial"/>
          <w:sz w:val="18"/>
          <w:szCs w:val="18"/>
          <w:color w:val="auto"/>
        </w:rPr>
        <w:t>Amortization of intangibles was $14 million and $28 million in the three and six months ended May 4, 2002, respectively, compared to $14 million and $24 million in the three and six months ended May 5, 2001. The year over year increase in goodwill amortization was attributable to the amortization of goodwill associated with the acquisitions of Thomas Neuroth AG, Signal Processing Associates Pty. Ltd., Integrated Micro Instruments, Inc., ChipLogic, Inc. and Staccato Systems, Inc. completed in the first quarter of fiscal 2001.</w:t>
      </w:r>
    </w:p>
    <w:p>
      <w:pPr>
        <w:spacing w:after="0" w:line="197" w:lineRule="exact"/>
        <w:rPr>
          <w:sz w:val="20"/>
          <w:szCs w:val="20"/>
          <w:color w:val="auto"/>
        </w:rPr>
      </w:pPr>
    </w:p>
    <w:p>
      <w:pPr>
        <w:ind w:right="80" w:firstLine="220"/>
        <w:spacing w:after="0" w:line="288" w:lineRule="auto"/>
        <w:rPr>
          <w:sz w:val="20"/>
          <w:szCs w:val="20"/>
          <w:color w:val="auto"/>
        </w:rPr>
      </w:pPr>
      <w:r>
        <w:rPr>
          <w:rFonts w:ascii="Arial" w:cs="Arial" w:eastAsia="Arial" w:hAnsi="Arial"/>
          <w:sz w:val="16"/>
          <w:szCs w:val="16"/>
          <w:color w:val="auto"/>
        </w:rPr>
        <w:t>During the second quarter of fiscal 2002, we recorded special charges of approximately $27.3 million. The special charges were comprised of $25.7 million related to the announced transfer of products from our three older four-inch wafer fabrication facilities to our six- and eight-inch wafer fabrication facilities, $3.0 primarily related to the impairment of an investment and a reduction of $1.5 million related to an adjustment of previously recorded equipment cancellation fees. The $25.7 million special charge included severance and fringe benefit costs of $15.3 million for 509 manufacturing employees in the U.S. and Ireland. We anticipate the workforce reductions to result in annual savings of approximately $24 million. The special charge also included $2.3 million related to the write-down of equipment to be abandoned and $8.1 million related to lease termination and cleanup costs. In addition, the remaining service lives of the three older four-inch wafer fabrication facilities have been shortened. As a result, we anticipate that depreciation expense will be increased by approximately $7 million per quarter over the next two quarters as compared to historical levels. We expect to substantially complete these actions by the second quarter of fiscal 2003. Once fully complete, we anticipate the annual savings from the above action should be approximately $60 million.</w:t>
      </w:r>
    </w:p>
    <w:p>
      <w:pPr>
        <w:spacing w:after="0" w:line="174"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color w:val="auto"/>
        </w:rPr>
        <w:t>During fiscal 2001, we recorded special charges of approximately $47 million related to cost reduction actions taken in response to the current economic climate. The actions consisted of workforce reductions in manufacturing and, to a lesser extent, in selling, marketing and administrative areas as well as a decision to consolidate worldwide manufacturing operations and rationalize production planning and quality activities. The cost reductions included severance and fringe benefit costs of $29.6 million for approximately 1,200 employees in the U.S., Europe, Asia and the Philippines of which approximately 930 of these employees have been terminated as of May 4, 2002. The special charge also included $11.6 million related to the abandonment of equipment resulting from the consolidation of worldwide manufacturing operations and $5.8 million of other charges primarily related to equipment and lease cancellation fees. The Company expects to complete these actions within the next six months.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Selling, marketing, general &amp; administrative (SMG&amp;A) expenses for the second quarter of fiscal 2002 were $62 million, a decrease of $16 million from the</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$78 million reported for the second quarter of fiscal 2001. SMG&amp;A expenses for the six months ended May 4, 2002 were $121 million, compared to $163 million for the six months ended May 5, 2001. In the second quarter of fiscal 2002, SMG&amp;A expenses as a percentage of sales increased to 15% from 13% for the same period in the prior year primarily as a result of reduced sales levels.</w:t>
      </w:r>
    </w:p>
    <w:p>
      <w:pPr>
        <w:spacing w:after="0" w:line="198" w:lineRule="exact"/>
        <w:rPr>
          <w:sz w:val="20"/>
          <w:szCs w:val="20"/>
          <w:color w:val="auto"/>
        </w:rPr>
      </w:pPr>
    </w:p>
    <w:p>
      <w:pPr>
        <w:ind w:right="100" w:firstLine="220"/>
        <w:spacing w:after="0" w:line="259" w:lineRule="auto"/>
        <w:rPr>
          <w:sz w:val="20"/>
          <w:szCs w:val="20"/>
          <w:color w:val="auto"/>
        </w:rPr>
      </w:pPr>
      <w:r>
        <w:rPr>
          <w:rFonts w:ascii="Arial" w:cs="Arial" w:eastAsia="Arial" w:hAnsi="Arial"/>
          <w:sz w:val="18"/>
          <w:szCs w:val="18"/>
          <w:color w:val="auto"/>
        </w:rPr>
        <w:t>R&amp;D and SMG&amp;A expenses in the second quarter of fiscal 2002 were 18% lower than the second quarter of fiscal 2001 as a result of several actions taken to reduce certain of our engineering and administrative expenses, including eliminating bonuses, reducing compensation for our higher paid employees and continued tight control over discretionary expenses.</w:t>
      </w:r>
    </w:p>
    <w:p>
      <w:pPr>
        <w:spacing w:after="0" w:line="194" w:lineRule="exact"/>
        <w:rPr>
          <w:sz w:val="20"/>
          <w:szCs w:val="20"/>
          <w:color w:val="auto"/>
        </w:rPr>
      </w:pPr>
    </w:p>
    <w:p>
      <w:pPr>
        <w:ind w:right="60" w:firstLine="220"/>
        <w:spacing w:after="0" w:line="255" w:lineRule="auto"/>
        <w:rPr>
          <w:sz w:val="20"/>
          <w:szCs w:val="20"/>
          <w:color w:val="auto"/>
        </w:rPr>
      </w:pPr>
      <w:r>
        <w:rPr>
          <w:rFonts w:ascii="Arial" w:cs="Arial" w:eastAsia="Arial" w:hAnsi="Arial"/>
          <w:sz w:val="18"/>
          <w:szCs w:val="18"/>
          <w:color w:val="auto"/>
        </w:rPr>
        <w:t>Operating income for the second quarter of fiscal 2002 was $14 million, a decrease of 89% from the $126 million reported for the second quarter of fiscal 2001. Operating income for the first six months of fiscal 2002 was $41 million, a decrease of 88% from the $352 million reported for the comparable period of fiscal 2001. In the second quarter of fiscal 2002, operating income as a percentage of sales decreased to 3% from 21% for the same period in the prior year as a result of reduced sales levels and a $27 non-recurring charge primarily related to the transfer of production from older four-inch wafer fabrication facilities to our modern six- and eight-inch wafer fabrication facilities.</w:t>
      </w:r>
    </w:p>
    <w:p>
      <w:pPr>
        <w:spacing w:after="0" w:line="197" w:lineRule="exact"/>
        <w:rPr>
          <w:sz w:val="20"/>
          <w:szCs w:val="20"/>
          <w:color w:val="auto"/>
        </w:rPr>
      </w:pPr>
    </w:p>
    <w:p>
      <w:pPr>
        <w:ind w:firstLine="220"/>
        <w:spacing w:after="0" w:line="306" w:lineRule="auto"/>
        <w:rPr>
          <w:sz w:val="20"/>
          <w:szCs w:val="20"/>
          <w:color w:val="auto"/>
        </w:rPr>
      </w:pPr>
      <w:r>
        <w:rPr>
          <w:rFonts w:ascii="Arial" w:cs="Arial" w:eastAsia="Arial" w:hAnsi="Arial"/>
          <w:sz w:val="16"/>
          <w:szCs w:val="16"/>
          <w:color w:val="auto"/>
        </w:rPr>
        <w:t>Interest expense was $10 million and $23 million for the three and six months ended May 4, 2002, respectively, and $16 million and $33 million for same prior year periods. The decrease in interest expense is the result of an interest rate swap agreement we entered into in January 2002 that has the effect of swapping the 4.75% fixed rate of the convertible subordinated notes into a LIBOR-based floating rate (currently 3.09%).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220"/>
        <w:spacing w:after="0" w:line="259" w:lineRule="auto"/>
        <w:rPr>
          <w:sz w:val="20"/>
          <w:szCs w:val="20"/>
          <w:color w:val="auto"/>
        </w:rPr>
      </w:pPr>
      <w:r>
        <w:rPr>
          <w:rFonts w:ascii="Arial" w:cs="Arial" w:eastAsia="Arial" w:hAnsi="Arial"/>
          <w:sz w:val="18"/>
          <w:szCs w:val="18"/>
          <w:color w:val="auto"/>
        </w:rPr>
        <w:t>Interest income was $15 million and $36 million for the three and six months ended May 4, 2002, respectively, and $36 million and $77 million for same prior year periods. The decrease in interest income was attributable to less income earned on our invested cash balances due to the decline in interest rates over the past year.</w:t>
      </w:r>
    </w:p>
    <w:p>
      <w:pPr>
        <w:spacing w:after="0" w:line="194"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Other income was $48 thousand and $1.1 million for the three and six months ended May 4, 2002, respectively, and $1.1 million and $29.3 million for same prior year periods. The decrease in other income was due to a gain in the first quarter of fiscal 2001 on the sale of our remaining investment in WaferTech, LLC to Taiwan Semiconductor Manufacturing Company. We recorded a pretax realized gain on the sale of this investment of approximately $28 million, which is included in other nonoperating income.</w:t>
      </w:r>
    </w:p>
    <w:p>
      <w:pPr>
        <w:spacing w:after="0" w:line="197" w:lineRule="exact"/>
        <w:rPr>
          <w:sz w:val="20"/>
          <w:szCs w:val="20"/>
          <w:color w:val="auto"/>
        </w:rPr>
      </w:pPr>
    </w:p>
    <w:p>
      <w:pPr>
        <w:ind w:right="120" w:firstLine="216"/>
        <w:spacing w:after="0" w:line="288" w:lineRule="auto"/>
        <w:rPr>
          <w:sz w:val="20"/>
          <w:szCs w:val="20"/>
          <w:color w:val="auto"/>
        </w:rPr>
      </w:pPr>
      <w:r>
        <w:rPr>
          <w:rFonts w:ascii="Arial" w:cs="Arial" w:eastAsia="Arial" w:hAnsi="Arial"/>
          <w:sz w:val="16"/>
          <w:szCs w:val="16"/>
          <w:color w:val="auto"/>
        </w:rPr>
        <w:t>There was no ineffectiveness recognized in earnings as a result of our hedging programs in the six months ended May 4, 2002 or the same period in the prior fiscal year. We use derivative financial instruments to hedge certain risk exposures including sales and purchase transactions denominated in foreign currencies and the fair value of our long-term debt. These derivatives qualify for hedge accounting as discussed in detail in Note 4 to our condensed consolidated financial statements. While not entirely within the Company’s control, we anticipate that our derivatives will continue to meet the conditions for hedge accounting. If hedges cease to remain highly effective or if we come to believe that forecasted transactions may not occur, the changes in the fair value of the derivatives currently used as hedges would be reflected in earnings on a quarterly basis and the changes in fair value could be significant. We do not believe we are exposed to more than a nominal amount of credit risk in our interest rate and foreign currency hedges as the counterparties are established, well-capitalized financial institutions. Our exposures are in liquid currencies (Euros, British pounds, and Japanese yen), so we believe there is minimal risk that appropriate derivatives to maintain our hedging program would not be available in the future.</w:t>
      </w:r>
    </w:p>
    <w:p>
      <w:pPr>
        <w:spacing w:after="0" w:line="174" w:lineRule="exact"/>
        <w:rPr>
          <w:sz w:val="20"/>
          <w:szCs w:val="20"/>
          <w:color w:val="auto"/>
        </w:rPr>
      </w:pPr>
    </w:p>
    <w:p>
      <w:pPr>
        <w:ind w:right="20" w:firstLine="220"/>
        <w:spacing w:after="0" w:line="259" w:lineRule="auto"/>
        <w:rPr>
          <w:sz w:val="20"/>
          <w:szCs w:val="20"/>
          <w:color w:val="auto"/>
        </w:rPr>
      </w:pPr>
      <w:r>
        <w:rPr>
          <w:rFonts w:ascii="Arial" w:cs="Arial" w:eastAsia="Arial" w:hAnsi="Arial"/>
          <w:sz w:val="18"/>
          <w:szCs w:val="18"/>
          <w:color w:val="auto"/>
        </w:rPr>
        <w:t>Our effective income tax rate for the second quarter of fiscal 2002 was 28% compared to 30% for the same quarter in the prior year. The effective income tax rate was 28% for the first six months of fiscal 2002 compared to 31% for the same period in fiscal 2001. The decrease in the effective tax rate was due principally to a shift in the mix of worldwide profits.</w:t>
      </w:r>
    </w:p>
    <w:p>
      <w:pPr>
        <w:spacing w:after="0" w:line="194" w:lineRule="exact"/>
        <w:rPr>
          <w:sz w:val="20"/>
          <w:szCs w:val="20"/>
          <w:color w:val="auto"/>
        </w:rPr>
      </w:pPr>
    </w:p>
    <w:p>
      <w:pPr>
        <w:ind w:right="240" w:firstLine="220"/>
        <w:spacing w:after="0" w:line="305" w:lineRule="auto"/>
        <w:rPr>
          <w:sz w:val="20"/>
          <w:szCs w:val="20"/>
          <w:color w:val="auto"/>
        </w:rPr>
      </w:pPr>
      <w:r>
        <w:rPr>
          <w:rFonts w:ascii="Arial" w:cs="Arial" w:eastAsia="Arial" w:hAnsi="Arial"/>
          <w:sz w:val="15"/>
          <w:szCs w:val="15"/>
          <w:color w:val="auto"/>
        </w:rPr>
        <w:t>Net income for the second quarter of fiscal 2002 was $14 million, or 3% of sales, and diluted earnings per share was $0.04 compared to net income of $102 million, or 17% of sales, and diluted earnings per share of $0.27 for the same quarter in fiscal 2001. Net income for the first six months of fiscal 2002 was</w:t>
      </w:r>
    </w:p>
    <w:p>
      <w:pPr>
        <w:ind w:right="100"/>
        <w:spacing w:after="0" w:line="261" w:lineRule="auto"/>
        <w:rPr>
          <w:sz w:val="20"/>
          <w:szCs w:val="20"/>
          <w:color w:val="auto"/>
        </w:rPr>
      </w:pPr>
      <w:r>
        <w:rPr>
          <w:rFonts w:ascii="Arial" w:cs="Arial" w:eastAsia="Arial" w:hAnsi="Arial"/>
          <w:sz w:val="18"/>
          <w:szCs w:val="18"/>
          <w:color w:val="auto"/>
        </w:rPr>
        <w:t>$39 million, or 5% of sales, and diluted earnings per share was $0.10 compared to net income of $293 million, or 21% of sales, and diluted earnings per share of $0.77 for the same period in fiscal 2001. The decrease in net income was primarily due to reduced revenue levels.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31"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color w:val="auto"/>
        </w:rPr>
        <w:t>Our net sales for the second quarter of fiscal 2002 increased 5% from the first quarter of fiscal 2002 as a result of stronger bookings throughout the second quarter. Based upon an expectation of continued improvement in our business, our plan for our third fiscal quarter anticipates approximately an 8% sequential revenue increase, with sequential growth in both our analog and DSP businesses. If that revenue level is achieved, assuming no unusual items other than the $7.0 million of additional depreciation due to the impact of shortening the service lives of certain facilities discussed above, we would expect our third quarter of 2002 diluted earnings per share to increase to $0.10. We expect our diluted earnings per share excluding amortization of goodwill, acquisition-related expenses and additional depreciation to be $0.15.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right="200" w:firstLine="210"/>
        <w:spacing w:after="0" w:line="259" w:lineRule="auto"/>
        <w:rPr>
          <w:sz w:val="20"/>
          <w:szCs w:val="20"/>
          <w:color w:val="auto"/>
        </w:rPr>
      </w:pPr>
      <w:r>
        <w:rPr>
          <w:rFonts w:ascii="Arial" w:cs="Arial" w:eastAsia="Arial" w:hAnsi="Arial"/>
          <w:sz w:val="18"/>
          <w:szCs w:val="18"/>
          <w:color w:val="auto"/>
        </w:rPr>
        <w:t>At May 4, 2002, cash, cash equivalents and short-term investments totaled $2,909 million, an increase of $116 million from the fourth quarter of fiscal 2001 and an increase of $399 million from the second quarter of fiscal 2001. The increase in cash, cash equivalents and short-term investments was primarily due to increased operating cash flows, partially offset by capital expenditures.</w:t>
      </w:r>
    </w:p>
    <w:p>
      <w:pPr>
        <w:spacing w:after="0" w:line="194" w:lineRule="exact"/>
        <w:rPr>
          <w:sz w:val="20"/>
          <w:szCs w:val="20"/>
          <w:color w:val="auto"/>
        </w:rPr>
      </w:pPr>
    </w:p>
    <w:p>
      <w:pPr>
        <w:ind w:right="80" w:firstLine="210"/>
        <w:spacing w:after="0" w:line="259" w:lineRule="auto"/>
        <w:rPr>
          <w:sz w:val="20"/>
          <w:szCs w:val="20"/>
          <w:color w:val="auto"/>
        </w:rPr>
      </w:pPr>
      <w:r>
        <w:rPr>
          <w:rFonts w:ascii="Arial" w:cs="Arial" w:eastAsia="Arial" w:hAnsi="Arial"/>
          <w:sz w:val="18"/>
          <w:szCs w:val="18"/>
          <w:color w:val="auto"/>
        </w:rPr>
        <w:t>Accounts receivable totaled $222 million at the end of the second quarter of fiscal 2002, an increase of $4 million from the fourth quarter of fiscal 2001. Days sales outstanding increased from 46 days at November 3, 2001 to 48 days at May 4, 2002. Days sales outstanding improved from 52 days at May 5, 2001 to 48 days at May 4, 2002.</w:t>
      </w:r>
    </w:p>
    <w:p>
      <w:pPr>
        <w:spacing w:after="0" w:line="194"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Inventories of $253 million at May 4, 2002 were $6 million higher than the inventory levels at November 3, 2001 and $66 million lower than at the end of the second quarter of fiscal 2001. The decrease in inventory from the second quarter of fiscal 2001 was primarily due to lower production levels in response to reduced demand for our products as well as an increase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inventory reserves and a sharp curtailment of spending on wafers supplied by external foundries. The sequential inventory increase was attributable to increased production levels in response to the improved business outlook during the second quarter of fiscal 2002. At May 4, 2002, days cost of sales in inventory increased to 118 days from 111 days at November 3, 2001 and decreased from 119 days at May 5, 2001. We employ a variety of consistent methodologies to determine the amount of inventory reserves necessary. Inventory reserves are determined via reference to the age of inventory, lower of cost or market calculations and calculations based on projected future demand for our inventory over the next twelve months. While projected future demand takes into account current bookings trends as well as backlog on hand, an element of judgment is required to arrive at total projected demand for the next twelve months. Although we believe that we have used our best efforts and information to estimate future demand, due to the uncertain economic times and the difficulty inherent in predicting future results, it is possible that actual demand for our products will differ from our estimates. If actual demand for products is less than our estimates, additional reserves for existing inventories may need to be reflected in future periods.</w:t>
      </w:r>
    </w:p>
    <w:p>
      <w:pPr>
        <w:spacing w:after="0" w:line="174" w:lineRule="exact"/>
        <w:rPr>
          <w:sz w:val="20"/>
          <w:szCs w:val="20"/>
          <w:color w:val="auto"/>
        </w:rPr>
      </w:pPr>
    </w:p>
    <w:p>
      <w:pPr>
        <w:ind w:right="540" w:firstLine="220"/>
        <w:spacing w:after="0" w:line="332" w:lineRule="auto"/>
        <w:rPr>
          <w:sz w:val="20"/>
          <w:szCs w:val="20"/>
          <w:color w:val="auto"/>
        </w:rPr>
      </w:pPr>
      <w:r>
        <w:rPr>
          <w:rFonts w:ascii="Arial" w:cs="Arial" w:eastAsia="Arial" w:hAnsi="Arial"/>
          <w:sz w:val="16"/>
          <w:szCs w:val="16"/>
          <w:color w:val="auto"/>
        </w:rPr>
        <w:t>During the first quarter of fiscal 2001, we completed the sale of our remaining investment in WaferTech, LLC to Taiwan Semiconductor Manufacturing Company for approximately $61 million in cash. We recorded a pretax realized gain on the sale of this investment of approximately $28 million.</w:t>
      </w:r>
    </w:p>
    <w:p>
      <w:pPr>
        <w:spacing w:after="0" w:line="139" w:lineRule="exact"/>
        <w:rPr>
          <w:sz w:val="20"/>
          <w:szCs w:val="20"/>
          <w:color w:val="auto"/>
        </w:rPr>
      </w:pPr>
    </w:p>
    <w:p>
      <w:pPr>
        <w:ind w:right="120" w:firstLine="220"/>
        <w:spacing w:after="0" w:line="294" w:lineRule="auto"/>
        <w:rPr>
          <w:sz w:val="20"/>
          <w:szCs w:val="20"/>
          <w:color w:val="auto"/>
        </w:rPr>
      </w:pPr>
      <w:r>
        <w:rPr>
          <w:rFonts w:ascii="Arial" w:cs="Arial" w:eastAsia="Arial" w:hAnsi="Arial"/>
          <w:sz w:val="16"/>
          <w:szCs w:val="16"/>
          <w:color w:val="auto"/>
        </w:rPr>
        <w:t>Net additions to property, plant and equipment of $27 million for the first six months of fiscal 2002 were funded by a combination of cash on hand and cash generated from operations. Capital spending in the first six months of fiscal 2002 was down substantially from the $235 million spent in the first six months of fiscal 2001. Because of the slowdown in our served markets, we have substantially reduced our capital spending. We currently plan to make capital expenditures of approximately $70 million during fiscal 2002, of which approximately $27 million had been made as of May 4, 2002. Depreciation expense is expected to be $185 million in fiscal 2002, including approximately $14 million of additional depreciation as discussed in “Results of Operations”.</w:t>
      </w:r>
    </w:p>
    <w:p>
      <w:pPr>
        <w:spacing w:after="0" w:line="170" w:lineRule="exact"/>
        <w:rPr>
          <w:sz w:val="20"/>
          <w:szCs w:val="20"/>
          <w:color w:val="auto"/>
        </w:rPr>
      </w:pPr>
    </w:p>
    <w:p>
      <w:pPr>
        <w:ind w:right="200" w:firstLine="220"/>
        <w:spacing w:after="0" w:line="259" w:lineRule="auto"/>
        <w:rPr>
          <w:sz w:val="20"/>
          <w:szCs w:val="20"/>
          <w:color w:val="auto"/>
        </w:rPr>
      </w:pPr>
      <w:r>
        <w:rPr>
          <w:rFonts w:ascii="Arial" w:cs="Arial" w:eastAsia="Arial" w:hAnsi="Arial"/>
          <w:sz w:val="18"/>
          <w:szCs w:val="18"/>
          <w:color w:val="auto"/>
        </w:rPr>
        <w:t>During the first quarter of fiscal 2001, we completed several acquisitions. We acquired five companies for approximately $36 million in cash and approximately 1 million shares of our common stock valued at $60 million. During the first six months of fiscal 2002, we recorded approximately $5 million of expense due to performance-based contingent consideration related to these acquisitions.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May 4, 2002, our principal sources of liquidity were $2,909 million of cash, cash equivalents and short-term investments.</w:t>
      </w:r>
    </w:p>
    <w:p>
      <w:pPr>
        <w:spacing w:after="0" w:line="225" w:lineRule="exact"/>
        <w:rPr>
          <w:sz w:val="20"/>
          <w:szCs w:val="20"/>
          <w:color w:val="auto"/>
        </w:rPr>
      </w:pPr>
    </w:p>
    <w:p>
      <w:pPr>
        <w:ind w:firstLine="216"/>
        <w:spacing w:after="0" w:line="332"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Affect Future Results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operating results are difficult to predict and may materially fluctuate.</w:t>
      </w:r>
    </w:p>
    <w:p>
      <w:pPr>
        <w:spacing w:after="0" w:line="225"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availability of adequate wafers and manufacturing capacity, the risk that our backlog could decline significantly, our ability to hire, retain and motivate adequate numbers of engineers and other qualified employees to meet the demands of our largest customers, changes in product mix, and the effect of adverse changes in economic conditions in the United States and international markets. In addition, the semiconductor market has historically been cyclical and subject to significant economic downturns at various times, including the recent decline in demand experienced during fiscal 2001.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depends upon our ability to develop and market new products and enter new markets.</w:t>
      </w:r>
    </w:p>
    <w:p>
      <w:pPr>
        <w:spacing w:after="0" w:line="225" w:lineRule="exact"/>
        <w:rPr>
          <w:sz w:val="20"/>
          <w:szCs w:val="20"/>
          <w:color w:val="auto"/>
        </w:rPr>
      </w:pPr>
    </w:p>
    <w:p>
      <w:pPr>
        <w:ind w:right="20" w:firstLine="220"/>
        <w:spacing w:after="0" w:line="291" w:lineRule="auto"/>
        <w:rPr>
          <w:sz w:val="20"/>
          <w:szCs w:val="20"/>
          <w:color w:val="auto"/>
        </w:rPr>
      </w:pPr>
      <w:r>
        <w:rPr>
          <w:rFonts w:ascii="Arial" w:cs="Arial" w:eastAsia="Arial" w:hAnsi="Arial"/>
          <w:sz w:val="16"/>
          <w:szCs w:val="16"/>
          <w:color w:val="auto"/>
        </w:rPr>
        <w:t>Our future success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not be able to compete successfully in the semiconductor industry in the future.</w:t>
      </w:r>
    </w:p>
    <w:p>
      <w:pPr>
        <w:spacing w:after="0" w:line="225" w:lineRule="exact"/>
        <w:rPr>
          <w:sz w:val="20"/>
          <w:szCs w:val="20"/>
          <w:color w:val="auto"/>
        </w:rPr>
      </w:pPr>
    </w:p>
    <w:p>
      <w:pPr>
        <w:ind w:right="60" w:firstLine="216"/>
        <w:spacing w:after="0" w:line="298" w:lineRule="auto"/>
        <w:rPr>
          <w:sz w:val="20"/>
          <w:szCs w:val="20"/>
          <w:color w:val="auto"/>
        </w:rPr>
      </w:pPr>
      <w:r>
        <w:rPr>
          <w:rFonts w:ascii="Arial" w:cs="Arial" w:eastAsia="Arial" w:hAnsi="Arial"/>
          <w:sz w:val="16"/>
          <w:szCs w:val="16"/>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167" w:lineRule="exact"/>
        <w:rPr>
          <w:sz w:val="20"/>
          <w:szCs w:val="20"/>
          <w:color w:val="auto"/>
        </w:rPr>
      </w:pPr>
    </w:p>
    <w:p>
      <w:pPr>
        <w:ind w:left="220" w:right="1940"/>
        <w:spacing w:after="0" w:line="268" w:lineRule="auto"/>
        <w:rPr>
          <w:sz w:val="20"/>
          <w:szCs w:val="20"/>
          <w:color w:val="auto"/>
        </w:rPr>
      </w:pPr>
      <w:r>
        <w:rPr>
          <w:rFonts w:ascii="Arial" w:cs="Arial" w:eastAsia="Arial" w:hAnsi="Arial"/>
          <w:sz w:val="18"/>
          <w:szCs w:val="18"/>
          <w:b w:val="1"/>
          <w:bCs w:val="1"/>
          <w:i w:val="1"/>
          <w:iCs w:val="1"/>
          <w:color w:val="auto"/>
        </w:rPr>
        <w:t>We may not be able to satisfy increasing demand for our products, and increased production may lead to overcapacity and lower prices.</w:t>
      </w:r>
    </w:p>
    <w:p>
      <w:pPr>
        <w:spacing w:after="0" w:line="186" w:lineRule="exact"/>
        <w:rPr>
          <w:sz w:val="20"/>
          <w:szCs w:val="20"/>
          <w:color w:val="auto"/>
        </w:rPr>
      </w:pPr>
    </w:p>
    <w:p>
      <w:pPr>
        <w:ind w:right="200" w:firstLine="216"/>
        <w:spacing w:after="0" w:line="312" w:lineRule="auto"/>
        <w:rPr>
          <w:sz w:val="20"/>
          <w:szCs w:val="20"/>
          <w:color w:val="auto"/>
        </w:rPr>
      </w:pPr>
      <w:r>
        <w:rPr>
          <w:rFonts w:ascii="Arial" w:cs="Arial" w:eastAsia="Arial" w:hAnsi="Arial"/>
          <w:sz w:val="15"/>
          <w:szCs w:val="15"/>
          <w:color w:val="auto"/>
        </w:rPr>
        <w:t>The cyclical nature of the semiconductor industry has resulted in sustained or short-term periods when demand for our products has increased or decreased rapidly. We and the semiconductor industry experienced a period of rapid decreases in demand in fiscal 2001. As a result we have overcapacity due to the expansion of our production facilities and increased access to third-party foundries. However, we cannot be sure that we will not encounter unanticipated production problems at either our own facilities or at third-party foundries, or that our capacity will be sufficient to satisfy demand for our products. We believe that other semiconductor manufacturers have expanded their production capacity over the past several years. This expansion by us and our competitors and the continuation of the decline in the demand for semiconductor products that began in early fiscal 2001, has led to overcapacity in our target markets, which has resulted in a year over year decline in our revenue rate and could lead to price erosion that would adversely affect our operating results.</w:t>
      </w:r>
    </w:p>
    <w:p>
      <w:pPr>
        <w:spacing w:after="0" w:line="159" w:lineRule="exact"/>
        <w:rPr>
          <w:sz w:val="20"/>
          <w:szCs w:val="20"/>
          <w:color w:val="auto"/>
        </w:rPr>
      </w:pPr>
    </w:p>
    <w:p>
      <w:pPr>
        <w:ind w:left="220" w:right="2280"/>
        <w:spacing w:after="0" w:line="268" w:lineRule="auto"/>
        <w:rPr>
          <w:sz w:val="20"/>
          <w:szCs w:val="20"/>
          <w:color w:val="auto"/>
        </w:rPr>
      </w:pPr>
      <w:r>
        <w:rPr>
          <w:rFonts w:ascii="Arial" w:cs="Arial" w:eastAsia="Arial" w:hAnsi="Arial"/>
          <w:sz w:val="18"/>
          <w:szCs w:val="18"/>
          <w:b w:val="1"/>
          <w:bCs w:val="1"/>
          <w:i w:val="1"/>
          <w:iCs w:val="1"/>
          <w:color w:val="auto"/>
        </w:rPr>
        <w:t>We rely on third-party subcontractors and manufacturers for some industry-standard wafers and assembly/test services and therefore cannot control their availability or conditions of supply.</w:t>
      </w:r>
    </w:p>
    <w:p>
      <w:pPr>
        <w:spacing w:after="0" w:line="186" w:lineRule="exact"/>
        <w:rPr>
          <w:sz w:val="20"/>
          <w:szCs w:val="20"/>
          <w:color w:val="auto"/>
        </w:rPr>
      </w:pPr>
    </w:p>
    <w:p>
      <w:pPr>
        <w:ind w:right="280" w:firstLine="216"/>
        <w:spacing w:after="0" w:line="259" w:lineRule="auto"/>
        <w:rPr>
          <w:sz w:val="20"/>
          <w:szCs w:val="20"/>
          <w:color w:val="auto"/>
        </w:rPr>
      </w:pPr>
      <w:r>
        <w:rPr>
          <w:rFonts w:ascii="Arial" w:cs="Arial" w:eastAsia="Arial" w:hAnsi="Arial"/>
          <w:sz w:val="18"/>
          <w:szCs w:val="18"/>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revenues may not increase enough to offset the expense of additional capacity.</w:t>
      </w:r>
    </w:p>
    <w:p>
      <w:pPr>
        <w:spacing w:after="0" w:line="225" w:lineRule="exact"/>
        <w:rPr>
          <w:sz w:val="20"/>
          <w:szCs w:val="20"/>
          <w:color w:val="auto"/>
        </w:rPr>
      </w:pPr>
    </w:p>
    <w:p>
      <w:pPr>
        <w:ind w:right="400" w:firstLine="220"/>
        <w:spacing w:after="0" w:line="259" w:lineRule="auto"/>
        <w:rPr>
          <w:sz w:val="20"/>
          <w:szCs w:val="20"/>
          <w:color w:val="auto"/>
        </w:rPr>
      </w:pPr>
      <w:r>
        <w:rPr>
          <w:rFonts w:ascii="Arial" w:cs="Arial" w:eastAsia="Arial" w:hAnsi="Arial"/>
          <w:sz w:val="18"/>
          <w:szCs w:val="18"/>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194" w:lineRule="exact"/>
        <w:rPr>
          <w:sz w:val="20"/>
          <w:szCs w:val="20"/>
          <w:color w:val="auto"/>
        </w:rPr>
      </w:pPr>
    </w:p>
    <w:p>
      <w:pPr>
        <w:ind w:left="220" w:right="2200"/>
        <w:spacing w:after="0" w:line="268" w:lineRule="auto"/>
        <w:rPr>
          <w:sz w:val="20"/>
          <w:szCs w:val="20"/>
          <w:color w:val="auto"/>
        </w:rPr>
      </w:pPr>
      <w:r>
        <w:rPr>
          <w:rFonts w:ascii="Arial" w:cs="Arial" w:eastAsia="Arial" w:hAnsi="Arial"/>
          <w:sz w:val="18"/>
          <w:szCs w:val="18"/>
          <w:b w:val="1"/>
          <w:bCs w:val="1"/>
          <w:i w:val="1"/>
          <w:iCs w:val="1"/>
          <w:color w:val="auto"/>
        </w:rPr>
        <w:t>We rely on manufacturing capacity located in geologically unstable areas, which could affect the availability of supplies and services.</w:t>
      </w:r>
    </w:p>
    <w:p>
      <w:pPr>
        <w:spacing w:after="0" w:line="186" w:lineRule="exact"/>
        <w:rPr>
          <w:sz w:val="20"/>
          <w:szCs w:val="20"/>
          <w:color w:val="auto"/>
        </w:rPr>
      </w:pPr>
    </w:p>
    <w:p>
      <w:pPr>
        <w:ind w:firstLine="216"/>
        <w:spacing w:after="0" w:line="254" w:lineRule="auto"/>
        <w:rPr>
          <w:sz w:val="20"/>
          <w:szCs w:val="20"/>
          <w:color w:val="auto"/>
        </w:rPr>
      </w:pPr>
      <w:r>
        <w:rPr>
          <w:rFonts w:ascii="Arial" w:cs="Arial" w:eastAsia="Arial" w:hAnsi="Arial"/>
          <w:sz w:val="18"/>
          <w:szCs w:val="18"/>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has recently experienced intermittent interruption in the availability of electricity. To date, the impact on us has been negligible. However, electricity is a critical resource for us, without which our products could not be manufactured at factories exposed to continued lengthy power interruptions.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exposed to economic, political and other risks through our significant worldwide operations.</w:t>
      </w:r>
    </w:p>
    <w:p>
      <w:pPr>
        <w:spacing w:after="0" w:line="225"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During the first six months of fiscal 2002, 67% of our revenues were derived from customers in international markets.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and their impact on the U.S. economy in general, including the risks associated with ongoing uncertainties and political and economic instability in many countries around the world as well as the economic disruption from acts of terrorism, particularly in the aftermath of the terrorist attacks of September 11, 2001 and the response to them of the United States and its allies. These risks include air transportation disruptions, expropriation, currency controls and changes in currency exchange rates, tax and tariff rates and freight rates, and social and political unrest.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172" w:lineRule="exact"/>
        <w:rPr>
          <w:sz w:val="20"/>
          <w:szCs w:val="20"/>
          <w:color w:val="auto"/>
        </w:rPr>
      </w:pPr>
    </w:p>
    <w:p>
      <w:pPr>
        <w:ind w:left="220" w:right="1860"/>
        <w:spacing w:after="0" w:line="268" w:lineRule="auto"/>
        <w:rPr>
          <w:sz w:val="20"/>
          <w:szCs w:val="20"/>
          <w:color w:val="auto"/>
        </w:rPr>
      </w:pPr>
      <w:r>
        <w:rPr>
          <w:rFonts w:ascii="Arial" w:cs="Arial" w:eastAsia="Arial" w:hAnsi="Arial"/>
          <w:sz w:val="18"/>
          <w:szCs w:val="18"/>
          <w:b w:val="1"/>
          <w:bCs w:val="1"/>
          <w:i w:val="1"/>
          <w:iCs w:val="1"/>
          <w:color w:val="auto"/>
        </w:rPr>
        <w:t>We are involved in frequent litigation regarding intellectual property rights, which could be costly to defend and could require us to redesign products or pay significant royalties.</w:t>
      </w:r>
    </w:p>
    <w:p>
      <w:pPr>
        <w:spacing w:after="0" w:line="186" w:lineRule="exact"/>
        <w:rPr>
          <w:sz w:val="20"/>
          <w:szCs w:val="20"/>
          <w:color w:val="auto"/>
        </w:rPr>
      </w:pPr>
    </w:p>
    <w:p>
      <w:pPr>
        <w:ind w:right="60" w:firstLine="216"/>
        <w:spacing w:after="0" w:line="289"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 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10 of the Notes to our Consolidated Financial Statements for the fiscal year ended November 3, 2001 for information concerning pending litigation. An adverse outcome in this litigation could have a material adverse effect on our consolidated financial position or on our consolidated results of operations or cash flows in the period in which the litigation is resolved.</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Leverage and debt service obligations may adversely affect our cash flow.</w:t>
      </w:r>
    </w:p>
    <w:p>
      <w:pPr>
        <w:spacing w:after="0" w:line="225" w:lineRule="exact"/>
        <w:rPr>
          <w:sz w:val="20"/>
          <w:szCs w:val="20"/>
          <w:color w:val="auto"/>
        </w:rPr>
      </w:pPr>
    </w:p>
    <w:p>
      <w:pPr>
        <w:ind w:right="20" w:firstLine="216"/>
        <w:spacing w:after="0" w:line="294" w:lineRule="auto"/>
        <w:rPr>
          <w:sz w:val="20"/>
          <w:szCs w:val="20"/>
          <w:color w:val="auto"/>
        </w:rPr>
      </w:pPr>
      <w:r>
        <w:rPr>
          <w:rFonts w:ascii="Arial" w:cs="Arial" w:eastAsia="Arial" w:hAnsi="Arial"/>
          <w:sz w:val="16"/>
          <w:szCs w:val="16"/>
          <w:color w:val="auto"/>
        </w:rPr>
        <w:t>We have a substantial amount of outstanding indebtedness. We may be unable to generate cash sufficient to pay the principal of, interest on, and other amounts due in respect of, this indebtedness when due. Our substantial leverage could have significant 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 purposes, including capital expenditures. It may also limit our flexibility in planning for, or reacting to, changes in our business and the industry in which we operate.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31"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In January 2002, we entered into an interest rate swap agreement with respect to our $1.2 billion Convertible Subordinated Notes to convert our 4.75% fixed rate to a variable rate, based on the 6-month London Interbank Offered Rate (LIBOR). If LIBOR increases or decreases by 100 basis points, our interest expense would increase or decrease by $3 million quarterly. An interest rate increase or decrease would affect the fair value of the interest rate swap and the fair value of the debt obligation. For each basis point change in the swap curve, the fair value would change by approximately $300,000. The fair value of the swap and therefore the related debt obligation would also be affected by the price and volatility of our common stock.</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ANALOG DEVICES,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Changes in Securities and Use of Proceeds</w:t>
      </w:r>
    </w:p>
    <w:p>
      <w:pPr>
        <w:spacing w:after="0" w:line="231" w:lineRule="exact"/>
        <w:rPr>
          <w:sz w:val="20"/>
          <w:szCs w:val="20"/>
          <w:color w:val="auto"/>
        </w:rPr>
      </w:pPr>
    </w:p>
    <w:p>
      <w:pPr>
        <w:jc w:val="both"/>
        <w:ind w:firstLine="220"/>
        <w:spacing w:after="0" w:line="259" w:lineRule="auto"/>
        <w:rPr>
          <w:sz w:val="20"/>
          <w:szCs w:val="20"/>
          <w:color w:val="auto"/>
        </w:rPr>
      </w:pPr>
      <w:r>
        <w:rPr>
          <w:rFonts w:ascii="Arial" w:cs="Arial" w:eastAsia="Arial" w:hAnsi="Arial"/>
          <w:sz w:val="18"/>
          <w:szCs w:val="18"/>
          <w:color w:val="auto"/>
        </w:rPr>
        <w:t>On February 5, 2002, we issued and delivered an aggregate of 27,136 shares of our common stock to three individuals in partial fulfillment of our obligations to the three former stockholders of White Mountain DSP, Inc., which we acquired on February 5, 1999. We issued and delivered these shares in reliance upon an exemption from registration under Section 4(2) of the Securities Act of 1933,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 the Annual Meeting of Stockholders held on March 12, 2002, the stockholders of the Company elected Messrs. John L. Doyle and Ray Stata to serve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 for a term of three years by the following votes:</w:t>
      </w:r>
    </w:p>
    <w:p>
      <w:pPr>
        <w:spacing w:after="0" w:line="200" w:lineRule="exact"/>
        <w:rPr>
          <w:sz w:val="20"/>
          <w:szCs w:val="20"/>
          <w:color w:val="auto"/>
        </w:rPr>
      </w:pPr>
    </w:p>
    <w:p>
      <w:pPr>
        <w:spacing w:after="0" w:line="258"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20" w:type="dxa"/>
            <w:vAlign w:val="bottom"/>
          </w:tcPr>
          <w:p>
            <w:pPr>
              <w:ind w:left="300"/>
              <w:spacing w:after="0"/>
              <w:rPr>
                <w:sz w:val="20"/>
                <w:szCs w:val="20"/>
                <w:color w:val="auto"/>
              </w:rPr>
            </w:pPr>
            <w:r>
              <w:rPr>
                <w:rFonts w:ascii="Arial" w:cs="Arial" w:eastAsia="Arial" w:hAnsi="Arial"/>
                <w:sz w:val="14"/>
                <w:szCs w:val="14"/>
                <w:b w:val="1"/>
                <w:bCs w:val="1"/>
                <w:color w:val="auto"/>
              </w:rPr>
              <w:t>Nominee</w:t>
            </w: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18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6"/>
              </w:rPr>
              <w:t>Votes Withheld</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Broker Non Votes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EEEEEE"/>
          </w:tcPr>
          <w:p>
            <w:pPr>
              <w:spacing w:after="0"/>
              <w:rPr>
                <w:sz w:val="20"/>
                <w:szCs w:val="20"/>
                <w:color w:val="auto"/>
              </w:rPr>
            </w:pPr>
            <w:r>
              <w:rPr>
                <w:rFonts w:ascii="Arial" w:cs="Arial" w:eastAsia="Arial" w:hAnsi="Arial"/>
                <w:sz w:val="18"/>
                <w:szCs w:val="18"/>
                <w:color w:val="auto"/>
                <w:w w:val="99"/>
              </w:rPr>
              <w:t>John L. Doyle</w:t>
            </w:r>
          </w:p>
        </w:tc>
        <w:tc>
          <w:tcPr>
            <w:tcW w:w="1960" w:type="dxa"/>
            <w:vAlign w:val="bottom"/>
            <w:gridSpan w:val="2"/>
            <w:shd w:val="clear" w:color="auto" w:fill="EEEEEE"/>
          </w:tcPr>
          <w:p>
            <w:pPr>
              <w:jc w:val="center"/>
              <w:ind w:left="32"/>
              <w:spacing w:after="0"/>
              <w:rPr>
                <w:sz w:val="20"/>
                <w:szCs w:val="20"/>
                <w:color w:val="auto"/>
              </w:rPr>
            </w:pPr>
            <w:r>
              <w:rPr>
                <w:rFonts w:ascii="Arial" w:cs="Arial" w:eastAsia="Arial" w:hAnsi="Arial"/>
                <w:sz w:val="18"/>
                <w:szCs w:val="18"/>
                <w:color w:val="auto"/>
                <w:w w:val="87"/>
              </w:rPr>
              <w:t>310,174,660</w:t>
            </w:r>
          </w:p>
        </w:tc>
        <w:tc>
          <w:tcPr>
            <w:tcW w:w="1980" w:type="dxa"/>
            <w:vAlign w:val="bottom"/>
            <w:gridSpan w:val="2"/>
            <w:shd w:val="clear" w:color="auto" w:fill="EEEEEE"/>
          </w:tcPr>
          <w:p>
            <w:pPr>
              <w:jc w:val="center"/>
              <w:ind w:left="72"/>
              <w:spacing w:after="0"/>
              <w:rPr>
                <w:sz w:val="20"/>
                <w:szCs w:val="20"/>
                <w:color w:val="auto"/>
              </w:rPr>
            </w:pPr>
            <w:r>
              <w:rPr>
                <w:rFonts w:ascii="Arial" w:cs="Arial" w:eastAsia="Arial" w:hAnsi="Arial"/>
                <w:sz w:val="18"/>
                <w:szCs w:val="18"/>
                <w:color w:val="auto"/>
                <w:w w:val="87"/>
              </w:rPr>
              <w:t>7,158,581</w:t>
            </w:r>
          </w:p>
        </w:tc>
        <w:tc>
          <w:tcPr>
            <w:tcW w:w="12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Ray Stata</w:t>
            </w:r>
          </w:p>
        </w:tc>
        <w:tc>
          <w:tcPr>
            <w:tcW w:w="19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308,944,280</w:t>
            </w:r>
          </w:p>
        </w:tc>
        <w:tc>
          <w:tcPr>
            <w:tcW w:w="19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8,388,961</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Each of the following directors who were not up for reelection at the Annual Meeting of Stockholders will continue to serve as directors: Messrs. Jerald 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Fishman, F. Grant Saviers, Joel Moses, Lester C. Thurow and Charles O. Holliday, Jr.</w:t>
      </w:r>
    </w:p>
    <w:p>
      <w:pPr>
        <w:spacing w:after="0" w:line="219" w:lineRule="exact"/>
        <w:rPr>
          <w:sz w:val="20"/>
          <w:szCs w:val="20"/>
          <w:color w:val="auto"/>
        </w:rPr>
      </w:pPr>
    </w:p>
    <w:p>
      <w:pPr>
        <w:ind w:right="280" w:firstLine="220"/>
        <w:spacing w:after="0" w:line="268" w:lineRule="auto"/>
        <w:rPr>
          <w:sz w:val="20"/>
          <w:szCs w:val="20"/>
          <w:color w:val="auto"/>
        </w:rPr>
      </w:pPr>
      <w:r>
        <w:rPr>
          <w:rFonts w:ascii="Arial" w:cs="Arial" w:eastAsia="Arial" w:hAnsi="Arial"/>
          <w:sz w:val="18"/>
          <w:szCs w:val="18"/>
          <w:color w:val="auto"/>
        </w:rPr>
        <w:t>Stockholders also ratified the selection by the Board of Directors of Ernst &amp; Young LLP as the Company’s independent auditors for the fiscal year ending November 2, 2002, by a vote of 333,321,355 in favor, 2,732,653 opposed and 1,279,233 abstaining.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 and reports on Form 8-K</w:t>
      </w:r>
    </w:p>
    <w:p>
      <w:pPr>
        <w:spacing w:after="0" w:line="231" w:lineRule="exact"/>
        <w:rPr>
          <w:sz w:val="20"/>
          <w:szCs w:val="20"/>
          <w:color w:val="auto"/>
        </w:rPr>
      </w:pPr>
    </w:p>
    <w:p>
      <w:pPr>
        <w:ind w:left="540" w:right="10200" w:hanging="312"/>
        <w:spacing w:after="0" w:line="563" w:lineRule="auto"/>
        <w:tabs>
          <w:tab w:leader="none" w:pos="515" w:val="left"/>
        </w:tabs>
        <w:numPr>
          <w:ilvl w:val="0"/>
          <w:numId w:val="3"/>
        </w:numPr>
        <w:rPr>
          <w:rFonts w:ascii="Arial" w:cs="Arial" w:eastAsia="Arial" w:hAnsi="Arial"/>
          <w:sz w:val="16"/>
          <w:szCs w:val="16"/>
          <w:color w:val="auto"/>
        </w:rPr>
      </w:pPr>
      <w:r>
        <w:rPr>
          <w:rFonts w:ascii="Arial" w:cs="Arial" w:eastAsia="Arial" w:hAnsi="Arial"/>
          <w:sz w:val="16"/>
          <w:szCs w:val="16"/>
          <w:color w:val="auto"/>
        </w:rPr>
        <w:t>Exhibits None</w:t>
      </w:r>
    </w:p>
    <w:p>
      <w:pPr>
        <w:spacing w:after="0" w:line="1" w:lineRule="exact"/>
        <w:rPr>
          <w:rFonts w:ascii="Arial" w:cs="Arial" w:eastAsia="Arial" w:hAnsi="Arial"/>
          <w:sz w:val="16"/>
          <w:szCs w:val="16"/>
          <w:color w:val="auto"/>
        </w:rPr>
      </w:pPr>
    </w:p>
    <w:p>
      <w:pPr>
        <w:ind w:left="540" w:right="9340" w:hanging="312"/>
        <w:spacing w:after="0" w:line="501" w:lineRule="auto"/>
        <w:tabs>
          <w:tab w:leader="none" w:pos="52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 on Form 8-K None</w:t>
      </w:r>
    </w:p>
    <w:p>
      <w:pPr>
        <w:ind w:left="220"/>
        <w:spacing w:after="0"/>
        <w:rPr>
          <w:sz w:val="20"/>
          <w:szCs w:val="20"/>
          <w:color w:val="auto"/>
        </w:rPr>
      </w:pPr>
      <w:r>
        <w:rPr>
          <w:rFonts w:ascii="Arial" w:cs="Arial" w:eastAsia="Arial" w:hAnsi="Arial"/>
          <w:sz w:val="18"/>
          <w:szCs w:val="18"/>
          <w:color w:val="auto"/>
        </w:rPr>
        <w:t>Items 1, 3, and 5 of PART II are not applicable and have been omitted.</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200"/>
          </w:cols>
          <w:pgMar w:left="240" w:top="419" w:right="45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Date: June 7, 2002</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By: /s/ Jerald G. Fishman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ectPr>
          <w:pgSz w:w="11900" w:h="16838" w:orient="portrait"/>
          <w:cols w:equalWidth="0" w:num="2">
            <w:col w:w="5000" w:space="720"/>
            <w:col w:w="5480"/>
          </w:cols>
          <w:pgMar w:left="240" w:top="419" w:right="45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Date: June 7,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By: /s/ Joseph E. McDonough</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Joseph E. McDonough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ectPr>
          <w:pgSz w:w="11900" w:h="16838" w:orient="portrait"/>
          <w:cols w:equalWidth="0" w:num="2">
            <w:col w:w="5000" w:space="720"/>
            <w:col w:w="5480"/>
          </w:cols>
          <w:pgMar w:left="240" w:top="419" w:right="459" w:bottom="1440" w:gutter="0" w:footer="0" w:header="0"/>
          <w:type w:val="continuous"/>
        </w:sectPr>
      </w:pPr>
    </w:p>
    <w:p>
      <w:pPr>
        <w:spacing w:after="0" w:line="1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20</w:t>
      </w:r>
    </w:p>
    <w:sectPr>
      <w:pgSz w:w="11900" w:h="16838" w:orient="portrait"/>
      <w:cols w:equalWidth="0" w:num="1">
        <w:col w:w="11200"/>
      </w:cols>
      <w:pgMar w:left="240" w:top="419"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2019-12-20T04:56:46Z</dcterms:created>
  <dcterms:modified xsi:type="dcterms:W3CDTF">2019-12-20T04:56:46Z</dcterms:modified>
</cp:coreProperties>
</file>