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02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02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Jain Vivek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580" w:firstLine="8"/>
        <w:spacing w:after="0" w:line="302" w:lineRule="auto"/>
        <w:tabs>
          <w:tab w:leader="none" w:pos="1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7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Global Operations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040" w:space="720"/>
            <w:col w:w="2968" w:space="720"/>
            <w:col w:w="3112"/>
          </w:cols>
          <w:pgMar w:left="660" w:top="556" w:right="680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WILMINGTON  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01887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  <w:gridSpan w:val="16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 Stock - $.16-2/3 value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12/09/2025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2,491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41,395.288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40" w:type="dxa"/>
            <w:vAlign w:val="bottom"/>
            <w:gridSpan w:val="13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83" w:lineRule="auto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shares of common stock of the Company earned in connection with Performance-Based Restricted Stock Units granted on April 3, 2023. The shares were earned based on the achievement of certain pre-established performance parameters relating to the Company's financial performance over a one-year performance period, two-year cumulative performance period and three-year cumulative performance period at</w:t>
      </w:r>
    </w:p>
    <w:p>
      <w:pPr>
        <w:ind w:left="200" w:hanging="15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3% of target. The shares will vest on March 15, 2026, subject to the Reporting Person's continued employment with the Company.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Shelly Shaw, General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Counsel, by 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4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73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2025-12-10T16:19:01Z</dcterms:created>
  <dcterms:modified xsi:type="dcterms:W3CDTF">2025-12-10T16:19:01Z</dcterms:modified>
</cp:coreProperties>
</file>