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February 18, 2009</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Massachusetts</w:t>
            </w:r>
          </w:p>
        </w:tc>
        <w:tc>
          <w:tcPr>
            <w:tcW w:w="2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1-7819</w:t>
            </w:r>
          </w:p>
        </w:tc>
        <w:tc>
          <w:tcPr>
            <w:tcW w:w="116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5"/>
        </w:trPr>
        <w:tc>
          <w:tcPr>
            <w:tcW w:w="40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w w:val="91"/>
              </w:rPr>
              <w:t>One Technology Way, Norwood, MA</w:t>
            </w:r>
          </w:p>
        </w:tc>
        <w:tc>
          <w:tcPr>
            <w:tcW w:w="1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250"/>
              <w:spacing w:after="0"/>
              <w:rPr>
                <w:sz w:val="20"/>
                <w:szCs w:val="20"/>
                <w:color w:val="auto"/>
              </w:rPr>
            </w:pPr>
            <w:r>
              <w:rPr>
                <w:rFonts w:ascii="Arial" w:cs="Arial" w:eastAsia="Arial" w:hAnsi="Arial"/>
                <w:sz w:val="18"/>
                <w:szCs w:val="18"/>
                <w:b w:val="1"/>
                <w:bCs w:val="1"/>
                <w:color w:val="auto"/>
              </w:rPr>
              <w:t>02062</w:t>
            </w:r>
          </w:p>
        </w:tc>
      </w:tr>
      <w:tr>
        <w:trPr>
          <w:trHeight w:val="230"/>
        </w:trPr>
        <w:tc>
          <w:tcPr>
            <w:tcW w:w="4020" w:type="dxa"/>
            <w:vAlign w:val="bottom"/>
            <w:gridSpan w:val="2"/>
          </w:tcPr>
          <w:p>
            <w:pPr>
              <w:ind w:left="114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6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jc w:val="both"/>
        <w:ind w:right="160" w:firstLine="405"/>
        <w:spacing w:after="0"/>
        <w:rPr>
          <w:sz w:val="20"/>
          <w:szCs w:val="20"/>
          <w:color w:val="auto"/>
        </w:rPr>
      </w:pPr>
      <w:r>
        <w:rPr>
          <w:rFonts w:ascii="Arial" w:cs="Arial" w:eastAsia="Arial" w:hAnsi="Arial"/>
          <w:sz w:val="22"/>
          <w:szCs w:val="22"/>
          <w:color w:val="auto"/>
        </w:rPr>
        <w:t>On February 18, 2009, Analog Devices, Inc. (the “Registrant”) announced its financial results for its fiscal first quarter ended January 31, 2009. The full text of the press release issued by the Registrant concerning the foregoing results is furnished herewith as Exhibit 99.1.</w:t>
      </w:r>
    </w:p>
    <w:p>
      <w:pPr>
        <w:spacing w:after="0" w:line="186" w:lineRule="exact"/>
        <w:rPr>
          <w:sz w:val="20"/>
          <w:szCs w:val="20"/>
          <w:color w:val="auto"/>
        </w:rPr>
      </w:pPr>
    </w:p>
    <w:p>
      <w:pPr>
        <w:ind w:right="80" w:firstLine="405"/>
        <w:spacing w:after="0" w:line="282" w:lineRule="auto"/>
        <w:rPr>
          <w:sz w:val="20"/>
          <w:szCs w:val="20"/>
          <w:color w:val="auto"/>
        </w:rPr>
      </w:pPr>
      <w:r>
        <w:rPr>
          <w:rFonts w:ascii="Arial" w:cs="Arial" w:eastAsia="Arial" w:hAnsi="Arial"/>
          <w:sz w:val="19"/>
          <w:szCs w:val="19"/>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February 18, 2009</w:t>
            </w:r>
          </w:p>
        </w:tc>
      </w:tr>
      <w:tr>
        <w:trPr>
          <w:trHeight w:val="230"/>
        </w:trPr>
        <w:tc>
          <w:tcPr>
            <w:tcW w:w="8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96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18, 2009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7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6"/>
              </w:rPr>
              <w:t>Press release dated February 18, 2009</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1760" w:firstLine="1751"/>
        <w:spacing w:after="0" w:line="438" w:lineRule="auto"/>
        <w:rPr>
          <w:sz w:val="20"/>
          <w:szCs w:val="20"/>
          <w:color w:val="auto"/>
        </w:rPr>
      </w:pPr>
      <w:r>
        <w:rPr>
          <w:rFonts w:ascii="Arial" w:cs="Arial" w:eastAsia="Arial" w:hAnsi="Arial"/>
          <w:sz w:val="22"/>
          <w:szCs w:val="22"/>
          <w:b w:val="1"/>
          <w:bCs w:val="1"/>
          <w:color w:val="auto"/>
        </w:rPr>
        <w:t xml:space="preserve">Analog Devices Announces Financial Results for the First Quarter of Fiscal Year 2009 </w:t>
      </w:r>
      <w:r>
        <w:rPr>
          <w:rFonts w:ascii="Arial" w:cs="Arial" w:eastAsia="Arial" w:hAnsi="Arial"/>
          <w:sz w:val="22"/>
          <w:szCs w:val="22"/>
          <w:color w:val="auto"/>
        </w:rPr>
        <w:t>NORWOOD, Mass.--(BUSINESS WIRE)--February 18, 2009--</w:t>
      </w:r>
    </w:p>
    <w:p>
      <w:pPr>
        <w:spacing w:after="0" w:line="1" w:lineRule="exact"/>
        <w:rPr>
          <w:sz w:val="20"/>
          <w:szCs w:val="20"/>
          <w:color w:val="auto"/>
        </w:rPr>
      </w:pPr>
    </w:p>
    <w:p>
      <w:pPr>
        <w:ind w:left="540" w:right="4740"/>
        <w:spacing w:after="0" w:line="358" w:lineRule="auto"/>
        <w:rPr>
          <w:sz w:val="20"/>
          <w:szCs w:val="20"/>
          <w:color w:val="auto"/>
        </w:rPr>
      </w:pPr>
      <w:r>
        <w:rPr>
          <w:rFonts w:ascii="Arial" w:cs="Arial" w:eastAsia="Arial" w:hAnsi="Arial"/>
          <w:sz w:val="22"/>
          <w:szCs w:val="22"/>
          <w:i w:val="1"/>
          <w:iCs w:val="1"/>
          <w:color w:val="auto"/>
        </w:rPr>
        <w:t>Revenue was $477 million, in line with the Company’s updated outlook Gross margin was 56.4%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0"/>
        <w:spacing w:after="0" w:line="358" w:lineRule="auto"/>
        <w:rPr>
          <w:sz w:val="20"/>
          <w:szCs w:val="20"/>
          <w:color w:val="auto"/>
        </w:rPr>
      </w:pPr>
      <w:r>
        <w:rPr>
          <w:rFonts w:ascii="Arial" w:cs="Arial" w:eastAsia="Arial" w:hAnsi="Arial"/>
          <w:sz w:val="22"/>
          <w:szCs w:val="22"/>
          <w:i w:val="1"/>
          <w:iCs w:val="1"/>
          <w:color w:val="auto"/>
        </w:rPr>
        <w:t>Diluted EPS from continuing operations was $0.08, which includes a $0.10 per share impact from restructuring Cash and short-term investments at the end of 1Q09 totaled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80"/>
        <w:spacing w:after="0" w:line="459" w:lineRule="auto"/>
        <w:rPr>
          <w:sz w:val="20"/>
          <w:szCs w:val="20"/>
          <w:color w:val="auto"/>
        </w:rPr>
      </w:pPr>
      <w:r>
        <w:rPr>
          <w:rFonts w:ascii="Arial" w:cs="Arial" w:eastAsia="Arial" w:hAnsi="Arial"/>
          <w:sz w:val="19"/>
          <w:szCs w:val="19"/>
          <w:i w:val="1"/>
          <w:iCs w:val="1"/>
          <w:color w:val="auto"/>
        </w:rPr>
        <w:t>Board of Directors declared quarterly dividend of $0.20 per share Financial results will be discussed via conference call today at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-469265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80"/>
        <w:spacing w:after="0" w:line="238" w:lineRule="auto"/>
        <w:rPr>
          <w:sz w:val="20"/>
          <w:szCs w:val="20"/>
          <w:color w:val="auto"/>
        </w:rPr>
      </w:pPr>
      <w:r>
        <w:rPr>
          <w:rFonts w:ascii="Arial" w:cs="Arial" w:eastAsia="Arial" w:hAnsi="Arial"/>
          <w:sz w:val="22"/>
          <w:szCs w:val="22"/>
          <w:color w:val="auto"/>
        </w:rPr>
        <w:t>Analog Devices, Inc. (NYSE: ADI), a global leader in high-performance semiconductors for signal processing applications, today announced financial results for the first quarter of fiscal 2009, which ended January 31, 2009. Revenue for the first quarter was $477 million, operating income was $20 million, and diluted EPS from continuing operations was $0.08. These financial results include restructuring charges of $42 million, or $0.10 per share.</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“During the first quarter, we reduced non-GAAP operating expenses by 13% sequentially and constrained inventory growth as deteriorating economic conditions continued to pressure end-market demand,” said President and CEO Jerald G. Fishman. “In addition to executing immediate cost actions, we continued to drive the process we began long before the downturn to heighten our focus on market opportunities that offer attractive growth and profitability, and to streamline our manufacturing operations.”</w:t>
      </w:r>
    </w:p>
    <w:p>
      <w:pPr>
        <w:spacing w:after="0" w:line="143"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Mr. Fishman continued, “We’re further concentrating our investments on core technologies that have enabled us to build the strongest signal processing brand in the industry. At the same time, we’re driving initiatives to fundamentally reshape our infrastructure costs which, along with further spending reductions, are designed to maximize our near- and long-term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Summary: First Quarter of Fiscal 2009</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i w:val="1"/>
          <w:iCs w:val="1"/>
          <w:color w:val="auto"/>
        </w:rPr>
        <w:t>The table reconciling the Company’s non-GAAP financial results to GAAP financial results is provided in this release on Schedule F.</w:t>
      </w:r>
    </w:p>
    <w:p>
      <w:pPr>
        <w:spacing w:after="0" w:line="167" w:lineRule="exact"/>
        <w:rPr>
          <w:sz w:val="20"/>
          <w:szCs w:val="20"/>
          <w:color w:val="auto"/>
        </w:rPr>
      </w:pPr>
    </w:p>
    <w:p>
      <w:pPr>
        <w:ind w:left="540" w:right="380"/>
        <w:spacing w:after="0" w:line="256"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was $477 million, a decline of 28% from the immediately prior quarter and 22% from the same period one year</w:t>
      </w:r>
      <w:r>
        <w:rPr>
          <w:rFonts w:ascii="Arial" w:cs="Arial" w:eastAsia="Arial" w:hAnsi="Arial"/>
          <w:sz w:val="22"/>
          <w:szCs w:val="22"/>
          <w:b w:val="1"/>
          <w:bCs w:val="1"/>
          <w:color w:val="auto"/>
        </w:rPr>
        <w:t xml:space="preserve"> </w:t>
      </w:r>
      <w:r>
        <w:rPr>
          <w:rFonts w:ascii="Arial" w:cs="Arial" w:eastAsia="Arial" w:hAnsi="Arial"/>
          <w:sz w:val="22"/>
          <w:szCs w:val="22"/>
          <w:color w:val="auto"/>
        </w:rPr>
        <w:t>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00"/>
        <w:spacing w:after="0" w:line="289" w:lineRule="auto"/>
        <w:rPr>
          <w:sz w:val="20"/>
          <w:szCs w:val="20"/>
          <w:color w:val="auto"/>
        </w:rPr>
      </w:pPr>
      <w:r>
        <w:rPr>
          <w:rFonts w:ascii="Arial" w:cs="Arial" w:eastAsia="Arial" w:hAnsi="Arial"/>
          <w:sz w:val="19"/>
          <w:szCs w:val="19"/>
          <w:b w:val="1"/>
          <w:bCs w:val="1"/>
          <w:color w:val="auto"/>
        </w:rPr>
        <w:t xml:space="preserve">Gross margin </w:t>
      </w:r>
      <w:r>
        <w:rPr>
          <w:rFonts w:ascii="Arial" w:cs="Arial" w:eastAsia="Arial" w:hAnsi="Arial"/>
          <w:sz w:val="19"/>
          <w:szCs w:val="19"/>
          <w:color w:val="auto"/>
        </w:rPr>
        <w:t>was $269 million, or 56.4% of revenue, compared to $404 million, or 61.1% of revenue, in the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prior quarter, and $376 million, or 61.2% of revenue, in the first quarter of fiscal 2008. The sequential decline in gross margin was primarily due to the Company’s reduction in manufacturing output as planned, and additional inventory reserves due to lower demand. This was partially offset by the benefits of an improved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-602615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 w:lineRule="exact"/>
        <w:rPr>
          <w:sz w:val="20"/>
          <w:szCs w:val="20"/>
          <w:color w:val="auto"/>
        </w:rPr>
      </w:pPr>
    </w:p>
    <w:p>
      <w:pPr>
        <w:ind w:left="540" w:right="1120"/>
        <w:spacing w:after="0" w:line="256" w:lineRule="auto"/>
        <w:rPr>
          <w:sz w:val="20"/>
          <w:szCs w:val="20"/>
          <w:color w:val="auto"/>
        </w:rPr>
      </w:pPr>
      <w:r>
        <w:rPr>
          <w:rFonts w:ascii="Arial" w:cs="Arial" w:eastAsia="Arial" w:hAnsi="Arial"/>
          <w:sz w:val="22"/>
          <w:szCs w:val="22"/>
          <w:b w:val="1"/>
          <w:bCs w:val="1"/>
          <w:color w:val="auto"/>
        </w:rPr>
        <w:t xml:space="preserve">Restructuring </w:t>
      </w:r>
      <w:r>
        <w:rPr>
          <w:rFonts w:ascii="Arial" w:cs="Arial" w:eastAsia="Arial" w:hAnsi="Arial"/>
          <w:sz w:val="22"/>
          <w:szCs w:val="22"/>
          <w:color w:val="auto"/>
        </w:rPr>
        <w:t>charges of $42 million were recorded in the first quarter of fiscal 2009 in connection with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consolidations and closures and other cost reduction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532" w:right="20"/>
        <w:spacing w:after="0" w:line="257"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were $249 million, an increase of $6 million, or 3%, from the immediately prior quarter and an increase</w:t>
      </w:r>
      <w:r>
        <w:rPr>
          <w:rFonts w:ascii="Arial" w:cs="Arial" w:eastAsia="Arial" w:hAnsi="Arial"/>
          <w:sz w:val="22"/>
          <w:szCs w:val="22"/>
          <w:b w:val="1"/>
          <w:bCs w:val="1"/>
          <w:color w:val="auto"/>
        </w:rPr>
        <w:t xml:space="preserve"> </w:t>
      </w:r>
      <w:r>
        <w:rPr>
          <w:rFonts w:ascii="Arial" w:cs="Arial" w:eastAsia="Arial" w:hAnsi="Arial"/>
          <w:sz w:val="22"/>
          <w:szCs w:val="22"/>
          <w:color w:val="auto"/>
        </w:rPr>
        <w:t>of $20 million, or 8%, from the first quarter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-278130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0" w:lineRule="exact"/>
        <w:rPr>
          <w:sz w:val="20"/>
          <w:szCs w:val="20"/>
          <w:color w:val="auto"/>
        </w:rPr>
      </w:pPr>
    </w:p>
    <w:p>
      <w:pPr>
        <w:jc w:val="both"/>
        <w:ind w:left="532" w:right="360"/>
        <w:spacing w:after="0" w:line="243" w:lineRule="auto"/>
        <w:rPr>
          <w:sz w:val="20"/>
          <w:szCs w:val="20"/>
          <w:color w:val="auto"/>
        </w:rPr>
      </w:pPr>
      <w:r>
        <w:rPr>
          <w:rFonts w:ascii="Arial" w:cs="Arial" w:eastAsia="Arial" w:hAnsi="Arial"/>
          <w:sz w:val="22"/>
          <w:szCs w:val="22"/>
          <w:b w:val="1"/>
          <w:bCs w:val="1"/>
          <w:color w:val="auto"/>
        </w:rPr>
        <w:t xml:space="preserve">Excluding restructuring charges of $42 million, non-GAAP operating expenses </w:t>
      </w:r>
      <w:r>
        <w:rPr>
          <w:rFonts w:ascii="Arial" w:cs="Arial" w:eastAsia="Arial" w:hAnsi="Arial"/>
          <w:sz w:val="22"/>
          <w:szCs w:val="22"/>
          <w:color w:val="auto"/>
        </w:rPr>
        <w:t>were $208 million, a decrease of $32</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or 13%, compared to the immediately prior quarter, and a decrease of $22 million, or 10%, compared to the first quarter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-422275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32" w:right="160"/>
        <w:spacing w:after="0" w:line="335" w:lineRule="auto"/>
        <w:rPr>
          <w:sz w:val="20"/>
          <w:szCs w:val="20"/>
          <w:color w:val="auto"/>
        </w:rPr>
      </w:pPr>
      <w:r>
        <w:rPr>
          <w:rFonts w:ascii="Arial" w:cs="Arial" w:eastAsia="Arial" w:hAnsi="Arial"/>
          <w:sz w:val="19"/>
          <w:szCs w:val="19"/>
          <w:b w:val="1"/>
          <w:bCs w:val="1"/>
          <w:color w:val="auto"/>
        </w:rPr>
        <w:t xml:space="preserve">Operating income from continuing operations </w:t>
      </w:r>
      <w:r>
        <w:rPr>
          <w:rFonts w:ascii="Arial" w:cs="Arial" w:eastAsia="Arial" w:hAnsi="Arial"/>
          <w:sz w:val="19"/>
          <w:szCs w:val="19"/>
          <w:color w:val="auto"/>
        </w:rPr>
        <w:t>was $20 million, or 4.1% of revenue, compared to $161 million, or 24.3%</w:t>
      </w:r>
      <w:r>
        <w:rPr>
          <w:rFonts w:ascii="Arial" w:cs="Arial" w:eastAsia="Arial" w:hAnsi="Arial"/>
          <w:sz w:val="19"/>
          <w:szCs w:val="19"/>
          <w:b w:val="1"/>
          <w:bCs w:val="1"/>
          <w:color w:val="auto"/>
        </w:rPr>
        <w:t xml:space="preserve"> </w:t>
      </w:r>
      <w:r>
        <w:rPr>
          <w:rFonts w:ascii="Arial" w:cs="Arial" w:eastAsia="Arial" w:hAnsi="Arial"/>
          <w:sz w:val="19"/>
          <w:szCs w:val="19"/>
          <w:color w:val="auto"/>
        </w:rPr>
        <w:t>of revenue, in the immediately prior quarter, and $146 million, or 23.8% of revenue, in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-321945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32" w:right="380"/>
        <w:spacing w:after="0" w:line="243" w:lineRule="auto"/>
        <w:rPr>
          <w:sz w:val="20"/>
          <w:szCs w:val="20"/>
          <w:color w:val="auto"/>
        </w:rPr>
      </w:pPr>
      <w:r>
        <w:rPr>
          <w:rFonts w:ascii="Arial" w:cs="Arial" w:eastAsia="Arial" w:hAnsi="Arial"/>
          <w:sz w:val="22"/>
          <w:szCs w:val="22"/>
          <w:b w:val="1"/>
          <w:bCs w:val="1"/>
          <w:color w:val="auto"/>
        </w:rPr>
        <w:t xml:space="preserve">Excluding restructuring charges of $42 million, non-GAAP operating income from continuing operations </w:t>
      </w:r>
      <w:r>
        <w:rPr>
          <w:rFonts w:ascii="Arial" w:cs="Arial" w:eastAsia="Arial" w:hAnsi="Arial"/>
          <w:sz w:val="22"/>
          <w:szCs w:val="22"/>
          <w:color w:val="auto"/>
        </w:rPr>
        <w:t>was $61</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or 12.9% of revenue, compared to $164 million, or 24.8% of revenue, in the immediately prior quarter, and $146 million, or 23.8% of revenue, in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-422275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32" w:right="440"/>
        <w:spacing w:after="0" w:line="256" w:lineRule="auto"/>
        <w:rPr>
          <w:sz w:val="20"/>
          <w:szCs w:val="20"/>
          <w:color w:val="auto"/>
        </w:rPr>
      </w:pPr>
      <w:r>
        <w:rPr>
          <w:rFonts w:ascii="Arial" w:cs="Arial" w:eastAsia="Arial" w:hAnsi="Arial"/>
          <w:sz w:val="22"/>
          <w:szCs w:val="22"/>
          <w:b w:val="1"/>
          <w:bCs w:val="1"/>
          <w:color w:val="auto"/>
        </w:rPr>
        <w:t xml:space="preserve">Diluted earnings per share (EPS) from continuing operations </w:t>
      </w:r>
      <w:r>
        <w:rPr>
          <w:rFonts w:ascii="Arial" w:cs="Arial" w:eastAsia="Arial" w:hAnsi="Arial"/>
          <w:sz w:val="22"/>
          <w:szCs w:val="22"/>
          <w:color w:val="auto"/>
        </w:rPr>
        <w:t>was $0.08, compared to $0.49 in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$0.40 in the same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-277495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32" w:right="320"/>
        <w:spacing w:after="0" w:line="280" w:lineRule="auto"/>
        <w:rPr>
          <w:sz w:val="20"/>
          <w:szCs w:val="20"/>
          <w:color w:val="auto"/>
        </w:rPr>
      </w:pPr>
      <w:r>
        <w:rPr>
          <w:rFonts w:ascii="Arial" w:cs="Arial" w:eastAsia="Arial" w:hAnsi="Arial"/>
          <w:sz w:val="21"/>
          <w:szCs w:val="21"/>
          <w:b w:val="1"/>
          <w:bCs w:val="1"/>
          <w:color w:val="auto"/>
        </w:rPr>
        <w:t xml:space="preserve">Excluding restructuring charges of $0.10 per share, non-GAAP diluted EPS from continuing operations </w:t>
      </w:r>
      <w:r>
        <w:rPr>
          <w:rFonts w:ascii="Arial" w:cs="Arial" w:eastAsia="Arial" w:hAnsi="Arial"/>
          <w:sz w:val="21"/>
          <w:szCs w:val="21"/>
          <w:color w:val="auto"/>
        </w:rPr>
        <w:t>was $0.18,</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$0.49 in the immediately prior quarter and $0.40 in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-292100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 w:lineRule="exact"/>
        <w:rPr>
          <w:sz w:val="20"/>
          <w:szCs w:val="20"/>
          <w:color w:val="auto"/>
        </w:rPr>
      </w:pPr>
    </w:p>
    <w:p>
      <w:pPr>
        <w:ind w:left="532" w:right="300"/>
        <w:spacing w:after="0" w:line="256" w:lineRule="auto"/>
        <w:rPr>
          <w:sz w:val="20"/>
          <w:szCs w:val="20"/>
          <w:color w:val="auto"/>
        </w:rPr>
      </w:pPr>
      <w:r>
        <w:rPr>
          <w:rFonts w:ascii="Arial" w:cs="Arial" w:eastAsia="Arial" w:hAnsi="Arial"/>
          <w:sz w:val="22"/>
          <w:szCs w:val="22"/>
          <w:b w:val="1"/>
          <w:bCs w:val="1"/>
          <w:color w:val="auto"/>
        </w:rPr>
        <w:t xml:space="preserve">Net cash provided by operating activities </w:t>
      </w:r>
      <w:r>
        <w:rPr>
          <w:rFonts w:ascii="Arial" w:cs="Arial" w:eastAsia="Arial" w:hAnsi="Arial"/>
          <w:sz w:val="22"/>
          <w:szCs w:val="22"/>
          <w:color w:val="auto"/>
        </w:rPr>
        <w:t>was $60 million. Capital expenditures were $22 million and cash dividends of</w:t>
      </w:r>
      <w:r>
        <w:rPr>
          <w:rFonts w:ascii="Arial" w:cs="Arial" w:eastAsia="Arial" w:hAnsi="Arial"/>
          <w:sz w:val="22"/>
          <w:szCs w:val="22"/>
          <w:b w:val="1"/>
          <w:bCs w:val="1"/>
          <w:color w:val="auto"/>
        </w:rPr>
        <w:t xml:space="preserve"> </w:t>
      </w:r>
      <w:r>
        <w:rPr>
          <w:rFonts w:ascii="Arial" w:cs="Arial" w:eastAsia="Arial" w:hAnsi="Arial"/>
          <w:sz w:val="22"/>
          <w:szCs w:val="22"/>
          <w:color w:val="auto"/>
        </w:rPr>
        <w:t>$58 million were paid during the first quarter of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-277495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32"/>
        <w:spacing w:after="0"/>
        <w:rPr>
          <w:sz w:val="20"/>
          <w:szCs w:val="20"/>
          <w:color w:val="auto"/>
        </w:rPr>
      </w:pPr>
      <w:r>
        <w:rPr>
          <w:rFonts w:ascii="Arial" w:cs="Arial" w:eastAsia="Arial" w:hAnsi="Arial"/>
          <w:sz w:val="21"/>
          <w:szCs w:val="21"/>
          <w:b w:val="1"/>
          <w:bCs w:val="1"/>
          <w:color w:val="auto"/>
        </w:rPr>
        <w:t xml:space="preserve">Cash and short-term investments </w:t>
      </w:r>
      <w:r>
        <w:rPr>
          <w:rFonts w:ascii="Arial" w:cs="Arial" w:eastAsia="Arial" w:hAnsi="Arial"/>
          <w:sz w:val="21"/>
          <w:szCs w:val="21"/>
          <w:color w:val="auto"/>
        </w:rPr>
        <w:t>at the end of the first quarter of fiscal 2009 totaled approximately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-87630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jc w:val="both"/>
        <w:ind w:left="532" w:right="20"/>
        <w:spacing w:after="0" w:line="243" w:lineRule="auto"/>
        <w:rPr>
          <w:sz w:val="20"/>
          <w:szCs w:val="20"/>
          <w:color w:val="auto"/>
        </w:rPr>
      </w:pPr>
      <w:r>
        <w:rPr>
          <w:rFonts w:ascii="Arial" w:cs="Arial" w:eastAsia="Arial" w:hAnsi="Arial"/>
          <w:sz w:val="22"/>
          <w:szCs w:val="22"/>
          <w:b w:val="1"/>
          <w:bCs w:val="1"/>
          <w:color w:val="auto"/>
        </w:rPr>
        <w:t xml:space="preserve">Accounts receivable </w:t>
      </w:r>
      <w:r>
        <w:rPr>
          <w:rFonts w:ascii="Arial" w:cs="Arial" w:eastAsia="Arial" w:hAnsi="Arial"/>
          <w:sz w:val="22"/>
          <w:szCs w:val="22"/>
          <w:color w:val="auto"/>
        </w:rPr>
        <w:t>at the end of the first quarter of fiscal 2009 decreased by approximately $80 million, or 25%,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the immediately prior quarter. </w:t>
      </w:r>
      <w:r>
        <w:rPr>
          <w:rFonts w:ascii="Arial" w:cs="Arial" w:eastAsia="Arial" w:hAnsi="Arial"/>
          <w:sz w:val="22"/>
          <w:szCs w:val="22"/>
          <w:b w:val="1"/>
          <w:bCs w:val="1"/>
          <w:color w:val="auto"/>
        </w:rPr>
        <w:t>Days sales outstanding</w:t>
      </w:r>
      <w:r>
        <w:rPr>
          <w:rFonts w:ascii="Arial" w:cs="Arial" w:eastAsia="Arial" w:hAnsi="Arial"/>
          <w:sz w:val="22"/>
          <w:szCs w:val="22"/>
          <w:color w:val="auto"/>
        </w:rPr>
        <w:t xml:space="preserve"> in the first quarter of fiscal 2009 was 45 days, compared to 44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-422275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32" w:right="500"/>
        <w:spacing w:after="0" w:line="254" w:lineRule="auto"/>
        <w:rPr>
          <w:sz w:val="20"/>
          <w:szCs w:val="20"/>
          <w:color w:val="auto"/>
        </w:rPr>
      </w:pPr>
      <w:r>
        <w:rPr>
          <w:rFonts w:ascii="Arial" w:cs="Arial" w:eastAsia="Arial" w:hAnsi="Arial"/>
          <w:sz w:val="21"/>
          <w:szCs w:val="21"/>
          <w:b w:val="1"/>
          <w:bCs w:val="1"/>
          <w:color w:val="auto"/>
        </w:rPr>
        <w:t xml:space="preserve">Inventory </w:t>
      </w:r>
      <w:r>
        <w:rPr>
          <w:rFonts w:ascii="Arial" w:cs="Arial" w:eastAsia="Arial" w:hAnsi="Arial"/>
          <w:sz w:val="21"/>
          <w:szCs w:val="21"/>
          <w:color w:val="auto"/>
        </w:rPr>
        <w:t>at the end of the first quarter of fiscal 2009 increased by approximately $6 million, or 2%, compared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immediately prior quarter. Inventory of the Company’s products at distributors declined by $35 million compared to the immediately prior quarter. </w:t>
      </w:r>
      <w:r>
        <w:rPr>
          <w:rFonts w:ascii="Arial" w:cs="Arial" w:eastAsia="Arial" w:hAnsi="Arial"/>
          <w:sz w:val="21"/>
          <w:szCs w:val="21"/>
          <w:b w:val="1"/>
          <w:bCs w:val="1"/>
          <w:color w:val="auto"/>
        </w:rPr>
        <w:t>Days cost of sales in inventory</w:t>
      </w:r>
      <w:r>
        <w:rPr>
          <w:rFonts w:ascii="Arial" w:cs="Arial" w:eastAsia="Arial" w:hAnsi="Arial"/>
          <w:sz w:val="21"/>
          <w:szCs w:val="21"/>
          <w:color w:val="auto"/>
        </w:rPr>
        <w:t xml:space="preserve"> was 141 days at the end of the first quarter of fiscal 2009, compared to 112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-583565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5" w:lineRule="exact"/>
        <w:rPr>
          <w:sz w:val="20"/>
          <w:szCs w:val="20"/>
          <w:color w:val="auto"/>
        </w:rPr>
      </w:pPr>
    </w:p>
    <w:p>
      <w:pPr>
        <w:ind w:left="532"/>
        <w:spacing w:after="0" w:line="256" w:lineRule="auto"/>
        <w:rPr>
          <w:sz w:val="20"/>
          <w:szCs w:val="20"/>
          <w:color w:val="auto"/>
        </w:rPr>
      </w:pPr>
      <w:r>
        <w:rPr>
          <w:rFonts w:ascii="Arial" w:cs="Arial" w:eastAsia="Arial" w:hAnsi="Arial"/>
          <w:sz w:val="22"/>
          <w:szCs w:val="22"/>
          <w:b w:val="1"/>
          <w:bCs w:val="1"/>
          <w:color w:val="auto"/>
        </w:rPr>
        <w:t xml:space="preserve">The Board of Directors declared a cash dividend of $0.20 per outstanding share of common stock </w:t>
      </w:r>
      <w:r>
        <w:rPr>
          <w:rFonts w:ascii="Arial" w:cs="Arial" w:eastAsia="Arial" w:hAnsi="Arial"/>
          <w:sz w:val="22"/>
          <w:szCs w:val="22"/>
          <w:color w:val="auto"/>
        </w:rPr>
        <w:t>which will be paid on</w:t>
      </w:r>
      <w:r>
        <w:rPr>
          <w:rFonts w:ascii="Arial" w:cs="Arial" w:eastAsia="Arial" w:hAnsi="Arial"/>
          <w:sz w:val="22"/>
          <w:szCs w:val="22"/>
          <w:b w:val="1"/>
          <w:bCs w:val="1"/>
          <w:color w:val="auto"/>
        </w:rPr>
        <w:t xml:space="preserve"> </w:t>
      </w:r>
      <w:r>
        <w:rPr>
          <w:rFonts w:ascii="Arial" w:cs="Arial" w:eastAsia="Arial" w:hAnsi="Arial"/>
          <w:sz w:val="22"/>
          <w:szCs w:val="22"/>
          <w:color w:val="auto"/>
        </w:rPr>
        <w:t>March 25, 2009 to all shareholders of record at the close of business on March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-277495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32"/>
        <w:spacing w:after="0"/>
        <w:rPr>
          <w:sz w:val="20"/>
          <w:szCs w:val="20"/>
          <w:color w:val="auto"/>
        </w:rPr>
      </w:pPr>
      <w:r>
        <w:rPr>
          <w:rFonts w:ascii="Arial" w:cs="Arial" w:eastAsia="Arial" w:hAnsi="Arial"/>
          <w:sz w:val="22"/>
          <w:szCs w:val="22"/>
          <w:b w:val="1"/>
          <w:bCs w:val="1"/>
          <w:color w:val="auto"/>
        </w:rPr>
        <w:t>End market and product revenue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8" w:right="260" w:firstLine="8"/>
        <w:spacing w:after="0" w:line="236" w:lineRule="auto"/>
        <w:tabs>
          <w:tab w:leader="none" w:pos="118"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Revenue from industrial customers, </w:t>
      </w:r>
      <w:r>
        <w:rPr>
          <w:rFonts w:ascii="Arial" w:cs="Arial" w:eastAsia="Arial" w:hAnsi="Arial"/>
          <w:sz w:val="22"/>
          <w:szCs w:val="22"/>
          <w:color w:val="auto"/>
        </w:rPr>
        <w:t>54% of total revenue, decreased 24% from the immediately prior quarter and 22% from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period one year ago. The economic slowdown impacted spending across our broad-base of industrial customers, albeit to varying degrees. As expected, revenue from automotive customers showed the largest quarter-to-quarter decrease as a result of general weakness in the global automotive sector. Most other industrial application areas declined to a lesser extent than the automotive sector.</w:t>
      </w:r>
    </w:p>
    <w:p>
      <w:pPr>
        <w:spacing w:after="0" w:line="187" w:lineRule="exact"/>
        <w:rPr>
          <w:rFonts w:ascii="Arial" w:cs="Arial" w:eastAsia="Arial" w:hAnsi="Arial"/>
          <w:sz w:val="22"/>
          <w:szCs w:val="22"/>
          <w:i w:val="1"/>
          <w:iCs w:val="1"/>
          <w:color w:val="auto"/>
        </w:rPr>
      </w:pPr>
    </w:p>
    <w:p>
      <w:pPr>
        <w:ind w:left="-8" w:right="100" w:firstLine="8"/>
        <w:spacing w:after="0" w:line="297" w:lineRule="auto"/>
        <w:tabs>
          <w:tab w:leader="none" w:pos="118"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 xml:space="preserve">Revenue from communications customers, </w:t>
      </w:r>
      <w:r>
        <w:rPr>
          <w:rFonts w:ascii="Arial" w:cs="Arial" w:eastAsia="Arial" w:hAnsi="Arial"/>
          <w:sz w:val="19"/>
          <w:szCs w:val="19"/>
          <w:color w:val="auto"/>
        </w:rPr>
        <w:t>27% of total revenue, decreased 22% from the immediately prior quarter and 3%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same period one year ago. Revenue from wireless handset customers experienced the largest sequential and year-over-year percentage declines. Revenue from basestation customers declined sequentially, but increased on a year-over-year basis.</w:t>
      </w:r>
    </w:p>
    <w:p>
      <w:pPr>
        <w:spacing w:after="0" w:line="134" w:lineRule="exact"/>
        <w:rPr>
          <w:rFonts w:ascii="Arial" w:cs="Arial" w:eastAsia="Arial" w:hAnsi="Arial"/>
          <w:sz w:val="19"/>
          <w:szCs w:val="19"/>
          <w:color w:val="auto"/>
        </w:rPr>
      </w:pPr>
    </w:p>
    <w:p>
      <w:pPr>
        <w:ind w:left="-8" w:right="600" w:firstLine="8"/>
        <w:spacing w:after="0" w:line="328" w:lineRule="auto"/>
        <w:tabs>
          <w:tab w:leader="none" w:pos="118"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 xml:space="preserve">Revenue from consumer customers, </w:t>
      </w:r>
      <w:r>
        <w:rPr>
          <w:rFonts w:ascii="Arial" w:cs="Arial" w:eastAsia="Arial" w:hAnsi="Arial"/>
          <w:sz w:val="19"/>
          <w:szCs w:val="19"/>
          <w:color w:val="auto"/>
        </w:rPr>
        <w:t>16% of total revenue, decreased 42% sequentially and 40% year-to-year, with revenues</w:t>
      </w:r>
      <w:r>
        <w:rPr>
          <w:rFonts w:ascii="Arial" w:cs="Arial" w:eastAsia="Arial" w:hAnsi="Arial"/>
          <w:sz w:val="19"/>
          <w:szCs w:val="19"/>
          <w:i w:val="1"/>
          <w:iCs w:val="1"/>
          <w:color w:val="auto"/>
        </w:rPr>
        <w:t xml:space="preserve"> </w:t>
      </w:r>
      <w:r>
        <w:rPr>
          <w:rFonts w:ascii="Arial" w:cs="Arial" w:eastAsia="Arial" w:hAnsi="Arial"/>
          <w:sz w:val="19"/>
          <w:szCs w:val="19"/>
          <w:color w:val="auto"/>
        </w:rPr>
        <w:t>declining across all consumer electronics applications, consistent with the global decline in consumer spending.</w:t>
      </w:r>
    </w:p>
    <w:p>
      <w:pPr>
        <w:spacing w:after="0" w:line="105" w:lineRule="exact"/>
        <w:rPr>
          <w:rFonts w:ascii="Arial" w:cs="Arial" w:eastAsia="Arial" w:hAnsi="Arial"/>
          <w:sz w:val="19"/>
          <w:szCs w:val="19"/>
          <w:color w:val="auto"/>
        </w:rPr>
      </w:pPr>
    </w:p>
    <w:p>
      <w:pPr>
        <w:ind w:left="-8" w:right="380" w:firstLine="8"/>
        <w:spacing w:after="0" w:line="251" w:lineRule="auto"/>
        <w:tabs>
          <w:tab w:leader="none" w:pos="118"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 xml:space="preserve">Revenue from computer customers, </w:t>
      </w:r>
      <w:r>
        <w:rPr>
          <w:rFonts w:ascii="Arial" w:cs="Arial" w:eastAsia="Arial" w:hAnsi="Arial"/>
          <w:sz w:val="22"/>
          <w:szCs w:val="22"/>
          <w:color w:val="auto"/>
        </w:rPr>
        <w:t>3% of total revenue, decreased 38% from the immediately prior quarter and 35% from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quarter a year ago, in line with the worldwide decline in PC sales.</w:t>
      </w:r>
    </w:p>
    <w:p>
      <w:pPr>
        <w:spacing w:after="0" w:line="173" w:lineRule="exact"/>
        <w:rPr>
          <w:rFonts w:ascii="Arial" w:cs="Arial" w:eastAsia="Arial" w:hAnsi="Arial"/>
          <w:sz w:val="22"/>
          <w:szCs w:val="22"/>
          <w:color w:val="auto"/>
        </w:rPr>
      </w:pPr>
    </w:p>
    <w:p>
      <w:pPr>
        <w:ind w:left="-8" w:right="740" w:firstLine="8"/>
        <w:spacing w:after="0" w:line="251" w:lineRule="auto"/>
        <w:tabs>
          <w:tab w:leader="none" w:pos="118"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 xml:space="preserve">Analog product revenue, </w:t>
      </w:r>
      <w:r>
        <w:rPr>
          <w:rFonts w:ascii="Arial" w:cs="Arial" w:eastAsia="Arial" w:hAnsi="Arial"/>
          <w:sz w:val="22"/>
          <w:szCs w:val="22"/>
          <w:color w:val="auto"/>
        </w:rPr>
        <w:t>91% of total revenue, declined 27% from the immediately prior quarter and 21% year-over-year.</w:t>
      </w:r>
      <w:r>
        <w:rPr>
          <w:rFonts w:ascii="Arial" w:cs="Arial" w:eastAsia="Arial" w:hAnsi="Arial"/>
          <w:sz w:val="22"/>
          <w:szCs w:val="22"/>
          <w:i w:val="1"/>
          <w:iCs w:val="1"/>
          <w:color w:val="auto"/>
        </w:rPr>
        <w:t xml:space="preserve"> </w:t>
      </w:r>
      <w:r>
        <w:rPr>
          <w:rFonts w:ascii="Arial" w:cs="Arial" w:eastAsia="Arial" w:hAnsi="Arial"/>
          <w:sz w:val="22"/>
          <w:szCs w:val="22"/>
          <w:color w:val="auto"/>
        </w:rPr>
        <w:t>Together, data converters and amplifiers contributed 74% of total revenue for the quarter.</w:t>
      </w:r>
    </w:p>
    <w:p>
      <w:pPr>
        <w:spacing w:after="0" w:line="173" w:lineRule="exact"/>
        <w:rPr>
          <w:rFonts w:ascii="Arial" w:cs="Arial" w:eastAsia="Arial" w:hAnsi="Arial"/>
          <w:sz w:val="22"/>
          <w:szCs w:val="22"/>
          <w:color w:val="auto"/>
        </w:rPr>
      </w:pPr>
    </w:p>
    <w:p>
      <w:pPr>
        <w:ind w:left="-8" w:right="160" w:firstLine="8"/>
        <w:spacing w:after="0" w:line="251" w:lineRule="auto"/>
        <w:tabs>
          <w:tab w:leader="none" w:pos="118"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General purpose digital signal processing (DSP) products</w:t>
      </w:r>
      <w:r>
        <w:rPr>
          <w:rFonts w:ascii="Arial" w:cs="Arial" w:eastAsia="Arial" w:hAnsi="Arial"/>
          <w:sz w:val="22"/>
          <w:szCs w:val="22"/>
          <w:color w:val="auto"/>
        </w:rPr>
        <w:t>, 8% of total revenue, decreased 34% sequentially and 27%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92"/>
          </w:cols>
          <w:pgMar w:left="248" w:top="111" w:right="259" w:bottom="1440" w:gutter="0" w:footer="0" w:header="0"/>
        </w:sectPr>
      </w:pPr>
    </w:p>
    <w:bookmarkStart w:id="6" w:name="page7"/>
    <w:bookmarkEnd w:id="6"/>
    <w:p>
      <w:pPr>
        <w:ind w:right="120"/>
        <w:spacing w:after="0" w:line="241" w:lineRule="auto"/>
        <w:rPr>
          <w:sz w:val="20"/>
          <w:szCs w:val="20"/>
          <w:color w:val="auto"/>
        </w:rPr>
      </w:pPr>
      <w:r>
        <w:rPr>
          <w:rFonts w:ascii="Arial" w:cs="Arial" w:eastAsia="Arial" w:hAnsi="Arial"/>
          <w:sz w:val="22"/>
          <w:szCs w:val="22"/>
          <w:i w:val="1"/>
          <w:iCs w:val="1"/>
          <w:color w:val="auto"/>
        </w:rPr>
        <w:t xml:space="preserve">Schedules D and E of this document provide additional details about revenue by end market and product type for the first quarter of fiscal 2009. A more complete table covering prior periods is available on the Analog Devices Investor Relations web site at: </w:t>
      </w:r>
      <w:r>
        <w:rPr>
          <w:rFonts w:ascii="Arial" w:cs="Arial" w:eastAsia="Arial" w:hAnsi="Arial"/>
          <w:sz w:val="22"/>
          <w:szCs w:val="22"/>
          <w:i w:val="1"/>
          <w:iCs w:val="1"/>
          <w:u w:val="single" w:color="auto"/>
          <w:color w:val="auto"/>
        </w:rPr>
        <w:t>http://investor.analog.com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Outlook: Second Quarter of Fiscal 2009</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including as a result of the important factors discussed at the end of this release. These statements supersede all prior statements regarding business outlook set forth in prior ADI news releases.</w:t>
      </w:r>
    </w:p>
    <w:p>
      <w:pPr>
        <w:spacing w:after="0" w:line="186"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Regarding the revenue outlook for the company for the second quarter of fiscal 2009, Mr. Fishman stated, “Orders through December remained weak, but began to stabilize in January and early February. Our book-to-bill ratio for the first quarter, as measured by end customer bookings, was approximately 0.9. At this point in the cycle, given our short lead times and the continuing economic uncertainty, we are receiving a significant portion of new orders as “turns” orders rather than as longer-term backlog. Therefore, we continue to have limited visibility for the next few months. As a result, we estimate that revenue for the second quarter will decline by 5% to 15% compared to the first quarter.”</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Mr. Fishman continued, “Maximizing current and future profitability, while positioning ourselves to capitalize on the opportunities that will emerge when the downturn reverses, warrants us taking additional steps in the second quarter to permanently reduce spending. First, as previously disclosed, we are concluding the consolidation of our 6-inch and 8-inch fabs in Ireland. We are also accelerating our plans to consolidate our two remaining U.S. fabs. In addition, we anticipate recording a restructuring charge in the second quarter which has not been precisely determined as of yet.</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 result of the impact of restructuring actions and further spending reductions, we expect second quarter operating expenses to decrease by an additional 3% to 4% sequentially. Combined with significant cost reductions in the first quarter, operating expenses for the second quarter are expected to be down 16% to 17% on a cumulative basis from the fourth quarter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7" w:name="page8"/>
    <w:bookmarkEnd w:id="7"/>
    <w:p>
      <w:pPr>
        <w:ind w:right="60"/>
        <w:spacing w:after="0" w:line="238" w:lineRule="auto"/>
        <w:rPr>
          <w:sz w:val="20"/>
          <w:szCs w:val="20"/>
          <w:color w:val="auto"/>
        </w:rPr>
      </w:pPr>
      <w:r>
        <w:rPr>
          <w:rFonts w:ascii="Arial" w:cs="Arial" w:eastAsia="Arial" w:hAnsi="Arial"/>
          <w:sz w:val="22"/>
          <w:szCs w:val="22"/>
          <w:color w:val="auto"/>
        </w:rPr>
        <w:t>Assuming this level of cost reduction, we anticipate that at the mid-point of our fiscal second quarter revenue guidance, our gross margin will be approximately 53% to 54%, as we further lower manufacturing output and factory utilization below first quarter levels in line with our inventory management plans; and diluted EPS from continuing operations will be approximately $0.08 to $0.09, excluding restructuring charges.”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Scheduled for 5:00 pm ET</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 xml:space="preserve">Mr. Fishman will discuss the first fiscal quarter’s results and the short-term outlook via webcast, accessible at </w:t>
      </w:r>
      <w:r>
        <w:rPr>
          <w:rFonts w:ascii="Arial" w:cs="Arial" w:eastAsia="Arial" w:hAnsi="Arial"/>
          <w:sz w:val="22"/>
          <w:szCs w:val="22"/>
          <w:u w:val="single" w:color="auto"/>
          <w:color w:val="auto"/>
        </w:rPr>
        <w:t>http://investor.analog.com</w:t>
      </w:r>
      <w:r>
        <w:rPr>
          <w:rFonts w:ascii="Arial" w:cs="Arial" w:eastAsia="Arial" w:hAnsi="Arial"/>
          <w:sz w:val="22"/>
          <w:szCs w:val="22"/>
          <w:color w:val="auto"/>
        </w:rPr>
        <w:t>, today, beginning at 5:00 pm ET. Investors who prefer to join by telephone may call 706-634-7193 ten minutes before the call begins and provide the password "ADI."</w:t>
      </w:r>
    </w:p>
    <w:p>
      <w:pPr>
        <w:spacing w:after="0" w:line="186"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A replay will be available almost immediately after the call. The replay may be accessed for up to one week by dialing 800-642-1687 (replay only) and providing the conference ID: 84072742, or by visiting the Analog Devices Investor Relations web site.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This release includes non-GAAP financial measures for prior periods that are not in accordance with, nor an alternative to, generally accepted accounting principles and may be different from non-GAAP measures used by other companies. In addition, these non-GAAP measures are not based on any comprehensive set of accounting rules or principles. A table reconciling the Company’s non-GAAP measures to GAAP measures is provided in this release.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Manner in Which Management Uses the Non-GAAP Financial Measures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Management uses non-GAAP operating expenses, non-GAAP operating income, and non-GAAP diluted earnings per share to evaluate the Company’s operating performance against past periods and to budget and allocate resources in future periods. These non-GAAP measures also assist management in understanding and evaluating the underlying baseline operating results and trends in the Company’s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items excluded from the non-GAAP measures were excluded because they are of a non-recurring or non-cash nature.</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item is excluded from our non-GAAP operating expenses, our non-GAAP operating income, and our non-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diluted earnings per share:</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22"/>
          <w:szCs w:val="22"/>
          <w:i w:val="1"/>
          <w:iCs w:val="1"/>
          <w:color w:val="auto"/>
        </w:rPr>
        <w:t xml:space="preserve">Restructuring-Related Expenses. </w:t>
      </w:r>
      <w:r>
        <w:rPr>
          <w:rFonts w:ascii="Arial" w:cs="Arial" w:eastAsia="Arial" w:hAnsi="Arial"/>
          <w:sz w:val="22"/>
          <w:szCs w:val="22"/>
          <w:color w:val="auto"/>
        </w:rPr>
        <w:t>These expenses are incurred in connection with facility closures and other cost reduction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Apart from ongoing expense savings as a result of such items, these expenses and the related tax effects have no direct correlation to the operation of our business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 is also excluded from our non-GAAP diluted earnings per share:</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i w:val="1"/>
          <w:iCs w:val="1"/>
          <w:color w:val="auto"/>
        </w:rPr>
        <w:t xml:space="preserve">Tax Savings Associated with Reinstatement of the Federal R&amp;D Tax Credit. </w:t>
      </w:r>
      <w:r>
        <w:rPr>
          <w:rFonts w:ascii="Arial" w:cs="Arial" w:eastAsia="Arial" w:hAnsi="Arial"/>
          <w:sz w:val="19"/>
          <w:szCs w:val="19"/>
          <w:color w:val="auto"/>
        </w:rPr>
        <w:t>The IRS reinstated the R&amp;D tax credit during our</w:t>
      </w:r>
      <w:r>
        <w:rPr>
          <w:rFonts w:ascii="Arial" w:cs="Arial" w:eastAsia="Arial" w:hAnsi="Arial"/>
          <w:sz w:val="19"/>
          <w:szCs w:val="19"/>
          <w:i w:val="1"/>
          <w:iCs w:val="1"/>
          <w:color w:val="auto"/>
        </w:rPr>
        <w:t xml:space="preserve"> </w:t>
      </w:r>
      <w:r>
        <w:rPr>
          <w:rFonts w:ascii="Arial" w:cs="Arial" w:eastAsia="Arial" w:hAnsi="Arial"/>
          <w:sz w:val="19"/>
          <w:szCs w:val="19"/>
          <w:color w:val="auto"/>
        </w:rPr>
        <w:t>fourth quarter of fiscal 2008, retroactive to January 1, 2008. This retroactive reinstatement resulted in a $3 million income tax savings to the Company in the fourth quarter of fiscal 2008. We excluded this income tax savings from our non-GAAP measures because it is not associated with the income tax expense on our current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3" w:lineRule="exact"/>
        <w:rPr>
          <w:sz w:val="20"/>
          <w:szCs w:val="20"/>
          <w:color w:val="auto"/>
        </w:rPr>
      </w:pPr>
    </w:p>
    <w:p>
      <w:pPr>
        <w:jc w:val="both"/>
        <w:ind w:right="540"/>
        <w:spacing w:after="0"/>
        <w:rPr>
          <w:sz w:val="20"/>
          <w:szCs w:val="20"/>
          <w:color w:val="auto"/>
        </w:rPr>
      </w:pPr>
      <w:r>
        <w:rPr>
          <w:rFonts w:ascii="Arial" w:cs="Arial" w:eastAsia="Arial" w:hAnsi="Arial"/>
          <w:sz w:val="22"/>
          <w:szCs w:val="22"/>
          <w:color w:val="auto"/>
        </w:rPr>
        <w:t>Management believes that the presentation of non-GAAP operating expenses, non-GAAP operating income, and non-GAAP diluted EPS is useful to investors because it provides investors with the operating results that management uses to manage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Analog Devices believes that non-GAAP operating expenses, non-GAAP operating income,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in excluding certain items, is not necessarily an indication of the results of operations that may be expected in the future, or that the Company will not, in fact, record such items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Management compensates for these material limitations in non-GAAP operating expenses, non-GAAP operating income, and non-GAAP diluted EPS by also evaluating our GAAP results and the reconciliations of our non-GAAP measures to the most directly comparable GAAP measures. Investors should consider our non-GAAP financial measures in conjunction with the corresponding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earnings, operating expenses, gross margins, restructuring charges, and other financial results, expected customer demand for our products, and expected results of our ongoing expense reduction efforts,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continuing adversity in economic conditions in the United States and internationally as a result of the ongoing crisis in global credit and financial markets, further erosion of consumer confidence and further declines in customer spending, the effects of declines in customer demand for our products and for end products that incorporate our products, competitive pricing pressures, unavailability of raw materials or wafer fabrication, assembly and test capacity, any delay or cancellation of significant customer orders, changes in geographic, product or customer mix,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200" w:lineRule="exact"/>
        <w:rPr>
          <w:sz w:val="20"/>
          <w:szCs w:val="20"/>
          <w:color w:val="auto"/>
        </w:rPr>
      </w:pPr>
    </w:p>
    <w:p>
      <w:pPr>
        <w:spacing w:after="0" w:line="20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Analog Devices, First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Sales/Earnings Summary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1Q 09</w:t>
            </w:r>
          </w:p>
        </w:tc>
        <w:tc>
          <w:tcPr>
            <w:tcW w:w="420" w:type="dxa"/>
            <w:vAlign w:val="bottom"/>
          </w:tcPr>
          <w:p>
            <w:pPr>
              <w:spacing w:after="0"/>
              <w:rPr>
                <w:sz w:val="13"/>
                <w:szCs w:val="13"/>
                <w:color w:val="auto"/>
              </w:rPr>
            </w:pPr>
          </w:p>
        </w:tc>
        <w:tc>
          <w:tcPr>
            <w:tcW w:w="1140" w:type="dxa"/>
            <w:vAlign w:val="bottom"/>
          </w:tcPr>
          <w:p>
            <w:pPr>
              <w:jc w:val="center"/>
              <w:ind w:right="348"/>
              <w:spacing w:after="0" w:line="160" w:lineRule="exact"/>
              <w:rPr>
                <w:sz w:val="20"/>
                <w:szCs w:val="20"/>
                <w:color w:val="auto"/>
              </w:rPr>
            </w:pPr>
            <w:r>
              <w:rPr>
                <w:rFonts w:ascii="Arial" w:cs="Arial" w:eastAsia="Arial" w:hAnsi="Arial"/>
                <w:sz w:val="14"/>
                <w:szCs w:val="14"/>
                <w:b w:val="1"/>
                <w:bCs w:val="1"/>
                <w:color w:val="auto"/>
                <w:w w:val="94"/>
              </w:rPr>
              <w:t>4Q 08</w:t>
            </w:r>
          </w:p>
        </w:tc>
        <w:tc>
          <w:tcPr>
            <w:tcW w:w="360" w:type="dxa"/>
            <w:vAlign w:val="bottom"/>
          </w:tcPr>
          <w:p>
            <w:pPr>
              <w:spacing w:after="0"/>
              <w:rPr>
                <w:sz w:val="13"/>
                <w:szCs w:val="13"/>
                <w:color w:val="auto"/>
              </w:rPr>
            </w:pPr>
          </w:p>
        </w:tc>
        <w:tc>
          <w:tcPr>
            <w:tcW w:w="104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9"/>
              </w:rPr>
              <w:t>1Q 08</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Jan. 31,</w:t>
            </w:r>
          </w:p>
        </w:tc>
        <w:tc>
          <w:tcPr>
            <w:tcW w:w="420" w:type="dxa"/>
            <w:vAlign w:val="bottom"/>
          </w:tcPr>
          <w:p>
            <w:pPr>
              <w:spacing w:after="0"/>
              <w:rPr>
                <w:sz w:val="12"/>
                <w:szCs w:val="12"/>
                <w:color w:val="auto"/>
              </w:rPr>
            </w:pPr>
          </w:p>
        </w:tc>
        <w:tc>
          <w:tcPr>
            <w:tcW w:w="114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Nov. 1,</w:t>
            </w:r>
          </w:p>
        </w:tc>
        <w:tc>
          <w:tcPr>
            <w:tcW w:w="360" w:type="dxa"/>
            <w:vAlign w:val="bottom"/>
          </w:tcPr>
          <w:p>
            <w:pPr>
              <w:spacing w:after="0"/>
              <w:rPr>
                <w:sz w:val="12"/>
                <w:szCs w:val="12"/>
                <w:color w:val="auto"/>
              </w:rPr>
            </w:pPr>
          </w:p>
        </w:tc>
        <w:tc>
          <w:tcPr>
            <w:tcW w:w="104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Feb. 2,</w:t>
            </w:r>
          </w:p>
        </w:tc>
      </w:tr>
      <w:tr>
        <w:trPr>
          <w:trHeight w:val="185"/>
        </w:trPr>
        <w:tc>
          <w:tcPr>
            <w:tcW w:w="20" w:type="dxa"/>
            <w:vAlign w:val="bottom"/>
          </w:tcPr>
          <w:p>
            <w:pPr>
              <w:spacing w:after="0"/>
              <w:rPr>
                <w:sz w:val="16"/>
                <w:szCs w:val="16"/>
                <w:color w:val="auto"/>
              </w:rPr>
            </w:pPr>
          </w:p>
        </w:tc>
        <w:tc>
          <w:tcPr>
            <w:tcW w:w="7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2008</w:t>
            </w:r>
          </w:p>
        </w:tc>
      </w:tr>
      <w:tr>
        <w:trPr>
          <w:trHeight w:val="164"/>
        </w:trPr>
        <w:tc>
          <w:tcPr>
            <w:tcW w:w="20" w:type="dxa"/>
            <w:vAlign w:val="bottom"/>
          </w:tcPr>
          <w:p>
            <w:pPr>
              <w:spacing w:after="0"/>
              <w:rPr>
                <w:sz w:val="14"/>
                <w:szCs w:val="14"/>
                <w:color w:val="auto"/>
              </w:rPr>
            </w:pPr>
          </w:p>
        </w:tc>
        <w:tc>
          <w:tcPr>
            <w:tcW w:w="706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476,569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660,696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613,909</w:t>
            </w:r>
          </w:p>
        </w:tc>
      </w:tr>
      <w:tr>
        <w:trPr>
          <w:trHeight w:val="176"/>
        </w:trPr>
        <w:tc>
          <w:tcPr>
            <w:tcW w:w="20" w:type="dxa"/>
            <w:vAlign w:val="bottom"/>
          </w:tcPr>
          <w:p>
            <w:pPr>
              <w:spacing w:after="0"/>
              <w:rPr>
                <w:sz w:val="15"/>
                <w:szCs w:val="15"/>
                <w:color w:val="auto"/>
              </w:rPr>
            </w:pPr>
          </w:p>
        </w:tc>
        <w:tc>
          <w:tcPr>
            <w:tcW w:w="7060" w:type="dxa"/>
            <w:vAlign w:val="bottom"/>
          </w:tcPr>
          <w:p>
            <w:pPr>
              <w:ind w:left="200"/>
              <w:spacing w:after="0"/>
              <w:rPr>
                <w:sz w:val="20"/>
                <w:szCs w:val="20"/>
                <w:color w:val="auto"/>
              </w:rPr>
            </w:pPr>
            <w:r>
              <w:rPr>
                <w:rFonts w:ascii="Arial" w:cs="Arial" w:eastAsia="Arial" w:hAnsi="Arial"/>
                <w:sz w:val="14"/>
                <w:szCs w:val="14"/>
                <w:color w:val="auto"/>
              </w:rPr>
              <w:t>Year-to-year growth</w:t>
            </w:r>
          </w:p>
        </w:tc>
        <w:tc>
          <w:tcPr>
            <w:tcW w:w="3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420" w:type="dxa"/>
            <w:vAlign w:val="bottom"/>
          </w:tcPr>
          <w:p>
            <w:pPr>
              <w:spacing w:after="0"/>
              <w:rPr>
                <w:sz w:val="15"/>
                <w:szCs w:val="15"/>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176"/>
        </w:trPr>
        <w:tc>
          <w:tcPr>
            <w:tcW w:w="20" w:type="dxa"/>
            <w:vAlign w:val="bottom"/>
          </w:tcPr>
          <w:p>
            <w:pPr>
              <w:spacing w:after="0"/>
              <w:rPr>
                <w:sz w:val="15"/>
                <w:szCs w:val="15"/>
                <w:color w:val="auto"/>
              </w:rPr>
            </w:pPr>
          </w:p>
        </w:tc>
        <w:tc>
          <w:tcPr>
            <w:tcW w:w="706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3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420" w:type="dxa"/>
            <w:vAlign w:val="bottom"/>
          </w:tcPr>
          <w:p>
            <w:pPr>
              <w:spacing w:after="0"/>
              <w:rPr>
                <w:sz w:val="15"/>
                <w:szCs w:val="15"/>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181"/>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207,567</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257,039</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238,106</w:t>
            </w: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269,002</w:t>
            </w:r>
          </w:p>
        </w:tc>
        <w:tc>
          <w:tcPr>
            <w:tcW w:w="4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403,657</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375,803</w:t>
            </w:r>
          </w:p>
        </w:tc>
      </w:tr>
      <w:tr>
        <w:trPr>
          <w:trHeight w:val="181"/>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 percentage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61.1%</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61.2%</w:t>
            </w: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60" w:type="dxa"/>
            <w:vAlign w:val="bottom"/>
          </w:tcPr>
          <w:p>
            <w:pPr>
              <w:ind w:left="200"/>
              <w:spacing w:after="0"/>
              <w:rPr>
                <w:sz w:val="20"/>
                <w:szCs w:val="20"/>
                <w:color w:val="auto"/>
              </w:rPr>
            </w:pPr>
            <w:r>
              <w:rPr>
                <w:rFonts w:ascii="Arial" w:cs="Arial" w:eastAsia="Arial" w:hAnsi="Arial"/>
                <w:sz w:val="14"/>
                <w:szCs w:val="14"/>
                <w:color w:val="auto"/>
              </w:rPr>
              <w:t>R&amp;D (1)</w:t>
            </w:r>
          </w:p>
        </w:tc>
        <w:tc>
          <w:tcPr>
            <w:tcW w:w="30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119,828</w:t>
            </w:r>
          </w:p>
        </w:tc>
        <w:tc>
          <w:tcPr>
            <w:tcW w:w="42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133,451</w:t>
            </w:r>
          </w:p>
        </w:tc>
        <w:tc>
          <w:tcPr>
            <w:tcW w:w="36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129,539</w:t>
            </w:r>
          </w:p>
        </w:tc>
      </w:tr>
      <w:tr>
        <w:trPr>
          <w:trHeight w:val="176"/>
        </w:trPr>
        <w:tc>
          <w:tcPr>
            <w:tcW w:w="20" w:type="dxa"/>
            <w:vAlign w:val="bottom"/>
          </w:tcPr>
          <w:p>
            <w:pPr>
              <w:spacing w:after="0"/>
              <w:rPr>
                <w:sz w:val="15"/>
                <w:szCs w:val="15"/>
                <w:color w:val="auto"/>
              </w:rPr>
            </w:pPr>
          </w:p>
        </w:tc>
        <w:tc>
          <w:tcPr>
            <w:tcW w:w="706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30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87,846</w:t>
            </w:r>
          </w:p>
        </w:tc>
        <w:tc>
          <w:tcPr>
            <w:tcW w:w="42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106,381</w:t>
            </w:r>
          </w:p>
        </w:tc>
        <w:tc>
          <w:tcPr>
            <w:tcW w:w="36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100,351</w:t>
            </w:r>
          </w:p>
        </w:tc>
      </w:tr>
      <w:tr>
        <w:trPr>
          <w:trHeight w:val="181"/>
        </w:trPr>
        <w:tc>
          <w:tcPr>
            <w:tcW w:w="20" w:type="dxa"/>
            <w:vAlign w:val="bottom"/>
          </w:tcPr>
          <w:p>
            <w:pPr>
              <w:spacing w:after="0"/>
              <w:rPr>
                <w:sz w:val="15"/>
                <w:szCs w:val="15"/>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41,737</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3,088</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06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19,591</w:t>
            </w:r>
          </w:p>
        </w:tc>
        <w:tc>
          <w:tcPr>
            <w:tcW w:w="4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160,737</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145,913</w:t>
            </w:r>
          </w:p>
        </w:tc>
      </w:tr>
      <w:tr>
        <w:trPr>
          <w:trHeight w:val="181"/>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(8,367)</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(10,628)</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(12,353)</w:t>
            </w: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27,958</w:t>
            </w:r>
          </w:p>
        </w:tc>
        <w:tc>
          <w:tcPr>
            <w:tcW w:w="4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171,365</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158,266</w:t>
            </w:r>
          </w:p>
        </w:tc>
      </w:tr>
      <w:tr>
        <w:trPr>
          <w:trHeight w:val="181"/>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3,373</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27,123</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36,418</w:t>
            </w:r>
          </w:p>
        </w:tc>
      </w:tr>
      <w:tr>
        <w:trPr>
          <w:trHeight w:val="169"/>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continuing operations, net of tax</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24,585</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144,242</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121,848</w:t>
            </w: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Discontinued Operations, net of tax:</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60" w:type="dxa"/>
            <w:vAlign w:val="bottom"/>
          </w:tcPr>
          <w:p>
            <w:pPr>
              <w:ind w:left="200"/>
              <w:spacing w:after="0"/>
              <w:rPr>
                <w:sz w:val="20"/>
                <w:szCs w:val="20"/>
                <w:color w:val="auto"/>
              </w:rPr>
            </w:pPr>
            <w:r>
              <w:rPr>
                <w:rFonts w:ascii="Arial" w:cs="Arial" w:eastAsia="Arial" w:hAnsi="Arial"/>
                <w:sz w:val="14"/>
                <w:szCs w:val="14"/>
                <w:color w:val="auto"/>
              </w:rPr>
              <w:t>Income from discontinued operations</w:t>
            </w:r>
          </w:p>
        </w:tc>
        <w:tc>
          <w:tcPr>
            <w:tcW w:w="30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364</w:t>
            </w:r>
          </w:p>
        </w:tc>
        <w:tc>
          <w:tcPr>
            <w:tcW w:w="42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2,086</w:t>
            </w:r>
          </w:p>
        </w:tc>
        <w:tc>
          <w:tcPr>
            <w:tcW w:w="36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1,888</w:t>
            </w:r>
          </w:p>
        </w:tc>
      </w:tr>
      <w:tr>
        <w:trPr>
          <w:trHeight w:val="181"/>
        </w:trPr>
        <w:tc>
          <w:tcPr>
            <w:tcW w:w="20" w:type="dxa"/>
            <w:vAlign w:val="bottom"/>
          </w:tcPr>
          <w:p>
            <w:pPr>
              <w:spacing w:after="0"/>
              <w:rPr>
                <w:sz w:val="15"/>
                <w:szCs w:val="15"/>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(Loss) gain on sale of discontinued operations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(2,457)</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246,983</w:t>
            </w:r>
          </w:p>
        </w:tc>
      </w:tr>
      <w:tr>
        <w:trPr>
          <w:trHeight w:val="169"/>
        </w:trPr>
        <w:tc>
          <w:tcPr>
            <w:tcW w:w="20" w:type="dxa"/>
            <w:vAlign w:val="bottom"/>
            <w:tcBorders>
              <w:bottom w:val="single" w:sz="8" w:color="auto"/>
            </w:tcBorders>
          </w:tcPr>
          <w:p>
            <w:pPr>
              <w:spacing w:after="0"/>
              <w:rPr>
                <w:sz w:val="14"/>
                <w:szCs w:val="1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income (loss) from discontinued operations, net of tax</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364</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248,871</w:t>
            </w:r>
          </w:p>
        </w:tc>
      </w:tr>
      <w:tr>
        <w:trPr>
          <w:trHeight w:val="169"/>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24,949</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143,871</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370,719</w:t>
            </w:r>
          </w:p>
        </w:tc>
      </w:tr>
      <w:tr>
        <w:trPr>
          <w:trHeight w:val="339"/>
        </w:trPr>
        <w:tc>
          <w:tcPr>
            <w:tcW w:w="708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30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291,187</w:t>
            </w:r>
          </w:p>
        </w:tc>
        <w:tc>
          <w:tcPr>
            <w:tcW w:w="420" w:type="dxa"/>
            <w:vAlign w:val="bottom"/>
          </w:tcPr>
          <w:p>
            <w:pPr>
              <w:spacing w:after="0"/>
              <w:rPr>
                <w:sz w:val="24"/>
                <w:szCs w:val="2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290,847</w:t>
            </w:r>
          </w:p>
        </w:tc>
        <w:tc>
          <w:tcPr>
            <w:tcW w:w="3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299,141</w:t>
            </w:r>
          </w:p>
        </w:tc>
      </w:tr>
      <w:tr>
        <w:trPr>
          <w:trHeight w:val="182"/>
        </w:trPr>
        <w:tc>
          <w:tcPr>
            <w:tcW w:w="708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30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291,248</w:t>
            </w:r>
          </w:p>
        </w:tc>
        <w:tc>
          <w:tcPr>
            <w:tcW w:w="42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293,820</w:t>
            </w:r>
          </w:p>
        </w:tc>
        <w:tc>
          <w:tcPr>
            <w:tcW w:w="36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304,260</w:t>
            </w:r>
          </w:p>
        </w:tc>
      </w:tr>
      <w:tr>
        <w:trPr>
          <w:trHeight w:val="344"/>
        </w:trPr>
        <w:tc>
          <w:tcPr>
            <w:tcW w:w="708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0.08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0.50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0.41</w:t>
            </w:r>
          </w:p>
        </w:tc>
      </w:tr>
      <w:tr>
        <w:trPr>
          <w:trHeight w:val="182"/>
        </w:trPr>
        <w:tc>
          <w:tcPr>
            <w:tcW w:w="708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0.08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0.40</w:t>
            </w:r>
          </w:p>
        </w:tc>
      </w:tr>
      <w:tr>
        <w:trPr>
          <w:trHeight w:val="344"/>
        </w:trPr>
        <w:tc>
          <w:tcPr>
            <w:tcW w:w="708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0.09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1.24</w:t>
            </w:r>
          </w:p>
        </w:tc>
      </w:tr>
      <w:tr>
        <w:trPr>
          <w:trHeight w:val="182"/>
        </w:trPr>
        <w:tc>
          <w:tcPr>
            <w:tcW w:w="708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0.09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0.49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1.22</w:t>
            </w:r>
          </w:p>
        </w:tc>
      </w:tr>
      <w:tr>
        <w:trPr>
          <w:trHeight w:val="350"/>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0.20</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0.20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0.18</w:t>
            </w:r>
          </w:p>
        </w:tc>
      </w:tr>
      <w:tr>
        <w:trPr>
          <w:trHeight w:val="339"/>
        </w:trPr>
        <w:tc>
          <w:tcPr>
            <w:tcW w:w="708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6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1,580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2,004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1,953</w:t>
            </w:r>
          </w:p>
        </w:tc>
      </w:tr>
      <w:tr>
        <w:trPr>
          <w:trHeight w:val="176"/>
        </w:trPr>
        <w:tc>
          <w:tcPr>
            <w:tcW w:w="20" w:type="dxa"/>
            <w:vAlign w:val="bottom"/>
          </w:tcPr>
          <w:p>
            <w:pPr>
              <w:spacing w:after="0"/>
              <w:rPr>
                <w:sz w:val="15"/>
                <w:szCs w:val="15"/>
                <w:color w:val="auto"/>
              </w:rPr>
            </w:pPr>
          </w:p>
        </w:tc>
        <w:tc>
          <w:tcPr>
            <w:tcW w:w="7060" w:type="dxa"/>
            <w:vAlign w:val="bottom"/>
          </w:tcPr>
          <w:p>
            <w:pPr>
              <w:ind w:left="460"/>
              <w:spacing w:after="0"/>
              <w:rPr>
                <w:sz w:val="20"/>
                <w:szCs w:val="20"/>
                <w:color w:val="auto"/>
              </w:rPr>
            </w:pPr>
            <w:r>
              <w:rPr>
                <w:rFonts w:ascii="Arial" w:cs="Arial" w:eastAsia="Arial" w:hAnsi="Arial"/>
                <w:sz w:val="14"/>
                <w:szCs w:val="14"/>
                <w:color w:val="auto"/>
              </w:rPr>
              <w:t>R&amp;D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5,321</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5,958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5,524</w:t>
            </w:r>
          </w:p>
        </w:tc>
      </w:tr>
      <w:tr>
        <w:trPr>
          <w:trHeight w:val="182"/>
        </w:trPr>
        <w:tc>
          <w:tcPr>
            <w:tcW w:w="20" w:type="dxa"/>
            <w:vAlign w:val="bottom"/>
          </w:tcPr>
          <w:p>
            <w:pPr>
              <w:spacing w:after="0"/>
              <w:rPr>
                <w:sz w:val="15"/>
                <w:szCs w:val="15"/>
                <w:color w:val="auto"/>
              </w:rPr>
            </w:pPr>
          </w:p>
        </w:tc>
        <w:tc>
          <w:tcPr>
            <w:tcW w:w="706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4,510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5,390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5,415</w:t>
            </w:r>
          </w:p>
        </w:tc>
      </w:tr>
      <w:tr>
        <w:trPr>
          <w:trHeight w:val="134"/>
        </w:trPr>
        <w:tc>
          <w:tcPr>
            <w:tcW w:w="20" w:type="dxa"/>
            <w:vAlign w:val="bottom"/>
          </w:tcPr>
          <w:p>
            <w:pPr>
              <w:spacing w:after="0"/>
              <w:rPr>
                <w:sz w:val="11"/>
                <w:szCs w:val="11"/>
                <w:color w:val="auto"/>
              </w:rPr>
            </w:pPr>
          </w:p>
        </w:tc>
        <w:tc>
          <w:tcPr>
            <w:tcW w:w="70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2"/>
              </w:rPr>
              <w:t>Analog Devices, First Quarter, Fiscal 2009</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Schedule B</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1Q 09</w:t>
            </w:r>
          </w:p>
        </w:tc>
        <w:tc>
          <w:tcPr>
            <w:tcW w:w="380" w:type="dxa"/>
            <w:vAlign w:val="bottom"/>
          </w:tcPr>
          <w:p>
            <w:pPr>
              <w:spacing w:after="0"/>
              <w:rPr>
                <w:sz w:val="24"/>
                <w:szCs w:val="24"/>
                <w:color w:val="auto"/>
              </w:rPr>
            </w:pPr>
          </w:p>
        </w:tc>
        <w:tc>
          <w:tcPr>
            <w:tcW w:w="1280" w:type="dxa"/>
            <w:vAlign w:val="bottom"/>
          </w:tcPr>
          <w:p>
            <w:pPr>
              <w:jc w:val="center"/>
              <w:ind w:right="428"/>
              <w:spacing w:after="0"/>
              <w:rPr>
                <w:sz w:val="20"/>
                <w:szCs w:val="20"/>
                <w:color w:val="auto"/>
              </w:rPr>
            </w:pPr>
            <w:r>
              <w:rPr>
                <w:rFonts w:ascii="Arial" w:cs="Arial" w:eastAsia="Arial" w:hAnsi="Arial"/>
                <w:sz w:val="14"/>
                <w:szCs w:val="14"/>
                <w:b w:val="1"/>
                <w:bCs w:val="1"/>
                <w:color w:val="auto"/>
                <w:w w:val="99"/>
              </w:rPr>
              <w:t>4Q 08</w:t>
            </w:r>
          </w:p>
        </w:tc>
        <w:tc>
          <w:tcPr>
            <w:tcW w:w="3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1Q 08</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jc w:val="right"/>
              <w:ind w:right="548"/>
              <w:spacing w:after="0" w:line="149" w:lineRule="exact"/>
              <w:rPr>
                <w:sz w:val="20"/>
                <w:szCs w:val="20"/>
                <w:color w:val="auto"/>
              </w:rPr>
            </w:pPr>
            <w:r>
              <w:rPr>
                <w:rFonts w:ascii="Arial" w:cs="Arial" w:eastAsia="Arial" w:hAnsi="Arial"/>
                <w:sz w:val="14"/>
                <w:szCs w:val="14"/>
                <w:b w:val="1"/>
                <w:bCs w:val="1"/>
                <w:color w:val="auto"/>
                <w:w w:val="89"/>
              </w:rPr>
              <w:t>Jan. 31,</w:t>
            </w:r>
          </w:p>
        </w:tc>
        <w:tc>
          <w:tcPr>
            <w:tcW w:w="380" w:type="dxa"/>
            <w:vAlign w:val="bottom"/>
          </w:tcPr>
          <w:p>
            <w:pPr>
              <w:spacing w:after="0"/>
              <w:rPr>
                <w:sz w:val="12"/>
                <w:szCs w:val="12"/>
                <w:color w:val="auto"/>
              </w:rPr>
            </w:pPr>
          </w:p>
        </w:tc>
        <w:tc>
          <w:tcPr>
            <w:tcW w:w="1280" w:type="dxa"/>
            <w:vAlign w:val="bottom"/>
          </w:tcPr>
          <w:p>
            <w:pPr>
              <w:jc w:val="right"/>
              <w:ind w:right="608"/>
              <w:spacing w:after="0" w:line="149" w:lineRule="exact"/>
              <w:rPr>
                <w:sz w:val="20"/>
                <w:szCs w:val="20"/>
                <w:color w:val="auto"/>
              </w:rPr>
            </w:pPr>
            <w:r>
              <w:rPr>
                <w:rFonts w:ascii="Arial" w:cs="Arial" w:eastAsia="Arial" w:hAnsi="Arial"/>
                <w:sz w:val="14"/>
                <w:szCs w:val="14"/>
                <w:b w:val="1"/>
                <w:bCs w:val="1"/>
                <w:color w:val="auto"/>
              </w:rPr>
              <w:t>Nov. 1,</w:t>
            </w:r>
          </w:p>
        </w:tc>
        <w:tc>
          <w:tcPr>
            <w:tcW w:w="38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Feb. 2,</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4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1,283,131</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1,309,686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1,271,766</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235,352</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315,290</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340,080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320,967</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314,629</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330,196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assets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5,894</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22,862</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134,892</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144,078</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134,501</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1,974,342</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2,089,577</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2,099,405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537,198</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567,439</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561,295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7,578</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32,054</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34,916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244,712</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247,475</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283,602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93,323</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92,410</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93,688</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Non-current assets of discontinued operations</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62,037</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2,919,190</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3,090,992</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3,134,943</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4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151,147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175,358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160,366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liabilities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6,676</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18,454</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206,996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282,431</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375,246</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344,063</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76,871</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101,671</w:t>
            </w:r>
          </w:p>
        </w:tc>
        <w:tc>
          <w:tcPr>
            <w:tcW w:w="3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84,265</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Stockholders' equity</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2,402,065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2,420,263</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2,339,253</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2,919,190</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3,090,992</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3,134,943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Includes $2,390, $2,632 and $3,012 related to stock-based compensation in 1Q09, 4Q08 and 1Q08,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First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1Q 09</w:t>
            </w:r>
          </w:p>
        </w:tc>
        <w:tc>
          <w:tcPr>
            <w:tcW w:w="380" w:type="dxa"/>
            <w:vAlign w:val="bottom"/>
          </w:tcPr>
          <w:p>
            <w:pPr>
              <w:spacing w:after="0"/>
              <w:rPr>
                <w:sz w:val="13"/>
                <w:szCs w:val="13"/>
                <w:color w:val="auto"/>
              </w:rPr>
            </w:pPr>
          </w:p>
        </w:tc>
        <w:tc>
          <w:tcPr>
            <w:tcW w:w="1140" w:type="dxa"/>
            <w:vAlign w:val="bottom"/>
          </w:tcPr>
          <w:p>
            <w:pPr>
              <w:jc w:val="center"/>
              <w:ind w:right="348"/>
              <w:spacing w:after="0" w:line="160" w:lineRule="exact"/>
              <w:rPr>
                <w:sz w:val="20"/>
                <w:szCs w:val="20"/>
                <w:color w:val="auto"/>
              </w:rPr>
            </w:pPr>
            <w:r>
              <w:rPr>
                <w:rFonts w:ascii="Arial" w:cs="Arial" w:eastAsia="Arial" w:hAnsi="Arial"/>
                <w:sz w:val="14"/>
                <w:szCs w:val="14"/>
                <w:b w:val="1"/>
                <w:bCs w:val="1"/>
                <w:color w:val="auto"/>
                <w:w w:val="94"/>
              </w:rPr>
              <w:t>4Q 08</w:t>
            </w:r>
          </w:p>
        </w:tc>
        <w:tc>
          <w:tcPr>
            <w:tcW w:w="34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1Q 08</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Jan. 31,</w:t>
            </w:r>
          </w:p>
        </w:tc>
        <w:tc>
          <w:tcPr>
            <w:tcW w:w="380" w:type="dxa"/>
            <w:vAlign w:val="bottom"/>
          </w:tcPr>
          <w:p>
            <w:pPr>
              <w:spacing w:after="0"/>
              <w:rPr>
                <w:sz w:val="12"/>
                <w:szCs w:val="12"/>
                <w:color w:val="auto"/>
              </w:rPr>
            </w:pPr>
          </w:p>
        </w:tc>
        <w:tc>
          <w:tcPr>
            <w:tcW w:w="114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Nov. 1,</w:t>
            </w:r>
          </w:p>
        </w:tc>
        <w:tc>
          <w:tcPr>
            <w:tcW w:w="340" w:type="dxa"/>
            <w:vAlign w:val="bottom"/>
          </w:tcPr>
          <w:p>
            <w:pPr>
              <w:spacing w:after="0"/>
              <w:rPr>
                <w:sz w:val="12"/>
                <w:szCs w:val="12"/>
                <w:color w:val="auto"/>
              </w:rPr>
            </w:pPr>
          </w:p>
        </w:tc>
        <w:tc>
          <w:tcPr>
            <w:tcW w:w="106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Feb. 2,</w:t>
            </w: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2008</w:t>
            </w:r>
          </w:p>
        </w:tc>
      </w:tr>
      <w:tr>
        <w:trPr>
          <w:trHeight w:val="164"/>
        </w:trPr>
        <w:tc>
          <w:tcPr>
            <w:tcW w:w="714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24,949</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143,871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370,719</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38,755</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36,161</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35,551</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1,957</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1,774</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2,423</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11,411</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13,352</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10,595</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Gain on sale of business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2,457</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(246,983)</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(5,619)</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(6,710)</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Noncash portion of special charges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13,693</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207</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(996)</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(73)</w:t>
            </w: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(15,925)</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(3,709)</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18</w:t>
            </w:r>
          </w:p>
        </w:tc>
      </w:tr>
      <w:tr>
        <w:trPr>
          <w:trHeight w:val="176"/>
        </w:trPr>
        <w:tc>
          <w:tcPr>
            <w:tcW w:w="71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460"/>
              <w:spacing w:after="0"/>
              <w:rPr>
                <w:sz w:val="20"/>
                <w:szCs w:val="20"/>
                <w:color w:val="auto"/>
              </w:rPr>
            </w:pPr>
            <w:r>
              <w:rPr>
                <w:rFonts w:ascii="Arial" w:cs="Arial" w:eastAsia="Arial" w:hAnsi="Arial"/>
                <w:sz w:val="14"/>
                <w:szCs w:val="14"/>
                <w:color w:val="auto"/>
              </w:rPr>
              <w:t>Income tax payments related to gain on sale of businesses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(36,936)</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71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Changes in other operating assets and liabilities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(15,137)</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(8,097)</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11,880</w:t>
            </w: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34,961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(1,613)</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(193,299)</w:t>
            </w: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59,910</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142,258</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177,420</w:t>
            </w: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21.5%</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w:t>
            </w:r>
          </w:p>
        </w:tc>
      </w:tr>
      <w:tr>
        <w:trPr>
          <w:trHeight w:val="339"/>
        </w:trPr>
        <w:tc>
          <w:tcPr>
            <w:tcW w:w="71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28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(22,235)</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(47,377)</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(40,115)</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28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(263,906)</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(280,344)</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(351,221)</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464,197</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425,444</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371,396</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Net proceeds related to sale of businesses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406,665</w:t>
            </w:r>
          </w:p>
        </w:tc>
      </w:tr>
      <w:tr>
        <w:trPr>
          <w:trHeight w:val="181"/>
        </w:trPr>
        <w:tc>
          <w:tcPr>
            <w:tcW w:w="20" w:type="dxa"/>
            <w:vAlign w:val="bottom"/>
          </w:tcPr>
          <w:p>
            <w:pPr>
              <w:spacing w:after="0"/>
              <w:rPr>
                <w:sz w:val="15"/>
                <w:szCs w:val="15"/>
                <w:color w:val="auto"/>
              </w:rPr>
            </w:pP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(Increase) decrease in other assets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(2,063)</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1,176</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2,795</w:t>
            </w:r>
          </w:p>
        </w:tc>
      </w:tr>
      <w:tr>
        <w:trPr>
          <w:trHeight w:val="169"/>
        </w:trPr>
        <w:tc>
          <w:tcPr>
            <w:tcW w:w="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for investing activities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175,993</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98,899</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389,520</w:t>
            </w:r>
          </w:p>
        </w:tc>
      </w:tr>
      <w:tr>
        <w:trPr>
          <w:trHeight w:val="339"/>
        </w:trPr>
        <w:tc>
          <w:tcPr>
            <w:tcW w:w="714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28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(58,238)</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(58,105)</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(53,836)</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(489)</w:t>
            </w:r>
          </w:p>
        </w:tc>
        <w:tc>
          <w:tcPr>
            <w:tcW w:w="380" w:type="dxa"/>
            <w:vAlign w:val="bottom"/>
          </w:tcPr>
          <w:p>
            <w:pPr>
              <w:spacing w:after="0"/>
              <w:rPr>
                <w:sz w:val="15"/>
                <w:szCs w:val="15"/>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(17,473)</w:t>
            </w:r>
          </w:p>
        </w:tc>
        <w:tc>
          <w:tcPr>
            <w:tcW w:w="34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(359,376)</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Increase in liability for common stock repurchases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95</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24,879</w:t>
            </w:r>
          </w:p>
        </w:tc>
      </w:tr>
      <w:tr>
        <w:trPr>
          <w:trHeight w:val="176"/>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Net proceeds from employee stock plans</w:t>
            </w:r>
          </w:p>
        </w:tc>
        <w:tc>
          <w:tcPr>
            <w:tcW w:w="28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768</w:t>
            </w:r>
          </w:p>
        </w:tc>
        <w:tc>
          <w:tcPr>
            <w:tcW w:w="3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11,150</w:t>
            </w:r>
          </w:p>
        </w:tc>
        <w:tc>
          <w:tcPr>
            <w:tcW w:w="340" w:type="dxa"/>
            <w:vAlign w:val="bottom"/>
          </w:tcPr>
          <w:p>
            <w:pPr>
              <w:spacing w:after="0"/>
              <w:rPr>
                <w:sz w:val="15"/>
                <w:szCs w:val="15"/>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24,497</w:t>
            </w:r>
          </w:p>
        </w:tc>
      </w:tr>
      <w:tr>
        <w:trPr>
          <w:trHeight w:val="181"/>
        </w:trPr>
        <w:tc>
          <w:tcPr>
            <w:tcW w:w="20" w:type="dxa"/>
            <w:vAlign w:val="bottom"/>
          </w:tcPr>
          <w:p>
            <w:pPr>
              <w:spacing w:after="0"/>
              <w:rPr>
                <w:sz w:val="15"/>
                <w:szCs w:val="15"/>
                <w:color w:val="auto"/>
              </w:rPr>
            </w:pP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Excess tax benefit - stock options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5,619</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6,710</w:t>
            </w:r>
          </w:p>
        </w:tc>
      </w:tr>
      <w:tr>
        <w:trPr>
          <w:trHeight w:val="169"/>
        </w:trPr>
        <w:tc>
          <w:tcPr>
            <w:tcW w:w="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financing activities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(57,959)</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(58,714)</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(357,126)</w:t>
            </w:r>
          </w:p>
        </w:tc>
      </w:tr>
      <w:tr>
        <w:trPr>
          <w:trHeight w:val="169"/>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(1,830)</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(7,300)</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(1,697)</w:t>
            </w:r>
          </w:p>
        </w:tc>
      </w:tr>
      <w:tr>
        <w:trPr>
          <w:trHeight w:val="339"/>
        </w:trPr>
        <w:tc>
          <w:tcPr>
            <w:tcW w:w="714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176,114</w:t>
            </w:r>
          </w:p>
        </w:tc>
        <w:tc>
          <w:tcPr>
            <w:tcW w:w="38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175,143</w:t>
            </w:r>
          </w:p>
        </w:tc>
        <w:tc>
          <w:tcPr>
            <w:tcW w:w="340" w:type="dxa"/>
            <w:vAlign w:val="bottom"/>
          </w:tcPr>
          <w:p>
            <w:pPr>
              <w:spacing w:after="0"/>
              <w:rPr>
                <w:sz w:val="24"/>
                <w:szCs w:val="2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208,117</w:t>
            </w:r>
          </w:p>
        </w:tc>
      </w:tr>
      <w:tr>
        <w:trPr>
          <w:trHeight w:val="181"/>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593,599</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418,456</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424,972</w:t>
            </w:r>
          </w:p>
        </w:tc>
      </w:tr>
      <w:tr>
        <w:trPr>
          <w:trHeight w:val="169"/>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769,713</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593,599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633,089</w:t>
            </w:r>
          </w:p>
        </w:tc>
      </w:tr>
      <w:tr>
        <w:trPr>
          <w:trHeight w:val="129"/>
        </w:trPr>
        <w:tc>
          <w:tcPr>
            <w:tcW w:w="20" w:type="dxa"/>
            <w:vAlign w:val="bottom"/>
          </w:tcPr>
          <w:p>
            <w:pPr>
              <w:spacing w:after="0"/>
              <w:rPr>
                <w:sz w:val="11"/>
                <w:szCs w:val="11"/>
                <w:color w:val="auto"/>
              </w:rPr>
            </w:pPr>
          </w:p>
        </w:tc>
        <w:tc>
          <w:tcPr>
            <w:tcW w:w="7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First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Three Months Ended</w:t>
            </w:r>
          </w:p>
        </w:tc>
        <w:tc>
          <w:tcPr>
            <w:tcW w:w="3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jc w:val="center"/>
              <w:ind w:right="648"/>
              <w:spacing w:after="0" w:line="133" w:lineRule="exact"/>
              <w:rPr>
                <w:sz w:val="20"/>
                <w:szCs w:val="20"/>
                <w:color w:val="auto"/>
              </w:rPr>
            </w:pPr>
            <w:r>
              <w:rPr>
                <w:rFonts w:ascii="Arial" w:cs="Arial" w:eastAsia="Arial" w:hAnsi="Arial"/>
                <w:sz w:val="14"/>
                <w:szCs w:val="14"/>
                <w:b w:val="1"/>
                <w:bCs w:val="1"/>
                <w:color w:val="auto"/>
                <w:w w:val="93"/>
              </w:rPr>
              <w:t>Jan. 31,</w:t>
            </w: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91"/>
              </w:rPr>
              <w:t>Nov. 1,</w:t>
            </w:r>
          </w:p>
        </w:tc>
        <w:tc>
          <w:tcPr>
            <w:tcW w:w="340" w:type="dxa"/>
            <w:vAlign w:val="bottom"/>
          </w:tcPr>
          <w:p>
            <w:pPr>
              <w:spacing w:after="0"/>
              <w:rPr>
                <w:sz w:val="11"/>
                <w:szCs w:val="11"/>
                <w:color w:val="auto"/>
              </w:rPr>
            </w:pPr>
          </w:p>
        </w:tc>
        <w:tc>
          <w:tcPr>
            <w:tcW w:w="1140" w:type="dxa"/>
            <w:vAlign w:val="bottom"/>
          </w:tcPr>
          <w:p>
            <w:pPr>
              <w:jc w:val="center"/>
              <w:ind w:right="288"/>
              <w:spacing w:after="0" w:line="133" w:lineRule="exact"/>
              <w:rPr>
                <w:sz w:val="20"/>
                <w:szCs w:val="20"/>
                <w:color w:val="auto"/>
              </w:rPr>
            </w:pPr>
            <w:r>
              <w:rPr>
                <w:rFonts w:ascii="Arial" w:cs="Arial" w:eastAsia="Arial" w:hAnsi="Arial"/>
                <w:sz w:val="14"/>
                <w:szCs w:val="14"/>
                <w:b w:val="1"/>
                <w:bCs w:val="1"/>
                <w:color w:val="auto"/>
                <w:w w:val="94"/>
              </w:rPr>
              <w:t>Feb. 2,</w:t>
            </w:r>
          </w:p>
        </w:tc>
        <w:tc>
          <w:tcPr>
            <w:tcW w:w="20" w:type="dxa"/>
            <w:vAlign w:val="bottom"/>
          </w:tcPr>
          <w:p>
            <w:pPr>
              <w:spacing w:after="0"/>
              <w:rPr>
                <w:sz w:val="11"/>
                <w:szCs w:val="11"/>
                <w:color w:val="auto"/>
              </w:rPr>
            </w:pPr>
          </w:p>
        </w:tc>
      </w:tr>
      <w:tr>
        <w:trPr>
          <w:trHeight w:val="185"/>
        </w:trPr>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788"/>
              <w:spacing w:after="0"/>
              <w:rPr>
                <w:sz w:val="20"/>
                <w:szCs w:val="20"/>
                <w:color w:val="auto"/>
              </w:rPr>
            </w:pPr>
            <w:r>
              <w:rPr>
                <w:rFonts w:ascii="Arial" w:cs="Arial" w:eastAsia="Arial" w:hAnsi="Arial"/>
                <w:sz w:val="14"/>
                <w:szCs w:val="14"/>
                <w:b w:val="1"/>
                <w:bCs w:val="1"/>
                <w:color w:val="auto"/>
              </w:rPr>
              <w:t>2009</w:t>
            </w:r>
          </w:p>
        </w:tc>
        <w:tc>
          <w:tcPr>
            <w:tcW w:w="16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6"/>
                <w:szCs w:val="16"/>
                <w:color w:val="auto"/>
              </w:rPr>
            </w:pPr>
          </w:p>
        </w:tc>
      </w:tr>
      <w:tr>
        <w:trPr>
          <w:trHeight w:val="169"/>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Revenue</w:t>
            </w:r>
          </w:p>
        </w:tc>
        <w:tc>
          <w:tcPr>
            <w:tcW w:w="7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80" w:type="dxa"/>
            <w:vAlign w:val="bottom"/>
          </w:tcPr>
          <w:p>
            <w:pPr>
              <w:ind w:left="540"/>
              <w:spacing w:after="0"/>
              <w:rPr>
                <w:sz w:val="20"/>
                <w:szCs w:val="20"/>
                <w:color w:val="auto"/>
              </w:rPr>
            </w:pPr>
            <w:r>
              <w:rPr>
                <w:rFonts w:ascii="Arial" w:cs="Arial" w:eastAsia="Arial" w:hAnsi="Arial"/>
                <w:sz w:val="14"/>
                <w:szCs w:val="14"/>
                <w:b w:val="1"/>
                <w:bCs w:val="1"/>
                <w:color w:val="auto"/>
              </w:rPr>
              <w:t>Q/Q %</w:t>
            </w: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Y/Y %</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Pr>
          <w:p>
            <w:pPr>
              <w:spacing w:after="0"/>
              <w:rPr>
                <w:sz w:val="14"/>
                <w:szCs w:val="14"/>
                <w:color w:val="auto"/>
              </w:rPr>
            </w:pPr>
          </w:p>
        </w:tc>
        <w:tc>
          <w:tcPr>
            <w:tcW w:w="114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r>
      <w:tr>
        <w:trPr>
          <w:trHeight w:val="164"/>
        </w:trPr>
        <w:tc>
          <w:tcPr>
            <w:tcW w:w="2740" w:type="dxa"/>
            <w:vAlign w:val="bottom"/>
          </w:tcPr>
          <w:p>
            <w:pPr>
              <w:spacing w:after="0"/>
              <w:rPr>
                <w:sz w:val="20"/>
                <w:szCs w:val="20"/>
                <w:color w:val="auto"/>
              </w:rPr>
            </w:pPr>
            <w:r>
              <w:rPr>
                <w:rFonts w:ascii="Arial" w:cs="Arial" w:eastAsia="Arial" w:hAnsi="Arial"/>
                <w:sz w:val="14"/>
                <w:szCs w:val="14"/>
                <w:color w:val="auto"/>
              </w:rPr>
              <w:t>Industrial</w:t>
            </w:r>
          </w:p>
        </w:tc>
        <w:tc>
          <w:tcPr>
            <w:tcW w:w="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257,046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80" w:type="dxa"/>
            <w:vAlign w:val="bottom"/>
            <w:tcBorders>
              <w:top w:val="single" w:sz="8" w:color="auto"/>
            </w:tcBorders>
            <w:gridSpan w:val="2"/>
          </w:tcPr>
          <w:p>
            <w:pPr>
              <w:ind w:left="840"/>
              <w:spacing w:after="0"/>
              <w:rPr>
                <w:sz w:val="20"/>
                <w:szCs w:val="20"/>
                <w:color w:val="auto"/>
              </w:rPr>
            </w:pPr>
            <w:r>
              <w:rPr>
                <w:rFonts w:ascii="Arial" w:cs="Arial" w:eastAsia="Arial" w:hAnsi="Arial"/>
                <w:sz w:val="14"/>
                <w:szCs w:val="14"/>
                <w:color w:val="auto"/>
              </w:rPr>
              <w:t>-24%</w:t>
            </w:r>
          </w:p>
        </w:tc>
        <w:tc>
          <w:tcPr>
            <w:tcW w:w="16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14"/>
                <w:szCs w:val="14"/>
                <w:color w:val="auto"/>
              </w:rPr>
            </w:pP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339,594</w:t>
            </w:r>
          </w:p>
        </w:tc>
        <w:tc>
          <w:tcPr>
            <w:tcW w:w="180" w:type="dxa"/>
            <w:vAlign w:val="bottom"/>
          </w:tcPr>
          <w:p>
            <w:pPr>
              <w:spacing w:after="0"/>
              <w:rPr>
                <w:sz w:val="14"/>
                <w:szCs w:val="14"/>
                <w:color w:val="auto"/>
              </w:rPr>
            </w:pPr>
          </w:p>
        </w:tc>
        <w:tc>
          <w:tcPr>
            <w:tcW w:w="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331,061</w:t>
            </w:r>
          </w:p>
        </w:tc>
        <w:tc>
          <w:tcPr>
            <w:tcW w:w="20" w:type="dxa"/>
            <w:vAlign w:val="bottom"/>
          </w:tcPr>
          <w:p>
            <w:pPr>
              <w:spacing w:after="0"/>
              <w:rPr>
                <w:sz w:val="14"/>
                <w:szCs w:val="14"/>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Communications</w:t>
            </w: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127,388</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80" w:type="dxa"/>
            <w:vAlign w:val="bottom"/>
            <w:gridSpan w:val="2"/>
          </w:tcPr>
          <w:p>
            <w:pPr>
              <w:ind w:left="840"/>
              <w:spacing w:after="0"/>
              <w:rPr>
                <w:sz w:val="20"/>
                <w:szCs w:val="20"/>
                <w:color w:val="auto"/>
              </w:rPr>
            </w:pPr>
            <w:r>
              <w:rPr>
                <w:rFonts w:ascii="Arial" w:cs="Arial" w:eastAsia="Arial" w:hAnsi="Arial"/>
                <w:sz w:val="14"/>
                <w:szCs w:val="14"/>
                <w:color w:val="auto"/>
              </w:rPr>
              <w:t>-22%</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163,559</w:t>
            </w:r>
          </w:p>
        </w:tc>
        <w:tc>
          <w:tcPr>
            <w:tcW w:w="3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131,012</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75,940</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1280" w:type="dxa"/>
            <w:vAlign w:val="bottom"/>
            <w:gridSpan w:val="2"/>
          </w:tcPr>
          <w:p>
            <w:pPr>
              <w:ind w:left="840"/>
              <w:spacing w:after="0"/>
              <w:rPr>
                <w:sz w:val="20"/>
                <w:szCs w:val="20"/>
                <w:color w:val="auto"/>
              </w:rPr>
            </w:pPr>
            <w:r>
              <w:rPr>
                <w:rFonts w:ascii="Arial" w:cs="Arial" w:eastAsia="Arial" w:hAnsi="Arial"/>
                <w:sz w:val="14"/>
                <w:szCs w:val="14"/>
                <w:color w:val="auto"/>
              </w:rPr>
              <w:t>-42%</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-40%</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131,573</w:t>
            </w:r>
          </w:p>
        </w:tc>
        <w:tc>
          <w:tcPr>
            <w:tcW w:w="3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126,952</w:t>
            </w:r>
          </w:p>
        </w:tc>
      </w:tr>
      <w:tr>
        <w:trPr>
          <w:trHeight w:val="181"/>
        </w:trPr>
        <w:tc>
          <w:tcPr>
            <w:tcW w:w="2740" w:type="dxa"/>
            <w:vAlign w:val="bottom"/>
          </w:tcPr>
          <w:p>
            <w:pPr>
              <w:spacing w:after="0"/>
              <w:rPr>
                <w:sz w:val="20"/>
                <w:szCs w:val="20"/>
                <w:color w:val="auto"/>
              </w:rPr>
            </w:pPr>
            <w:r>
              <w:rPr>
                <w:rFonts w:ascii="Arial" w:cs="Arial" w:eastAsia="Arial" w:hAnsi="Arial"/>
                <w:sz w:val="14"/>
                <w:szCs w:val="14"/>
                <w:color w:val="auto"/>
              </w:rPr>
              <w:t>Computer</w:t>
            </w: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16,195</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80" w:type="dxa"/>
            <w:vAlign w:val="bottom"/>
            <w:gridSpan w:val="2"/>
          </w:tcPr>
          <w:p>
            <w:pPr>
              <w:ind w:left="840"/>
              <w:spacing w:after="0"/>
              <w:rPr>
                <w:sz w:val="20"/>
                <w:szCs w:val="20"/>
                <w:color w:val="auto"/>
              </w:rPr>
            </w:pPr>
            <w:r>
              <w:rPr>
                <w:rFonts w:ascii="Arial" w:cs="Arial" w:eastAsia="Arial" w:hAnsi="Arial"/>
                <w:sz w:val="14"/>
                <w:szCs w:val="14"/>
                <w:color w:val="auto"/>
              </w:rPr>
              <w:t>-38%</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-35%</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25,970</w:t>
            </w:r>
          </w:p>
        </w:tc>
        <w:tc>
          <w:tcPr>
            <w:tcW w:w="3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24,884</w:t>
            </w:r>
          </w:p>
        </w:tc>
      </w:tr>
      <w:tr>
        <w:trPr>
          <w:trHeight w:val="169"/>
        </w:trPr>
        <w:tc>
          <w:tcPr>
            <w:tcW w:w="274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476,569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Pr>
          <w:p>
            <w:pPr>
              <w:ind w:left="640"/>
              <w:spacing w:after="0"/>
              <w:rPr>
                <w:sz w:val="20"/>
                <w:szCs w:val="20"/>
                <w:color w:val="auto"/>
              </w:rPr>
            </w:pPr>
            <w:r>
              <w:rPr>
                <w:rFonts w:ascii="Arial" w:cs="Arial" w:eastAsia="Arial" w:hAnsi="Arial"/>
                <w:sz w:val="14"/>
                <w:szCs w:val="14"/>
                <w:b w:val="1"/>
                <w:bCs w:val="1"/>
                <w:color w:val="auto"/>
              </w:rPr>
              <w:t>-28%</w:t>
            </w: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rPr>
              <w:t>-22%</w:t>
            </w:r>
          </w:p>
        </w:tc>
        <w:tc>
          <w:tcPr>
            <w:tcW w:w="3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660,696</w:t>
            </w:r>
          </w:p>
        </w:tc>
        <w:tc>
          <w:tcPr>
            <w:tcW w:w="1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613,909</w:t>
            </w:r>
          </w:p>
        </w:tc>
        <w:tc>
          <w:tcPr>
            <w:tcW w:w="2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2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2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First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jc w:val="center"/>
              <w:ind w:left="448"/>
              <w:spacing w:after="0" w:line="133" w:lineRule="exact"/>
              <w:rPr>
                <w:sz w:val="20"/>
                <w:szCs w:val="20"/>
                <w:color w:val="auto"/>
              </w:rPr>
            </w:pPr>
            <w:r>
              <w:rPr>
                <w:rFonts w:ascii="Arial" w:cs="Arial" w:eastAsia="Arial" w:hAnsi="Arial"/>
                <w:sz w:val="14"/>
                <w:szCs w:val="14"/>
                <w:b w:val="1"/>
                <w:bCs w:val="1"/>
                <w:color w:val="auto"/>
                <w:w w:val="93"/>
              </w:rPr>
              <w:t>Jan. 31,</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Nov. 1,</w:t>
            </w:r>
          </w:p>
        </w:tc>
        <w:tc>
          <w:tcPr>
            <w:tcW w:w="240" w:type="dxa"/>
            <w:vAlign w:val="bottom"/>
          </w:tcPr>
          <w:p>
            <w:pPr>
              <w:spacing w:after="0"/>
              <w:rPr>
                <w:sz w:val="11"/>
                <w:szCs w:val="11"/>
                <w:color w:val="auto"/>
              </w:rPr>
            </w:pPr>
          </w:p>
        </w:tc>
        <w:tc>
          <w:tcPr>
            <w:tcW w:w="960" w:type="dxa"/>
            <w:vAlign w:val="bottom"/>
          </w:tcPr>
          <w:p>
            <w:pPr>
              <w:jc w:val="center"/>
              <w:ind w:right="188"/>
              <w:spacing w:after="0" w:line="133" w:lineRule="exact"/>
              <w:rPr>
                <w:sz w:val="20"/>
                <w:szCs w:val="20"/>
                <w:color w:val="auto"/>
              </w:rPr>
            </w:pPr>
            <w:r>
              <w:rPr>
                <w:rFonts w:ascii="Arial" w:cs="Arial" w:eastAsia="Arial" w:hAnsi="Arial"/>
                <w:sz w:val="14"/>
                <w:szCs w:val="14"/>
                <w:b w:val="1"/>
                <w:bCs w:val="1"/>
                <w:color w:val="auto"/>
                <w:w w:val="94"/>
              </w:rPr>
              <w:t>Feb. 2,</w:t>
            </w:r>
          </w:p>
        </w:tc>
        <w:tc>
          <w:tcPr>
            <w:tcW w:w="2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9"/>
              </w:rPr>
              <w:t>Revenue</w:t>
            </w: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Q/Q %</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Y/Y %</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4"/>
                <w:szCs w:val="14"/>
                <w:color w:val="auto"/>
              </w:rPr>
            </w:pPr>
          </w:p>
        </w:tc>
      </w:tr>
      <w:tr>
        <w:trPr>
          <w:trHeight w:val="164"/>
        </w:trPr>
        <w:tc>
          <w:tcPr>
            <w:tcW w:w="4500" w:type="dxa"/>
            <w:vAlign w:val="bottom"/>
          </w:tcPr>
          <w:p>
            <w:pPr>
              <w:spacing w:after="0"/>
              <w:rPr>
                <w:sz w:val="20"/>
                <w:szCs w:val="20"/>
                <w:color w:val="auto"/>
              </w:rPr>
            </w:pPr>
            <w:r>
              <w:rPr>
                <w:rFonts w:ascii="Arial" w:cs="Arial" w:eastAsia="Arial" w:hAnsi="Arial"/>
                <w:sz w:val="14"/>
                <w:szCs w:val="14"/>
                <w:color w:val="auto"/>
              </w:rPr>
              <w:t>Converters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225,823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-27%</w:t>
            </w:r>
          </w:p>
        </w:tc>
        <w:tc>
          <w:tcPr>
            <w:tcW w:w="1020" w:type="dxa"/>
            <w:vAlign w:val="bottom"/>
          </w:tcPr>
          <w:p>
            <w:pPr>
              <w:ind w:left="42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309,428</w:t>
            </w:r>
          </w:p>
        </w:tc>
        <w:tc>
          <w:tcPr>
            <w:tcW w:w="1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281,081</w:t>
            </w:r>
          </w:p>
        </w:tc>
        <w:tc>
          <w:tcPr>
            <w:tcW w:w="20" w:type="dxa"/>
            <w:vAlign w:val="bottom"/>
          </w:tcPr>
          <w:p>
            <w:pPr>
              <w:spacing w:after="0"/>
              <w:rPr>
                <w:sz w:val="14"/>
                <w:szCs w:val="14"/>
                <w:color w:val="auto"/>
              </w:rPr>
            </w:pP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Amplifiers</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130,172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-23%</w:t>
            </w:r>
          </w:p>
        </w:tc>
        <w:tc>
          <w:tcPr>
            <w:tcW w:w="1020" w:type="dxa"/>
            <w:vAlign w:val="bottom"/>
          </w:tcPr>
          <w:p>
            <w:pPr>
              <w:ind w:left="420"/>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168,673</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155,719</w:t>
            </w:r>
          </w:p>
        </w:tc>
      </w:tr>
      <w:tr>
        <w:trPr>
          <w:trHeight w:val="181"/>
        </w:trPr>
        <w:tc>
          <w:tcPr>
            <w:tcW w:w="4500" w:type="dxa"/>
            <w:vAlign w:val="bottom"/>
          </w:tcPr>
          <w:p>
            <w:pPr>
              <w:spacing w:after="0"/>
              <w:rPr>
                <w:sz w:val="20"/>
                <w:szCs w:val="20"/>
                <w:color w:val="auto"/>
              </w:rPr>
            </w:pPr>
            <w:r>
              <w:rPr>
                <w:rFonts w:ascii="Arial" w:cs="Arial" w:eastAsia="Arial" w:hAnsi="Arial"/>
                <w:sz w:val="14"/>
                <w:szCs w:val="14"/>
                <w:color w:val="auto"/>
              </w:rPr>
              <w:t>Other analog</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51,005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-33%</w:t>
            </w:r>
          </w:p>
        </w:tc>
        <w:tc>
          <w:tcPr>
            <w:tcW w:w="1020" w:type="dxa"/>
            <w:vAlign w:val="bottom"/>
          </w:tcPr>
          <w:p>
            <w:pPr>
              <w:ind w:left="420"/>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75,636</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80,843</w:t>
            </w:r>
          </w:p>
        </w:tc>
      </w:tr>
      <w:tr>
        <w:trPr>
          <w:trHeight w:val="169"/>
        </w:trPr>
        <w:tc>
          <w:tcPr>
            <w:tcW w:w="450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407,000</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85%</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-26%</w:t>
            </w:r>
          </w:p>
        </w:tc>
        <w:tc>
          <w:tcPr>
            <w:tcW w:w="1020" w:type="dxa"/>
            <w:vAlign w:val="bottom"/>
          </w:tcPr>
          <w:p>
            <w:pPr>
              <w:ind w:left="420"/>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553,737</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517,643</w:t>
            </w:r>
          </w:p>
        </w:tc>
        <w:tc>
          <w:tcPr>
            <w:tcW w:w="20" w:type="dxa"/>
            <w:vAlign w:val="bottom"/>
          </w:tcPr>
          <w:p>
            <w:pPr>
              <w:spacing w:after="0"/>
              <w:rPr>
                <w:sz w:val="14"/>
                <w:szCs w:val="14"/>
                <w:color w:val="auto"/>
              </w:rPr>
            </w:pPr>
          </w:p>
        </w:tc>
      </w:tr>
      <w:tr>
        <w:trPr>
          <w:trHeight w:val="169"/>
        </w:trPr>
        <w:tc>
          <w:tcPr>
            <w:tcW w:w="450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26,135</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-33%</w:t>
            </w:r>
          </w:p>
        </w:tc>
        <w:tc>
          <w:tcPr>
            <w:tcW w:w="1020" w:type="dxa"/>
            <w:vAlign w:val="bottom"/>
          </w:tcPr>
          <w:p>
            <w:pPr>
              <w:ind w:left="420"/>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33,415</w:t>
            </w:r>
          </w:p>
        </w:tc>
        <w:tc>
          <w:tcPr>
            <w:tcW w:w="20" w:type="dxa"/>
            <w:vAlign w:val="bottom"/>
          </w:tcPr>
          <w:p>
            <w:pPr>
              <w:spacing w:after="0"/>
              <w:rPr>
                <w:sz w:val="14"/>
                <w:szCs w:val="14"/>
                <w:color w:val="auto"/>
              </w:rPr>
            </w:pPr>
          </w:p>
        </w:tc>
      </w:tr>
      <w:tr>
        <w:trPr>
          <w:trHeight w:val="169"/>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433,135</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91%</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-27%</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592,649</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551,058</w:t>
            </w:r>
          </w:p>
        </w:tc>
        <w:tc>
          <w:tcPr>
            <w:tcW w:w="20" w:type="dxa"/>
            <w:vAlign w:val="bottom"/>
          </w:tcPr>
          <w:p>
            <w:pPr>
              <w:spacing w:after="0"/>
              <w:rPr>
                <w:sz w:val="14"/>
                <w:szCs w:val="14"/>
                <w:color w:val="auto"/>
              </w:rPr>
            </w:pPr>
          </w:p>
        </w:tc>
      </w:tr>
      <w:tr>
        <w:trPr>
          <w:trHeight w:val="164"/>
        </w:trPr>
        <w:tc>
          <w:tcPr>
            <w:tcW w:w="4500" w:type="dxa"/>
            <w:vAlign w:val="bottom"/>
          </w:tcPr>
          <w:p>
            <w:pPr>
              <w:spacing w:after="0"/>
              <w:rPr>
                <w:sz w:val="20"/>
                <w:szCs w:val="20"/>
                <w:color w:val="auto"/>
              </w:rPr>
            </w:pPr>
            <w:r>
              <w:rPr>
                <w:rFonts w:ascii="Arial" w:cs="Arial" w:eastAsia="Arial" w:hAnsi="Arial"/>
                <w:sz w:val="14"/>
                <w:szCs w:val="14"/>
                <w:color w:val="auto"/>
              </w:rPr>
              <w:t>General purpose DSP</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40,110</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-34%</w:t>
            </w:r>
          </w:p>
        </w:tc>
        <w:tc>
          <w:tcPr>
            <w:tcW w:w="1020" w:type="dxa"/>
            <w:vAlign w:val="bottom"/>
          </w:tcPr>
          <w:p>
            <w:pPr>
              <w:ind w:left="420"/>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61,025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55,118</w:t>
            </w:r>
          </w:p>
        </w:tc>
        <w:tc>
          <w:tcPr>
            <w:tcW w:w="20" w:type="dxa"/>
            <w:vAlign w:val="bottom"/>
          </w:tcPr>
          <w:p>
            <w:pPr>
              <w:spacing w:after="0"/>
              <w:rPr>
                <w:sz w:val="14"/>
                <w:szCs w:val="14"/>
                <w:color w:val="auto"/>
              </w:rPr>
            </w:pPr>
          </w:p>
        </w:tc>
      </w:tr>
      <w:tr>
        <w:trPr>
          <w:trHeight w:val="181"/>
        </w:trPr>
        <w:tc>
          <w:tcPr>
            <w:tcW w:w="4500" w:type="dxa"/>
            <w:vAlign w:val="bottom"/>
          </w:tcPr>
          <w:p>
            <w:pPr>
              <w:spacing w:after="0"/>
              <w:rPr>
                <w:sz w:val="20"/>
                <w:szCs w:val="20"/>
                <w:color w:val="auto"/>
              </w:rPr>
            </w:pPr>
            <w:r>
              <w:rPr>
                <w:rFonts w:ascii="Arial" w:cs="Arial" w:eastAsia="Arial" w:hAnsi="Arial"/>
                <w:sz w:val="14"/>
                <w:szCs w:val="14"/>
                <w:color w:val="auto"/>
              </w:rPr>
              <w:t>Other DSP</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3,324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-53%</w:t>
            </w:r>
          </w:p>
        </w:tc>
        <w:tc>
          <w:tcPr>
            <w:tcW w:w="1020" w:type="dxa"/>
            <w:vAlign w:val="bottom"/>
          </w:tcPr>
          <w:p>
            <w:pPr>
              <w:ind w:left="420"/>
              <w:spacing w:after="0"/>
              <w:rPr>
                <w:sz w:val="20"/>
                <w:szCs w:val="20"/>
                <w:color w:val="auto"/>
              </w:rPr>
            </w:pPr>
            <w:r>
              <w:rPr>
                <w:rFonts w:ascii="Arial" w:cs="Arial" w:eastAsia="Arial" w:hAnsi="Arial"/>
                <w:sz w:val="14"/>
                <w:szCs w:val="14"/>
                <w:color w:val="auto"/>
              </w:rPr>
              <w:t>-57%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7,022</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7,733</w:t>
            </w:r>
          </w:p>
        </w:tc>
      </w:tr>
      <w:tr>
        <w:trPr>
          <w:trHeight w:val="169"/>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Digital Signal Processing</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43,434</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-36%</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68,047</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62,851</w:t>
            </w:r>
          </w:p>
        </w:tc>
        <w:tc>
          <w:tcPr>
            <w:tcW w:w="20" w:type="dxa"/>
            <w:vAlign w:val="bottom"/>
          </w:tcPr>
          <w:p>
            <w:pPr>
              <w:spacing w:after="0"/>
              <w:rPr>
                <w:sz w:val="14"/>
                <w:szCs w:val="14"/>
                <w:color w:val="auto"/>
              </w:rPr>
            </w:pPr>
          </w:p>
        </w:tc>
      </w:tr>
      <w:tr>
        <w:trPr>
          <w:trHeight w:val="169"/>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476,569</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3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-28%</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660,696</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613,909</w:t>
            </w:r>
          </w:p>
        </w:tc>
        <w:tc>
          <w:tcPr>
            <w:tcW w:w="2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4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4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Analog Devices, First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ind w:right="188"/>
              <w:spacing w:after="0" w:line="160" w:lineRule="exact"/>
              <w:rPr>
                <w:sz w:val="20"/>
                <w:szCs w:val="20"/>
                <w:color w:val="auto"/>
              </w:rPr>
            </w:pPr>
            <w:r>
              <w:rPr>
                <w:rFonts w:ascii="Arial" w:cs="Arial" w:eastAsia="Arial" w:hAnsi="Arial"/>
                <w:sz w:val="14"/>
                <w:szCs w:val="14"/>
                <w:b w:val="1"/>
                <w:bCs w:val="1"/>
                <w:color w:val="auto"/>
                <w:w w:val="94"/>
              </w:rPr>
              <w:t>1Q 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4"/>
              </w:rPr>
              <w:t>4Q 08</w:t>
            </w:r>
          </w:p>
        </w:tc>
        <w:tc>
          <w:tcPr>
            <w:tcW w:w="300" w:type="dxa"/>
            <w:vAlign w:val="bottom"/>
          </w:tcPr>
          <w:p>
            <w:pPr>
              <w:spacing w:after="0"/>
              <w:rPr>
                <w:sz w:val="13"/>
                <w:szCs w:val="13"/>
                <w:color w:val="auto"/>
              </w:rPr>
            </w:pPr>
          </w:p>
        </w:tc>
        <w:tc>
          <w:tcPr>
            <w:tcW w:w="102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9"/>
              </w:rPr>
              <w:t>1Q 08</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Jan. 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Nov. 1,</w:t>
            </w:r>
          </w:p>
        </w:tc>
        <w:tc>
          <w:tcPr>
            <w:tcW w:w="300" w:type="dxa"/>
            <w:vAlign w:val="bottom"/>
          </w:tcPr>
          <w:p>
            <w:pPr>
              <w:spacing w:after="0"/>
              <w:rPr>
                <w:sz w:val="12"/>
                <w:szCs w:val="12"/>
                <w:color w:val="auto"/>
              </w:rPr>
            </w:pPr>
          </w:p>
        </w:tc>
        <w:tc>
          <w:tcPr>
            <w:tcW w:w="102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Feb. 2,</w:t>
            </w: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249,411</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242,920</w:t>
            </w:r>
          </w:p>
        </w:tc>
        <w:tc>
          <w:tcPr>
            <w:tcW w:w="12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229,890</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52.3%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36.8%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37.4%</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(41,737)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(3,088)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207,674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239,832</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229,890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43.6%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36.3%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37.4%</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Operating Income From Continuing Operations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19,591</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160,737</w:t>
            </w:r>
          </w:p>
        </w:tc>
        <w:tc>
          <w:tcPr>
            <w:tcW w:w="12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145,913</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Total Revenue</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24.3%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23.8%</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41,737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3,088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Operating Income From Continuing Operations</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61,328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163,825</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145,913</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12.9%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24.8%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23.8%</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Diluted EPS Including Discontinued Operations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0.09</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0.49</w:t>
            </w:r>
          </w:p>
        </w:tc>
        <w:tc>
          <w:tcPr>
            <w:tcW w:w="12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1.22</w:t>
            </w:r>
          </w:p>
        </w:tc>
        <w:tc>
          <w:tcPr>
            <w:tcW w:w="0" w:type="dxa"/>
            <w:vAlign w:val="bottom"/>
          </w:tcPr>
          <w:p>
            <w:pPr>
              <w:spacing w:after="0"/>
              <w:rPr>
                <w:sz w:val="1"/>
                <w:szCs w:val="1"/>
                <w:color w:val="auto"/>
              </w:rPr>
            </w:pPr>
          </w:p>
        </w:tc>
      </w:tr>
      <w:tr>
        <w:trPr>
          <w:trHeight w:val="172"/>
        </w:trPr>
        <w:tc>
          <w:tcPr>
            <w:tcW w:w="7360" w:type="dxa"/>
            <w:vAlign w:val="bottom"/>
          </w:tcPr>
          <w:p>
            <w:pPr>
              <w:ind w:left="140"/>
              <w:spacing w:after="0"/>
              <w:rPr>
                <w:sz w:val="20"/>
                <w:szCs w:val="20"/>
                <w:color w:val="auto"/>
              </w:rPr>
            </w:pPr>
            <w:r>
              <w:rPr>
                <w:rFonts w:ascii="Arial" w:cs="Arial" w:eastAsia="Arial" w:hAnsi="Arial"/>
                <w:sz w:val="14"/>
                <w:szCs w:val="14"/>
                <w:color w:val="auto"/>
              </w:rPr>
              <w:t>Diluted Loss (Earnings) Per Share from Discontinued Operations</w:t>
            </w:r>
          </w:p>
        </w:tc>
        <w:tc>
          <w:tcPr>
            <w:tcW w:w="26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80"/>
        </w:trPr>
        <w:tc>
          <w:tcPr>
            <w:tcW w:w="7360" w:type="dxa"/>
            <w:vAlign w:val="bottom"/>
          </w:tcPr>
          <w:p>
            <w:pPr>
              <w:spacing w:after="0"/>
              <w:rPr>
                <w:sz w:val="20"/>
                <w:szCs w:val="20"/>
                <w:color w:val="auto"/>
              </w:rPr>
            </w:pPr>
            <w:r>
              <w:rPr>
                <w:rFonts w:ascii="Arial" w:cs="Arial" w:eastAsia="Arial" w:hAnsi="Arial"/>
                <w:sz w:val="14"/>
                <w:szCs w:val="14"/>
                <w:b w:val="1"/>
                <w:bCs w:val="1"/>
                <w:color w:val="auto"/>
              </w:rPr>
              <w:t>GAAP Diluted EPS From Continuing Operations (1)</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0.08</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0.49</w:t>
            </w:r>
          </w:p>
        </w:tc>
        <w:tc>
          <w:tcPr>
            <w:tcW w:w="12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176"/>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Impact of the Reinstatement of the R&amp;D Tax Credit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Diluted EPS From Continuing Operations</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0.49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The sum of the individual per share amounts may not equal due to rounding.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231" w:lineRule="auto"/>
        <w:rPr>
          <w:sz w:val="20"/>
          <w:szCs w:val="20"/>
          <w:color w:val="auto"/>
        </w:rPr>
      </w:pPr>
      <w:r>
        <w:rPr>
          <w:rFonts w:ascii="Arial" w:cs="Arial" w:eastAsia="Arial" w:hAnsi="Arial"/>
          <w:sz w:val="22"/>
          <w:szCs w:val="22"/>
          <w:color w:val="auto"/>
        </w:rPr>
        <w:t>781-461-3491 (fax)</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2019-12-09T21:52:49Z</dcterms:created>
  <dcterms:modified xsi:type="dcterms:W3CDTF">2019-12-09T21:52:49Z</dcterms:modified>
</cp:coreProperties>
</file>