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24"/>
        <w:spacing w:after="0"/>
        <w:rPr>
          <w:sz w:val="20"/>
          <w:szCs w:val="20"/>
          <w:color w:val="auto"/>
        </w:rPr>
      </w:pPr>
      <w:r>
        <w:rPr>
          <w:rFonts w:ascii="Times New Roman" w:cs="Times New Roman" w:eastAsia="Times New Roman" w:hAnsi="Times New Roman"/>
          <w:sz w:val="17"/>
          <w:szCs w:val="17"/>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01887</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16, 2025, Analog Devices, Inc. (the “Company”) issued $850,000,000 aggregate principal amount of senior notes due June 15, 2028 (the “2028 Notes”) and $650,000,000 aggregate principal amount of senior notes due June 15, 2030 (the “2030 Notes” and, together with the 2028 Notes, the “Notes”) pursuant to an effective registration statement on Form S-3 (File No. 333-281670) (the “Registration Statement”) and a related prospectus and prospectus supplement, each as filed with the Securities and Exchange Commission (the “SEC”). The Notes were issued pursuant to an indenture, dated as of June 3, 2013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a supplemental indenture, dated as of June 16, 2025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in each case between the Company and The Bank of New York Mellon Trust Company, N.A., as trustee. The Notes are unsecured unsubordinated obligations of the Company and are not guaranteed by any of the Company’s subsidiaries. The Base Indenture and the Supplemental Indenture contain certain covenants, events of default and other customary provisions.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were sold in an underwritten public offering pursuant to an underwriting agreement, dated as of June 12, 2025, between the Company and BofA Securities, Inc., as representative of the several underwriters named therein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The above description of the Underwriting Agreement is qualified in its entirety by reference to the Underwriting Agreement, which is filed as Exhibit 1.1 hereto and is incorporated herein by reference.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2028 Notes bear interest at a rate of 4.250% per annum and will mature on June 15, 2028. The 2030 Notes bear interest at a rate of 4.500% per annum and will mature on June 15, 2030. Interest on each series of Notes is payable semi-annually in arrears on June 15 and December 15 of each year, beginning on December 15, 2025. Prior to May 15, 2028 in the case of the 2028 Notes (the date that is one month prior to the scheduled maturity date of the 2028 Notes) and May 15, 2030 in the case of the 2030 Notes (the date that is one month prior to the scheduled maturity date of the 2030 Notes) (each, a “Par Call Date”), the Company may, at its option, redeem the applicable series of Notes, in whole or in part, at any time and from time to time, at a redemption price equal to the greater of: (1) (a) the sum of the present values of the remaining scheduled payments of principal and interest thereon discounted to the redemption date (assuming the Notes of such series matured on the applicable Par Call Date) on a semi-annual basis at the Treasury Rate plus 10 basis points less (b) interest accrued to the date of redemption, and (2) 100% of the principal amount of the Notes of such series being redeemed, plus, in either case, accrued and unpaid interest thereon to the redemption date. On or after the applicable Par Call Date, the Company may, at its option, redeem each series of Notes, in whole or in part, at any time and from time to time, at a redemption price equal to 100% of the principal amount of the Notes of such series being redeemed plus accrued and unpaid interest thereon to the redemption date. The Notes are unsecured and rank equally in right of payment with all of the Company’s other existing and future unsecured senior indebtedness.</w:t>
      </w:r>
    </w:p>
    <w:p>
      <w:pPr>
        <w:spacing w:after="0" w:line="19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foregoing descriptions of the Notes, the Base Indenture and the Supplemental Indenture are summaries only and are qualified in their entirety by reference to the full text of such documents. The Base Indenture, which was filed as Exhibit 4.1 to the Company’s Current Report on Form 8-K filed with the SEC on June 3, 2013, and the Supplemental Indenture, which is attached hereto as Exhibit 4.2, are incorporated herein by reference. All capitalized terms used above and not otherwise defined have the meaning given to such terms in the Base Indenture and the Supplemental Indenture.</w:t>
      </w:r>
    </w:p>
    <w:p>
      <w:pPr>
        <w:spacing w:after="0" w:line="16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copy of the opinion of DLA Piper LLP (US), counsel to the Company, relating to the legality of the Notes is attached hereto as Exhibit 5.1 and incorporated into the Registration Statement.</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84" w:right="68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June 12, 2025, between the Company and BofA Securities, Inc., as representative of the several underwriters named therein.</w:t>
      </w:r>
    </w:p>
    <w:p>
      <w:pPr>
        <w:spacing w:after="0" w:line="53" w:lineRule="exact"/>
        <w:rPr>
          <w:rFonts w:ascii="Times New Roman" w:cs="Times New Roman" w:eastAsia="Times New Roman" w:hAnsi="Times New Roman"/>
          <w:sz w:val="18"/>
          <w:szCs w:val="18"/>
          <w:color w:val="auto"/>
        </w:rPr>
      </w:pPr>
    </w:p>
    <w:p>
      <w:pPr>
        <w:ind w:left="884" w:right="360" w:hanging="884"/>
        <w:spacing w:after="0" w:line="266"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June 3, 2013, between the Company and The Bank of New York Mellon Trust Company, N.A., as trustee, filed as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Exhibit 4.1 to the Company’s Current Report on Form 8-K as filed with the Commission on June 3, 2013 and incorporated herein by</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reference.</w:t>
        </w:r>
      </w:hyperlink>
    </w:p>
    <w:p>
      <w:pPr>
        <w:spacing w:after="0" w:line="67" w:lineRule="exact"/>
        <w:rPr>
          <w:rFonts w:ascii="Times New Roman" w:cs="Times New Roman" w:eastAsia="Times New Roman" w:hAnsi="Times New Roman"/>
          <w:sz w:val="18"/>
          <w:szCs w:val="18"/>
          <w:u w:val="single" w:color="auto"/>
          <w:color w:val="0000EE"/>
        </w:rPr>
      </w:pPr>
    </w:p>
    <w:p>
      <w:pPr>
        <w:ind w:left="884"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Supplemental Indenture, dated June 16, 2025, between the Company and The Bank of New York Mellon Trust Company, N.A., as trustee (including the forms of note contained therein).</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DLA Piper LLP (US).</w:t>
      </w:r>
    </w:p>
    <w:p>
      <w:pPr>
        <w:spacing w:after="0" w:line="115"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DLA Piper LLP (US) (included in Exhibit 5.1).</w:t>
            </w:r>
          </w:p>
        </w:tc>
        <w:tc>
          <w:tcPr>
            <w:tcW w:w="200" w:type="dxa"/>
            <w:vAlign w:val="bottom"/>
          </w:tcPr>
          <w:p>
            <w:pPr>
              <w:spacing w:after="0"/>
              <w:rPr>
                <w:sz w:val="17"/>
                <w:szCs w:val="17"/>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0784"/>
          </w:cols>
          <w:pgMar w:left="436" w:top="293" w:right="67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Janene I.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Janene I. Asgeirsson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Senior Vice President, Chief Legal Officer and Corporate Secretary</w:t>
      </w:r>
    </w:p>
    <w:p>
      <w:pPr>
        <w:sectPr>
          <w:pgSz w:w="11900" w:h="16838" w:orient="portrait"/>
          <w:cols w:equalWidth="0" w:num="1">
            <w:col w:w="10920"/>
          </w:cols>
          <w:pgMar w:left="440" w:top="293" w:right="5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4.250% Senior Notes due 2028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4.500% Senior Notes due 2030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12,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c/o</w:t>
        <w:tab/>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firstLine="436"/>
        <w:spacing w:after="0" w:line="259"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the several Underwriters named in 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BofA Securities, Inc. is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to issue and sell to the several Underwriters $850,000,000 principal amount of its 4.250% Senior Notes due 2028 (the “</w:t>
      </w:r>
      <w:r>
        <w:rPr>
          <w:rFonts w:ascii="Times New Roman" w:cs="Times New Roman" w:eastAsia="Times New Roman" w:hAnsi="Times New Roman"/>
          <w:sz w:val="18"/>
          <w:szCs w:val="18"/>
          <w:b w:val="1"/>
          <w:bCs w:val="1"/>
          <w:color w:val="auto"/>
        </w:rPr>
        <w:t>2028 Securities</w:t>
      </w:r>
      <w:r>
        <w:rPr>
          <w:rFonts w:ascii="Times New Roman" w:cs="Times New Roman" w:eastAsia="Times New Roman" w:hAnsi="Times New Roman"/>
          <w:sz w:val="18"/>
          <w:szCs w:val="18"/>
          <w:color w:val="auto"/>
        </w:rPr>
        <w:t>”) and $650,000,000 principal amount of its</w:t>
      </w: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 Senior Notes due 2030 (the “</w:t>
      </w:r>
      <w:r>
        <w:rPr>
          <w:rFonts w:ascii="Times New Roman" w:cs="Times New Roman" w:eastAsia="Times New Roman" w:hAnsi="Times New Roman"/>
          <w:sz w:val="18"/>
          <w:szCs w:val="18"/>
          <w:b w:val="1"/>
          <w:bCs w:val="1"/>
          <w:color w:val="auto"/>
        </w:rPr>
        <w:t>2030 Securities</w:t>
      </w:r>
      <w:r>
        <w:rPr>
          <w:rFonts w:ascii="Times New Roman" w:cs="Times New Roman" w:eastAsia="Times New Roman" w:hAnsi="Times New Roman"/>
          <w:sz w:val="18"/>
          <w:szCs w:val="18"/>
          <w:color w:val="auto"/>
        </w:rPr>
        <w:t>” and, together with the 2028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shall be issued under an indenture, dated as of June 3, 2013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a supplemental indenture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dated as of the Closing Date (as defined below) between the Company and The Bank of New York Mellon Trust Company,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1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(No. 333-281670), including a related prospectus or prospectuses, covering the registration of the Securities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which has become effective.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any document incorporated by reference therein and all 430B Information and all 430C Information with respect to such registration statement,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the Registration Statement as of the Effective Time (as defined below). For purposes of this definition, 430B Information shall be considered to be included in the Registration Statement as of the time specified in Rule 430B.</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47" w:lineRule="exact"/>
        <w:rPr>
          <w:sz w:val="20"/>
          <w:szCs w:val="20"/>
          <w:color w:val="auto"/>
        </w:rPr>
      </w:pPr>
    </w:p>
    <w:p>
      <w:pPr>
        <w:ind w:left="440" w:right="2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430C.</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2:35 p.m. (New York City time) on the date of this Agreement.</w:t>
      </w:r>
    </w:p>
    <w:p>
      <w:pPr>
        <w:sectPr>
          <w:pgSz w:w="11900" w:h="16838" w:orient="portrait"/>
          <w:cols w:equalWidth="0" w:num="1">
            <w:col w:w="11020"/>
          </w:cols>
          <w:pgMar w:left="440" w:top="117" w:right="43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defined in Section 3 hereof.</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the Registration Statement relating to the Securities means the time of the first contract of sale for the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 means the rules of the Nasdaq Stock Market.</w:t>
      </w:r>
    </w:p>
    <w:p>
      <w:pPr>
        <w:spacing w:after="0" w:line="11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Securities and otherwise satisfies Section 10(a) of the Act.</w:t>
      </w:r>
    </w:p>
    <w:p>
      <w:pPr>
        <w:spacing w:after="0" w:line="47" w:lineRule="exact"/>
        <w:rPr>
          <w:sz w:val="20"/>
          <w:szCs w:val="20"/>
          <w:color w:val="auto"/>
        </w:rPr>
      </w:pPr>
    </w:p>
    <w:p>
      <w:pPr>
        <w:ind w:right="5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so specified in Schedule B to this Agreement.</w:t>
      </w:r>
    </w:p>
    <w:p>
      <w:pPr>
        <w:spacing w:after="0" w:line="47"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117" w:lineRule="exact"/>
        <w:rPr>
          <w:sz w:val="20"/>
          <w:szCs w:val="20"/>
          <w:color w:val="auto"/>
        </w:rPr>
      </w:pPr>
    </w:p>
    <w:p>
      <w:pPr>
        <w:ind w:right="34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and the auditing principles, rules, standards and practices applicable to auditors of “issuers” (as defined in Sarbanes-Oxley) promulgated or approved by the Public Company Accounting Oversight Board.</w:t>
      </w:r>
    </w:p>
    <w:p>
      <w:pPr>
        <w:spacing w:after="0" w:line="63"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71"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115" w:lineRule="exact"/>
        <w:rPr>
          <w:sz w:val="20"/>
          <w:szCs w:val="20"/>
          <w:color w:val="auto"/>
        </w:rPr>
      </w:pPr>
    </w:p>
    <w:p>
      <w:pPr>
        <w:ind w:firstLine="419"/>
        <w:spacing w:after="0" w:line="253"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Act Requirements</w:t>
      </w:r>
      <w:r>
        <w:rPr>
          <w:rFonts w:ascii="Times New Roman" w:cs="Times New Roman" w:eastAsia="Times New Roman" w:hAnsi="Times New Roman"/>
          <w:sz w:val="18"/>
          <w:szCs w:val="18"/>
          <w:color w:val="auto"/>
        </w:rPr>
        <w:t>. (i) (A) At the time the Registration Statement initially became effective, (B)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any Underwriter through the Representative specifically for use therein, it being understood and agreed that the only such information is that described as such in Section 8(b) hereof.</w:t>
      </w:r>
    </w:p>
    <w:p>
      <w:pPr>
        <w:spacing w:after="0" w:line="81" w:lineRule="exact"/>
        <w:rPr>
          <w:rFonts w:ascii="Times New Roman" w:cs="Times New Roman" w:eastAsia="Times New Roman" w:hAnsi="Times New Roman"/>
          <w:sz w:val="18"/>
          <w:szCs w:val="18"/>
          <w:color w:val="auto"/>
        </w:rPr>
      </w:pPr>
    </w:p>
    <w:p>
      <w:pPr>
        <w:ind w:right="40" w:firstLine="419"/>
        <w:spacing w:after="0" w:line="257" w:lineRule="auto"/>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Shelf Registration Statement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i w:val="1"/>
          <w:iCs w:val="1"/>
          <w:color w:val="auto"/>
        </w:rPr>
        <w:t xml:space="preserve"> Well-Known Seasoned Issuer Status</w:t>
      </w:r>
      <w:r>
        <w:rPr>
          <w:rFonts w:ascii="Times New Roman" w:cs="Times New Roman" w:eastAsia="Times New Roman" w:hAnsi="Times New Roman"/>
          <w:sz w:val="18"/>
          <w:szCs w:val="18"/>
          <w:color w:val="auto"/>
        </w:rPr>
        <w:t>. (A) At the time of initial filing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“well-known seasoned issuer” as defined in Rule 405, including not having been an “ineligible issuer” as defined in Rule 405.</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6" w:name="page7"/>
    <w:bookmarkEnd w:id="6"/>
    <w:p>
      <w:pPr>
        <w:ind w:left="544" w:right="800" w:firstLine="408"/>
        <w:spacing w:after="0" w:line="284" w:lineRule="auto"/>
        <w:tabs>
          <w:tab w:leader="none" w:pos="120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of Automatic Shelf Registration Statement</w:t>
      </w:r>
      <w:r>
        <w:rPr>
          <w:rFonts w:ascii="Times New Roman" w:cs="Times New Roman" w:eastAsia="Times New Roman" w:hAnsi="Times New Roman"/>
          <w:sz w:val="18"/>
          <w:szCs w:val="18"/>
          <w:color w:val="auto"/>
        </w:rPr>
        <w:t>. The Registration Statement is an “automatic shelf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defined in Rule 405, that initially became effective within three years of the date of this Agreement.</w:t>
      </w:r>
    </w:p>
    <w:p>
      <w:pPr>
        <w:spacing w:after="0" w:line="50" w:lineRule="exact"/>
        <w:rPr>
          <w:rFonts w:ascii="Times New Roman" w:cs="Times New Roman" w:eastAsia="Times New Roman" w:hAnsi="Times New Roman"/>
          <w:sz w:val="18"/>
          <w:szCs w:val="18"/>
          <w:color w:val="auto"/>
        </w:rPr>
      </w:pPr>
    </w:p>
    <w:p>
      <w:pPr>
        <w:ind w:left="544" w:firstLine="408"/>
        <w:spacing w:after="0" w:line="254" w:lineRule="auto"/>
        <w:tabs>
          <w:tab w:leader="none" w:pos="125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to Use Automatic Shelf Registration Form</w:t>
      </w:r>
      <w:r>
        <w:rPr>
          <w:rFonts w:ascii="Times New Roman" w:cs="Times New Roman" w:eastAsia="Times New Roman" w:hAnsi="Times New Roman"/>
          <w:sz w:val="18"/>
          <w:szCs w:val="18"/>
          <w:color w:val="auto"/>
        </w:rPr>
        <w:t>. The Company has not received from the Commission any notice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 (ii) promptly file a new registration statement or post-effective amendment on the proper form relating to the Securities, in a form satisfactory to the Representative, (iii) use its best efforts to cause such registration statement or post-effective amendment to be declared effective as soon as practicable, and (iv) promptly notify the Representative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77" w:lineRule="exact"/>
        <w:rPr>
          <w:rFonts w:ascii="Times New Roman" w:cs="Times New Roman" w:eastAsia="Times New Roman" w:hAnsi="Times New Roman"/>
          <w:sz w:val="18"/>
          <w:szCs w:val="18"/>
          <w:color w:val="auto"/>
        </w:rPr>
      </w:pPr>
    </w:p>
    <w:p>
      <w:pPr>
        <w:ind w:left="544" w:right="260" w:firstLine="408"/>
        <w:spacing w:after="0" w:line="284" w:lineRule="auto"/>
        <w:tabs>
          <w:tab w:leader="none" w:pos="124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Fees</w:t>
      </w:r>
      <w:r>
        <w:rPr>
          <w:rFonts w:ascii="Times New Roman" w:cs="Times New Roman" w:eastAsia="Times New Roman" w:hAnsi="Times New Roman"/>
          <w:sz w:val="18"/>
          <w:szCs w:val="18"/>
          <w:color w:val="auto"/>
        </w:rPr>
        <w:t>. The Company has paid or shall pay the required Commission filing fees relating to the Securities within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Rule 456(b)(1) without regard to the proviso therein and otherwise in accordance with Rules 456(b) and 457(r).</w:t>
      </w:r>
    </w:p>
    <w:p>
      <w:pPr>
        <w:spacing w:after="0" w:line="50" w:lineRule="exact"/>
        <w:rPr>
          <w:rFonts w:ascii="Times New Roman" w:cs="Times New Roman" w:eastAsia="Times New Roman" w:hAnsi="Times New Roman"/>
          <w:sz w:val="18"/>
          <w:szCs w:val="18"/>
          <w:color w:val="auto"/>
        </w:rPr>
      </w:pPr>
    </w:p>
    <w:p>
      <w:pPr>
        <w:ind w:left="4" w:right="120" w:firstLine="419"/>
        <w:spacing w:after="0" w:line="267"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Ineligible Issuer Status</w:t>
      </w:r>
      <w:r>
        <w:rPr>
          <w:rFonts w:ascii="Times New Roman" w:cs="Times New Roman" w:eastAsia="Times New Roman" w:hAnsi="Times New Roman"/>
          <w:sz w:val="18"/>
          <w:szCs w:val="18"/>
          <w:color w:val="auto"/>
        </w:rPr>
        <w:t>. (i) At the earliest time after the filing of the Registration Statement that the Company or another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made a bona fide offer (within the meaning of Rule 164(h)(2) of the Act) and (ii) at the date of this Agreement, the Company was not and is not an “ineligible issuer,” as defined in Rule 405.</w:t>
      </w:r>
    </w:p>
    <w:p>
      <w:pPr>
        <w:spacing w:after="0" w:line="65"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neither (i) the General Use Issuer Free Writing Prospectus(es) issued at or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Applicable Time and the preliminary prospectus supplement, dated June 12, 2025, including the base prospectus, dated August 21, 2024 (which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nor</w:t>
      </w:r>
    </w:p>
    <w:p>
      <w:pPr>
        <w:spacing w:after="0" w:line="1" w:lineRule="exact"/>
        <w:rPr>
          <w:rFonts w:ascii="Times New Roman" w:cs="Times New Roman" w:eastAsia="Times New Roman" w:hAnsi="Times New Roman"/>
          <w:sz w:val="18"/>
          <w:szCs w:val="18"/>
          <w:color w:val="auto"/>
        </w:rPr>
      </w:pPr>
    </w:p>
    <w:p>
      <w:pPr>
        <w:ind w:left="4" w:right="220" w:hanging="4"/>
        <w:spacing w:after="0" w:line="252"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Section 8(b) hereof.</w:t>
      </w:r>
    </w:p>
    <w:p>
      <w:pPr>
        <w:spacing w:after="0" w:line="79" w:lineRule="exact"/>
        <w:rPr>
          <w:rFonts w:ascii="Times New Roman" w:cs="Times New Roman" w:eastAsia="Times New Roman" w:hAnsi="Times New Roman"/>
          <w:sz w:val="18"/>
          <w:szCs w:val="18"/>
          <w:color w:val="auto"/>
        </w:rPr>
      </w:pPr>
    </w:p>
    <w:p>
      <w:pPr>
        <w:ind w:left="4" w:firstLine="419"/>
        <w:spacing w:after="0" w:line="275" w:lineRule="auto"/>
        <w:tabs>
          <w:tab w:leader="none" w:pos="65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Prospectuses</w:t>
      </w:r>
      <w:r>
        <w:rPr>
          <w:rFonts w:ascii="Times New Roman" w:cs="Times New Roman" w:eastAsia="Times New Roman" w:hAnsi="Times New Roman"/>
          <w:sz w:val="17"/>
          <w:szCs w:val="17"/>
          <w:color w:val="auto"/>
        </w:rPr>
        <w:t>. Each Issuer Free Writing Prospectus, as of its issue date and at all subsequent times through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w:t>
      </w:r>
    </w:p>
    <w:p>
      <w:pPr>
        <w:spacing w:after="0" w:line="10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68" w:right="479" w:bottom="1440" w:gutter="0" w:footer="0" w:header="0"/>
        </w:sectPr>
      </w:pPr>
    </w:p>
    <w:bookmarkStart w:id="7" w:name="page8"/>
    <w:bookmarkEnd w:id="7"/>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following such event or development, would include an untrue statement of a material fact or omitted or would omit to state a material fact necessary in order to make the statements therein, in the light of the circumstances under which they were made, not misleading,</w:t>
      </w:r>
    </w:p>
    <w:p>
      <w:pPr>
        <w:spacing w:after="0" w:line="1" w:lineRule="exact"/>
        <w:rPr>
          <w:sz w:val="20"/>
          <w:szCs w:val="20"/>
          <w:color w:val="auto"/>
        </w:rPr>
      </w:pPr>
    </w:p>
    <w:p>
      <w:pPr>
        <w:ind w:left="4" w:right="220" w:hanging="4"/>
        <w:spacing w:after="0" w:line="260" w:lineRule="auto"/>
        <w:tabs>
          <w:tab w:leader="none" w:pos="2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promptly notified or will promptly notify the Representative and (ii) the Company has promptly amended or will promptly amend or supplement such Issuer Free Writing Prospectus to eliminate or correct such conflict, untrue statement or omission.</w:t>
      </w:r>
    </w:p>
    <w:p>
      <w:pPr>
        <w:spacing w:after="0" w:line="71"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Incorporation and Good Standing of the Company</w:t>
      </w:r>
      <w:r>
        <w:rPr>
          <w:rFonts w:ascii="Times New Roman" w:cs="Times New Roman" w:eastAsia="Times New Roman" w:hAnsi="Times New Roman"/>
          <w:sz w:val="18"/>
          <w:szCs w:val="18"/>
          <w:color w:val="auto"/>
        </w:rPr>
        <w:t>. The Company has been duly incorporated and is existing and in good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w:t>
      </w:r>
    </w:p>
    <w:p>
      <w:pPr>
        <w:spacing w:after="0" w:line="75"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Each subsidiary of the Company has been duly incorporated or organized, as the case may be, and is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jurisdiction of its incorporation or organization, as the case may be, with corporate power and authority to own its properties and conduct its business as described in the General Disclosure Package;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such subsidiary owned by the Company, directly or through subsidiaries, is owned free from liens, encumbrances and defects, except, in each case in this clause (h), as would not, individually or in the aggregate, result in a Material Adverse Effect.</w:t>
      </w:r>
    </w:p>
    <w:p>
      <w:pPr>
        <w:spacing w:after="0" w:line="7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and Delivery of Indenture</w:t>
      </w:r>
      <w:r>
        <w:rPr>
          <w:rFonts w:ascii="Times New Roman" w:cs="Times New Roman" w:eastAsia="Times New Roman" w:hAnsi="Times New Roman"/>
          <w:sz w:val="18"/>
          <w:szCs w:val="18"/>
          <w:color w:val="auto"/>
        </w:rPr>
        <w:t>. The Base Indenture has been duly authorized, executed and delivered by the Company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qualified under the Trust Indenture Act; the Supplemental Indenture has been duly authorized by the Company and, when it is executed and delivered by the Company and the Trustee, the Indenture will (i) constitute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(ii) conform in all material respects with the requirements of the Trust Indenture Act; and the Securities have been duly authorized and, when the Securities are delivered and paid for pursuant to this Agreement on the Closing Date, the Supplemental Indenture will have been duly executed and delivered by the Company and such Securities will have been duly executed, authenticated, issued and delivered, will be consistent with the information in the General Disclosure Package, will conform to the description of such Securities contained in the Final Prospectus and the Indenture and will constitute valid and legally binding obligations of the Company, enforceable in accordance with their terms, subject to the Enforceability Exceptions.</w:t>
      </w:r>
    </w:p>
    <w:p>
      <w:pPr>
        <w:spacing w:after="0" w:line="8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or registration with,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or 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w:t>
      </w:r>
    </w:p>
    <w:p>
      <w:pPr>
        <w:spacing w:after="0" w:line="71" w:lineRule="exact"/>
        <w:rPr>
          <w:rFonts w:ascii="Times New Roman" w:cs="Times New Roman" w:eastAsia="Times New Roman" w:hAnsi="Times New Roman"/>
          <w:sz w:val="18"/>
          <w:szCs w:val="18"/>
          <w:color w:val="auto"/>
        </w:rPr>
      </w:pPr>
    </w:p>
    <w:p>
      <w:pPr>
        <w:ind w:left="4" w:right="120" w:firstLine="419"/>
        <w:spacing w:after="0" w:line="257"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Except as disclosed in the General Disclosure Package, the Company and its subsidiaries have good and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to all 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8" w:name="page9"/>
    <w:bookmarkEnd w:id="8"/>
    <w:p>
      <w:pPr>
        <w:ind w:left="4" w:firstLine="419"/>
        <w:spacing w:after="0" w:line="267" w:lineRule="auto"/>
        <w:tabs>
          <w:tab w:leader="none" w:pos="64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Defaults and Conflicts Resulting from Transaction</w:t>
      </w:r>
      <w:r>
        <w:rPr>
          <w:rFonts w:ascii="Times New Roman" w:cs="Times New Roman" w:eastAsia="Times New Roman" w:hAnsi="Times New Roman"/>
          <w:sz w:val="17"/>
          <w:szCs w:val="17"/>
          <w:color w:val="auto"/>
        </w:rPr>
        <w:t>. The execution, delivery and performance of the Indenture and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w:t>
      </w:r>
    </w:p>
    <w:p>
      <w:pPr>
        <w:spacing w:after="0" w:line="7" w:lineRule="exact"/>
        <w:rPr>
          <w:rFonts w:ascii="Times New Roman" w:cs="Times New Roman" w:eastAsia="Times New Roman" w:hAnsi="Times New Roman"/>
          <w:sz w:val="17"/>
          <w:szCs w:val="17"/>
          <w:color w:val="auto"/>
        </w:rPr>
      </w:pPr>
    </w:p>
    <w:p>
      <w:pPr>
        <w:ind w:left="4" w:right="20" w:hanging="4"/>
        <w:spacing w:after="0" w:line="253"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as would not, individually or in the aggregate, result in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8" w:lineRule="exact"/>
        <w:rPr>
          <w:rFonts w:ascii="Times New Roman" w:cs="Times New Roman" w:eastAsia="Times New Roman" w:hAnsi="Times New Roman"/>
          <w:sz w:val="18"/>
          <w:szCs w:val="18"/>
          <w:color w:val="auto"/>
        </w:rPr>
      </w:pPr>
    </w:p>
    <w:p>
      <w:pPr>
        <w:ind w:left="4" w:right="160" w:firstLine="419"/>
        <w:spacing w:after="0" w:line="257"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Neither the Company nor any of its subsidiaries is in violation of its respective charter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or 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Company and its subsidiaries possess, and are in compliance with the terms of, all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authorizations, franchises, licenses and permits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w:t>
      </w:r>
    </w:p>
    <w:p>
      <w:pPr>
        <w:spacing w:after="0" w:line="75" w:lineRule="exact"/>
        <w:rPr>
          <w:rFonts w:ascii="Times New Roman" w:cs="Times New Roman" w:eastAsia="Times New Roman" w:hAnsi="Times New Roman"/>
          <w:sz w:val="18"/>
          <w:szCs w:val="18"/>
          <w:color w:val="auto"/>
        </w:rPr>
      </w:pPr>
    </w:p>
    <w:p>
      <w:pPr>
        <w:ind w:left="4" w:right="100" w:firstLine="419"/>
        <w:spacing w:after="0" w:line="284"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imminent, in either case that would have a Material Adverse Effect.</w:t>
      </w:r>
    </w:p>
    <w:p>
      <w:pPr>
        <w:spacing w:after="0" w:line="50"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Company and its subsidiaries own, possess or can acquire on reasonable terms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trade names, patent rights, copyrights, domain names, licenses, approvals, trade secrets, inventions, technology, know-how and other intellectual property and similar rights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 Company’s or any subsidiary’s rights in or to, any of their Intellectual Property Rights, and</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68" w:right="459" w:bottom="1440" w:gutter="0" w:footer="0" w:header="0"/>
        </w:sectPr>
      </w:pPr>
    </w:p>
    <w:bookmarkStart w:id="9" w:name="page10"/>
    <w:bookmarkEnd w:id="9"/>
    <w:p>
      <w:pPr>
        <w:ind w:right="1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 (v) such as would not, individually or in the aggregate, have a Material Adverse Effect.</w:t>
      </w:r>
    </w:p>
    <w:p>
      <w:pPr>
        <w:spacing w:after="0" w:line="63" w:lineRule="exact"/>
        <w:rPr>
          <w:sz w:val="20"/>
          <w:szCs w:val="20"/>
          <w:color w:val="auto"/>
        </w:rPr>
      </w:pPr>
    </w:p>
    <w:p>
      <w:pPr>
        <w:ind w:right="140" w:firstLine="419"/>
        <w:spacing w:after="0" w:line="255"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disclosed in the General Disclosure Package, neither the Company nor any of its subsidiaries (i) is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any statute, rule, regulation, decision or order of any governmental agency or body or any court, domestic or foreign, relating to the use, management, registration, disposal or release of hazardous or toxic substances or wastes or relating to the protection or restoration of the environment or human exposure to hazardous or toxic substances or wastes, or any permit or license thereunder (collectively,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off-site disposal or contamination pursuant to any environmental laws; or (iv) is subject to any claim relating to any environmental laws, which violation, contamination, liability or claim would individually or in the aggregate have a Material Adverse Effect; and the Company is not aware of any pending proceeding relating to environmental laws.</w:t>
      </w:r>
    </w:p>
    <w:p>
      <w:pPr>
        <w:spacing w:after="0" w:line="76"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The statements in the General Disclosure Package and the Final Prospectus under the headings “Description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“Description of Debt Securities” and “Material United States Federal Income Tax Consequences”, insofar as such statements summarize legal matters, agreements, documents or proceedings discussed therein, are accurate and fair summaries of such legal matters, agreements, documents or proceedings in all material respects and present the information required to be shown therein.</w:t>
      </w:r>
    </w:p>
    <w:p>
      <w:pPr>
        <w:spacing w:after="0" w:line="71" w:lineRule="exact"/>
        <w:rPr>
          <w:rFonts w:ascii="Times New Roman" w:cs="Times New Roman" w:eastAsia="Times New Roman" w:hAnsi="Times New Roman"/>
          <w:sz w:val="18"/>
          <w:szCs w:val="18"/>
          <w:color w:val="auto"/>
        </w:rPr>
      </w:pPr>
    </w:p>
    <w:p>
      <w:pPr>
        <w:jc w:val="both"/>
        <w:ind w:right="120" w:firstLine="419"/>
        <w:spacing w:after="0" w:line="267"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 constituted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reasonably be expected to cause or result in the stabilization or manipulation of the price of any security of the Company, in each case for the purpose of facilitating the sale or resale of the Securities.</w:t>
      </w:r>
    </w:p>
    <w:p>
      <w:pPr>
        <w:spacing w:after="0" w:line="65"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and Compliance with the Sarbanes-Oxley Act</w:t>
      </w:r>
      <w:r>
        <w:rPr>
          <w:rFonts w:ascii="Times New Roman" w:cs="Times New Roman" w:eastAsia="Times New Roman" w:hAnsi="Times New Roman"/>
          <w:sz w:val="18"/>
          <w:szCs w:val="18"/>
          <w:color w:val="auto"/>
        </w:rPr>
        <w:t>. Except as set forth in the General Disclosure Package,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that comply in all material respects with the Securities Laws and are sufficient to provide reasonable assurances that: (i)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executed in accordance with management’s general or specific authorizations; (ii) transactions are recorded as necessary to permit preparation of financial statements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 The Internal Controls are overseen by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in accordance with Exchange Rules. Except as disclosed in the Registration Statement, the General Disclosure Package and the Final Prospectus, there are no material weaknesses in the Company’s internal controls over financial reporting. The Company’s auditors and the Audit Committee have been advised of: (i) all significant deficiencies and material weaknesses in the design or operation of the Company’s system of internal controls over financial reporting that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right="140" w:firstLine="419"/>
        <w:spacing w:after="0" w:line="25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w:t>
      </w:r>
      <w:r>
        <w:rPr>
          <w:rFonts w:ascii="Times New Roman" w:cs="Times New Roman" w:eastAsia="Times New Roman" w:hAnsi="Times New Roman"/>
          <w:sz w:val="18"/>
          <w:szCs w:val="18"/>
          <w:color w:val="auto"/>
        </w:rPr>
        <w:t>. Except as disclosed in the General Disclosure Package, there are no pending actions, suits or proceedings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w:t>
      </w:r>
    </w:p>
    <w:p>
      <w:pPr>
        <w:spacing w:after="0" w:line="74" w:lineRule="exact"/>
        <w:rPr>
          <w:rFonts w:ascii="Times New Roman" w:cs="Times New Roman" w:eastAsia="Times New Roman" w:hAnsi="Times New Roman"/>
          <w:sz w:val="18"/>
          <w:szCs w:val="18"/>
          <w:color w:val="auto"/>
        </w:rPr>
      </w:pPr>
    </w:p>
    <w:p>
      <w:pPr>
        <w:ind w:right="80" w:firstLine="419"/>
        <w:spacing w:after="0" w:line="256" w:lineRule="auto"/>
        <w:tabs>
          <w:tab w:leader="none" w:pos="7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Company and its subsidiaries included or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the General Disclosure Package present fairly the financial position of the Company and its subsidiaries, as of the dates shown and their results of operations and cash flows for the periods shown, and such financial statements have been prepared in conformity with U.S. GAAP applied on a consistent basis. The schedules included or incorporated by reference in the Registration Statement present fairly the information required to be stated therein.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w:t>
      </w:r>
    </w:p>
    <w:p>
      <w:pPr>
        <w:spacing w:after="0" w:line="74"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Since the end of the period covered by the latest audited financial statements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General Disclosure Package, (i) except as disclosed in the General Disclosure Package, there has been no change, nor any development or event involving a prospective change, in the condition (financial or otherwise), results of operations, business or properties of the Company and its subsidiaries,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long-term indebtedness or net assets of the Company and its subsidiaries, taken as a whole.</w:t>
      </w:r>
    </w:p>
    <w:p>
      <w:pPr>
        <w:spacing w:after="0" w:line="74" w:lineRule="exact"/>
        <w:rPr>
          <w:rFonts w:ascii="Times New Roman" w:cs="Times New Roman" w:eastAsia="Times New Roman" w:hAnsi="Times New Roman"/>
          <w:sz w:val="18"/>
          <w:szCs w:val="18"/>
          <w:color w:val="auto"/>
        </w:rPr>
      </w:pPr>
    </w:p>
    <w:p>
      <w:pPr>
        <w:ind w:right="360" w:firstLine="419"/>
        <w:spacing w:after="0" w:line="267"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immediately after giving effect to the offering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General Disclosure Package, will not be, an “investment company” as defined in the Investment Company Act of 1940, as amended.</w:t>
      </w:r>
    </w:p>
    <w:p>
      <w:pPr>
        <w:spacing w:after="0" w:line="65" w:lineRule="exact"/>
        <w:rPr>
          <w:rFonts w:ascii="Times New Roman" w:cs="Times New Roman" w:eastAsia="Times New Roman" w:hAnsi="Times New Roman"/>
          <w:sz w:val="18"/>
          <w:szCs w:val="18"/>
          <w:color w:val="auto"/>
        </w:rPr>
      </w:pPr>
    </w:p>
    <w:p>
      <w:pPr>
        <w:jc w:val="both"/>
        <w:ind w:firstLine="419"/>
        <w:spacing w:after="0" w:line="261" w:lineRule="auto"/>
        <w:tabs>
          <w:tab w:leader="none" w:pos="6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No “nationally recognized statistical rating organization” as such term is defined under Section 3 of the Exchange Act (i)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(or has 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w:t>
      </w:r>
    </w:p>
    <w:p>
      <w:pPr>
        <w:spacing w:after="0" w:line="72" w:lineRule="exact"/>
        <w:rPr>
          <w:sz w:val="20"/>
          <w:szCs w:val="20"/>
          <w:color w:val="auto"/>
        </w:rPr>
      </w:pPr>
    </w:p>
    <w:p>
      <w:pPr>
        <w:ind w:right="40" w:firstLine="419"/>
        <w:spacing w:after="0" w:line="254" w:lineRule="auto"/>
        <w:tabs>
          <w:tab w:leader="none" w:pos="7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None of the Company, or any of its subsidiaries, or, to the knowledge of the Company,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directors, officers, employees, agents, affiliates or representatives is aware of or has taken any action, directly or indirectly, that would result in (i)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any regulation implementing the OECD Convention on Combating Bribery of Foreign Public Officials in International Business Transactions, (ii) such persons having committed an offence under the Bribery Act 2010 of the United Kingdom or (iii) a violation by such persons of, or such persons having committed an offence under, any other applicable anti-bribery or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8" w:right="479" w:bottom="1440" w:gutter="0" w:footer="0" w:header="0"/>
        </w:sectPr>
      </w:pPr>
    </w:p>
    <w:bookmarkStart w:id="11" w:name="page12"/>
    <w:bookmarkEnd w:id="11"/>
    <w:p>
      <w:pPr>
        <w:ind w:left="44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official” (as such term is defined in the FCPA) or any foreign political party or official thereof or any candidate for foreign political office, in contravention of the FCPA. The Company and its subsidiaries have instituted and maintain and enforce policies and procedures designed and which are reasonably expected to continue to promote and ensure compliance with all applicable anti-bribery and anti-corruption laws, including, without limitation, the FCPA.</w:t>
      </w:r>
    </w:p>
    <w:p>
      <w:pPr>
        <w:spacing w:after="0" w:line="70" w:lineRule="exact"/>
        <w:rPr>
          <w:sz w:val="20"/>
          <w:szCs w:val="20"/>
          <w:color w:val="auto"/>
        </w:rPr>
      </w:pPr>
    </w:p>
    <w:p>
      <w:pPr>
        <w:ind w:left="440" w:right="300" w:firstLine="419"/>
        <w:spacing w:after="0" w:line="256" w:lineRule="auto"/>
        <w:tabs>
          <w:tab w:leader="none" w:pos="1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or regulatory agency in all applicable jurisdictions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governmental authority or body, regulatory agency or arbitrator involving the Company or any of its subsidiaries with respect to the Anti-Money Laundering Laws is pending or, to the knowledge of the Company, threatened.</w:t>
      </w:r>
    </w:p>
    <w:p>
      <w:pPr>
        <w:spacing w:after="0" w:line="74"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8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None of the Company or any of its subsidiaries, or, to the knowledge of the Company, any of their respective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agents, affiliates or representatives,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currently the target of any sanctions administered or enforced by the United States Government (including, without limitation, the Office of Foreign Assets Control of the United States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United States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target of Sanctions, including, without limitation, Cuba, Iran, North Korea, Syria, the so-called Donetsk People’s Republic, the so-called Luhansk People’s Republic and the Kherson, the Zaporizhzhia and Crimea regions of Ukraine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to the best of its knowledge, use the proceeds of the offering of the Securities hereunder, or lend, contribute or otherwise make available such proceeds to any subsidiary, joint venture partner or other Person (i) to fund or facilitate any activities of or business with any Person that, at the time of such funding or facilitation, is the target of Sanctions or (ii) to fund or facilitate any activities of or business in any Sanctioned Country. Since April 24, 2019, the Company and its subsidiaries have not knowingly engaged in and are not now knowingly engaged in any dealings or transactions with any person that at the time of the dealing or transaction is or was the target of Sanctions or with any Sanctioned Country.</w:t>
      </w:r>
    </w:p>
    <w:p>
      <w:pPr>
        <w:spacing w:after="0" w:line="77" w:lineRule="exact"/>
        <w:rPr>
          <w:rFonts w:ascii="Times New Roman" w:cs="Times New Roman" w:eastAsia="Times New Roman" w:hAnsi="Times New Roman"/>
          <w:sz w:val="18"/>
          <w:szCs w:val="18"/>
          <w:color w:val="auto"/>
        </w:rPr>
      </w:pPr>
    </w:p>
    <w:p>
      <w:pPr>
        <w:ind w:left="440" w:firstLine="419"/>
        <w:spacing w:after="0" w:line="253" w:lineRule="auto"/>
        <w:tabs>
          <w:tab w:leader="none" w:pos="1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 and its subsidiaries have implemented and maintained commercially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policies, procedures and safeguards to maintain and protect their material confidential information and the integrity, continuous operation and security of all of their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To the Company’s knowledge, there have been no breaches, violations, outages or unauthorized uses of or accesses to same, nor any incidents under internal review or investigations relating to the same, except for such breaches, violations, outages, uses, accesses, incidents or investigations as would not, individually or in the aggregate,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1" w:lineRule="exact"/>
        <w:rPr>
          <w:rFonts w:ascii="Times New Roman" w:cs="Times New Roman" w:eastAsia="Times New Roman" w:hAnsi="Times New Roman"/>
          <w:sz w:val="18"/>
          <w:szCs w:val="18"/>
          <w:color w:val="auto"/>
        </w:rPr>
      </w:pPr>
    </w:p>
    <w:p>
      <w:pPr>
        <w:ind w:right="80" w:firstLine="436"/>
        <w:spacing w:after="0" w:line="257"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Securities</w:t>
      </w:r>
      <w:r>
        <w:rPr>
          <w:rFonts w:ascii="Times New Roman" w:cs="Times New Roman" w:eastAsia="Times New Roman" w:hAnsi="Times New Roman"/>
          <w:sz w:val="18"/>
          <w:szCs w:val="18"/>
          <w:color w:val="auto"/>
        </w:rPr>
        <w:t>. 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Company agrees to sell to the several Underwriters, and each of the Underwriters agrees, severally and not jointly, to purchase from the Company (a) in the case of the 2028 Securities, at a purchase price of 99.442% of the principal amount thereof, and (b) in the case of the 2030 Securities, at a purchase price of 99.312% of the principal amount thereof, the respective principal amounts of the applicable Securities set forth opposite the names of the Underwriters in Schedule A hereto, plus accrued interest, if any, from June 16, 2025 to the Closing Date (as hereafter defined).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deliver the Securities to or as instructed by the Representative for the accounts of the several Underwriters in a form reasonably acceptable to the Representative against payment of the purchase price by the Underwriters in Federal (same day) funds by wire transfer to an account at a bank acceptable to the Representative drawn to the order of Analog Devices, Inc. at the office of Cravath, Swaine &amp; Moore LLP, at 9:30 A.M., New York time, on June 16, 2025, or at such other time not later than seven full business days thereafter as the Representative and the Company determine, such time being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 copy of the Securities so to be delivered or evidence of their issuance will be made available for checking at the above office of Cravath, Swaine &amp; Moore LLP at least 24 hours prior to the Closing Date.</w:t>
      </w:r>
    </w:p>
    <w:p>
      <w:pPr>
        <w:spacing w:after="0" w:line="185" w:lineRule="exact"/>
        <w:rPr>
          <w:sz w:val="20"/>
          <w:szCs w:val="20"/>
          <w:color w:val="auto"/>
        </w:rPr>
      </w:pPr>
    </w:p>
    <w:p>
      <w:pPr>
        <w:ind w:right="180" w:firstLine="436"/>
        <w:spacing w:after="0" w:line="284"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Prospectus.</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Company</w:t>
      </w:r>
      <w:r>
        <w:rPr>
          <w:rFonts w:ascii="Times New Roman" w:cs="Times New Roman" w:eastAsia="Times New Roman" w:hAnsi="Times New Roman"/>
          <w:sz w:val="18"/>
          <w:szCs w:val="18"/>
          <w:color w:val="auto"/>
        </w:rPr>
        <w:t>.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Prospectuses. </w:t>
      </w:r>
      <w:r>
        <w:rPr>
          <w:rFonts w:ascii="Times New Roman" w:cs="Times New Roman" w:eastAsia="Times New Roman" w:hAnsi="Times New Roman"/>
          <w:sz w:val="18"/>
          <w:szCs w:val="18"/>
          <w:color w:val="auto"/>
        </w:rPr>
        <w:t>The Company has filed or will file each Statutory Prospectus (including the Final Prospectus) pursuant to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 424(b) not later than the second business day following the earlier of the date it is first used or the execution and delivery of this Agreement. The Company has complied and will comply with Rule 433.</w:t>
      </w:r>
    </w:p>
    <w:p>
      <w:pPr>
        <w:spacing w:after="0" w:line="65"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 Response to Commission Requests</w:t>
      </w:r>
      <w:r>
        <w:rPr>
          <w:rFonts w:ascii="Times New Roman" w:cs="Times New Roman" w:eastAsia="Times New Roman" w:hAnsi="Times New Roman"/>
          <w:sz w:val="18"/>
          <w:szCs w:val="18"/>
          <w:color w:val="auto"/>
        </w:rPr>
        <w:t>. For so long as a prospectus relating to the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in Rule 172 would be) required to be delivered under the Act by any Underwriter or dealer, the Company will promptly advise the Representative of any proposal to amend or supplement the Registration Statement or any Statutory Prospectus at any time and will offer the Representative a reasonable opportunity to comment on any such amendment or supplement; and the Company will also advise the Representative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77" w:lineRule="exact"/>
        <w:rPr>
          <w:rFonts w:ascii="Times New Roman" w:cs="Times New Roman" w:eastAsia="Times New Roman" w:hAnsi="Times New Roman"/>
          <w:sz w:val="18"/>
          <w:szCs w:val="18"/>
          <w:color w:val="auto"/>
        </w:rPr>
      </w:pPr>
    </w:p>
    <w:p>
      <w:pPr>
        <w:ind w:left="440" w:firstLine="419"/>
        <w:spacing w:after="0" w:line="254" w:lineRule="auto"/>
        <w:tabs>
          <w:tab w:leader="none" w:pos="11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If, at any time when a prospectus relating to the Securities is (or but for the exemption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 of such event and will promptly prepare and file with the Commission and furnish, at its own expense, to the Underwriters and the dealers and any other dealers upon request of the Representative,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80" w:lineRule="exact"/>
        <w:rPr>
          <w:rFonts w:ascii="Times New Roman" w:cs="Times New Roman" w:eastAsia="Times New Roman" w:hAnsi="Times New Roman"/>
          <w:sz w:val="18"/>
          <w:szCs w:val="18"/>
          <w:color w:val="auto"/>
        </w:rPr>
      </w:pPr>
    </w:p>
    <w:p>
      <w:pPr>
        <w:jc w:val="both"/>
        <w:ind w:left="440" w:right="520" w:firstLine="419"/>
        <w:spacing w:after="0" w:line="267" w:lineRule="auto"/>
        <w:tabs>
          <w:tab w:leader="none" w:pos="11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As soon as practicable, but not later than 16 months after the date of this Agreement, the Company will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60" w:firstLine="419"/>
        <w:spacing w:after="0" w:line="261"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Furnishing of Prospectuses</w:t>
      </w:r>
      <w:r>
        <w:rPr>
          <w:rFonts w:ascii="Times New Roman" w:cs="Times New Roman" w:eastAsia="Times New Roman" w:hAnsi="Times New Roman"/>
          <w:sz w:val="18"/>
          <w:szCs w:val="18"/>
          <w:color w:val="auto"/>
        </w:rPr>
        <w:t>. The Company will furnish to the Representative copies of the Registration Statement, including all exhibits,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Statutory Prospectus, the Final Prospectus and all amendments and supplements to such documents, in each case as soon as available and in such quantities as the Representative reasonably requests. The Company will pay the expenses of printing and distributing to the Underwriters all such documents.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arrange for the qualification of the Securities for sale and the determination of their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investment under the laws of such jurisdictions as the Representative designates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For so long as delivery of a prospectus by an Underwriter or dealer may be (or but for the exception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172 would be) required under the Act, the Company will furnish to the Representative and, upon request, to each of the other Underwriters, as soon as practicable after the end of each fiscal year, a copy of its annual report to stockholders for such year as is required to be filed by the Company with the Commission; and the Company will furnish to the Representative (i) as soon as available, a copy of each report and any definitive proxy statement of the Company filed with the Commission under the Exchange Act or mailed to stockholders,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it is not required to furnish such reports or statements to the Underwriters.</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limited to any filing fees and other expenses (including fees and disbursements of counsel to the Underwriters) incurred in connection with qualification of the Securities for sale under the laws of such jurisdictions as the Representative designates pursuant to Section 5(f) hereof and the preparation and printing of memoranda relating thereto, any fees charged by investment rating agencies for the rating of the Securities, any fees charged by a second party opinion provider for any second party opinion in respect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hereof, the Underwriters will pay the fees of their counsel.</w:t>
      </w:r>
    </w:p>
    <w:p>
      <w:pPr>
        <w:spacing w:after="0" w:line="83" w:lineRule="exact"/>
        <w:rPr>
          <w:rFonts w:ascii="Times New Roman" w:cs="Times New Roman" w:eastAsia="Times New Roman" w:hAnsi="Times New Roman"/>
          <w:sz w:val="18"/>
          <w:szCs w:val="18"/>
          <w:color w:val="auto"/>
        </w:rPr>
      </w:pPr>
    </w:p>
    <w:p>
      <w:pPr>
        <w:jc w:val="both"/>
        <w:ind w:right="40" w:firstLine="419"/>
        <w:spacing w:after="0" w:line="267" w:lineRule="auto"/>
        <w:tabs>
          <w:tab w:leader="none" w:pos="6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in connection with this offering in the manner described in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section of the General Disclosure Package and, except as disclosed in the General Disclosure Package, the Company does not intend to use any of the proceeds from the sale of the Securities hereunder to repay any outstanding debt owed to any affiliate of any Underwriter.</w:t>
      </w:r>
    </w:p>
    <w:p>
      <w:pPr>
        <w:spacing w:after="0" w:line="65" w:lineRule="exact"/>
        <w:rPr>
          <w:rFonts w:ascii="Times New Roman" w:cs="Times New Roman" w:eastAsia="Times New Roman" w:hAnsi="Times New Roman"/>
          <w:sz w:val="18"/>
          <w:szCs w:val="18"/>
          <w:color w:val="auto"/>
        </w:rPr>
      </w:pPr>
    </w:p>
    <w:p>
      <w:pPr>
        <w:ind w:right="80" w:firstLine="419"/>
        <w:spacing w:after="0" w:line="267" w:lineRule="auto"/>
        <w:tabs>
          <w:tab w:leader="none" w:pos="6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The Company will not take, directly or indirectly, any action designed to or that would constitute or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stabilization or manipulation of the price of any securities of the Company to facilitate the sale or resale of the Securities.</w:t>
      </w:r>
    </w:p>
    <w:p>
      <w:pPr>
        <w:spacing w:after="0" w:line="65"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 on Sale of Securities. </w:t>
      </w:r>
      <w:r>
        <w:rPr>
          <w:rFonts w:ascii="Times New Roman" w:cs="Times New Roman" w:eastAsia="Times New Roman" w:hAnsi="Times New Roman"/>
          <w:sz w:val="18"/>
          <w:szCs w:val="18"/>
          <w:color w:val="auto"/>
        </w:rPr>
        <w:t>The Company will not offer, sell, contract to sell, pledge or otherwise dispose of,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file 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 for a period beginning on the date hereof and ending on the Closing Date.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8" w:right="459" w:bottom="1440" w:gutter="0" w:footer="0" w:header="0"/>
        </w:sectPr>
      </w:pPr>
    </w:p>
    <w:bookmarkStart w:id="14" w:name="page15"/>
    <w:bookmarkEnd w:id="14"/>
    <w:p>
      <w:pPr>
        <w:ind w:right="40" w:firstLine="436"/>
        <w:spacing w:after="0" w:line="255"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Writing Prospectuses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Issuer Free Writing Prospectuses</w:t>
      </w:r>
      <w:r>
        <w:rPr>
          <w:rFonts w:ascii="Times New Roman" w:cs="Times New Roman" w:eastAsia="Times New Roman" w:hAnsi="Times New Roman"/>
          <w:sz w:val="18"/>
          <w:szCs w:val="18"/>
          <w:color w:val="auto"/>
        </w:rPr>
        <w:t>. The Company represents and agrees that, unless it obtains the prior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and each Underwriter represents and agrees that, unless it obtains the prior consent of the Company and the Representative,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Company and the Representative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76"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Sheets</w:t>
      </w:r>
      <w:r>
        <w:rPr>
          <w:rFonts w:ascii="Times New Roman" w:cs="Times New Roman" w:eastAsia="Times New Roman" w:hAnsi="Times New Roman"/>
          <w:sz w:val="18"/>
          <w:szCs w:val="18"/>
          <w:color w:val="auto"/>
        </w:rPr>
        <w:t>. The Company will prepare a final term sheet relating to the Securities, containing only information that describes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Securities and otherwise in a form consented to by the Representative, and will file such final term sheet within the period required by Rule 433(d)(5)(ii)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 (x)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Securities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Letters</w:t>
      </w:r>
      <w:r>
        <w:rPr>
          <w:rFonts w:ascii="Times New Roman" w:cs="Times New Roman" w:eastAsia="Times New Roman" w:hAnsi="Times New Roman"/>
          <w:sz w:val="18"/>
          <w:szCs w:val="18"/>
          <w:color w:val="auto"/>
        </w:rPr>
        <w:t>. The Representative shall have received letters, dated, respectively, the date hereof and the Closing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Ernst &amp; Young LLP, Boston, Massachusetts, as independent registered public accountants for the Company, confirming that they are a registered public accounting firm and independent public accountants within the meaning of the Securities Laws and substantially in the form of Exhibit A hereto (except that, in any letter dated the Closing Date, the specified date referred to in Exhibit A hereto shall be a date no more than three business days prior to the Closing Date).</w:t>
      </w:r>
    </w:p>
    <w:p>
      <w:pPr>
        <w:spacing w:after="0" w:line="75"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 </w:t>
      </w:r>
      <w:r>
        <w:rPr>
          <w:rFonts w:ascii="Times New Roman" w:cs="Times New Roman" w:eastAsia="Times New Roman" w:hAnsi="Times New Roman"/>
          <w:sz w:val="18"/>
          <w:szCs w:val="18"/>
          <w:color w:val="auto"/>
        </w:rPr>
        <w:t>The Final Prospectus shall have been filed with the Commission in accordance with the Rules and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5(a)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 (i) any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development or event involving a prospective change, in the condition (financial or otherwise), results of operations, business or properties of the Company and its subsidiaries, taken as a whole, which, in the judgment of the Representative, is material and adverse and makes it impractical or inadvisable to market the Securities; (ii) any downgrading in the rating of any debt securities of the Company by any “nationally recognized statistical rating organization” (as defined for purposes of Rule 3(a)(62) under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 impractical to market or to enforce contracts for the sale of the Securities, whether in the primary market or in respect of dealings in the secondary market; (iv) any suspension or material limitation of trading in securities generally on the Nasdaq Global Select Market, or any setting of minimum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15" w:name="page16"/>
    <w:bookmarkEnd w:id="15"/>
    <w:p>
      <w:pPr>
        <w:ind w:left="440"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prices for trading on such exchange; (v)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 the effect of any such attack, outbreak, escalation, act, declaration, calamity or emergency is such as to make it impractical or inadvisable to offer, sell or deliver the Securities.</w:t>
      </w:r>
    </w:p>
    <w:p>
      <w:pPr>
        <w:spacing w:after="0" w:line="77" w:lineRule="exact"/>
        <w:rPr>
          <w:sz w:val="20"/>
          <w:szCs w:val="20"/>
          <w:color w:val="auto"/>
        </w:rPr>
      </w:pPr>
    </w:p>
    <w:p>
      <w:pPr>
        <w:ind w:left="440" w:right="280" w:firstLine="419"/>
        <w:spacing w:after="0" w:line="284"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Company</w:t>
      </w:r>
      <w:r>
        <w:rPr>
          <w:rFonts w:ascii="Times New Roman" w:cs="Times New Roman" w:eastAsia="Times New Roman" w:hAnsi="Times New Roman"/>
          <w:sz w:val="18"/>
          <w:szCs w:val="18"/>
          <w:color w:val="auto"/>
        </w:rPr>
        <w:t>. The Representative shall have received an opinion and negative assurance letter, each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of DLA Piper LLP (US), counsel for the Company, in the form of Exhibit B hereto.</w:t>
      </w:r>
    </w:p>
    <w:p>
      <w:pPr>
        <w:spacing w:after="0" w:line="50" w:lineRule="exact"/>
        <w:rPr>
          <w:rFonts w:ascii="Times New Roman" w:cs="Times New Roman" w:eastAsia="Times New Roman" w:hAnsi="Times New Roman"/>
          <w:sz w:val="18"/>
          <w:szCs w:val="18"/>
          <w:color w:val="auto"/>
        </w:rPr>
      </w:pPr>
    </w:p>
    <w:p>
      <w:pPr>
        <w:ind w:left="440" w:right="280" w:firstLine="419"/>
        <w:spacing w:after="0" w:line="284" w:lineRule="auto"/>
        <w:tabs>
          <w:tab w:leader="none" w:pos="11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Chief Legal Officer of the Company. </w:t>
      </w:r>
      <w:r>
        <w:rPr>
          <w:rFonts w:ascii="Times New Roman" w:cs="Times New Roman" w:eastAsia="Times New Roman" w:hAnsi="Times New Roman"/>
          <w:sz w:val="18"/>
          <w:szCs w:val="18"/>
          <w:color w:val="auto"/>
        </w:rPr>
        <w:t>The Representative shall have received an opinion, dated the Closing Date, of Janene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Asgeirsson, Chief Legal Officer of the Company, in the form of Exhibit C hereto.</w:t>
      </w:r>
    </w:p>
    <w:p>
      <w:pPr>
        <w:spacing w:after="0" w:line="50"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0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Underwriters. </w:t>
      </w:r>
      <w:r>
        <w:rPr>
          <w:rFonts w:ascii="Times New Roman" w:cs="Times New Roman" w:eastAsia="Times New Roman" w:hAnsi="Times New Roman"/>
          <w:sz w:val="18"/>
          <w:szCs w:val="18"/>
          <w:color w:val="auto"/>
        </w:rPr>
        <w:t>The Representative shall have received from Cravath, Swaine &amp; Moore LLP,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opinion or opinions, dated the Closing Date, with respect to such matters as the Representative may require, and the Company shall have furnished to such counsel such documents as they request for the purpose of enabling them to pass upon such matters.</w:t>
      </w:r>
    </w:p>
    <w:p>
      <w:pPr>
        <w:spacing w:after="0" w:line="65"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 shall have received a certificate, dated the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 principal financial or accounting officer of the Company in which such officers shall state that: (i) the representations and warranties of the Company in this Agreement are true and correct; (ii) the Company has complied with all agreements and satisfied all conditions on its part to be performed or satisfied hereunder at or prior to the Closing Date; (iii) no stop order suspending the effectiveness of the Registration Statement has been issued and no proceedings for that purpose have been instituted or, to their knowledge, are contemplated by the Commission; and (iv),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w:t>
      </w:r>
    </w:p>
    <w:p>
      <w:pPr>
        <w:spacing w:after="0" w:line="19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will furnish the Representative with such conformed copies of such opinions, certificates, letters and documents as the Representative reasonably requests. The Representative may, in its sole discretion, waive on behalf of the Underwriters compliance with any conditions to the obligations of the Underwriters hereunder.</w:t>
      </w:r>
    </w:p>
    <w:p>
      <w:pPr>
        <w:spacing w:after="0" w:line="174" w:lineRule="exact"/>
        <w:rPr>
          <w:sz w:val="20"/>
          <w:szCs w:val="20"/>
          <w:color w:val="auto"/>
        </w:rPr>
      </w:pPr>
    </w:p>
    <w:p>
      <w:pPr>
        <w:ind w:left="620" w:hanging="18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3"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will indemnify and hold harmless each Underwriter, its partners, members,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agents, affiliates and each person, if any, who controls such Underwriter within the meaning of Section 15 of the Act or Section 20 of the Exchange Act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against any and all losses, claims, damages or liabilities, joint or several, to which such Company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alleged omission of a material fact required to be stated therein or necessary to make the statements therein not misleading, and will reimburse each Company Indemnified Party for any legal or other expenses reasonably incurred by such Company Indemnified Party in connection with investigating or defending against any such loss, claim, damage, liability, action, litigation, investigation or proceeding whatsoever (whether or not such Company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subsection (b) below.</w:t>
      </w:r>
    </w:p>
    <w:p>
      <w:pPr>
        <w:spacing w:after="0" w:line="178" w:lineRule="exact"/>
        <w:rPr>
          <w:sz w:val="20"/>
          <w:szCs w:val="20"/>
          <w:color w:val="auto"/>
        </w:rPr>
      </w:pPr>
    </w:p>
    <w:p>
      <w:pPr>
        <w:ind w:firstLine="436"/>
        <w:spacing w:after="0" w:line="25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w:t>
      </w:r>
      <w:r>
        <w:rPr>
          <w:rFonts w:ascii="Times New Roman" w:cs="Times New Roman" w:eastAsia="Times New Roman" w:hAnsi="Times New Roman"/>
          <w:sz w:val="18"/>
          <w:szCs w:val="18"/>
          <w:color w:val="auto"/>
        </w:rPr>
        <w:t>. Each Underwriter will severally and not jointly indemnify and hold harmless the Company, each of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its officers who signs a Registration Statement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each Company Indemnified Party and Underwriter Indemnified Party being referred as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third paragraph under the caption “Underwriting”, the second sentence in the fifth paragraph under the caption “Underwriting”, and the information contained in the twelfth and thirteenth paragraphs under the caption “Underwriting”.</w:t>
      </w:r>
    </w:p>
    <w:p>
      <w:pPr>
        <w:spacing w:after="0" w:line="193"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Promptly after receipt by an Indemnified Party under this Section 8 of notice of the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such Indemnified Party will, if a claim in respect thereof is to be made against the indemnifying party under subsection (a) or (b) above, notify the indemnifying party of the commencement thereof; but the failure to notify the indemnifying party shall not relieve such indemnifying party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such indemnifying party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94"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 Section 8 is unavailable or insufficient to hold harmless an Indemnified Party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7" w:name="page18"/>
    <w:bookmarkEnd w:id="17"/>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w:t>
      </w:r>
    </w:p>
    <w:p>
      <w:pPr>
        <w:ind w:left="4" w:hanging="4"/>
        <w:spacing w:after="0" w:line="251"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90"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default in their obligations to purchase Securities of a series hereunder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and the aggregate principal amount of Securities of that series that such defaulting Underwriter or Underwriters agreed but failed to purchase does not exceed 10% of the total principal amount of Securities of that series that the Underwriters are obligated to purchase on the Closing Date, the Representative may make arrangements satisfactory to the Company for the purchase of such Securities by other persons, including any of the Underwriters, but if no such arrangements are made by the Closing Date, the non-defaulting Underwriters of the relevant series of the Securities shall be obligated severally, in proportion to their respective commitments hereunder, to purchase the Securities of the relevant series that such defaulting Underwriters agreed but failed to purchase on the Closing Date. If any Underwriter or Underwriters so default and the aggregate principal amount of Securities of the relevant series with respect to which such default or defaults occur exceeds 10% of the total principal amount of Securities of that series that the Underwriters are obligated to purchase on the Closing Date and arrangements satisfactory to the Representative and the Company for the purchase of such Securities by other persons are not made within 36 hours after such default, this Agreement will terminate without liability with respect to such Securities on the part of any non-defaulting Underwriter or the Company, except as provided in Section 10 hereof. As used in this Agreement, the term “Underwriter” includes any person substituted for an Underwriter under this Section 9. Nothing herein will relieve a defaulting Underwriter from liability for its default.</w:t>
      </w:r>
    </w:p>
    <w:p>
      <w:pPr>
        <w:spacing w:after="0" w:line="187"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hereof and all obligations under Section 5 hereof shall also remain in effect.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8" w:name="page19"/>
    <w:bookmarkEnd w:id="18"/>
    <w:p>
      <w:pPr>
        <w:ind w:left="-436" w:right="140" w:firstLine="436"/>
        <w:spacing w:after="0" w:line="258" w:lineRule="auto"/>
        <w:tabs>
          <w:tab w:leader="none" w:pos="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will be in writing and, if sent to the Underwriters, will be mailed, delivered or telegraphed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to the Representative c/o BofA Securities, Inc., 114 West 47th Street, NY8- 114-07-01, New York, New York 10036, Attention: High Grade Debt Capital Markets Transaction Management/Legal. Notices to the Company will be mailed, delivered or telegraphed and confirmed to it at One Analog Way, Wilmington, Massachusetts 01887, Attention: Chief Legal Officer; provided, however, that any notice to an Underwriter pursuant to Section 8 hereof will be mailed, delivered or telegraphed and confirmed to such Underwriter.</w:t>
      </w:r>
    </w:p>
    <w:p>
      <w:pPr>
        <w:spacing w:after="0" w:line="183" w:lineRule="exact"/>
        <w:rPr>
          <w:rFonts w:ascii="Times New Roman" w:cs="Times New Roman" w:eastAsia="Times New Roman" w:hAnsi="Times New Roman"/>
          <w:sz w:val="18"/>
          <w:szCs w:val="18"/>
          <w:color w:val="auto"/>
        </w:rPr>
      </w:pPr>
    </w:p>
    <w:p>
      <w:pPr>
        <w:ind w:left="-436" w:right="40" w:firstLine="436"/>
        <w:spacing w:after="0" w:line="284"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controlling persons referred to in Section 8 hereof,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left="-436" w:right="300" w:firstLine="436"/>
        <w:spacing w:after="0" w:line="284"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of Underwriters</w:t>
      </w:r>
      <w:r>
        <w:rPr>
          <w:rFonts w:ascii="Times New Roman" w:cs="Times New Roman" w:eastAsia="Times New Roman" w:hAnsi="Times New Roman"/>
          <w:sz w:val="18"/>
          <w:szCs w:val="18"/>
          <w:color w:val="auto"/>
        </w:rPr>
        <w:t>. The Representative will act for the several Underwriters in connection with this financing, and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taken by the Representative will be binding upon all the Underwriters.</w:t>
      </w:r>
    </w:p>
    <w:p>
      <w:pPr>
        <w:spacing w:after="0" w:line="158" w:lineRule="exact"/>
        <w:rPr>
          <w:rFonts w:ascii="Times New Roman" w:cs="Times New Roman" w:eastAsia="Times New Roman" w:hAnsi="Times New Roman"/>
          <w:sz w:val="18"/>
          <w:szCs w:val="18"/>
          <w:color w:val="auto"/>
        </w:rPr>
      </w:pPr>
    </w:p>
    <w:p>
      <w:pPr>
        <w:ind w:left="-436" w:firstLine="436"/>
        <w:spacing w:after="0" w:line="258"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Fiduciary Relationship. </w:t>
      </w:r>
      <w:r>
        <w:rPr>
          <w:rFonts w:ascii="Times New Roman" w:cs="Times New Roman" w:eastAsia="Times New Roman" w:hAnsi="Times New Roman"/>
          <w:sz w:val="18"/>
          <w:szCs w:val="18"/>
          <w:color w:val="auto"/>
        </w:rPr>
        <w:t>The Company acknowledges and agrees that:</w:t>
      </w:r>
    </w:p>
    <w:p>
      <w:pPr>
        <w:spacing w:after="0" w:line="117" w:lineRule="exact"/>
        <w:rPr>
          <w:rFonts w:ascii="Times New Roman" w:cs="Times New Roman" w:eastAsia="Times New Roman" w:hAnsi="Times New Roman"/>
          <w:sz w:val="18"/>
          <w:szCs w:val="18"/>
          <w:color w:val="auto"/>
        </w:rPr>
      </w:pPr>
    </w:p>
    <w:p>
      <w:pPr>
        <w:ind w:left="-436" w:right="120" w:firstLine="987"/>
        <w:spacing w:after="0" w:line="261" w:lineRule="auto"/>
        <w:tabs>
          <w:tab w:leader="none" w:pos="7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Representative has been retained solely to act as underwriter in connection with the sale of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fiduciary, advisory or agency relationship between the Company and the Representative has been created in respect of any of the transactions contemplated by this Agreement or the Final Prospectus, irrespective of whether the Representative has advised or is advising the Company on other matters;</w:t>
      </w:r>
    </w:p>
    <w:p>
      <w:pPr>
        <w:spacing w:after="0" w:line="179" w:lineRule="exact"/>
        <w:rPr>
          <w:rFonts w:ascii="Times New Roman" w:cs="Times New Roman" w:eastAsia="Times New Roman" w:hAnsi="Times New Roman"/>
          <w:sz w:val="18"/>
          <w:szCs w:val="18"/>
          <w:color w:val="auto"/>
        </w:rPr>
      </w:pPr>
    </w:p>
    <w:p>
      <w:pPr>
        <w:ind w:left="-436" w:right="300" w:firstLine="987"/>
        <w:spacing w:after="0" w:line="267" w:lineRule="auto"/>
        <w:tabs>
          <w:tab w:leader="none" w:pos="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Arm’s-Length Negotiations</w:t>
      </w:r>
      <w:r>
        <w:rPr>
          <w:rFonts w:ascii="Times New Roman" w:cs="Times New Roman" w:eastAsia="Times New Roman" w:hAnsi="Times New Roman"/>
          <w:sz w:val="18"/>
          <w:szCs w:val="18"/>
          <w:color w:val="auto"/>
        </w:rPr>
        <w:t>. The price of the Securities set forth in this Agreement was established by the Company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and arm’s-length negotiations with the Representative and the Company is capable of evaluating and understanding and understands and accepts the terms, risks and conditions of the transactions contemplated by this Agreement;</w:t>
      </w:r>
    </w:p>
    <w:p>
      <w:pPr>
        <w:spacing w:after="0" w:line="173" w:lineRule="exact"/>
        <w:rPr>
          <w:rFonts w:ascii="Times New Roman" w:cs="Times New Roman" w:eastAsia="Times New Roman" w:hAnsi="Times New Roman"/>
          <w:sz w:val="18"/>
          <w:szCs w:val="18"/>
          <w:color w:val="auto"/>
        </w:rPr>
      </w:pPr>
    </w:p>
    <w:p>
      <w:pPr>
        <w:ind w:left="-436" w:right="160" w:firstLine="987"/>
        <w:spacing w:after="0" w:line="267" w:lineRule="auto"/>
        <w:tabs>
          <w:tab w:leader="none" w:pos="7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Company has been advised that the Representative and its affiliates are engaged in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transactions which may involve interests that differ from those of the Company and that the Representative has no obligation to disclose such interests and transactions to the Company by virtue of any fiduciary, advisory or agency relationship; and</w:t>
      </w:r>
    </w:p>
    <w:p>
      <w:pPr>
        <w:spacing w:after="0" w:line="173" w:lineRule="exact"/>
        <w:rPr>
          <w:rFonts w:ascii="Times New Roman" w:cs="Times New Roman" w:eastAsia="Times New Roman" w:hAnsi="Times New Roman"/>
          <w:sz w:val="18"/>
          <w:szCs w:val="18"/>
          <w:color w:val="auto"/>
        </w:rPr>
      </w:pPr>
    </w:p>
    <w:p>
      <w:pPr>
        <w:jc w:val="both"/>
        <w:ind w:left="-436" w:right="140" w:firstLine="987"/>
        <w:spacing w:after="0" w:line="261" w:lineRule="auto"/>
        <w:tabs>
          <w:tab w:leader="none" w:pos="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Company waives, to the fullest extent permitted by law, any claims it may have against the Representative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Applicable Law and 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984" w:right="2100" w:hanging="4984"/>
        <w:spacing w:after="0" w:line="458" w:lineRule="auto"/>
        <w:tabs>
          <w:tab w:leader="none" w:pos="2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This Agreement shall be governed by, and construed in accordance with, the laws of the State of New York. </w:t>
      </w: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68" w:right="479" w:bottom="1440" w:gutter="0" w:footer="0" w:header="0"/>
        </w:sectPr>
      </w:pPr>
    </w:p>
    <w:bookmarkStart w:id="19" w:name="page20"/>
    <w:bookmarkEnd w:id="19"/>
    <w:p>
      <w:pPr>
        <w:ind w:firstLine="436"/>
        <w:spacing w:after="0" w:line="258"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83"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60" w:lineRule="exact"/>
        <w:rPr>
          <w:sz w:val="20"/>
          <w:szCs w:val="20"/>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36"/>
        <w:spacing w:after="0" w:line="261"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18:</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640" w:hanging="252"/>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(x) the U.S. Federal Deposit Insurance Act and the regulations promulgated thereunder and (y) Title II of the U.S. Dodd-Frank Wall Street Reform and Consumer Protection Act and the regulations promulgated thereunder.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Richard C. Puccio, Jr.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ADI Underwriting Agreement</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70"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Jon Klein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of the several Underwriters.</w:t>
      </w:r>
    </w:p>
    <w:p>
      <w:pPr>
        <w:spacing w:after="0" w:line="151"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ADI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20" w:type="dxa"/>
            <w:vAlign w:val="bottom"/>
            <w:gridSpan w:val="3"/>
          </w:tcPr>
          <w:p>
            <w:pPr>
              <w:jc w:val="center"/>
              <w:ind w:right="2139"/>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20" w:type="dxa"/>
            <w:vAlign w:val="bottom"/>
            <w:gridSpan w:val="3"/>
          </w:tcPr>
          <w:p>
            <w:pPr>
              <w:jc w:val="center"/>
              <w:ind w:right="211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820" w:type="dxa"/>
            <w:vAlign w:val="bottom"/>
            <w:vMerge w:val="restart"/>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 2028</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80,750,000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80,750,000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80,750,000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80,750,000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80,750,000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80,750,000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12,750,000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12,750,000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6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 2030</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w:t>
            </w:r>
          </w:p>
        </w:tc>
        <w:tc>
          <w:tcPr>
            <w:tcW w:w="0" w:type="dxa"/>
            <w:vAlign w:val="bottom"/>
          </w:tcPr>
          <w:p>
            <w:pPr>
              <w:spacing w:after="0"/>
              <w:rPr>
                <w:sz w:val="1"/>
                <w:szCs w:val="1"/>
                <w:color w:val="auto"/>
              </w:rPr>
            </w:pPr>
          </w:p>
        </w:tc>
      </w:tr>
      <w:tr>
        <w:trPr>
          <w:trHeight w:val="203"/>
        </w:trPr>
        <w:tc>
          <w:tcPr>
            <w:tcW w:w="9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61,750,000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 w:name="page25"/>
    <w:bookmarkEnd w:id="24"/>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Use Free Writing Prospectuses (included in the General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Use Issuer Free Writing Prospectus” includes each of the following documents:</w:t>
      </w:r>
    </w:p>
    <w:p>
      <w:pPr>
        <w:spacing w:after="0" w:line="131"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June 12, 2025 filed on the date hereof with the Commission pursuant to Rule 433.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is also included in the General Disclosure Package: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$850,000,000 4.250% SENIOR NOTES DUE JUNE 15, 2028</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$650,000,000 4.500% SENIOR NOTES DUE JUNE 15, 2030</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June 16, 2025</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June 3, 2013</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BANK OF NEW YORK</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MELLON TRUST COMPANY, N.A.</w:t>
      </w:r>
    </w:p>
    <w:p>
      <w:pPr>
        <w:spacing w:after="0" w:line="2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ectPr>
          <w:pgSz w:w="11900" w:h="16838" w:orient="portrait"/>
          <w:cols w:equalWidth="0" w:num="1">
            <w:col w:w="10020"/>
          </w:cols>
          <w:pgMar w:left="1440" w:top="117"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07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r>
      <w:tr>
        <w:trPr>
          <w:trHeight w:val="351"/>
        </w:trPr>
        <w:tc>
          <w:tcPr>
            <w:tcW w:w="107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3"/>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1.</w:t>
            </w:r>
          </w:p>
        </w:tc>
        <w:tc>
          <w:tcPr>
            <w:tcW w:w="280" w:type="dxa"/>
            <w:vAlign w:val="bottom"/>
          </w:tcPr>
          <w:p>
            <w:pPr>
              <w:spacing w:after="0"/>
              <w:rPr>
                <w:sz w:val="24"/>
                <w:szCs w:val="24"/>
                <w:color w:val="auto"/>
              </w:rPr>
            </w:pPr>
          </w:p>
        </w:tc>
      </w:tr>
      <w:tr>
        <w:trPr>
          <w:trHeight w:val="21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280" w:type="dxa"/>
            <w:vAlign w:val="bottom"/>
          </w:tcPr>
          <w:p>
            <w:pPr>
              <w:spacing w:after="0"/>
              <w:rPr>
                <w:sz w:val="18"/>
                <w:szCs w:val="18"/>
                <w:color w:val="auto"/>
              </w:rPr>
            </w:pPr>
          </w:p>
        </w:tc>
      </w:tr>
      <w:tr>
        <w:trPr>
          <w:trHeight w:val="234"/>
        </w:trPr>
        <w:tc>
          <w:tcPr>
            <w:tcW w:w="1074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BY REFERENCE</w:t>
            </w:r>
          </w:p>
        </w:tc>
        <w:tc>
          <w:tcPr>
            <w:tcW w:w="280" w:type="dxa"/>
            <w:vAlign w:val="bottom"/>
          </w:tcPr>
          <w:p>
            <w:pPr>
              <w:spacing w:after="0"/>
              <w:rPr>
                <w:sz w:val="20"/>
                <w:szCs w:val="20"/>
                <w:color w:val="auto"/>
              </w:rPr>
            </w:pPr>
          </w:p>
        </w:tc>
      </w:tr>
      <w:tr>
        <w:trPr>
          <w:trHeight w:val="319"/>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1.1. Relationship with Base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1.2.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1.3. 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2.</w:t>
            </w:r>
          </w:p>
        </w:tc>
        <w:tc>
          <w:tcPr>
            <w:tcW w:w="280" w:type="dxa"/>
            <w:vAlign w:val="bottom"/>
          </w:tcPr>
          <w:p>
            <w:pPr>
              <w:spacing w:after="0"/>
              <w:rPr>
                <w:sz w:val="24"/>
                <w:szCs w:val="24"/>
                <w:color w:val="auto"/>
              </w:rPr>
            </w:pPr>
          </w:p>
        </w:tc>
      </w:tr>
      <w:tr>
        <w:trPr>
          <w:trHeight w:val="229"/>
        </w:trPr>
        <w:tc>
          <w:tcPr>
            <w:tcW w:w="107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THE NOTES</w:t>
            </w:r>
          </w:p>
        </w:tc>
        <w:tc>
          <w:tcPr>
            <w:tcW w:w="280" w:type="dxa"/>
            <w:vAlign w:val="bottom"/>
          </w:tcPr>
          <w:p>
            <w:pPr>
              <w:spacing w:after="0"/>
              <w:rPr>
                <w:sz w:val="19"/>
                <w:szCs w:val="19"/>
                <w:color w:val="auto"/>
              </w:rPr>
            </w:pP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2.1. Form and Dating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2.2.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2.3. Issuance of Additional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3.</w:t>
            </w:r>
          </w:p>
        </w:tc>
        <w:tc>
          <w:tcPr>
            <w:tcW w:w="280" w:type="dxa"/>
            <w:vAlign w:val="bottom"/>
          </w:tcPr>
          <w:p>
            <w:pPr>
              <w:spacing w:after="0"/>
              <w:rPr>
                <w:sz w:val="24"/>
                <w:szCs w:val="24"/>
                <w:color w:val="auto"/>
              </w:rPr>
            </w:pPr>
          </w:p>
        </w:tc>
      </w:tr>
      <w:tr>
        <w:trPr>
          <w:trHeight w:val="229"/>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280" w:type="dxa"/>
            <w:vAlign w:val="bottom"/>
          </w:tcPr>
          <w:p>
            <w:pPr>
              <w:spacing w:after="0"/>
              <w:rPr>
                <w:sz w:val="19"/>
                <w:szCs w:val="19"/>
                <w:color w:val="auto"/>
              </w:rPr>
            </w:pP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3.1. Optional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3.2. Mandatory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4.</w:t>
            </w:r>
          </w:p>
        </w:tc>
        <w:tc>
          <w:tcPr>
            <w:tcW w:w="280" w:type="dxa"/>
            <w:vAlign w:val="bottom"/>
          </w:tcPr>
          <w:p>
            <w:pPr>
              <w:spacing w:after="0"/>
              <w:rPr>
                <w:sz w:val="24"/>
                <w:szCs w:val="24"/>
                <w:color w:val="auto"/>
              </w:rPr>
            </w:pPr>
          </w:p>
        </w:tc>
      </w:tr>
      <w:tr>
        <w:trPr>
          <w:trHeight w:val="234"/>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PARTICULAR COVENANTS</w:t>
            </w:r>
          </w:p>
        </w:tc>
        <w:tc>
          <w:tcPr>
            <w:tcW w:w="280" w:type="dxa"/>
            <w:vAlign w:val="bottom"/>
          </w:tcPr>
          <w:p>
            <w:pPr>
              <w:spacing w:after="0"/>
              <w:rPr>
                <w:sz w:val="20"/>
                <w:szCs w:val="20"/>
                <w:color w:val="auto"/>
              </w:rPr>
            </w:pPr>
          </w:p>
        </w:tc>
      </w:tr>
      <w:tr>
        <w:trPr>
          <w:trHeight w:val="319"/>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4.1. Offer to Purchase Upon Change of Control Triggering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4.2.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4.3. Sale and Lease Back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4.4.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5.</w:t>
            </w:r>
          </w:p>
        </w:tc>
        <w:tc>
          <w:tcPr>
            <w:tcW w:w="280" w:type="dxa"/>
            <w:vAlign w:val="bottom"/>
          </w:tcPr>
          <w:p>
            <w:pPr>
              <w:spacing w:after="0"/>
              <w:rPr>
                <w:sz w:val="24"/>
                <w:szCs w:val="24"/>
                <w:color w:val="auto"/>
              </w:rPr>
            </w:pPr>
          </w:p>
        </w:tc>
      </w:tr>
      <w:tr>
        <w:trPr>
          <w:trHeight w:val="234"/>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80" w:type="dxa"/>
            <w:vAlign w:val="bottom"/>
          </w:tcPr>
          <w:p>
            <w:pPr>
              <w:spacing w:after="0"/>
              <w:rPr>
                <w:sz w:val="20"/>
                <w:szCs w:val="20"/>
                <w:color w:val="auto"/>
              </w:rPr>
            </w:pPr>
          </w:p>
        </w:tc>
      </w:tr>
      <w:tr>
        <w:trPr>
          <w:trHeight w:val="338"/>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5.1.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6.</w:t>
            </w:r>
          </w:p>
        </w:tc>
        <w:tc>
          <w:tcPr>
            <w:tcW w:w="280" w:type="dxa"/>
            <w:vAlign w:val="bottom"/>
          </w:tcPr>
          <w:p>
            <w:pPr>
              <w:spacing w:after="0"/>
              <w:rPr>
                <w:sz w:val="24"/>
                <w:szCs w:val="24"/>
                <w:color w:val="auto"/>
              </w:rPr>
            </w:pPr>
          </w:p>
        </w:tc>
      </w:tr>
      <w:tr>
        <w:trPr>
          <w:trHeight w:val="234"/>
        </w:trPr>
        <w:tc>
          <w:tcPr>
            <w:tcW w:w="107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280" w:type="dxa"/>
            <w:vAlign w:val="bottom"/>
          </w:tcPr>
          <w:p>
            <w:pPr>
              <w:spacing w:after="0"/>
              <w:rPr>
                <w:sz w:val="20"/>
                <w:szCs w:val="20"/>
                <w:color w:val="auto"/>
              </w:rPr>
            </w:pPr>
          </w:p>
        </w:tc>
      </w:tr>
      <w:tr>
        <w:trPr>
          <w:trHeight w:val="319"/>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6.1. Satisfaction and Discharge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6.2. Legal Defeasance of Securities of any Series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Section 6.3.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jc w:val="right"/>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672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ARTICLE 7.</w:t>
            </w:r>
          </w:p>
        </w:tc>
      </w:tr>
      <w:tr>
        <w:trPr>
          <w:trHeight w:val="229"/>
        </w:trPr>
        <w:tc>
          <w:tcPr>
            <w:tcW w:w="4240" w:type="dxa"/>
            <w:vAlign w:val="bottom"/>
          </w:tcPr>
          <w:p>
            <w:pPr>
              <w:spacing w:after="0"/>
              <w:rPr>
                <w:sz w:val="19"/>
                <w:szCs w:val="19"/>
                <w:color w:val="auto"/>
              </w:rPr>
            </w:pPr>
          </w:p>
        </w:tc>
        <w:tc>
          <w:tcPr>
            <w:tcW w:w="672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MISCELLANEOUS</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7.1. Trust Indenture Act Controls</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7.2. Governing Law</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7.3. Successors</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7.4. Severability</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7.5. Counterpart Originals</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7.6. Table of Contents, Headings, Etc.</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7.7. Jury Trial</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7.8. Interpretation</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7.9. Instruction by Electronic Transmissions</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Section 7.10. Miscellaneous</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tab/>
        <w:t>FORM OF 2028 NOTE</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B</w:t>
        <w:tab/>
        <w:t>FORM OF 2030 NOTE</w:t>
      </w:r>
    </w:p>
    <w:p>
      <w:pPr>
        <w:sectPr>
          <w:pgSz w:w="11900" w:h="16838" w:orient="portrait"/>
          <w:cols w:equalWidth="0" w:num="1">
            <w:col w:w="10960"/>
          </w:cols>
          <w:pgMar w:left="440" w:top="378" w:right="499" w:bottom="1440" w:gutter="0" w:footer="0" w:header="0"/>
        </w:sectPr>
      </w:pPr>
    </w:p>
    <w:bookmarkStart w:id="28" w:name="page29"/>
    <w:bookmarkEnd w:id="28"/>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dated as of June 16, 2025 by and between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Bank of New York Mellon Trust Company, N.A., a national banking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The Company has heretofore executed and delivered to the Trustee an indenture, dated as of June 3, 2013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providing for the issuance from time to time of one or more Series of the Company’s securities.</w:t>
      </w:r>
    </w:p>
    <w:p>
      <w:pPr>
        <w:spacing w:after="0" w:line="15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 order to supplement the Base Indenture as, and to the extent, set forth herein to provide for the issuance of and establish the forms and terms and conditions of the Notes (as defined below).</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execution and delivery of this Supplemental Indenture has been duly authorized by votes of the Board of Directors or a duly authorized committee thereof.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Trustee agree as follows for the benefit of each other and for the equal and ratable benefit of the Holders (as defined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4.250% Senior Notes due June 15, 2028 and the 4.500% Senior Notes due June 15, 2030:</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Relationship with Base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will govern and be controlling.</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Further, the Trustee shall not be responsible or liable for any failure or delay in the performance of its obligations under this Supplemental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set forth in the Base Indenture. The following terms have the meanings given to them in this Section 1.2:</w:t>
      </w:r>
    </w:p>
    <w:p>
      <w:pPr>
        <w:spacing w:after="0" w:line="50"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2028 Notes</w:t>
      </w:r>
      <w:r>
        <w:rPr>
          <w:rFonts w:ascii="Times New Roman" w:cs="Times New Roman" w:eastAsia="Times New Roman" w:hAnsi="Times New Roman"/>
          <w:sz w:val="18"/>
          <w:szCs w:val="18"/>
          <w:color w:val="auto"/>
        </w:rPr>
        <w:t xml:space="preserve">” means the 4.250% Senior Notes due June 15, 2028;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2028 Notes and the Additional 2028 Notes, if any, will be treated as a single Series for all purposes under this Supplemental Indenture, and unless the context otherwise requires, all references to the 2028 Notes will include the Initial 2028 Notes and any Additional 2028 Notes.</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2030 Notes</w:t>
      </w:r>
      <w:r>
        <w:rPr>
          <w:rFonts w:ascii="Times New Roman" w:cs="Times New Roman" w:eastAsia="Times New Roman" w:hAnsi="Times New Roman"/>
          <w:sz w:val="18"/>
          <w:szCs w:val="18"/>
          <w:color w:val="auto"/>
        </w:rPr>
        <w:t xml:space="preserve">” means the 4.500% Senior Notes due June 15, 2030;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2030 Notes and the Additional 2030 Notes, if any, will be treated as a single Series for all purposes under this Supplemental Indenture, and unless the context otherwise requires, all references to the 2030 Notes will include the Initial 2030 Notes and any Additional 2030 Notes.</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2028 Notes</w:t>
      </w:r>
      <w:r>
        <w:rPr>
          <w:rFonts w:ascii="Times New Roman" w:cs="Times New Roman" w:eastAsia="Times New Roman" w:hAnsi="Times New Roman"/>
          <w:sz w:val="18"/>
          <w:szCs w:val="18"/>
          <w:color w:val="auto"/>
        </w:rPr>
        <w:t>” means any 2028 Notes (other than the Initial 2028 Notes) issued under this Supplemental Indenture in accordance with Section 2.3 hereof, as part of the same Series as the Initial 2028 Notes.</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2030 Notes</w:t>
      </w:r>
      <w:r>
        <w:rPr>
          <w:rFonts w:ascii="Times New Roman" w:cs="Times New Roman" w:eastAsia="Times New Roman" w:hAnsi="Times New Roman"/>
          <w:sz w:val="18"/>
          <w:szCs w:val="18"/>
          <w:color w:val="auto"/>
        </w:rPr>
        <w:t>” means any 2030 Notes (other than the Initial 2030 Notes) issued under this Supplemental Indenture in accordance with Section 2.3 hereof, as part of the same Series as the Initial 2030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means any Additional 2028 Notes and any Additional 2030 Notes, as applicable.</w:t>
      </w:r>
    </w:p>
    <w:p>
      <w:pPr>
        <w:spacing w:after="0" w:line="22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with regard to a Sale and Lease Back Transaction with respect to any Principal Property means, at the time of determination, the lesser of (i) the fair market value of the Principal Property subject to the Sale and Lease Back Transaction or (ii) 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82"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has the meaning set forth in the preamble to this Supplemental Indenture, as it may be amended, supplemented or otherwise modified from time to time in accordance with the terms thereof.</w:t>
      </w:r>
    </w:p>
    <w:p>
      <w:pPr>
        <w:spacing w:after="0" w:line="15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Below Investment Grade Rating Event</w:t>
      </w:r>
      <w:r>
        <w:rPr>
          <w:rFonts w:ascii="Times New Roman" w:cs="Times New Roman" w:eastAsia="Times New Roman" w:hAnsi="Times New Roman"/>
          <w:sz w:val="17"/>
          <w:szCs w:val="17"/>
          <w:color w:val="auto"/>
        </w:rPr>
        <w:t>” means, with respect to a Series of Notes, the applicable Series of Notes is downgraded below Investment Grade by at least two of the three Rating Agencies on any date during the period (the “</w:t>
      </w:r>
      <w:r>
        <w:rPr>
          <w:rFonts w:ascii="Times New Roman" w:cs="Times New Roman" w:eastAsia="Times New Roman" w:hAnsi="Times New Roman"/>
          <w:sz w:val="17"/>
          <w:szCs w:val="17"/>
          <w:b w:val="1"/>
          <w:bCs w:val="1"/>
          <w:i w:val="1"/>
          <w:iCs w:val="1"/>
          <w:color w:val="auto"/>
        </w:rPr>
        <w:t>Trigger Period</w:t>
      </w:r>
      <w:r>
        <w:rPr>
          <w:rFonts w:ascii="Times New Roman" w:cs="Times New Roman" w:eastAsia="Times New Roman" w:hAnsi="Times New Roman"/>
          <w:sz w:val="17"/>
          <w:szCs w:val="17"/>
          <w:color w:val="auto"/>
        </w:rPr>
        <w:t xml:space="preserve">”) commencing 60 days prior to the first public announcement by the Company of any Change of Control (or pending Change of Control) and ending 60 days following the consummation of such Change of Control (which Trigger Period shall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(i) rates such Series of Notes below Investment Grade or (ii) publicly announces that it is no longer considering such Series of Notes for possible downgrade;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extension will occur if on such 60th day such Series of Notes is rated Investment Grade by at least two of the three Rating Agencies and are not subject to review for possible downgrade by any Rating Agency). In no event shall the Trustee be charged with knowledge of or responsibility for maintaining a “Below Investment Grade Rating Event” or “Trigger Period.”</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30" w:name="page31"/>
    <w:bookmarkEnd w:id="3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21" w:lineRule="exact"/>
        <w:rPr>
          <w:sz w:val="20"/>
          <w:szCs w:val="20"/>
          <w:color w:val="auto"/>
        </w:rPr>
      </w:pPr>
    </w:p>
    <w:p>
      <w:pPr>
        <w:ind w:left="4" w:firstLine="436"/>
        <w:spacing w:after="0" w:line="266" w:lineRule="auto"/>
        <w:tabs>
          <w:tab w:leader="none" w:pos="6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more series of related transactions, of all or substantially all of the Company’s assets and the assets of its Subsidiaries, taken as a whole, to any person, other than to the Company or one of its direct or indirect Subsidiaries;</w:t>
      </w:r>
    </w:p>
    <w:p>
      <w:pPr>
        <w:spacing w:after="0" w:line="175" w:lineRule="exact"/>
        <w:rPr>
          <w:rFonts w:ascii="Times New Roman" w:cs="Times New Roman" w:eastAsia="Times New Roman" w:hAnsi="Times New Roman"/>
          <w:sz w:val="18"/>
          <w:szCs w:val="18"/>
          <w:color w:val="auto"/>
        </w:rPr>
      </w:pPr>
    </w:p>
    <w:p>
      <w:pPr>
        <w:jc w:val="both"/>
        <w:ind w:left="4" w:right="340" w:firstLine="436"/>
        <w:spacing w:after="0" w:line="261" w:lineRule="auto"/>
        <w:tabs>
          <w:tab w:leader="none" w:pos="7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w:t>
      </w:r>
    </w:p>
    <w:p>
      <w:pPr>
        <w:spacing w:after="0" w:line="179"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7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w:t>
      </w:r>
    </w:p>
    <w:p>
      <w:pPr>
        <w:spacing w:after="0" w:line="18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providing for the Company’s liquidation or dissolution.</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involve a Change of Control if (i) the Company becomes a direct or indirect wholly owned subsidiary of a holding company (which shall include a parent company) and (ii)(A) the direct or indirect holders of the Voting Stock of such holding company immediately following that transaction are substantially the same as the holders of the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3"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both a Change of Control and a Below Investment Grade Rating Event.</w:t>
      </w:r>
    </w:p>
    <w:p>
      <w:pPr>
        <w:spacing w:after="0" w:line="155" w:lineRule="exact"/>
        <w:rPr>
          <w:sz w:val="20"/>
          <w:szCs w:val="20"/>
          <w:color w:val="auto"/>
        </w:rPr>
      </w:pPr>
    </w:p>
    <w:p>
      <w:pPr>
        <w:jc w:val="both"/>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Consolidated Net Tangible Assets</w:t>
      </w:r>
      <w:r>
        <w:rPr>
          <w:rFonts w:ascii="Times New Roman" w:cs="Times New Roman" w:eastAsia="Times New Roman" w:hAnsi="Times New Roman"/>
          <w:sz w:val="17"/>
          <w:szCs w:val="17"/>
          <w:color w:val="auto"/>
        </w:rPr>
        <w:t>” means, as of any date on which the Company effects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w:t>
      </w:r>
    </w:p>
    <w:p>
      <w:pPr>
        <w:spacing w:after="0" w:line="1" w:lineRule="exact"/>
        <w:rPr>
          <w:sz w:val="20"/>
          <w:szCs w:val="20"/>
          <w:color w:val="auto"/>
        </w:rPr>
      </w:pPr>
    </w:p>
    <w:p>
      <w:pPr>
        <w:ind w:left="4" w:right="320" w:hanging="4"/>
        <w:spacing w:after="0" w:line="260"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patents, unamortized debt discount and expense and any other like intangibles, to the extent included in said aggregate amount of assets, all as set forth on the Company’s most recent consolidated balance sheet and computed in accordance with GAAP.</w:t>
      </w:r>
    </w:p>
    <w:p>
      <w:pPr>
        <w:spacing w:after="0" w:line="177"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Assets</w:t>
      </w:r>
      <w:r>
        <w:rPr>
          <w:rFonts w:ascii="Times New Roman" w:cs="Times New Roman" w:eastAsia="Times New Roman" w:hAnsi="Times New Roman"/>
          <w:sz w:val="18"/>
          <w:szCs w:val="18"/>
          <w:color w:val="auto"/>
        </w:rPr>
        <w:t>” means, as of any date on which the Company effects a transaction requiring such Consolidated Tangible Assets to be measured hereunder, the aggregate amount of assets (less applicable reserves) set forth on the Company’s most recent consolidated balance sheet and computed in accordance with GAAP.</w:t>
      </w:r>
    </w:p>
    <w:p>
      <w:pPr>
        <w:spacing w:after="0" w:line="171"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2.2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except that such Note will not bear the Global Note Legend.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1" w:name="page32"/>
    <w:bookmarkEnd w:id="31"/>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Electronic Means</w:t>
      </w:r>
      <w:r>
        <w:rPr>
          <w:rFonts w:ascii="Times New Roman" w:cs="Times New Roman" w:eastAsia="Times New Roman" w:hAnsi="Times New Roman"/>
          <w:sz w:val="18"/>
          <w:szCs w:val="18"/>
          <w:color w:val="auto"/>
        </w:rPr>
        <w:t>”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w:t>
      </w:r>
    </w:p>
    <w:p>
      <w:pPr>
        <w:spacing w:after="0" w:line="176"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 Legend</w:t>
      </w:r>
      <w:r>
        <w:rPr>
          <w:rFonts w:ascii="Times New Roman" w:cs="Times New Roman" w:eastAsia="Times New Roman" w:hAnsi="Times New Roman"/>
          <w:sz w:val="18"/>
          <w:szCs w:val="18"/>
          <w:color w:val="auto"/>
        </w:rPr>
        <w:t>” means the legend set forth in Section 2.2(e) hereof, which is required to be placed on all Global Notes issued under this Supplemental Indenture.</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Notes</w:t>
      </w:r>
      <w:r>
        <w:rPr>
          <w:rFonts w:ascii="Times New Roman" w:cs="Times New Roman" w:eastAsia="Times New Roman" w:hAnsi="Times New Roman"/>
          <w:sz w:val="18"/>
          <w:szCs w:val="18"/>
          <w:color w:val="auto"/>
        </w:rPr>
        <w:t xml:space="preserve">” means, individually and collectively, (a) with respect to the 2028 Notes, each of the Global Notes,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 with respect to the 2030 Notes, each of the Global Notes,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 each case, issued in accordance with Section 2.1 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the Base Indenture, as supplemented by this Supplemental Indenture, governing the Notes, in each case, as amended, supplemented or restated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2028 Notes</w:t>
      </w:r>
      <w:r>
        <w:rPr>
          <w:rFonts w:ascii="Times New Roman" w:cs="Times New Roman" w:eastAsia="Times New Roman" w:hAnsi="Times New Roman"/>
          <w:sz w:val="18"/>
          <w:szCs w:val="18"/>
          <w:color w:val="auto"/>
        </w:rPr>
        <w:t>” means the first $850,000,000 aggregate principal amount of 2028 Notes issued under this Supplemental Indenture on the date hereof.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2030 Notes</w:t>
      </w:r>
      <w:r>
        <w:rPr>
          <w:rFonts w:ascii="Times New Roman" w:cs="Times New Roman" w:eastAsia="Times New Roman" w:hAnsi="Times New Roman"/>
          <w:sz w:val="18"/>
          <w:szCs w:val="18"/>
          <w:color w:val="auto"/>
        </w:rPr>
        <w:t>” means the first $650,000,000 aggregate principal amount of 2030 Notes issued under this Supplemental Indenture on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Notes</w:t>
      </w:r>
      <w:r>
        <w:rPr>
          <w:rFonts w:ascii="Times New Roman" w:cs="Times New Roman" w:eastAsia="Times New Roman" w:hAnsi="Times New Roman"/>
          <w:sz w:val="18"/>
          <w:szCs w:val="18"/>
          <w:color w:val="auto"/>
        </w:rPr>
        <w:t>” means any Initial 2028 Notes and any Initial 2030 Notes, as applicable.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Grade</w:t>
      </w:r>
      <w:r>
        <w:rPr>
          <w:rFonts w:ascii="Times New Roman" w:cs="Times New Roman" w:eastAsia="Times New Roman" w:hAnsi="Times New Roman"/>
          <w:sz w:val="18"/>
          <w:szCs w:val="18"/>
          <w:color w:val="auto"/>
        </w:rPr>
        <w:t>”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Available Proceeds</w:t>
      </w:r>
      <w:r>
        <w:rPr>
          <w:rFonts w:ascii="Times New Roman" w:cs="Times New Roman" w:eastAsia="Times New Roman" w:hAnsi="Times New Roman"/>
          <w:sz w:val="17"/>
          <w:szCs w:val="17"/>
          <w:color w:val="auto"/>
        </w:rPr>
        <w:t>” from any Sale and Lease Back Transaction by the Company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the Company or any Subsidiary, net of (i) all legal, title and recording tax expenses, commissions and other fees and expenses incurred and all United States federal, state, provincial, foreign and local taxes required to be accrued as a liability as a consequence of such Sale and Lease Back Transaction; (ii) all payments made by the Company or any Subsidiary on any debt which is secured in whole or in part by any such properties and assets in accordance with the terms of any Lien upon or with respect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the minority interest holders in any Subsidiary or joint venture as a result of such Sale and Lease Back Transaction.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collectively, the 2028 Notes and the 2030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with respect to the 2028 Notes, May 15, 2028 and, with respect to the 2030 Notes, May 15, 2030.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Property</w:t>
      </w:r>
      <w:r>
        <w:rPr>
          <w:rFonts w:ascii="Times New Roman" w:cs="Times New Roman" w:eastAsia="Times New Roman" w:hAnsi="Times New Roman"/>
          <w:sz w:val="18"/>
          <w:szCs w:val="18"/>
          <w:color w:val="auto"/>
        </w:rPr>
        <w:t>” means any single parcel of real property or any permanent improvement thereon (i) owned by the Company or any of the Subsidiaries located in the United States, including the Company’s principal corporate office, any manufacturing facility or plant or any portion thereof and (ii) having a book value, as of the date of determination, in excess of 3.0% of the Company’s most recently calculated Consolidated Net Tangible Assets. Principal Property does not include any property that the Board of Directors has determined not to be of material importance to the business conducted by the Subsidiaries and the Company, taken as a whole.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Subsidiary</w:t>
      </w:r>
      <w:r>
        <w:rPr>
          <w:rFonts w:ascii="Times New Roman" w:cs="Times New Roman" w:eastAsia="Times New Roman" w:hAnsi="Times New Roman"/>
          <w:sz w:val="18"/>
          <w:szCs w:val="18"/>
          <w:color w:val="auto"/>
        </w:rPr>
        <w:t>” means any Subsidiary which owns any Principal Property.</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Agencies</w:t>
      </w:r>
      <w:r>
        <w:rPr>
          <w:rFonts w:ascii="Times New Roman" w:cs="Times New Roman" w:eastAsia="Times New Roman" w:hAnsi="Times New Roman"/>
          <w:sz w:val="18"/>
          <w:szCs w:val="18"/>
          <w:color w:val="auto"/>
        </w:rPr>
        <w:t xml:space="preserve">” means each of Fitch, Moody’s and S&amp;P;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of Fitch, Moody’s and S&amp;P ceases to provide rating services to issuers or investors, the Company may appoint a replacement for such Rating Agency that is a “nationally recognized statistical rating organization” within the meaning of Section 3(a)(62) of the Exchange Act.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the Company or any Subsidiary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to such lender or investor or to any person to whom funds have been or are to be advanced by such lender on the security of such Principal Property.</w:t>
      </w:r>
    </w:p>
    <w:p>
      <w:pPr>
        <w:spacing w:after="0" w:line="182"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xml:space="preserve">” shall have the meaning assigned to it in the Base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each of the 2028 Notes and the 2030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the Company or one or more of its other Subsidiaries or a combination thereof.</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means this Supplemental Indenture, dated as of the date hereof, by and between the Company and the Trustee,</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governing the Notes, as amended, supplemented or otherwise modified from time to time in accordance with the Base Indenture and the terms hereof.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 w:name="page34"/>
    <w:bookmarkEnd w:id="33"/>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clauses (1) and (2):</w:t>
      </w:r>
    </w:p>
    <w:p>
      <w:pPr>
        <w:spacing w:after="0" w:line="51" w:lineRule="exact"/>
        <w:rPr>
          <w:sz w:val="20"/>
          <w:szCs w:val="20"/>
          <w:color w:val="auto"/>
        </w:rPr>
      </w:pPr>
    </w:p>
    <w:p>
      <w:pPr>
        <w:ind w:left="440" w:right="60" w:firstLine="948"/>
        <w:spacing w:after="0" w:line="268" w:lineRule="auto"/>
        <w:tabs>
          <w:tab w:leader="none" w:pos="164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7"/>
          <w:szCs w:val="17"/>
          <w:b w:val="1"/>
          <w:bCs w:val="1"/>
          <w:i w:val="1"/>
          <w:iCs w:val="1"/>
          <w:color w:val="auto"/>
        </w:rPr>
        <w:t>H.15</w:t>
      </w:r>
      <w:r>
        <w:rPr>
          <w:rFonts w:ascii="Times New Roman" w:cs="Times New Roman" w:eastAsia="Times New Roman" w:hAnsi="Times New Roman"/>
          <w:sz w:val="17"/>
          <w:szCs w:val="17"/>
          <w:color w:val="auto"/>
        </w:rPr>
        <w:t>”) under the caption “U.S. government securities–Treasury constant maturities–Nominal” (or any successor caption or heading) (“</w:t>
      </w:r>
      <w:r>
        <w:rPr>
          <w:rFonts w:ascii="Times New Roman" w:cs="Times New Roman" w:eastAsia="Times New Roman" w:hAnsi="Times New Roman"/>
          <w:sz w:val="17"/>
          <w:szCs w:val="17"/>
          <w:b w:val="1"/>
          <w:bCs w:val="1"/>
          <w:i w:val="1"/>
          <w:iCs w:val="1"/>
          <w:color w:val="auto"/>
        </w:rPr>
        <w:t>H.15 TCM</w:t>
      </w:r>
      <w:r>
        <w:rPr>
          <w:rFonts w:ascii="Times New Roman" w:cs="Times New Roman" w:eastAsia="Times New Roman" w:hAnsi="Times New Roman"/>
          <w:sz w:val="17"/>
          <w:szCs w:val="17"/>
          <w:color w:val="auto"/>
        </w:rPr>
        <w:t>”). In determining the Treasury Rate, the Company will select, as applicable: (i) the yield for the Treasury constant maturity on H.15 exactly equal to the period from the redemption date to the applicable Par Call Date (the “</w:t>
      </w:r>
      <w:r>
        <w:rPr>
          <w:rFonts w:ascii="Times New Roman" w:cs="Times New Roman" w:eastAsia="Times New Roman" w:hAnsi="Times New Roman"/>
          <w:sz w:val="17"/>
          <w:szCs w:val="17"/>
          <w:b w:val="1"/>
          <w:bCs w:val="1"/>
          <w:i w:val="1"/>
          <w:iCs w:val="1"/>
          <w:color w:val="auto"/>
        </w:rPr>
        <w:t>Remaining Life</w:t>
      </w:r>
      <w:r>
        <w:rPr>
          <w:rFonts w:ascii="Times New Roman" w:cs="Times New Roman" w:eastAsia="Times New Roman" w:hAnsi="Times New Roman"/>
          <w:sz w:val="17"/>
          <w:szCs w:val="17"/>
          <w:color w:val="auto"/>
        </w:rPr>
        <w:t>”); (ii)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(iii)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75" w:lineRule="exact"/>
        <w:rPr>
          <w:rFonts w:ascii="Times New Roman" w:cs="Times New Roman" w:eastAsia="Times New Roman" w:hAnsi="Times New Roman"/>
          <w:sz w:val="17"/>
          <w:szCs w:val="17"/>
          <w:color w:val="auto"/>
        </w:rPr>
      </w:pPr>
    </w:p>
    <w:p>
      <w:pPr>
        <w:ind w:left="440" w:right="40" w:firstLine="948"/>
        <w:spacing w:after="0" w:line="253" w:lineRule="auto"/>
        <w:tabs>
          <w:tab w:leader="none" w:pos="16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 Certificate</w:t>
      </w:r>
      <w:r>
        <w:rPr>
          <w:rFonts w:ascii="Times New Roman" w:cs="Times New Roman" w:eastAsia="Times New Roman" w:hAnsi="Times New Roman"/>
          <w:sz w:val="18"/>
          <w:szCs w:val="18"/>
          <w:color w:val="auto"/>
        </w:rPr>
        <w:t>” means a certificate signed on behalf of the Trustee by one of its duly authorized officers.</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700" w:type="dxa"/>
            <w:vAlign w:val="bottom"/>
            <w:vMerge w:val="restart"/>
          </w:tcPr>
          <w:p>
            <w:pPr>
              <w:spacing w:after="0"/>
              <w:rPr>
                <w:sz w:val="13"/>
                <w:szCs w:val="13"/>
                <w:color w:val="auto"/>
              </w:rPr>
            </w:pPr>
          </w:p>
        </w:tc>
        <w:tc>
          <w:tcPr>
            <w:tcW w:w="6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93"/>
        </w:trPr>
        <w:tc>
          <w:tcPr>
            <w:tcW w:w="34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62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“Authorized Officers”</w:t>
            </w:r>
          </w:p>
        </w:tc>
        <w:tc>
          <w:tcPr>
            <w:tcW w:w="620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7.9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Offer”</w:t>
            </w:r>
          </w:p>
        </w:tc>
        <w:tc>
          <w:tcPr>
            <w:tcW w:w="6980" w:type="dxa"/>
            <w:vAlign w:val="bottom"/>
            <w:gridSpan w:val="2"/>
          </w:tcPr>
          <w:p>
            <w:pPr>
              <w:jc w:val="center"/>
              <w:ind w:left="611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w:t>
            </w:r>
          </w:p>
        </w:tc>
        <w:tc>
          <w:tcPr>
            <w:tcW w:w="6980" w:type="dxa"/>
            <w:vAlign w:val="bottom"/>
            <w:gridSpan w:val="2"/>
          </w:tcPr>
          <w:p>
            <w:pPr>
              <w:jc w:val="center"/>
              <w:ind w:left="611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3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Date”</w:t>
            </w:r>
          </w:p>
        </w:tc>
        <w:tc>
          <w:tcPr>
            <w:tcW w:w="6980" w:type="dxa"/>
            <w:vAlign w:val="bottom"/>
            <w:gridSpan w:val="2"/>
          </w:tcPr>
          <w:p>
            <w:pPr>
              <w:jc w:val="center"/>
              <w:ind w:left="611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20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9900" w:type="dxa"/>
            <w:vAlign w:val="bottom"/>
            <w:vMerge w:val="restart"/>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93"/>
        </w:trPr>
        <w:tc>
          <w:tcPr>
            <w:tcW w:w="340" w:type="dxa"/>
            <w:vAlign w:val="bottom"/>
            <w:tcBorders>
              <w:bottom w:val="single" w:sz="8" w:color="auto"/>
            </w:tcBorders>
            <w:vMerge w:val="continue"/>
          </w:tcPr>
          <w:p>
            <w:pPr>
              <w:spacing w:after="0"/>
              <w:rPr>
                <w:sz w:val="16"/>
                <w:szCs w:val="16"/>
                <w:color w:val="auto"/>
              </w:rPr>
            </w:pPr>
          </w:p>
        </w:tc>
        <w:tc>
          <w:tcPr>
            <w:tcW w:w="99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83"/>
        </w:trPr>
        <w:tc>
          <w:tcPr>
            <w:tcW w:w="10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“Debt”</w:t>
            </w: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“incur”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“Instructions”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0" w:type="dxa"/>
            <w:vAlign w:val="bottom"/>
          </w:tcPr>
          <w:p>
            <w:pPr>
              <w:spacing w:after="0"/>
              <w:rPr>
                <w:sz w:val="1"/>
                <w:szCs w:val="1"/>
                <w:color w:val="auto"/>
              </w:rPr>
            </w:pPr>
          </w:p>
        </w:tc>
      </w:tr>
      <w:tr>
        <w:trPr>
          <w:trHeight w:val="23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“Lien”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2028 Notes and the Trustee’s certificate of authentication with respect thereto will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The 2030 Notes and the Trustee’s certificate of authentication with respect thereto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Each Note will be dated the date of its authentication. The Notes will be in denominations of $2,000 with integral multiples of $1,000 thereof.</w:t>
      </w:r>
    </w:p>
    <w:p>
      <w:pPr>
        <w:spacing w:after="0" w:line="18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78" w:lineRule="exact"/>
        <w:rPr>
          <w:sz w:val="20"/>
          <w:szCs w:val="20"/>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2028 Notes issued in global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2028 Notes issued in definitive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2030 Notes issued in global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(including the Global Note Legend thereon). 2030 Notes issued in definitive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(but without the Global Note Legend thereon).</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55" w:lineRule="auto"/>
        <w:tabs>
          <w:tab w:leader="none" w:pos="16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as a whole except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73"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51" w:right="439" w:bottom="1440" w:gutter="0" w:footer="0" w:header="0"/>
        </w:sectPr>
      </w:pPr>
    </w:p>
    <w:bookmarkStart w:id="35" w:name="page36"/>
    <w:bookmarkEnd w:id="35"/>
    <w:p>
      <w:pPr>
        <w:ind w:left="440" w:firstLine="948"/>
        <w:spacing w:after="0" w:line="282" w:lineRule="auto"/>
        <w:tabs>
          <w:tab w:leader="none" w:pos="1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in its sole discretion and subject to the procedures of the Depositary determines that the Global Notes of such Series (in whole but not in part) should be exchanged for Definitive Notes and delivers a written notice to such effect to the Trustee.</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Upon the occurrence of either of the preceding events in (1) or (2)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87" w:lineRule="exact"/>
        <w:rPr>
          <w:sz w:val="20"/>
          <w:szCs w:val="20"/>
          <w:color w:val="auto"/>
        </w:rPr>
      </w:pPr>
    </w:p>
    <w:p>
      <w:pPr>
        <w:ind w:right="60" w:firstLine="987"/>
        <w:spacing w:after="0" w:line="261" w:lineRule="auto"/>
        <w:tabs>
          <w:tab w:leader="none" w:pos="12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71" w:lineRule="exact"/>
        <w:rPr>
          <w:rFonts w:ascii="Times New Roman" w:cs="Times New Roman" w:eastAsia="Times New Roman" w:hAnsi="Times New Roman"/>
          <w:sz w:val="18"/>
          <w:szCs w:val="18"/>
          <w:color w:val="auto"/>
        </w:rPr>
      </w:pPr>
    </w:p>
    <w:p>
      <w:pPr>
        <w:ind w:left="440" w:right="60" w:firstLine="948"/>
        <w:spacing w:after="0" w:line="267" w:lineRule="auto"/>
        <w:tabs>
          <w:tab w:leader="none" w:pos="164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Global Note may be transferred to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take delivery thereof in the form of a beneficial interest in a Global Note. No written orders or instructions will be required to be delivered to the Registrar to effect the transfers described in this Section 2.2(b)(1).</w:t>
      </w:r>
    </w:p>
    <w:p>
      <w:pPr>
        <w:spacing w:after="0" w:line="65" w:lineRule="exact"/>
        <w:rPr>
          <w:rFonts w:ascii="Times New Roman" w:cs="Times New Roman" w:eastAsia="Times New Roman" w:hAnsi="Times New Roman"/>
          <w:sz w:val="18"/>
          <w:szCs w:val="18"/>
          <w:color w:val="auto"/>
        </w:rPr>
      </w:pPr>
    </w:p>
    <w:p>
      <w:pPr>
        <w:ind w:left="440" w:right="140" w:firstLine="948"/>
        <w:spacing w:after="0" w:line="267" w:lineRule="auto"/>
        <w:tabs>
          <w:tab w:leader="none" w:pos="164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interests with respect to a Series of Notes that are not subject to Section 2.2(b)(1) above, the transferor of such beneficial interest must deliver to the Registrar:</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74" w:lineRule="exact"/>
        <w:rPr>
          <w:sz w:val="20"/>
          <w:szCs w:val="20"/>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6" w:name="page37"/>
    <w:bookmarkEnd w:id="36"/>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178" w:lineRule="exact"/>
        <w:rPr>
          <w:sz w:val="20"/>
          <w:szCs w:val="20"/>
          <w:color w:val="auto"/>
        </w:rPr>
      </w:pPr>
    </w:p>
    <w:p>
      <w:pPr>
        <w:ind w:right="40" w:firstLine="987"/>
        <w:spacing w:after="0" w:line="257"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A Holder of Definitive Notes may transfer such Notes to a person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82" w:lineRule="exact"/>
        <w:rPr>
          <w:rFonts w:ascii="Times New Roman" w:cs="Times New Roman" w:eastAsia="Times New Roman" w:hAnsi="Times New Roman"/>
          <w:sz w:val="18"/>
          <w:szCs w:val="18"/>
          <w:color w:val="auto"/>
        </w:rPr>
      </w:pPr>
    </w:p>
    <w:p>
      <w:pPr>
        <w:ind w:right="840" w:firstLine="987"/>
        <w:spacing w:after="0" w:line="284"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will appear on the face of all Global Notes issued under this Supplemental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Supplemental Indenture.</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5" w:lineRule="exact"/>
        <w:rPr>
          <w:sz w:val="20"/>
          <w:szCs w:val="20"/>
          <w:color w:val="auto"/>
        </w:rPr>
      </w:pPr>
    </w:p>
    <w:p>
      <w:pPr>
        <w:ind w:firstLine="987"/>
        <w:spacing w:after="0" w:line="254"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7" w:name="page38"/>
    <w:bookmarkEnd w:id="37"/>
    <w:p>
      <w:pPr>
        <w:ind w:left="800" w:hanging="253"/>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 Relating to Transfers and Exchanges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100" w:firstLine="948"/>
        <w:spacing w:after="0" w:line="282" w:lineRule="auto"/>
        <w:tabs>
          <w:tab w:leader="none" w:pos="1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will execute and the Trustee will authenticate Global Notes and Definitive Notes upon the receipt of a Company Order.</w:t>
      </w:r>
    </w:p>
    <w:p>
      <w:pPr>
        <w:spacing w:after="0" w:line="53" w:lineRule="exact"/>
        <w:rPr>
          <w:rFonts w:ascii="Times New Roman" w:cs="Times New Roman" w:eastAsia="Times New Roman" w:hAnsi="Times New Roman"/>
          <w:sz w:val="18"/>
          <w:szCs w:val="18"/>
          <w:color w:val="auto"/>
        </w:rPr>
      </w:pPr>
    </w:p>
    <w:p>
      <w:pPr>
        <w:ind w:right="180" w:firstLine="948"/>
        <w:spacing w:after="0" w:line="261" w:lineRule="auto"/>
        <w:tabs>
          <w:tab w:leader="none" w:pos="1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3.6 and 9.6 of the Base Indenture).</w:t>
      </w:r>
    </w:p>
    <w:p>
      <w:pPr>
        <w:spacing w:after="0" w:line="71" w:lineRule="exact"/>
        <w:rPr>
          <w:rFonts w:ascii="Times New Roman" w:cs="Times New Roman" w:eastAsia="Times New Roman" w:hAnsi="Times New Roman"/>
          <w:sz w:val="18"/>
          <w:szCs w:val="18"/>
          <w:color w:val="auto"/>
        </w:rPr>
      </w:pPr>
    </w:p>
    <w:p>
      <w:pPr>
        <w:ind w:right="300" w:firstLine="948"/>
        <w:spacing w:after="0" w:line="282" w:lineRule="auto"/>
        <w:tabs>
          <w:tab w:leader="none" w:pos="1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right="40" w:firstLine="948"/>
        <w:spacing w:after="0" w:line="266" w:lineRule="auto"/>
        <w:tabs>
          <w:tab w:leader="none" w:pos="1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with respect to a Series of Notes hereunder:</w:t>
      </w:r>
    </w:p>
    <w:p>
      <w:pPr>
        <w:spacing w:after="0" w:line="117" w:lineRule="exact"/>
        <w:rPr>
          <w:sz w:val="20"/>
          <w:szCs w:val="20"/>
          <w:color w:val="auto"/>
        </w:rPr>
      </w:pPr>
    </w:p>
    <w:p>
      <w:pPr>
        <w:ind w:right="540" w:firstLine="948"/>
        <w:spacing w:after="0" w:line="266" w:lineRule="auto"/>
        <w:tabs>
          <w:tab w:leader="none" w:pos="11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of such Series during a period of 15 days before the day of any selection of Notes of such Series for redemption under Section 3.2 of the Base Indenture and ending at the close of business on the day of selection;</w:t>
      </w:r>
    </w:p>
    <w:p>
      <w:pPr>
        <w:spacing w:after="0" w:line="67" w:lineRule="exact"/>
        <w:rPr>
          <w:rFonts w:ascii="Times New Roman" w:cs="Times New Roman" w:eastAsia="Times New Roman" w:hAnsi="Times New Roman"/>
          <w:sz w:val="18"/>
          <w:szCs w:val="18"/>
          <w:color w:val="auto"/>
        </w:rPr>
      </w:pPr>
    </w:p>
    <w:p>
      <w:pPr>
        <w:ind w:right="560" w:firstLine="948"/>
        <w:spacing w:after="0" w:line="282" w:lineRule="auto"/>
        <w:tabs>
          <w:tab w:leader="none" w:pos="12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of such Series so selected for redemption in whole or in part, except the unredeemed portion of any Note of such Series being redeemed in part; or</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of such Series between a record date and the next succeeding interest payment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firstLine="948"/>
        <w:spacing w:after="0" w:line="261" w:lineRule="auto"/>
        <w:tabs>
          <w:tab w:leader="none" w:pos="1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2.3 of the Base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98" w:lineRule="exact"/>
        <w:rPr>
          <w:rFonts w:ascii="Times New Roman" w:cs="Times New Roman" w:eastAsia="Times New Roman" w:hAnsi="Times New Roman"/>
          <w:sz w:val="18"/>
          <w:szCs w:val="18"/>
          <w:color w:val="auto"/>
        </w:rPr>
      </w:pPr>
    </w:p>
    <w:p>
      <w:pPr>
        <w:ind w:right="440" w:firstLine="948"/>
        <w:spacing w:after="0" w:line="266" w:lineRule="auto"/>
        <w:tabs>
          <w:tab w:leader="none" w:pos="1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deliver one or more Trustee Certificates certifying, among other things, pursuant to Section 2.3 of the Base Indenture, that the Notes have been authenticated and have been made available for delivery and the corporate governance documents and incumbency of signing officers of the Trustee as of the date hereof.</w:t>
      </w:r>
    </w:p>
    <w:p>
      <w:pPr>
        <w:spacing w:after="0" w:line="67" w:lineRule="exact"/>
        <w:rPr>
          <w:rFonts w:ascii="Times New Roman" w:cs="Times New Roman" w:eastAsia="Times New Roman" w:hAnsi="Times New Roman"/>
          <w:sz w:val="18"/>
          <w:szCs w:val="18"/>
          <w:color w:val="auto"/>
        </w:rPr>
      </w:pPr>
    </w:p>
    <w:p>
      <w:pPr>
        <w:ind w:right="160" w:firstLine="948"/>
        <w:spacing w:after="0" w:line="282" w:lineRule="auto"/>
        <w:tabs>
          <w:tab w:leader="none" w:pos="1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Officers’ Certificate or Opinion of Counsel required to be submitted to the Registrar pursuant to this Section 2.2 to effect a registration of transfer or exchange may be submitted by electronic format (e.g., “.pdf” or “.tif”).</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8" w:right="459" w:bottom="1440" w:gutter="0" w:footer="0" w:header="0"/>
        </w:sectPr>
      </w:pPr>
    </w:p>
    <w:bookmarkStart w:id="38" w:name="page39"/>
    <w:bookmarkEnd w:id="38"/>
    <w:p>
      <w:pPr>
        <w:ind w:left="440" w:right="80" w:firstLine="948"/>
        <w:spacing w:after="0" w:line="258" w:lineRule="auto"/>
        <w:tabs>
          <w:tab w:leader="none" w:pos="17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75" w:lineRule="exact"/>
        <w:rPr>
          <w:rFonts w:ascii="Times New Roman" w:cs="Times New Roman" w:eastAsia="Times New Roman" w:hAnsi="Times New Roman"/>
          <w:sz w:val="18"/>
          <w:szCs w:val="18"/>
          <w:color w:val="auto"/>
        </w:rPr>
      </w:pPr>
    </w:p>
    <w:p>
      <w:pPr>
        <w:ind w:left="1720" w:hanging="332"/>
        <w:spacing w:after="0"/>
        <w:tabs>
          <w:tab w:leader="none" w:pos="1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Issuance of Additional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5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be entitled, upon delivery of an Officers’ Certificate and an Opinion of Counsel, to issue Additional 2028 Notes under this Supplemental Indenture which will have identical terms as the Initial 2028 Notes issued on the date hereof, other than with respect to the date of issuance and issue price and, if applicable, the first Interest Payment Date and the initial interest accrual date. The Initial 2028 Notes issued on the date hereof and any Additional 2028 Notes issued will be treated as a single Series for all purposes under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2028 Notes are not fungible for United States Federal income tax purposes with the 2028 Notes previously issued, such 2028 Additional Notes will not have the same CUSIP number (or other securities identification number) as the 2028 Notes previously issued.</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be entitled, upon delivery of an Officers’ Certificate and an Opinion of Counsel, to issue Additional 2030 Notes under this Supplemental Indenture which will have identical terms as the Initial 2030 Notes issued on the date hereof, other than with respect to the date of issuance and issue price and, if applicable, the first Interest Payment Date and the initial interest accrual date. The Initial 2030 Notes issued on the date hereof and any Additional 2030 Notes issued will be treated as a single Series for all purposes under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2030 Notes are not fungible for United States Federal income tax purposes with the 2030 Notes previously issued, such 2030 Additional Notes will not have the same CUSIP number (or other securities identification number) as the 2030 Notes previously issued.</w:t>
      </w:r>
    </w:p>
    <w:p>
      <w:pPr>
        <w:spacing w:after="0" w:line="187" w:lineRule="exact"/>
        <w:rPr>
          <w:rFonts w:ascii="Times New Roman" w:cs="Times New Roman" w:eastAsia="Times New Roman" w:hAnsi="Times New Roman"/>
          <w:sz w:val="18"/>
          <w:szCs w:val="18"/>
          <w:color w:val="auto"/>
        </w:rPr>
      </w:pPr>
    </w:p>
    <w:p>
      <w:pPr>
        <w:ind w:right="620" w:firstLine="987"/>
        <w:spacing w:after="0" w:line="26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Additional Notes, the Company will set forth in a resolution of its Board of Directors (or a duly authorized committee thereof) or of a designee thereof and an Officers’ Certificate, a copy of each which will be delivered to the Trustee, the following information:</w:t>
      </w:r>
    </w:p>
    <w:p>
      <w:pPr>
        <w:spacing w:after="0" w:line="68" w:lineRule="exact"/>
        <w:rPr>
          <w:sz w:val="20"/>
          <w:szCs w:val="20"/>
          <w:color w:val="auto"/>
        </w:rPr>
      </w:pPr>
    </w:p>
    <w:p>
      <w:pPr>
        <w:ind w:left="1200" w:hanging="213"/>
        <w:spacing w:after="0"/>
        <w:tabs>
          <w:tab w:leader="none" w:pos="12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such Additional Notes to be authenticated and delivered pursuant to this Supplemental Indenture; and</w:t>
      </w:r>
    </w:p>
    <w:p>
      <w:pPr>
        <w:spacing w:after="0" w:line="128" w:lineRule="exact"/>
        <w:rPr>
          <w:rFonts w:ascii="Times New Roman" w:cs="Times New Roman" w:eastAsia="Times New Roman" w:hAnsi="Times New Roman"/>
          <w:sz w:val="17"/>
          <w:szCs w:val="17"/>
          <w:color w:val="auto"/>
        </w:rPr>
      </w:pPr>
    </w:p>
    <w:p>
      <w:pPr>
        <w:ind w:left="980" w:right="620" w:firstLine="7"/>
        <w:spacing w:after="0" w:line="282" w:lineRule="auto"/>
        <w:tabs>
          <w:tab w:leader="none" w:pos="1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the issue date, the CUSIP number(s), the first Interest Payment Date and the initial interest accrual date of such Additional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For the avoidance of doubt, the issuance of Additional Notes pursuant to this Section 2.3 is subject to Section 2.3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60" w:firstLine="987"/>
        <w:spacing w:after="0" w:line="266"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applicable Par Call Date, the Company will have the right, at its option, to redeem each Series of Notes, in whole or in part, at any time and from time to time, at a redemption price (expressed as a percentage of principal amount and rounded to three decimal places) equal to the greater of:</w:t>
      </w:r>
    </w:p>
    <w:p>
      <w:pPr>
        <w:spacing w:after="0" w:line="67" w:lineRule="exact"/>
        <w:rPr>
          <w:rFonts w:ascii="Times New Roman" w:cs="Times New Roman" w:eastAsia="Times New Roman" w:hAnsi="Times New Roman"/>
          <w:sz w:val="18"/>
          <w:szCs w:val="18"/>
          <w:color w:val="auto"/>
        </w:rPr>
      </w:pPr>
    </w:p>
    <w:p>
      <w:pPr>
        <w:ind w:left="440" w:right="260" w:firstLine="948"/>
        <w:spacing w:after="0" w:line="266" w:lineRule="auto"/>
        <w:tabs>
          <w:tab w:leader="none" w:pos="164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10 basis points less (ii) interest accrued to the date of redemption,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9" w:name="page40"/>
    <w:bookmarkEnd w:id="39"/>
    <w:p>
      <w:pPr>
        <w:ind w:right="4020" w:firstLine="1388"/>
        <w:spacing w:after="0" w:line="500" w:lineRule="auto"/>
        <w:tabs>
          <w:tab w:leader="none" w:pos="164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 of the principal amount of the Notes of such Series being redeemed, plus, in either case, accrued and unpaid interest thereon to the redemption date.</w:t>
      </w:r>
    </w:p>
    <w:p>
      <w:pPr>
        <w:spacing w:after="0" w:line="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Par Call Date, the Company will have the right, at its option, to redeem each Series of Notes, in whole or in part, at any time and from time to time, at a redemption price equal to 100% of the principal amount of the Notes of such Series being redeemed plus accrued and unpaid interest thereon to the redemption date.</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1" w:lineRule="exact"/>
        <w:rPr>
          <w:rFonts w:ascii="Times New Roman" w:cs="Times New Roman" w:eastAsia="Times New Roman" w:hAnsi="Times New Roman"/>
          <w:sz w:val="18"/>
          <w:szCs w:val="18"/>
          <w:color w:val="auto"/>
        </w:rPr>
      </w:pPr>
    </w:p>
    <w:p>
      <w:pPr>
        <w:ind w:right="440" w:firstLine="987"/>
        <w:spacing w:after="0" w:line="312" w:lineRule="auto"/>
        <w:tabs>
          <w:tab w:leader="none" w:pos="124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redemption will be mailed or electronically delivered (or otherwise transmitted in accordance with the Depositary’s standard procedures therefor) at least 10 days but not more than 60 days before the redemption date to each Holder of Notes to be redeemed.</w:t>
      </w:r>
    </w:p>
    <w:p>
      <w:pPr>
        <w:spacing w:after="0" w:line="139" w:lineRule="exact"/>
        <w:rPr>
          <w:rFonts w:ascii="Times New Roman" w:cs="Times New Roman" w:eastAsia="Times New Roman" w:hAnsi="Times New Roman"/>
          <w:sz w:val="17"/>
          <w:szCs w:val="17"/>
          <w:color w:val="auto"/>
        </w:rPr>
      </w:pPr>
    </w:p>
    <w:p>
      <w:pPr>
        <w:ind w:right="160" w:firstLine="987"/>
        <w:spacing w:after="0" w:line="25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not required to make any mandatory redemption or sinking fund payments with respect to the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Offer to Purchase Upon Change of Control Triggering Event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987"/>
        <w:spacing w:after="0" w:line="253"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with respect to a Series of Notes, unless the Company has exercised its option to redeem such Series of Notes in full pursuant to Section 3.1 or has defeased such Series of Notes or satisfied and discharged such Series of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xml:space="preserve">”) to each Holder of such Series of Notes to repurchase all or any part (equal to $2,000 and in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of such Series must be in a minimum principal amount of $2,000) of that Holder’s Notes of such Series pursuant to the offer set forth below. In a Change of Control Offer, the Company shall be required to offer payment in cash equal to 101% of the aggregate principal amount of the Notes repurchased, plus accrued and unpaid interest, if any, on the Notes repurchased to the date of repurchase (a “</w:t>
      </w:r>
      <w:r>
        <w:rPr>
          <w:rFonts w:ascii="Times New Roman" w:cs="Times New Roman" w:eastAsia="Times New Roman" w:hAnsi="Times New Roman"/>
          <w:sz w:val="18"/>
          <w:szCs w:val="18"/>
          <w:b w:val="1"/>
          <w:bCs w:val="1"/>
          <w:i w:val="1"/>
          <w:iCs w:val="1"/>
          <w:color w:val="auto"/>
        </w:rPr>
        <w:t>Change of Control Payment</w:t>
      </w:r>
      <w:r>
        <w:rPr>
          <w:rFonts w:ascii="Times New Roman" w:cs="Times New Roman" w:eastAsia="Times New Roman" w:hAnsi="Times New Roman"/>
          <w:sz w:val="18"/>
          <w:szCs w:val="18"/>
          <w:color w:val="auto"/>
        </w:rPr>
        <w:t>”). Within 30 days following any Change of Control Triggering Event with respect to a Series of Notes or, at the Company’s option, prior to any Change of Control, but after public announcement of the transaction that constitutes or may constitute the Change of Control, the Company shall mail or cause to be mailed (or if the Notes of such Series to be repurchased are represented by one or more Global Notes, transmitted in accordance with the Depositary’s standard procedures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40" w:name="page41"/>
    <w:bookmarkEnd w:id="4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therefor) a notice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w:t>
      </w:r>
      <w:r>
        <w:rPr>
          <w:rFonts w:ascii="Times New Roman" w:cs="Times New Roman" w:eastAsia="Times New Roman" w:hAnsi="Times New Roman"/>
          <w:sz w:val="18"/>
          <w:szCs w:val="18"/>
          <w:b w:val="1"/>
          <w:bCs w:val="1"/>
          <w:i w:val="1"/>
          <w:iCs w:val="1"/>
          <w:color w:val="auto"/>
        </w:rPr>
        <w:t>Change of Control Payment Date</w:t>
      </w:r>
      <w:r>
        <w:rPr>
          <w:rFonts w:ascii="Times New Roman" w:cs="Times New Roman" w:eastAsia="Times New Roman" w:hAnsi="Times New Roman"/>
          <w:sz w:val="18"/>
          <w:szCs w:val="18"/>
          <w:color w:val="auto"/>
        </w:rPr>
        <w:t>”).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83" w:lineRule="exact"/>
        <w:rPr>
          <w:sz w:val="20"/>
          <w:szCs w:val="20"/>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also state:</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82"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4.1 and that all Notes of such Series or portions of such Notes validly tendered and not withdrawn will be accepted for payment;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Change of Control Payment Date;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of such Series not tendered will continue to accrue interest;</w:t>
      </w:r>
    </w:p>
    <w:p>
      <w:pPr>
        <w:spacing w:after="0" w:line="117" w:lineRule="exact"/>
        <w:rPr>
          <w:rFonts w:ascii="Times New Roman" w:cs="Times New Roman" w:eastAsia="Times New Roman" w:hAnsi="Times New Roman"/>
          <w:sz w:val="18"/>
          <w:szCs w:val="18"/>
          <w:color w:val="auto"/>
        </w:rPr>
      </w:pPr>
    </w:p>
    <w:p>
      <w:pPr>
        <w:jc w:val="both"/>
        <w:ind w:left="440" w:right="340" w:firstLine="948"/>
        <w:spacing w:after="0" w:line="261"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accepted for payment pursuant to the Change of Control Offer shall cease to accrue interest after the Change of Control Payment Date unless the Company shall default in the payment of the Change of Control Payment of the Notes of such Series and the only remaining right of the Holder is to receive payment of the Change of Control Payment upon surrender of the Notes of such Series to the Paying Agent;</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electing to have a portion of a Note of such Series purchased pursuant to a Change of Control Offer may only elect to have such Note purchased in a minimum principal amount of $2,000 and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must be in a minimum principal amount of $2,000;</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 Holder elects to have a Note of such Series purchased pursuant to the Change of Control Offer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Payment Date;</w:t>
      </w:r>
    </w:p>
    <w:p>
      <w:pPr>
        <w:spacing w:after="0" w:line="71" w:lineRule="exact"/>
        <w:rPr>
          <w:rFonts w:ascii="Times New Roman" w:cs="Times New Roman" w:eastAsia="Times New Roman" w:hAnsi="Times New Roman"/>
          <w:sz w:val="18"/>
          <w:szCs w:val="18"/>
          <w:color w:val="auto"/>
        </w:rPr>
      </w:pPr>
    </w:p>
    <w:p>
      <w:pPr>
        <w:ind w:left="440" w:right="320" w:firstLine="948"/>
        <w:spacing w:after="0" w:line="261"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Holder will be entitled to withdraw its election if the Company receives, not later than the close of business on the third Business Day preceding the Change of Control Payment Date, a facsimile transmission or letter setting forth the name of such Holder, the principal amount of Notes such Holder delivered for purchase, and a statement that such Holder is withdrawing its election to have such Note purchased; and</w:t>
      </w:r>
    </w:p>
    <w:p>
      <w:pPr>
        <w:spacing w:after="0" w:line="71"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Notes of such Series are purchased only in part by the Company, a new Note of the same Series and type will be issued in a principal amount equal to the unpurchased portion of the Notes surrendered.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of the applicable Series or portions of such Notes properly tendered pursuant to the Change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Offer;</w:t>
      </w:r>
    </w:p>
    <w:p>
      <w:pPr>
        <w:spacing w:after="0" w:line="98"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of the applicable Series or portions of such Notes properly tendered; and</w:t>
      </w:r>
    </w:p>
    <w:p>
      <w:pPr>
        <w:spacing w:after="0" w:line="53" w:lineRule="exact"/>
        <w:rPr>
          <w:rFonts w:ascii="Times New Roman" w:cs="Times New Roman" w:eastAsia="Times New Roman" w:hAnsi="Times New Roman"/>
          <w:sz w:val="18"/>
          <w:szCs w:val="18"/>
          <w:color w:val="auto"/>
        </w:rPr>
      </w:pPr>
    </w:p>
    <w:p>
      <w:pPr>
        <w:ind w:left="440" w:right="380" w:firstLine="948"/>
        <w:spacing w:after="0" w:line="282"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1" w:name="page42"/>
    <w:bookmarkEnd w:id="41"/>
    <w:p>
      <w:pPr>
        <w:ind w:right="4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purchases all Notes of the applicable Series properly tendered and not withdrawn under its offer.</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3" w:lineRule="exact"/>
        <w:rPr>
          <w:rFonts w:ascii="Times New Roman" w:cs="Times New Roman" w:eastAsia="Times New Roman" w:hAnsi="Times New Roman"/>
          <w:sz w:val="18"/>
          <w:szCs w:val="18"/>
          <w:color w:val="auto"/>
        </w:rPr>
      </w:pPr>
    </w:p>
    <w:p>
      <w:pPr>
        <w:ind w:right="220" w:firstLine="987"/>
        <w:spacing w:after="0" w:line="282"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Notes of $2,000 or less can be repurchased in part pursuant to this Section 4.1. Notes in denominations larger than $2,000 may be repurchased in part but only in integral multiples of $1,000 in excess thereof, unless all of the Notes held by a Holder are to be repurchased.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87"/>
        <w:spacing w:after="0" w:line="255"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nor will it permit any Subsidiary to, issue, incur, create, assume or guarantee (collectively, “</w:t>
      </w:r>
      <w:r>
        <w:rPr>
          <w:rFonts w:ascii="Times New Roman" w:cs="Times New Roman" w:eastAsia="Times New Roman" w:hAnsi="Times New Roman"/>
          <w:sz w:val="18"/>
          <w:szCs w:val="18"/>
          <w:b w:val="1"/>
          <w:bCs w:val="1"/>
          <w:i w:val="1"/>
          <w:iCs w:val="1"/>
          <w:color w:val="auto"/>
        </w:rPr>
        <w:t>incur</w:t>
      </w:r>
      <w:r>
        <w:rPr>
          <w:rFonts w:ascii="Times New Roman" w:cs="Times New Roman" w:eastAsia="Times New Roman" w:hAnsi="Times New Roman"/>
          <w:sz w:val="18"/>
          <w:szCs w:val="18"/>
          <w:color w:val="auto"/>
        </w:rPr>
        <w:t>”) any debt for borrowed money including all obligations evidenced by bonds, debentures, notes or similar instruments (collectively, a “</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secured by a mortgage, deed of trust, security interest, pledge, lien, charge or other encumbrance (collectively, a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the Company shall so determine, any other indebtedness of or guarantee by the Company or such Subsidiary ranking equally with the Notes) shall be secured equally and ratably with (or, at the Company’s option, prior to) such secured Debt. The foregoing restriction, however, will not apply to each of the following:</w:t>
      </w:r>
    </w:p>
    <w:p>
      <w:pPr>
        <w:spacing w:after="0" w:line="80"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shares of stock or other assets of any person (as defined in the Base Indenture) existing at the time such person becomes a Subsidiary or existing at the time of acquisition thereof by the Company or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58" w:lineRule="auto"/>
        <w:tabs>
          <w:tab w:leader="none" w:pos="16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(as defined in the Base Indenture) existing at the time such person is merged into or consolidated with the Company or a Subsidiary or at the time of a sale, lease or other disposition of the properties of such person (or a division thereof) as an entirety or substantially as an entirety to the Company or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75"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all or part of the cost of acquisition, construction, development or improvement of any property or to secure Debt incurred to provide funds for any such purpose (including purchase money security interests or purchase money mortgages),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which secure Debt owing to, the Company or any Subsidiary;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at the date of the issuance of the Initial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42" w:name="page43"/>
    <w:bookmarkEnd w:id="42"/>
    <w:p>
      <w:pPr>
        <w:ind w:left="440" w:right="220" w:firstLine="948"/>
        <w:spacing w:after="0" w:line="258"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5"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51"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renewals or replacements of any Liens referred to in the foregoing clauses,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1"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restrictions in clause (a) above, the Company or any Subsidiary may incur Debt secured by a Lien which would otherwise be prohibited by such restrictions without equally and ratably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thereto, the then aggregate outstanding amount of all such Debt so secured by such Liens (not including Liens permitted under items (1) through (8) in clause (a) above) plus the aggregate amount of Attributable Debt in respect of Sale and Lease Back Transactions with respect to Principal Properties entered into after the date of issuance of the Initial Notes and permitted solely pursuant to clause (c) of Section 4.3 hereof and still in existence does not exceed the greater of 5% of the Consolidated Tangible Assets at the time of such incurrence and $750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Sale and Lease Back Transactions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and will not permit any Subsidiary to, enter into any Sale and Lease Back Transaction with respect to any Principal Property, other than any such Sale and Lease Back Transaction involving a lease for a term of not more than three years or any such Sale and Lease Back Transaction between the Company and one of its Subsidiaries, or between its Subsidiaries, unless:</w:t>
      </w:r>
    </w:p>
    <w:p>
      <w:pPr>
        <w:spacing w:after="0" w:line="68" w:lineRule="exact"/>
        <w:rPr>
          <w:sz w:val="20"/>
          <w:szCs w:val="20"/>
          <w:color w:val="auto"/>
        </w:rPr>
      </w:pPr>
    </w:p>
    <w:p>
      <w:pPr>
        <w:ind w:right="2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Subsidiary, as applicable,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items (1) through (8) in clause (a) of Section 4.2 hereof;</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the Net Available Proceeds of such Sale and Lease Back Transaction within 180 days of such Sale and Lease Back Transaction to either (or a combination of) (i) the prepayment or retirement of Debt of the Company or a Subsidiary (other than Debt that is, in the case of Debt of the Company, subordinated to the Notes or Debt owed to the Company or a Subsidiary) that by its terms matures more than 12 months after its creation or (ii) the purchase, construction, development, expansion or improvement of comparable properties or facilities; or</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Initial Notes permitted solely pursuant to this clause (c) and still in existence, plus the aggregate amount of all Debt secured by Liens permitted solely pursuant to clause (b) of Section 4.2 above and still outstanding, does not exceed the greater of 5% of the Consolidated Tangible Assets at the time of such Sale and Lease Back Transaction and $750 million.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covenants set forth in Sections 4.2 and 4.3 above are and are intended solely for the benefit of the Holders of the 2028 Notes and the 2030 Notes.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Events of Default set forth in the Base Indenture, the following is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with respect to each Series of Notes hereunder: (i) the failure of the Company or any Subsidiary to pay indebtedness for money borrowed by the Company or any Subsidiary in an aggregate principal amount of at least $300,000,000,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(ii) acceleration of the maturity of indebtedness for money borrowed by the Company or any Subsidiary in an aggregate principal amount of at least $300,000,000,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in the case of this clause (ii), the default under the instrument governing the foregoing indebtedness is cured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waived by the holders of the indebtedness, in each case, as permitted by such governing instrument, then, unless the maturity of such Series of Notes has been accelerated in accordance with the Indenture, the Event of Default under the Indenture with respect to such Series of Notes caused by such default will be deemed likewise to be cured or waived.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may satisfy and discharge any Series of Notes hereunder in accordance with and subject to the terms of Section 8.1 of the Base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Legal Defeasance of Securities of Any Series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8.3 of the Base Indenture shall be applicable to each Series of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covenants specified in Section 8.4 of the Base Indenture, the Company may omit to comply with respect to the Notes of a Series with any term, provision or condition set forth in Sections 4.1, 4.2 and 4.3 of this Supplemental Indenture by complying with the requirements of Section 8.4 of the Base Indenture in respect of such Series.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Trust Indenture Act Controls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8"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SUPPLEMENTAL INDENTURE AND THE NOTES SHALL BE GOVERNED BY THE LAWS OF THE STATE OF NEW YORK APPLICABLE TO AGREEMENTS MADE AND TO BE PERFORMED IN SUCH STATE, WITHOUT REGARD TO THE CONFLICT OF LAWS PROVISIONS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Supplemental Indenture and the Notes will bind its successors. All agreements of the Trustee in this Supplemental Indenture will bind its successors.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Supplemental Indenture or in the Notes will be invalid, illegal or unenforceable, the validity, legality and enforceability of the remaining provisions will not in any way be affected or impaired thereby.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i w:val="1"/>
          <w:iCs w:val="1"/>
          <w:color w:val="auto"/>
        </w:rPr>
        <w:t>Counterpart Originals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may be executed in one or more counterparts, each of which when so executed shall be deemed to be an original and all of which when taken together shall constitute one and the same instrument. The parties hereto agree that this Supplemental Indenture, any documents to be delivered pursuant to this Supplemental Indenture and any notices hereunder may be transmitted between them by electronic format (e.g., “.pdf” or “.tif”) transmission shall constitute effective execution and delivery of this Supplemental Indenture as to the parties hereto and may be used in lieu of the original Supplemental Indenture for all purposes. The words “execution,” “signed,” “signature,” and words of like import in this Supplemental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w:t>
      </w:r>
    </w:p>
    <w:p>
      <w:pPr>
        <w:spacing w:after="0" w:line="194"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2.3 of the Base Indenture, the Notes may be executed by the Company and authenticated by the Trustee by manual or electronic signature.</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assume all risks arising out of the use of electronic or digital signatures and electronic methods to submit any communications to the Trustee, including the risk of the Trustee acting on unauthorized instructions and the risk of interception and misuse by third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i w:val="1"/>
          <w:iCs w:val="1"/>
          <w:color w:val="auto"/>
        </w:rPr>
        <w:t>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Each party hereto hereby irrevocably waives any and all rights to trial by jury in any legal proceeding arising out of or relating to this Supplemental Indenture.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40" w:top="268" w:right="5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i w:val="1"/>
          <w:iCs w:val="1"/>
          <w:color w:val="auto"/>
        </w:rPr>
        <w:t>Instruction by Electronic Means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i w:val="1"/>
          <w:iCs w:val="1"/>
          <w:color w:val="auto"/>
        </w:rPr>
        <w:t>Instructions</w:t>
      </w:r>
      <w:r>
        <w:rPr>
          <w:rFonts w:ascii="Times New Roman" w:cs="Times New Roman" w:eastAsia="Times New Roman" w:hAnsi="Times New Roman"/>
          <w:sz w:val="18"/>
          <w:szCs w:val="18"/>
          <w:color w:val="auto"/>
        </w:rPr>
        <w:t xml:space="preserve">”) given pursuant to this Supplemental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provide to the Trustee an incumbency certificate listing officers with the authority to provide such Instructions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16,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C. Puccio, Jr.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C. Jenkins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C. Jenkins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1020"/>
          </w:cols>
          <w:pgMar w:left="440" w:top="266" w:right="439" w:bottom="1440" w:gutter="0" w:footer="0" w:header="0"/>
        </w:sectPr>
      </w:pPr>
    </w:p>
    <w:bookmarkStart w:id="47" w:name="page48"/>
    <w:bookmarkEnd w:id="4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GLOBAL 2028 NOTE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(Face of Global 2028 Note)</w:t>
      </w:r>
    </w:p>
    <w:p>
      <w:pPr>
        <w:spacing w:after="0" w:line="225" w:lineRule="exact"/>
        <w:rPr>
          <w:sz w:val="20"/>
          <w:szCs w:val="20"/>
          <w:color w:val="auto"/>
        </w:rPr>
      </w:pPr>
    </w:p>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left="4" w:right="220" w:hanging="4"/>
        <w:spacing w:after="0" w:line="255"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7" w:lineRule="exact"/>
        <w:rPr>
          <w:sz w:val="20"/>
          <w:szCs w:val="20"/>
          <w:color w:val="auto"/>
        </w:rPr>
      </w:pPr>
    </w:p>
    <w:p>
      <w:pPr>
        <w:ind w:left="9484"/>
        <w:spacing w:after="0"/>
        <w:rPr>
          <w:sz w:val="20"/>
          <w:szCs w:val="20"/>
          <w:color w:val="auto"/>
        </w:rPr>
      </w:pPr>
      <w:r>
        <w:rPr>
          <w:rFonts w:ascii="Times New Roman" w:cs="Times New Roman" w:eastAsia="Times New Roman" w:hAnsi="Times New Roman"/>
          <w:sz w:val="18"/>
          <w:szCs w:val="18"/>
          <w:color w:val="auto"/>
        </w:rPr>
        <w:t>CUSIP: 032654 BD6</w:t>
      </w:r>
    </w:p>
    <w:p>
      <w:pPr>
        <w:spacing w:after="0" w:line="27"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ISIN: US032654BD63</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4.250% Senior Note due June 15, 2028</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304" w:space="720"/>
            <w:col w:w="1000"/>
          </w:cols>
          <w:pgMar w:left="436" w:top="266" w:right="439" w:bottom="1440" w:gutter="0" w:footer="0" w:header="0"/>
          <w:type w:val="continuous"/>
        </w:sectPr>
      </w:pPr>
    </w:p>
    <w:p>
      <w:pPr>
        <w:spacing w:after="0" w:line="25"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Analog Devices, Inc., a Massachusetts corporation, promises to pay to CEDE &amp; CO. or registered assigns, the principal sum of $        on June 15, 2028.</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June 15 and December 15</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8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June 1 and December 1</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47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59"/>
        </w:trPr>
        <w:tc>
          <w:tcPr>
            <w:tcW w:w="2160" w:type="dxa"/>
            <w:vAlign w:val="bottom"/>
          </w:tcPr>
          <w:p>
            <w:pPr>
              <w:spacing w:after="0"/>
              <w:rPr>
                <w:sz w:val="24"/>
                <w:szCs w:val="24"/>
                <w:color w:val="auto"/>
              </w:rPr>
            </w:pPr>
          </w:p>
        </w:tc>
        <w:tc>
          <w:tcPr>
            <w:tcW w:w="88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2160" w:type="dxa"/>
            <w:vAlign w:val="bottom"/>
          </w:tcPr>
          <w:p>
            <w:pPr>
              <w:spacing w:after="0"/>
              <w:rPr>
                <w:sz w:val="24"/>
                <w:szCs w:val="24"/>
                <w:color w:val="auto"/>
              </w:rPr>
            </w:pPr>
          </w:p>
        </w:tc>
        <w:tc>
          <w:tcPr>
            <w:tcW w:w="88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2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2160" w:type="dxa"/>
            <w:vAlign w:val="bottom"/>
          </w:tcPr>
          <w:p>
            <w:pPr>
              <w:spacing w:after="0"/>
              <w:rPr>
                <w:sz w:val="24"/>
                <w:szCs w:val="24"/>
                <w:color w:val="auto"/>
              </w:rPr>
            </w:pPr>
          </w:p>
        </w:tc>
        <w:tc>
          <w:tcPr>
            <w:tcW w:w="886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24"/>
          </w:cols>
          <w:pgMar w:left="436" w:top="266" w:right="439" w:bottom="1440" w:gutter="0" w:footer="0" w:header="0"/>
          <w:type w:val="continuous"/>
        </w:sectPr>
      </w:pPr>
    </w:p>
    <w:bookmarkStart w:id="48" w:name="page49"/>
    <w:bookmarkEnd w:id="48"/>
    <w:p>
      <w:pPr>
        <w:ind w:left="3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70" w:right="1440" w:bottom="1440" w:gutter="0" w:footer="0" w:header="0"/>
        </w:sectPr>
      </w:pPr>
    </w:p>
    <w:bookmarkStart w:id="49" w:name="page50"/>
    <w:bookmarkEnd w:id="49"/>
    <w:p>
      <w:pPr>
        <w:ind w:left="4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Global 2028 Note)</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4.250% Senior Note due June 15, 2028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436"/>
        <w:spacing w:after="0" w:line="254"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at 4.250% per annum from the date hereof until maturity. The Company will pay interest on the 2028 Notes semi-annually in arrears on June 15 and December 15 of each year, commencing December 15, 2025, or if any such day is not a Business Day, on the next succeeding Business Day, and no additional interest will accrue on the amount so payable in respect of such 2028 Notes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2028 Notes will accrue from the most recent date to which interest has been paid or provided for or, if no interest has been paid or provided for, from June 16,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2028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2028 Notes to the extent lawful; it will pay interest (including post-petition interest in any proceeding under any Bankruptcy Law to the extent allowable) on overdue installments of interest at the same rate to the extent lawful. Interest on the 2028 Notes will be computed on the basis of a 360-day year of twelve 30-day months.</w:t>
      </w:r>
    </w:p>
    <w:p>
      <w:pPr>
        <w:spacing w:after="0" w:line="184" w:lineRule="exact"/>
        <w:rPr>
          <w:rFonts w:ascii="Times New Roman" w:cs="Times New Roman" w:eastAsia="Times New Roman" w:hAnsi="Times New Roman"/>
          <w:sz w:val="18"/>
          <w:szCs w:val="18"/>
          <w:color w:val="auto"/>
        </w:rPr>
      </w:pPr>
    </w:p>
    <w:p>
      <w:pPr>
        <w:ind w:right="160" w:firstLine="436"/>
        <w:spacing w:after="0" w:line="254"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interest on the 2028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2028 Notes at the close of business on the June 1 or December 1 (whether or not a Business Day) next preceding the applicable Interest Payment Date, even if such 2028 Notes are canceled after such record date and on or before such Interest Payment Date, except as provided in Section 2.13 of the Base Indenture with respect to defaulted interest. Principal and interest on the 2028 Notes will be payable at the office or agency of the Paying Agent and Registrar within the City and State of New York or, at the option of the Company, payment of interest may be made by check mailed to the Holders of the 2028 Notes at their respective addresses set forth in the register of Holders of 2028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Notes and all other 2028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rFonts w:ascii="Times New Roman" w:cs="Times New Roman" w:eastAsia="Times New Roman" w:hAnsi="Times New Roman"/>
          <w:sz w:val="18"/>
          <w:szCs w:val="18"/>
          <w:color w:val="auto"/>
        </w:rPr>
      </w:pPr>
    </w:p>
    <w:p>
      <w:pPr>
        <w:ind w:right="60" w:firstLine="436"/>
        <w:spacing w:after="0" w:line="267"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The Bank of New York Mellon Trust Company, N.A.,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and Registrar. The Company may change any Paying Agent or Registrar without notice to any Holder. The Company or any of its Subsidiaries may act in any such capacity.</w:t>
      </w:r>
    </w:p>
    <w:p>
      <w:pPr>
        <w:spacing w:after="0" w:line="17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2028 Note is one of a duly authenticated Series of securities of the Company issued and to be issued in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dated as of June 3, 2013, between the Company and the Trustee, as amended by the Supplemental Indenture, dated as of June 16, 2025, between the Company and the Trustee (the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terms of the 2028 Notes include those stated in the Indenture and those made part of the Indenture by reference to the TIA. The 2028 Notes are subject to all such terms, and Holders are referred to the Indenture and the TIA for a statement of such terms. To the extent any provision of this 2028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2028 Notes pursuant to Section 2.3 of the Supplemental Indenture.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50" w:name="page51"/>
    <w:bookmarkEnd w:id="50"/>
    <w:p>
      <w:pPr>
        <w:ind w:left="620" w:hanging="18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At any time prior to May 15, 2028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Company will have the right, at its option, to redeem the 2028 Notes,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960" w:right="14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2028 Notes matured on the Par Call Date) on a semi-annual basis (assuming a 360-day year consisting of twelve 30-day months) at the Treasury Rate plus 10 basis points less (ii) interest accrued to the date of redemption, and</w:t>
      </w:r>
    </w:p>
    <w:p>
      <w:pPr>
        <w:spacing w:after="0" w:line="81" w:lineRule="exact"/>
        <w:rPr>
          <w:sz w:val="20"/>
          <w:szCs w:val="20"/>
          <w:color w:val="auto"/>
        </w:rPr>
      </w:pPr>
    </w:p>
    <w:p>
      <w:pPr>
        <w:jc w:val="both"/>
        <w:ind w:right="5300" w:firstLine="428"/>
        <w:spacing w:after="0" w:line="530" w:lineRule="auto"/>
        <w:tabs>
          <w:tab w:leader="none" w:pos="97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2028 Notes to be redeemed, plus, in either case, accrued and unpaid interest thereon to the redemption date.</w:t>
      </w:r>
    </w:p>
    <w:p>
      <w:pPr>
        <w:spacing w:after="0" w:line="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will have the right, at its option, to redeem the 2028 Notes, in whole or in part, at any time and from time to time, at a redemption price equal to 100% of the principal amount of the 2028 Notes being redeemed plus accrued and unpaid interest thereon to the redemption date.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2028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2028 Notes for redemption will be made pro rata, by lot or by such other method as the Trustee in its sole discretion deems appropriate and fair. No 2028 Notes of a principal amount of $2,000 or less will be redeemed in part. If any note is to be redeemed in part only, the notice of redemption that relates to such 2028 Note will state the portion of the principal amount of the 2028 Note to be redeemed. A new 2028 Note in a principal amount equal to the unredeemed portion of the 2028 Note will be issued in the name of the holder of the 2028 Note upon surrender for cancellation of the original 2028 Note. For so long as the 2028 Notes are held by DTC (or another Depositary), the redemption of the 2028 Notes shall be done in accordance with the policies and procedures of the Depositary.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2028 Notes or portions thereof called for redemption.</w:t>
      </w:r>
    </w:p>
    <w:p>
      <w:pPr>
        <w:spacing w:after="0" w:line="160" w:lineRule="exact"/>
        <w:rPr>
          <w:sz w:val="20"/>
          <w:szCs w:val="20"/>
          <w:color w:val="auto"/>
        </w:rPr>
      </w:pPr>
    </w:p>
    <w:p>
      <w:pPr>
        <w:ind w:right="100" w:firstLine="436"/>
        <w:spacing w:after="0" w:line="284" w:lineRule="auto"/>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REDEMPTION. </w:t>
      </w:r>
      <w:r>
        <w:rPr>
          <w:rFonts w:ascii="Times New Roman" w:cs="Times New Roman" w:eastAsia="Times New Roman" w:hAnsi="Times New Roman"/>
          <w:sz w:val="18"/>
          <w:szCs w:val="18"/>
          <w:color w:val="auto"/>
        </w:rPr>
        <w:t>The Company is not required to make any mandatory redemption or sinking fund payments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2028 Notes.</w:t>
      </w:r>
    </w:p>
    <w:p>
      <w:pPr>
        <w:spacing w:after="0" w:line="158"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PURCHASE UPON CHANGE OF CONTROL</w:t>
      </w:r>
      <w:r>
        <w:rPr>
          <w:rFonts w:ascii="Times New Roman" w:cs="Times New Roman" w:eastAsia="Times New Roman" w:hAnsi="Times New Roman"/>
          <w:sz w:val="18"/>
          <w:szCs w:val="18"/>
          <w:color w:val="auto"/>
        </w:rPr>
        <w:t>. If a Change of Control Triggering Event occurs with respect to the 2028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 has exercised its option to redeem the 2028 Notes in full pursuant to Section 3.1 of the Supplemental Indenture or has defeased the 2028 Notes or satisfied and discharged the 2028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to each Holder of the 2028 Notes to repurchase all or any part (equal to $2,000 and in integral multiples of $1,000 in excess thereof; provided that the unrepurchased portion of a 2028 Note must be in a minimum principal amount of $2,000) of that Holder’s 2028 Notes pursuant to the terms set forth in the Indenture. In a Change of Control Offer, the Company shall be required to offer payment in cash equal to 101% of the aggregate principal amount of the 2028 Notes repurchased, plus accrued and unpaid interest, if any, on the 2028 Notes repurchased to the date of repurchase.</w:t>
      </w:r>
    </w:p>
    <w:p>
      <w:pPr>
        <w:spacing w:after="0" w:line="182" w:lineRule="exact"/>
        <w:rPr>
          <w:rFonts w:ascii="Times New Roman" w:cs="Times New Roman" w:eastAsia="Times New Roman" w:hAnsi="Times New Roman"/>
          <w:sz w:val="18"/>
          <w:szCs w:val="18"/>
          <w:color w:val="auto"/>
        </w:rPr>
      </w:pPr>
    </w:p>
    <w:p>
      <w:pPr>
        <w:ind w:right="120" w:firstLine="436"/>
        <w:spacing w:after="0" w:line="261" w:lineRule="auto"/>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2028 Notes are in registered form without coupons in denominations of $2,000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in excess thereof. 2028 Notes may be transferred or exchanged as provided in the Indenture. The Registrar and the Trustee may require a Holder, among other things, to furnish appropriate endorsements and transfer documents and the Company or the Trustee may require a Holder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68" w:right="479" w:bottom="1440" w:gutter="0" w:footer="0" w:header="0"/>
        </w:sectPr>
      </w:pPr>
    </w:p>
    <w:bookmarkStart w:id="51" w:name="page52"/>
    <w:bookmarkEnd w:id="51"/>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any taxes and fees required by law or permitted by the Indenture. The Company need not exchange or transfer any 2028 Note or portion of a 2028 Note selected for redemption, except for the unredeemed portion of any 2028 Note being redeemed in part. Also, the Company need not exchange or register the transfer of any 2028 Notes for a period of 15 days before the day of any selection of 2028 Notes being redeemed or during the period between a record date and the corresponding Interest Payment Date.</w:t>
      </w:r>
    </w:p>
    <w:p>
      <w:pPr>
        <w:spacing w:after="0" w:line="178" w:lineRule="exact"/>
        <w:rPr>
          <w:sz w:val="20"/>
          <w:szCs w:val="20"/>
          <w:color w:val="auto"/>
        </w:rPr>
      </w:pPr>
    </w:p>
    <w:p>
      <w:pPr>
        <w:ind w:left="4" w:right="120" w:firstLine="436"/>
        <w:spacing w:after="0" w:line="284" w:lineRule="auto"/>
        <w:tabs>
          <w:tab w:leader="none" w:pos="6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2028 Note may be treated as its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w:t>
      </w:r>
    </w:p>
    <w:p>
      <w:pPr>
        <w:spacing w:after="0" w:line="158"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7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SUPPLEMENT AND WAIVER</w:t>
      </w:r>
      <w:r>
        <w:rPr>
          <w:rFonts w:ascii="Times New Roman" w:cs="Times New Roman" w:eastAsia="Times New Roman" w:hAnsi="Times New Roman"/>
          <w:sz w:val="17"/>
          <w:szCs w:val="17"/>
          <w:color w:val="auto"/>
        </w:rPr>
        <w:t>. Subject to certain exceptions, the Indenture or the 2028 Notes may be amended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supplemented with the consent of the Holders of at least a majority in principal amount of the 2028 Notes then outstanding, including, without limitation, consents obtained in connection with a tender offer or exchange offer for the 2028 Notes, and any existing default or compliance with any provision of the Indenture or the 2028 Notes, may be waived with the consent of the Holders of a majority in principal amount of the then outstanding 2028 Notes, including, without limitation, consents obtained in connection with a tender offer or exchange offer for the 2028 Notes. Without the consent of any Holder of a 2028 Note, the Indenture or the 2028 Notes may be amended or supplemented (i) to cure any ambiguity, defect or inconsistency;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187" w:lineRule="exact"/>
        <w:rPr>
          <w:rFonts w:ascii="Times New Roman" w:cs="Times New Roman" w:eastAsia="Times New Roman" w:hAnsi="Times New Roman"/>
          <w:sz w:val="18"/>
          <w:szCs w:val="18"/>
          <w:color w:val="auto"/>
        </w:rPr>
      </w:pPr>
    </w:p>
    <w:p>
      <w:pPr>
        <w:ind w:left="4" w:right="220" w:firstLine="436"/>
        <w:spacing w:after="0" w:line="267" w:lineRule="auto"/>
        <w:tabs>
          <w:tab w:leader="none" w:pos="7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the 2028 Notes shall occur and be continuing, the principal 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and unpaid interest on, the outstanding 2028 Notes may be declared due and payable in the manner and with the effect provided in the Indenture.</w:t>
      </w:r>
    </w:p>
    <w:p>
      <w:pPr>
        <w:spacing w:after="0" w:line="173" w:lineRule="exact"/>
        <w:rPr>
          <w:rFonts w:ascii="Times New Roman" w:cs="Times New Roman" w:eastAsia="Times New Roman" w:hAnsi="Times New Roman"/>
          <w:sz w:val="18"/>
          <w:szCs w:val="18"/>
          <w:color w:val="auto"/>
        </w:rPr>
      </w:pPr>
    </w:p>
    <w:p>
      <w:pPr>
        <w:ind w:left="4" w:right="160" w:firstLine="436"/>
        <w:spacing w:after="0" w:line="284"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may otherwise deal with the Company or an Affiliate of the Company with the same rights it would have if it were not Trustee.</w:t>
      </w:r>
    </w:p>
    <w:p>
      <w:pPr>
        <w:spacing w:after="0" w:line="15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 director, officer, employee or stockholder, as such, of the Company will not have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Company under the 2028 Notes or the Indenture or for any claim based on, in respect of, or by reason of, such obligations or their creation. Each Holder by accepting a 2028 Note waives and releases all such liability. The waiver and release are part of the consideration for the issue of the 2028 Notes.</w:t>
      </w:r>
    </w:p>
    <w:p>
      <w:pPr>
        <w:spacing w:after="0" w:line="179" w:lineRule="exact"/>
        <w:rPr>
          <w:rFonts w:ascii="Times New Roman" w:cs="Times New Roman" w:eastAsia="Times New Roman" w:hAnsi="Times New Roman"/>
          <w:sz w:val="18"/>
          <w:szCs w:val="18"/>
          <w:color w:val="auto"/>
        </w:rPr>
      </w:pPr>
    </w:p>
    <w:p>
      <w:pPr>
        <w:ind w:left="4" w:right="820" w:firstLine="436"/>
        <w:spacing w:after="0" w:line="284"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2028 Note will not be valid until authenticated by the manual or electronic signature of the Trustee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authenticating agent.</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2028 Notes and the Trustee shall use CUSIP numbers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notices of redemption as a convenience to Holders. No representation is made as to the correctness of such numbers either as printed on the 2028 Notes or as contained in any notice of redemption and reliance may be placed only on the other elements of identification printed on the 2028 Notes, and any such redemption shall not be affected by any defect in or omission of such numbers. The Company will furnish to any Holder upon written request and without charge a copy of the Base Indenture and the Supplemental Indenture.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4"/>
          </w:cols>
          <w:pgMar w:left="436" w:top="270"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may be made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019"/>
          </w:cols>
          <w:pgMar w:left="440" w:top="270" w:right="1440"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 to transfer this Note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Your Signature: ______________________________</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Tax Identification No: _________________________</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40" w:top="266" w:right="51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2028 Note purchased by the Company pursuant to Section 4.1 of the Supplemental Indenture, check the box below:</w:t>
      </w:r>
    </w:p>
    <w:p>
      <w:pPr>
        <w:spacing w:after="0" w:line="54" w:lineRule="exact"/>
        <w:rPr>
          <w:sz w:val="20"/>
          <w:szCs w:val="20"/>
          <w:color w:val="auto"/>
        </w:rPr>
      </w:pPr>
    </w:p>
    <w:p>
      <w:pPr>
        <w:ind w:left="640" w:hanging="204"/>
        <w:spacing w:after="0"/>
        <w:tabs>
          <w:tab w:leader="none" w:pos="640" w:val="left"/>
        </w:tabs>
        <w:numPr>
          <w:ilvl w:val="0"/>
          <w:numId w:val="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4.1</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this 2028 Note purchased by the Company pursuant to Section 4.1 of the Supplemental Indenture, state the amount you elect to have purchased ($2,000 or integral multiples of $1,000 in excess thereof; provided that the unrepurchased portion of this 2028 Note must be in a minimum principal amount of $2,000): $________________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Your Signature: ______________________________</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Tax Identification No: _________________________</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40"/>
          </w:cols>
          <w:pgMar w:left="440" w:top="266" w:right="519" w:bottom="1440" w:gutter="0" w:footer="0" w:header="0"/>
        </w:sectPr>
      </w:pPr>
    </w:p>
    <w:bookmarkStart w:id="55" w:name="page56"/>
    <w:bookmarkEnd w:id="5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GLOBAL 2030 NOTE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(Face of Global 2030 Note)</w:t>
      </w:r>
    </w:p>
    <w:p>
      <w:pPr>
        <w:spacing w:after="0" w:line="225" w:lineRule="exact"/>
        <w:rPr>
          <w:sz w:val="20"/>
          <w:szCs w:val="20"/>
          <w:color w:val="auto"/>
        </w:rPr>
      </w:pPr>
    </w:p>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left="4" w:right="220" w:hanging="4"/>
        <w:spacing w:after="0" w:line="255" w:lineRule="auto"/>
        <w:tabs>
          <w:tab w:leader="none" w:pos="3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7"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8"/>
          <w:szCs w:val="18"/>
          <w:color w:val="auto"/>
        </w:rPr>
        <w:t>CUSIP: 032654 BE4</w:t>
      </w:r>
    </w:p>
    <w:p>
      <w:pPr>
        <w:spacing w:after="0" w:line="27" w:lineRule="exact"/>
        <w:rPr>
          <w:sz w:val="20"/>
          <w:szCs w:val="20"/>
          <w:color w:val="auto"/>
        </w:rPr>
      </w:pPr>
    </w:p>
    <w:p>
      <w:pPr>
        <w:ind w:left="9384"/>
        <w:spacing w:after="0"/>
        <w:rPr>
          <w:sz w:val="20"/>
          <w:szCs w:val="20"/>
          <w:color w:val="auto"/>
        </w:rPr>
      </w:pPr>
      <w:r>
        <w:rPr>
          <w:rFonts w:ascii="Times New Roman" w:cs="Times New Roman" w:eastAsia="Times New Roman" w:hAnsi="Times New Roman"/>
          <w:sz w:val="18"/>
          <w:szCs w:val="18"/>
          <w:color w:val="auto"/>
        </w:rPr>
        <w:t>ISIN: US032654BE47</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4.500% Senior Note due June 15, 2030</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304" w:space="720"/>
            <w:col w:w="1000"/>
          </w:cols>
          <w:pgMar w:left="436" w:top="266" w:right="439" w:bottom="1440" w:gutter="0" w:footer="0" w:header="0"/>
          <w:type w:val="continuous"/>
        </w:sectPr>
      </w:pPr>
    </w:p>
    <w:p>
      <w:pPr>
        <w:spacing w:after="0" w:line="25"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Analog Devices, Inc., a Massachusetts corporation, promises to pay to CEDE &amp; CO. or registered assigns, the principal sum of $        on June 15, 2030.</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June 15 and December 15</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81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June 1 and December 1</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40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59"/>
        </w:trPr>
        <w:tc>
          <w:tcPr>
            <w:tcW w:w="2880" w:type="dxa"/>
            <w:vAlign w:val="bottom"/>
          </w:tcPr>
          <w:p>
            <w:pPr>
              <w:spacing w:after="0"/>
              <w:rPr>
                <w:sz w:val="24"/>
                <w:szCs w:val="24"/>
                <w:color w:val="auto"/>
              </w:rPr>
            </w:pPr>
          </w:p>
        </w:tc>
        <w:tc>
          <w:tcPr>
            <w:tcW w:w="814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2880" w:type="dxa"/>
            <w:vAlign w:val="bottom"/>
          </w:tcPr>
          <w:p>
            <w:pPr>
              <w:spacing w:after="0"/>
              <w:rPr>
                <w:sz w:val="24"/>
                <w:szCs w:val="24"/>
                <w:color w:val="auto"/>
              </w:rPr>
            </w:pPr>
          </w:p>
        </w:tc>
        <w:tc>
          <w:tcPr>
            <w:tcW w:w="814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28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8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2880" w:type="dxa"/>
            <w:vAlign w:val="bottom"/>
          </w:tcPr>
          <w:p>
            <w:pPr>
              <w:spacing w:after="0"/>
              <w:rPr>
                <w:sz w:val="24"/>
                <w:szCs w:val="24"/>
                <w:color w:val="auto"/>
              </w:rPr>
            </w:pPr>
          </w:p>
        </w:tc>
        <w:tc>
          <w:tcPr>
            <w:tcW w:w="81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024"/>
          </w:cols>
          <w:pgMar w:left="436" w:top="266" w:right="439" w:bottom="1440" w:gutter="0" w:footer="0" w:header="0"/>
          <w:type w:val="continuous"/>
        </w:sectPr>
      </w:pPr>
    </w:p>
    <w:bookmarkStart w:id="56" w:name="page57"/>
    <w:bookmarkEnd w:id="56"/>
    <w:p>
      <w:pPr>
        <w:ind w:left="3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019"/>
          </w:cols>
          <w:pgMar w:left="440" w:top="270" w:right="1440" w:bottom="1440" w:gutter="0" w:footer="0" w:header="0"/>
        </w:sectPr>
      </w:pPr>
    </w:p>
    <w:bookmarkStart w:id="57" w:name="page58"/>
    <w:bookmarkEnd w:id="57"/>
    <w:p>
      <w:pPr>
        <w:ind w:left="4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Global 2030 Note)</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 Senior Note due June 15, 2030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436"/>
        <w:spacing w:after="0" w:line="254"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2030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at 4.500% per annum from the date hereof until maturity. The Company will pay interest on the 2030 Notes semi-annually in arrears on June 15 and December 15 of each year, commencing December 15, 2025, or if any such day is not a Business Day, on the next succeeding Business Day, and no additional interest will accrue on the amount so payable in respect of such 2030 Notes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2030 Notes will accrue from the most recent date to which interest has been paid or provided for or, if no interest has been paid or provided for, from June 16,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2030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2030 Notes to the extent lawful; it will pay interest (including post-petition interest in any proceeding under any Bankruptcy Law to the extent allowable) on overdue installments of interest at the same rate to the extent lawful. Interest on the 2030 Notes will be computed on the basis of a 360-day year of twelve 30-day months.</w:t>
      </w:r>
    </w:p>
    <w:p>
      <w:pPr>
        <w:spacing w:after="0" w:line="184" w:lineRule="exact"/>
        <w:rPr>
          <w:rFonts w:ascii="Times New Roman" w:cs="Times New Roman" w:eastAsia="Times New Roman" w:hAnsi="Times New Roman"/>
          <w:sz w:val="18"/>
          <w:szCs w:val="18"/>
          <w:color w:val="auto"/>
        </w:rPr>
      </w:pPr>
    </w:p>
    <w:p>
      <w:pPr>
        <w:ind w:right="160" w:firstLine="436"/>
        <w:spacing w:after="0" w:line="254"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interest on the 2030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2030 Notes at the close of business on the June 1 or December 1 (whether or not a Business Day) next preceding the applicable Interest Payment Date, even if such 2030 Notes are canceled after such record date and on or before such Interest Payment Date, except as provided in Section 2.13 of the Base Indenture with respect to defaulted interest. Principal and interest on the 2030 Notes will be payable at the office or agency of the Paying Agent and Registrar within the City and State of New York or, at the option of the Company, payment of interest may be made by check mailed to the Holders of the 2030 Notes at their respective addresses set forth in the register of Holders of 2030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Notes and all other 2030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rFonts w:ascii="Times New Roman" w:cs="Times New Roman" w:eastAsia="Times New Roman" w:hAnsi="Times New Roman"/>
          <w:sz w:val="18"/>
          <w:szCs w:val="18"/>
          <w:color w:val="auto"/>
        </w:rPr>
      </w:pPr>
    </w:p>
    <w:p>
      <w:pPr>
        <w:ind w:right="60" w:firstLine="436"/>
        <w:spacing w:after="0" w:line="267"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The Bank of New York Mellon Trust Company, N.A.,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and Registrar. The Company may change any Paying Agent or Registrar without notice to any Holder. The Company or any of its Subsidiaries may act in any such capacity.</w:t>
      </w:r>
    </w:p>
    <w:p>
      <w:pPr>
        <w:spacing w:after="0" w:line="17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2030 Note is one of a duly authenticated Series of securities of the Company issued and to be issued in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dated as of June 3, 2013, between the Company and the Trustee, as amended by the Supplemental Indenture, dated as of June 16, 2025, between the Company and the Trustee (the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terms of the 2030 Notes include those stated in the Indenture and those made part of the Indenture by reference to the TIA. The 2030 Notes are subject to all such terms, and Holders are referred to the Indenture and the TIA for a statement of such terms. To the extent any provision of this 2030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2030 Notes pursuant to Section 2.3 of the Supplemental Indenture.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70" w:right="459" w:bottom="1440" w:gutter="0" w:footer="0" w:header="0"/>
        </w:sectPr>
      </w:pPr>
    </w:p>
    <w:bookmarkStart w:id="58" w:name="page59"/>
    <w:bookmarkEnd w:id="58"/>
    <w:p>
      <w:pPr>
        <w:ind w:left="620" w:hanging="184"/>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At any time prior to May 15, 2030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Company will have the right, at its option, to redeem the 2030 Notes,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960" w:right="140" w:hanging="532"/>
        <w:spacing w:after="0" w:line="266"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2030 Notes matured on the Par Call Date) on a semi-annual basis (assuming a 360-day year consisting of twelve 30-day months) at the Treasury Rate plus 10 basis points less (ii) interest accrued to the date of redemption, and</w:t>
      </w:r>
    </w:p>
    <w:p>
      <w:pPr>
        <w:spacing w:after="0" w:line="81" w:lineRule="exact"/>
        <w:rPr>
          <w:sz w:val="20"/>
          <w:szCs w:val="20"/>
          <w:color w:val="auto"/>
        </w:rPr>
      </w:pPr>
    </w:p>
    <w:p>
      <w:pPr>
        <w:jc w:val="both"/>
        <w:ind w:right="5300" w:firstLine="428"/>
        <w:spacing w:after="0" w:line="530" w:lineRule="auto"/>
        <w:tabs>
          <w:tab w:leader="none" w:pos="97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2030 Notes to be redeemed, plus, in either case, accrued and unpaid interest thereon to the redemption date.</w:t>
      </w:r>
    </w:p>
    <w:p>
      <w:pPr>
        <w:spacing w:after="0" w:line="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will have the right, at its option, to redeem the 2030 Notes, in whole or in part, at any time and from time to time, at a redemption price equal to 100% of the principal amount of the 2030 Notes being redeemed plus accrued and unpaid interest thereon to the redemption date.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2030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2030 Notes for redemption will be made pro rata, by lot or by such other method as the Trustee in its sole discretion deems appropriate and fair. No 2030 Notes of a principal amount of $2,000 or less will be redeemed in part. If any note is to be redeemed in part only, the notice of redemption that relates to such 2030 Note will state the portion of the principal amount of the 2030 Note to be redeemed. A new 2030 Note in a principal amount equal to the unredeemed portion of the 2030 Note will be issued in the name of the holder of the 2030 Note upon surrender for cancellation of the original 2030 Note. For so long as the 2030 Notes are held by DTC (or another Depositary), the redemption of the 2030 Notes shall be done in accordance with the policies and procedures of the Depositary.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2030 Notes or portions thereof called for redemption.</w:t>
      </w:r>
    </w:p>
    <w:p>
      <w:pPr>
        <w:spacing w:after="0" w:line="160" w:lineRule="exact"/>
        <w:rPr>
          <w:sz w:val="20"/>
          <w:szCs w:val="20"/>
          <w:color w:val="auto"/>
        </w:rPr>
      </w:pPr>
    </w:p>
    <w:p>
      <w:pPr>
        <w:ind w:right="100" w:firstLine="436"/>
        <w:spacing w:after="0" w:line="284"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REDEMPTION. </w:t>
      </w:r>
      <w:r>
        <w:rPr>
          <w:rFonts w:ascii="Times New Roman" w:cs="Times New Roman" w:eastAsia="Times New Roman" w:hAnsi="Times New Roman"/>
          <w:sz w:val="18"/>
          <w:szCs w:val="18"/>
          <w:color w:val="auto"/>
        </w:rPr>
        <w:t>The Company is not required to make any mandatory redemption or sinking fund payments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2030 Notes.</w:t>
      </w:r>
    </w:p>
    <w:p>
      <w:pPr>
        <w:spacing w:after="0" w:line="158"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PURCHASE UPON CHANGE OF CONTROL</w:t>
      </w:r>
      <w:r>
        <w:rPr>
          <w:rFonts w:ascii="Times New Roman" w:cs="Times New Roman" w:eastAsia="Times New Roman" w:hAnsi="Times New Roman"/>
          <w:sz w:val="18"/>
          <w:szCs w:val="18"/>
          <w:color w:val="auto"/>
        </w:rPr>
        <w:t>. If a Change of Control Triggering Event occurs with respect to the 2030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 has exercised its option to redeem the 2030 Notes in full pursuant to Section 3.1 of the Supplemental Indenture or has defeased the 2030 Notes or satisfied and discharged the 2030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to each Holder of the 2030 Notes to repurchase all or any part (equal to $2,000 and in integral multiples of $1,000 in excess thereof; provided that the unrepurchased portion of a 2030 Note must be in a minimum principal amount of $2,000) of that Holder’s 2030 Notes pursuant to the terms set forth in the Indenture. In a Change of Control Offer, the Company shall be required to offer payment in cash equal to 101% of the aggregate principal amount of the 2030 Notes repurchased, plus accrued and unpaid interest, if any, on the 2030 Notes repurchased to the date of repurchase.</w:t>
      </w:r>
    </w:p>
    <w:p>
      <w:pPr>
        <w:spacing w:after="0" w:line="182" w:lineRule="exact"/>
        <w:rPr>
          <w:rFonts w:ascii="Times New Roman" w:cs="Times New Roman" w:eastAsia="Times New Roman" w:hAnsi="Times New Roman"/>
          <w:sz w:val="18"/>
          <w:szCs w:val="18"/>
          <w:color w:val="auto"/>
        </w:rPr>
      </w:pPr>
    </w:p>
    <w:p>
      <w:pPr>
        <w:ind w:right="120" w:firstLine="436"/>
        <w:spacing w:after="0" w:line="261"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2030 Notes are in registered form without coupons in denominations of $2,000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in excess thereof. 2030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80"/>
          </w:cols>
          <w:pgMar w:left="440" w:top="268" w:right="479" w:bottom="1440" w:gutter="0" w:footer="0" w:header="0"/>
        </w:sectPr>
      </w:pPr>
    </w:p>
    <w:bookmarkStart w:id="59" w:name="page60"/>
    <w:bookmarkEnd w:id="59"/>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2030 Note or portion of a 2030 Note selected for redemption, except for the unredeemed portion of any 2030 Note being redeemed in part. Also, the Company need not exchange or register the transfer of any 2030 Notes for a period of 15 days before the day of any selection of 2030 Notes being redeemed or during the period between a record date and the corresponding Interest Payment Date.</w:t>
      </w:r>
    </w:p>
    <w:p>
      <w:pPr>
        <w:spacing w:after="0" w:line="174" w:lineRule="exact"/>
        <w:rPr>
          <w:sz w:val="20"/>
          <w:szCs w:val="20"/>
          <w:color w:val="auto"/>
        </w:rPr>
      </w:pPr>
    </w:p>
    <w:p>
      <w:pPr>
        <w:ind w:left="4" w:right="120" w:firstLine="436"/>
        <w:spacing w:after="0" w:line="284" w:lineRule="auto"/>
        <w:tabs>
          <w:tab w:leader="none" w:pos="62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2030 Note may be treated as its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w:t>
      </w:r>
    </w:p>
    <w:p>
      <w:pPr>
        <w:spacing w:after="0" w:line="158"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71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SUPPLEMENT AND WAIVER</w:t>
      </w:r>
      <w:r>
        <w:rPr>
          <w:rFonts w:ascii="Times New Roman" w:cs="Times New Roman" w:eastAsia="Times New Roman" w:hAnsi="Times New Roman"/>
          <w:sz w:val="17"/>
          <w:szCs w:val="17"/>
          <w:color w:val="auto"/>
        </w:rPr>
        <w:t>. Subject to certain exceptions, the Indenture or the 2030 Notes may be amended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supplemented with the consent of the Holders of at least a majority in principal amount of the 2030 Notes then outstanding, including, without limitation, consents obtained in connection with a tender offer or exchange offer for the 2030 Notes, and any existing default or compliance with any provision of the Indenture or the 2030 Notes, may be waived with the consent of the Holders of a majority in principal amount of the then outstanding 2030 Notes, including, without limitation, consents obtained in connection with a tender offer or exchange offer for the 2030 Notes. Without the consent of any Holder of a 2030 Note, the Indenture or the 2030 Notes may be amended or supplemented (i) to cure any ambiguity, defect or inconsistency;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187" w:lineRule="exact"/>
        <w:rPr>
          <w:rFonts w:ascii="Times New Roman" w:cs="Times New Roman" w:eastAsia="Times New Roman" w:hAnsi="Times New Roman"/>
          <w:sz w:val="18"/>
          <w:szCs w:val="18"/>
          <w:color w:val="auto"/>
        </w:rPr>
      </w:pPr>
    </w:p>
    <w:p>
      <w:pPr>
        <w:ind w:left="4" w:right="220" w:firstLine="436"/>
        <w:spacing w:after="0" w:line="267" w:lineRule="auto"/>
        <w:tabs>
          <w:tab w:leader="none" w:pos="7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the 2030 Notes shall occur and be continuing, the principal 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and unpaid interest on, the outstanding 2030 Notes may be declared due and payable in the manner and with the effect provided in the Indenture.</w:t>
      </w:r>
    </w:p>
    <w:p>
      <w:pPr>
        <w:spacing w:after="0" w:line="173" w:lineRule="exact"/>
        <w:rPr>
          <w:rFonts w:ascii="Times New Roman" w:cs="Times New Roman" w:eastAsia="Times New Roman" w:hAnsi="Times New Roman"/>
          <w:sz w:val="18"/>
          <w:szCs w:val="18"/>
          <w:color w:val="auto"/>
        </w:rPr>
      </w:pPr>
    </w:p>
    <w:p>
      <w:pPr>
        <w:ind w:left="4" w:right="160" w:firstLine="436"/>
        <w:spacing w:after="0" w:line="284" w:lineRule="auto"/>
        <w:tabs>
          <w:tab w:leader="none" w:pos="7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2030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may otherwise deal with the Company or an Affiliate of the Company with the same rights it would have if it were not Trustee.</w:t>
      </w:r>
    </w:p>
    <w:p>
      <w:pPr>
        <w:spacing w:after="0" w:line="15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 director, officer, employee or stockholder, as such, of the Company will not have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Company under the 2030 Notes or the Indenture or for any claim based on, in respect of, or by reason of, such obligations or their creation. Each Holder by accepting a 2030 Note waives and releases all such liability. The waiver and release are part of the consideration for the issue of the 2030 Notes.</w:t>
      </w:r>
    </w:p>
    <w:p>
      <w:pPr>
        <w:spacing w:after="0" w:line="179" w:lineRule="exact"/>
        <w:rPr>
          <w:rFonts w:ascii="Times New Roman" w:cs="Times New Roman" w:eastAsia="Times New Roman" w:hAnsi="Times New Roman"/>
          <w:sz w:val="18"/>
          <w:szCs w:val="18"/>
          <w:color w:val="auto"/>
        </w:rPr>
      </w:pPr>
    </w:p>
    <w:p>
      <w:pPr>
        <w:ind w:left="4" w:right="820" w:firstLine="436"/>
        <w:spacing w:after="0" w:line="284" w:lineRule="auto"/>
        <w:tabs>
          <w:tab w:leader="none" w:pos="7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2030 Note will not be valid until authenticated by the manual or electronic signature of the Trustee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authenticating agent.</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7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2030 Notes and the Trustee shall use CUSIP numbers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notices of redemption as a convenience to Holders. No representation is made as to the correctness of such numbers either as printed on the 2030 Notes or as contained in any notice of redemption and reliance may be placed only on the other elements of identification printed on the 2030 Notes, and any such redemption shall not be affected by any defect in or omission of such numbers. The Company will furnish to any Holder upon written request and without charge a copy of the Base Indenture and the Supplemental Indenture.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04"/>
          </w:cols>
          <w:pgMar w:left="436"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may be made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019"/>
          </w:cols>
          <w:pgMar w:left="440" w:top="270" w:right="1440"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 to transfer this Note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Your Signature: ______________________________</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Tax Identification No: _________________________</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940"/>
          </w:cols>
          <w:pgMar w:left="440" w:top="266" w:right="51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2030 Note purchased by the Company pursuant to Section 4.1 of the Supplemental Indenture, check the box below:</w:t>
      </w:r>
    </w:p>
    <w:p>
      <w:pPr>
        <w:spacing w:after="0" w:line="54" w:lineRule="exact"/>
        <w:rPr>
          <w:sz w:val="20"/>
          <w:szCs w:val="20"/>
          <w:color w:val="auto"/>
        </w:rPr>
      </w:pPr>
    </w:p>
    <w:p>
      <w:pPr>
        <w:ind w:left="640" w:hanging="204"/>
        <w:spacing w:after="0"/>
        <w:tabs>
          <w:tab w:leader="none" w:pos="640"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4.1</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this 2030 Note purchased by the Company pursuant to Section 4.1 of the Supplemental Indenture, state the amount you elect to have purchased ($2,000 or integral multiples of $1,000 in excess thereof; provided that the unrepurchased portion of this 2030 Note must be in a minimum principal amount of $2,000): $________________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Your Signature: ______________________________</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Tax Identification No: _________________________</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940"/>
          </w:cols>
          <w:pgMar w:left="440" w:top="266" w:right="5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028700" cy="6000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3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212.335.4500</w:t>
      </w:r>
    </w:p>
    <w:p>
      <w:pPr>
        <w:spacing w:after="0" w:line="3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212.335.4501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Analog Devices,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$850,000,000 4.250% Senior Notes due 2028 and $650,000,000 4.500% Senior Notes due 2030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have acted as counsel to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of $850,000,000 aggregate principal amount of 4.250% Senior Notes due 2028 and $650,000,000 aggregate principal amount of 4.500% Senior Notes due 2030 (the “Notes”) of the Company, pursuant to the terms of an Underwriting Agreement, dated June 12, 2025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BofA Securities, Inc., as representative of the several underwriters named therein. The Notes are to be issued pursuant to an indenture dated as of June 3, 2013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The Bank of New York Mellon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supplemental indenture, dated as of June 16, 2025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w:t>
      </w:r>
    </w:p>
    <w:p>
      <w:pPr>
        <w:spacing w:after="0" w:line="67" w:lineRule="exact"/>
        <w:rPr>
          <w:sz w:val="20"/>
          <w:szCs w:val="20"/>
          <w:color w:val="auto"/>
        </w:rPr>
      </w:pPr>
    </w:p>
    <w:p>
      <w:pPr>
        <w:ind w:left="960" w:right="34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Articles of Organization of the Company, adopted as of March 12, 2025, as certified by the Secretary of the Commonwealth of Massachusetts on March 13, 2025 and certified by the Secretary of the Company as of the date hereof;</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By-Laws of the Company, dated as of January 9, 2025, as certified by the Secretary of the Company on the date hereof;</w:t>
      </w:r>
    </w:p>
    <w:p>
      <w:pPr>
        <w:spacing w:after="0" w:line="67"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duly adopted by the Company’s Audit Committee, dated May 20, 2025 and the Board of Directors, dated May 21, 2025 and the written designation regarding pricing executed by an officer of the Company, duly authorized by the Audit Committee and the Board of Directors, dated June 12, 2025 (the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as certified by the Secretary of the Company on the date hereof;</w:t>
      </w:r>
    </w:p>
    <w:p>
      <w:pPr>
        <w:spacing w:after="0" w:line="81"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shelf registration statement on Form S-3 (File No. 333-281670) prepared and filed by the Company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August 21, 2024 (as amended through the date hereof, including the documents incorporated by reference or deemed to be incorporated by reference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base prospectus, dated August 21, 2024, included therein at the time the Registration Statement became effective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June 12, 2025, as filed by the Company with the Commission on June 12, 2025 pursuant to Rule 424(b) under the Securities Act of 1933, as amended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right="200" w:hanging="532"/>
        <w:spacing w:after="0" w:line="312" w:lineRule="auto"/>
        <w:tabs>
          <w:tab w:leader="none" w:pos="9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supplement dated June 12, 2025, as filed by the Company with the Commission on June 13, 2025 pursuant to Rule 424(b) under the Securities Act of 1933, as amended (the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and, together with the Base Prospectus,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w:t>
      </w:r>
    </w:p>
    <w:p>
      <w:pPr>
        <w:sectPr>
          <w:pgSz w:w="11900" w:h="16838" w:orient="portrait"/>
          <w:cols w:equalWidth="0" w:num="1">
            <w:col w:w="11020"/>
          </w:cols>
          <w:pgMar w:left="440" w:top="117"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global notes evidencing the Notes;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certificate of the Secretary of the Company, dated as of the date hereof, as to certain factual matters;</w:t>
      </w:r>
    </w:p>
    <w:p>
      <w:pPr>
        <w:spacing w:after="0" w:line="130"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the Company, dated June 12, 2025, issued by the Secretary of the Commonwealth of the Commonwealth of Massachusetts, and a bring-down letter of good standing dated June 16, 2025 (the “</w:t>
      </w:r>
      <w:r>
        <w:rPr>
          <w:rFonts w:ascii="Times New Roman" w:cs="Times New Roman" w:eastAsia="Times New Roman" w:hAnsi="Times New Roman"/>
          <w:sz w:val="18"/>
          <w:szCs w:val="18"/>
          <w:u w:val="single" w:color="auto"/>
          <w:color w:val="auto"/>
        </w:rPr>
        <w:t>Good Standing Certificates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purposes of the opinion expressed below, we have assumed (i) the authenticity of all documents submitted to us as originals, (ii) the conformity to the originals of all documents submitted as certified or photostatic copies and the authenticity of the originals thereof, (iii) the legal capacity of natural persons, (iv) the genuineness of all signatures and (v) the due authorization, execution and delivery of all documents by all parties and the validity and binding effect and enforceability thereof upon the Company (except as expressed in our opinion below).</w:t>
      </w:r>
    </w:p>
    <w:p>
      <w:pPr>
        <w:spacing w:after="0" w:line="18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Based upon the foregoing, and having regard for such legal considerations as we have considered necessary for purposes hereof, we are of the opinion that:</w:t>
      </w:r>
    </w:p>
    <w:p>
      <w:pPr>
        <w:spacing w:after="0" w:line="67" w:lineRule="exact"/>
        <w:rPr>
          <w:sz w:val="20"/>
          <w:szCs w:val="20"/>
          <w:color w:val="auto"/>
        </w:rPr>
      </w:pPr>
    </w:p>
    <w:p>
      <w:pPr>
        <w:ind w:left="960" w:right="38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under and by virtue of the laws of the Commonwealth of Massachusetts and is in good standing with the Secretary of the Commonwealth of Massachusetts, and has the requisite corporate power to issue the Notes; and</w:t>
      </w:r>
    </w:p>
    <w:p>
      <w:pPr>
        <w:spacing w:after="0" w:line="67"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in the form contemplated by the Indenture, have been duly authorized by the Company for issuance and sale pursuant to the Underwriting Agreement and, when authenticated by the Trustee in accordance with the Indenture (assuming the due authorization, execution and delivery of the Indenture by the Trustee) and delivered by the Company in accordance with the terms of the Underwriting Agreement against payment therefor in accordance with the Resolutions and the terms of the Underwriting Agreement, will constitute valid and binding obligations of the Company under New York law, enforceable against the Company under New York law in accordance with their terms, and will be entitled to the benefits of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paragraph 1 with respect to the valid existence and good standing of the Company is based solely on the Good Standing Certificates.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in paragraph 2 is subject to the following additional assumptions and qualifications:</w:t>
      </w:r>
    </w:p>
    <w:p>
      <w:pPr>
        <w:spacing w:after="0" w:line="131" w:lineRule="exact"/>
        <w:rPr>
          <w:sz w:val="20"/>
          <w:szCs w:val="20"/>
          <w:color w:val="auto"/>
        </w:rPr>
      </w:pPr>
    </w:p>
    <w:p>
      <w:pPr>
        <w:ind w:left="960" w:right="40" w:hanging="532"/>
        <w:spacing w:after="0" w:line="276" w:lineRule="auto"/>
        <w:tabs>
          <w:tab w:leader="none" w:pos="9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Enforceability is subject to, and may be limited by: (i) bankruptcy, insolvency, reorganization, arrangement, moratorium and other similar laws affecting creditors’ rights generally, including, without limitation, laws regarding fraudulent conveyances and preferential transfers;</w:t>
      </w:r>
    </w:p>
    <w:p>
      <w:pPr>
        <w:jc w:val="both"/>
        <w:ind w:left="960" w:right="100" w:firstLine="8"/>
        <w:spacing w:after="0" w:line="265" w:lineRule="auto"/>
        <w:tabs>
          <w:tab w:leader="none" w:pos="122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principles of equity, including, without limitation, concepts of materiality, reasonableness, good faith and fair dealing and the possible unavailability of specific performance or injunctive relief (regardless of whether considered in a proceeding at law or in equity);</w:t>
      </w:r>
    </w:p>
    <w:p>
      <w:pPr>
        <w:ind w:left="960" w:right="20" w:firstLine="8"/>
        <w:spacing w:after="0" w:line="260" w:lineRule="auto"/>
        <w:tabs>
          <w:tab w:leader="none" w:pos="127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decision or rule of law prohibiting or limiting the exercise of simultaneous remedies; and (iv) limitations or qualifications on the enforcement of certain rights, remedies, waivers and other provisions by the jurisdiction in which enforcement thereof is sought.</w:t>
      </w:r>
    </w:p>
    <w:p>
      <w:pPr>
        <w:spacing w:after="0" w:line="86" w:lineRule="exact"/>
        <w:rPr>
          <w:rFonts w:ascii="Times New Roman" w:cs="Times New Roman" w:eastAsia="Times New Roman" w:hAnsi="Times New Roman"/>
          <w:sz w:val="18"/>
          <w:szCs w:val="18"/>
          <w:color w:val="auto"/>
        </w:rPr>
      </w:pPr>
    </w:p>
    <w:p>
      <w:pPr>
        <w:ind w:left="960" w:right="160" w:hanging="532"/>
        <w:spacing w:after="0" w:line="255"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we express no opinion on any provision contained in the Indenture or the Notes (i) relating to indemnification or contribution which are violative of the public policy underlying any law, rule or regulation (including any federal or state securities law, rule or regulation), or that purports to release, exculpate or exempt a party from, or requiring indemnification of a party for, liability for its own action or inaction, to the extent the action or inaction involves gross negligence, recklessness, willful misconduct or unlawful conduct;</w:t>
      </w:r>
    </w:p>
    <w:p>
      <w:pPr>
        <w:spacing w:after="0" w:line="2" w:lineRule="exact"/>
        <w:rPr>
          <w:rFonts w:ascii="Times New Roman" w:cs="Times New Roman" w:eastAsia="Times New Roman" w:hAnsi="Times New Roman"/>
          <w:sz w:val="18"/>
          <w:szCs w:val="18"/>
          <w:color w:val="auto"/>
        </w:rPr>
      </w:pPr>
    </w:p>
    <w:p>
      <w:pPr>
        <w:ind w:left="960" w:right="400" w:firstLine="8"/>
        <w:spacing w:after="0" w:line="265" w:lineRule="auto"/>
        <w:tabs>
          <w:tab w:leader="none" w:pos="122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purporting to require a party thereto to pay or reimburse attorneys’ fees incurred by another party, or to indemnify another party therefor, which provisions may be limited by applicable statutes and decisions relating to the collection and award of attorneys’ fees;</w:t>
      </w:r>
    </w:p>
    <w:p>
      <w:pPr>
        <w:ind w:left="960" w:firstLine="8"/>
        <w:spacing w:after="0" w:line="253" w:lineRule="auto"/>
        <w:tabs>
          <w:tab w:leader="none" w:pos="127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consents to or restrictions upon governing law; (iv) regarding consent to service, jurisdiction, venue or forum of any claim, demand, action or cause of action arising under or related to the Indenture, the Notes or the transactions contemplated therein, which may not be binding on the courts in the forums selected or excluded; (v) purporting to waive certain rights or defenses, including the waiver by any party of the right to trial by jury, to the extent that such a waiver is deemed to violate public policy; (vi) that requires waiver or amendments to be made only in writing, or (vii) regarding the severability, if invalid, of provisions of such agreements.</w:t>
      </w:r>
    </w:p>
    <w:p>
      <w:pPr>
        <w:sectPr>
          <w:pgSz w:w="11900" w:h="16838" w:orient="portrait"/>
          <w:cols w:equalWidth="0" w:num="1">
            <w:col w:w="10920"/>
          </w:cols>
          <w:pgMar w:left="440" w:top="270"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purport to express any opinion on any laws other than (i) the Massachusetts Business Corporation Act (without regard for decisional law), (ii) the laws of the State of New York (excluding state securities or blue sky laws), and (iii) the federal laws of the United States of America.</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which is incorporated by reference in the Registration Statement in accordance with the requirements of Form S-3 and the rules and regulations promulgated under the Securities Act. We hereby consent to the filing of this opinion as Exhibit 5.1 to the Registration Statement with the Commission on the date hereof and to the use of the name of our firm in the section entitled “Legal Matters” in the Preliminary Prospectus and the Prospectus. In giving this consent, we do not admit that we are within the category of persons whose consent is required by Section 7 of the Securities Act or the rules and regulations promulgated thereunder by the Commission.</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This opinion is limited to the matters stated in this letter, and no opinion may be implied or inferred beyond the matters expressly stated in this letter. This opinion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-125095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
      <w:numFmt w:val="bullet"/>
      <w:start w:val="1"/>
    </w:lvl>
  </w:abstractNum>
  <w:abstractNum w:abstractNumId="2">
    <w:nsid w:val="6A2342EC"/>
    <w:multiLevelType w:val="hybridMultilevel"/>
    <w:lvl w:ilvl="0">
      <w:lvlJc w:val="left"/>
      <w:lvlText w:val="%1."/>
      <w:numFmt w:val="decimal"/>
      <w:start w:val="1"/>
    </w:lvl>
    <w:lvl w:ilvl="1">
      <w:lvlJc w:val="left"/>
      <w:lvlText w:val="(%2)"/>
      <w:numFmt w:val="lowerLetter"/>
      <w:start w:val="1"/>
    </w:lvl>
  </w:abstractNum>
  <w:abstractNum w:abstractNumId="3">
    <w:nsid w:val="2A487CB0"/>
    <w:multiLevelType w:val="hybridMultilevel"/>
    <w:lvl w:ilvl="0">
      <w:lvlJc w:val="left"/>
      <w:lvlText w:val="(%1)"/>
      <w:numFmt w:val="lowerLetter"/>
      <w:start w:val="2"/>
    </w:lvl>
  </w:abstractNum>
  <w:abstractNum w:abstractNumId="4">
    <w:nsid w:val="1D4ED4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
    <w:nsid w:val="725A06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
    <w:nsid w:val="2CD89A32"/>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7">
    <w:nsid w:val="57E4CCAF"/>
    <w:multiLevelType w:val="hybridMultilevel"/>
    <w:lvl w:ilvl="0">
      <w:lvlJc w:val="left"/>
      <w:lvlText w:val="(%1)"/>
      <w:numFmt w:val="lowerLetter"/>
      <w:start w:val="9"/>
    </w:lvl>
    <w:lvl w:ilvl="1">
      <w:lvlJc w:val="left"/>
      <w:lvlText w:val="(%2)"/>
      <w:numFmt w:val="lowerLetter"/>
      <w:start w:val="7"/>
    </w:lvl>
  </w:abstractNum>
  <w:abstractNum w:abstractNumId="8">
    <w:nsid w:val="7A6D8D3C"/>
    <w:multiLevelType w:val="hybridMultilevel"/>
    <w:lvl w:ilvl="0">
      <w:lvlJc w:val="left"/>
      <w:lvlText w:val="%1"/>
      <w:numFmt w:val="lowerLetter"/>
      <w:start w:val="1"/>
    </w:lvl>
    <w:lvl w:ilvl="1">
      <w:lvlJc w:val="left"/>
      <w:lvlText w:val="(%2)"/>
      <w:numFmt w:val="lowerLetter"/>
      <w:start w:val="12"/>
    </w:lvl>
  </w:abstractNum>
  <w:abstractNum w:abstractNumId="9">
    <w:nsid w:val="4B588F54"/>
    <w:multiLevelType w:val="hybridMultilevel"/>
    <w:lvl w:ilvl="0">
      <w:lvlJc w:val="left"/>
      <w:lvlText w:val="(%1)"/>
      <w:numFmt w:val="lowerLetter"/>
      <w:start w:val="35"/>
    </w:lvl>
    <w:lvl w:ilvl="1">
      <w:lvlJc w:val="left"/>
      <w:lvlText w:val="(%2)"/>
      <w:numFmt w:val="lowerLetter"/>
      <w:start w:val="13"/>
    </w:lvl>
  </w:abstractNum>
  <w:abstractNum w:abstractNumId="10">
    <w:nsid w:val="542289EC"/>
    <w:multiLevelType w:val="hybridMultilevel"/>
    <w:lvl w:ilvl="0">
      <w:lvlJc w:val="left"/>
      <w:lvlText w:val="(%1)"/>
      <w:numFmt w:val="lowerLetter"/>
      <w:start w:val="18"/>
    </w:lvl>
  </w:abstractNum>
  <w:abstractNum w:abstractNumId="11">
    <w:nsid w:val="6DE91B18"/>
    <w:multiLevelType w:val="hybridMultilevel"/>
    <w:lvl w:ilvl="0">
      <w:lvlJc w:val="left"/>
      <w:lvlText w:val="(%1)"/>
      <w:numFmt w:val="lowerLetter"/>
      <w:start w:val="22"/>
    </w:lvl>
  </w:abstractNum>
  <w:abstractNum w:abstractNumId="12">
    <w:nsid w:val="38437FDB"/>
    <w:multiLevelType w:val="hybridMultilevel"/>
    <w:lvl w:ilvl="0">
      <w:lvlJc w:val="left"/>
      <w:lvlText w:val="(%1)"/>
      <w:numFmt w:val="lowerLetter"/>
      <w:start w:val="27"/>
    </w:lvl>
  </w:abstractNum>
  <w:abstractNum w:abstractNumId="13">
    <w:nsid w:val="7644A45C"/>
    <w:multiLevelType w:val="hybridMultilevel"/>
    <w:lvl w:ilvl="0">
      <w:lvlJc w:val="left"/>
      <w:lvlText w:val="%1"/>
      <w:numFmt w:val="decimal"/>
      <w:start w:val="1"/>
    </w:lvl>
    <w:lvl w:ilvl="1">
      <w:lvlJc w:val="left"/>
      <w:lvlText w:val="(%2)"/>
      <w:numFmt w:val="lowerLetter"/>
      <w:start w:val="28"/>
    </w:lvl>
  </w:abstractNum>
  <w:abstractNum w:abstractNumId="14">
    <w:nsid w:val="32FFF902"/>
    <w:multiLevelType w:val="hybridMultilevel"/>
    <w:lvl w:ilvl="0">
      <w:lvlJc w:val="left"/>
      <w:lvlText w:val="%1."/>
      <w:numFmt w:val="decimal"/>
      <w:start w:val="3"/>
    </w:lvl>
    <w:lvl w:ilvl="1">
      <w:lvlJc w:val="left"/>
      <w:lvlText w:val="%2"/>
      <w:numFmt w:val="lowerLetter"/>
      <w:start w:val="1"/>
    </w:lvl>
  </w:abstractNum>
  <w:abstractNum w:abstractNumId="15">
    <w:nsid w:val="684A481A"/>
    <w:multiLevelType w:val="hybridMultilevel"/>
    <w:lvl w:ilvl="0">
      <w:lvlJc w:val="left"/>
      <w:lvlText w:val="%1."/>
      <w:numFmt w:val="decimal"/>
      <w:start w:val="4"/>
    </w:lvl>
    <w:lvl w:ilvl="1">
      <w:lvlJc w:val="left"/>
      <w:lvlText w:val="(%2)"/>
      <w:numFmt w:val="lowerLetter"/>
      <w:start w:val="1"/>
    </w:lvl>
  </w:abstractNum>
  <w:abstractNum w:abstractNumId="16">
    <w:nsid w:val="579478FE"/>
    <w:multiLevelType w:val="hybridMultilevel"/>
    <w:lvl w:ilvl="0">
      <w:lvlJc w:val="left"/>
      <w:lvlText w:val="(%1)"/>
      <w:numFmt w:val="lowerLetter"/>
      <w:start w:val="5"/>
    </w:lvl>
  </w:abstractNum>
  <w:abstractNum w:abstractNumId="17">
    <w:nsid w:val="749ABB43"/>
    <w:multiLevelType w:val="hybridMultilevel"/>
    <w:lvl w:ilvl="0">
      <w:lvlJc w:val="left"/>
      <w:lvlText w:val="%1."/>
      <w:numFmt w:val="decimal"/>
      <w:start w:val="6"/>
    </w:lvl>
    <w:lvl w:ilvl="1">
      <w:lvlJc w:val="left"/>
      <w:lvlText w:val="(%2)"/>
      <w:numFmt w:val="lowerLetter"/>
      <w:start w:val="2"/>
    </w:lvl>
  </w:abstractNum>
  <w:abstractNum w:abstractNumId="18">
    <w:nsid w:val="3DC240FB"/>
    <w:multiLevelType w:val="hybridMultilevel"/>
    <w:lvl w:ilvl="0">
      <w:lvlJc w:val="left"/>
      <w:lvlText w:val="%1"/>
      <w:numFmt w:val="decimal"/>
      <w:start w:val="1"/>
    </w:lvl>
    <w:lvl w:ilvl="1">
      <w:lvlJc w:val="left"/>
      <w:lvlText w:val="(%2)"/>
      <w:numFmt w:val="lowerLetter"/>
      <w:start w:val="1"/>
    </w:lvl>
  </w:abstractNum>
  <w:abstractNum w:abstractNumId="19">
    <w:nsid w:val="1BA026FA"/>
    <w:multiLevelType w:val="hybridMultilevel"/>
    <w:lvl w:ilvl="0">
      <w:lvlJc w:val="left"/>
      <w:lvlText w:val="(%1)"/>
      <w:numFmt w:val="lowerLetter"/>
      <w:start w:val="4"/>
    </w:lvl>
  </w:abstractNum>
  <w:abstractNum w:abstractNumId="20">
    <w:nsid w:val="79A1DEAA"/>
    <w:multiLevelType w:val="hybridMultilevel"/>
    <w:lvl w:ilvl="0">
      <w:lvlJc w:val="left"/>
      <w:lvlText w:val="%1."/>
      <w:numFmt w:val="decimal"/>
      <w:start w:val="8"/>
    </w:lvl>
  </w:abstractNum>
  <w:abstractNum w:abstractNumId="21">
    <w:nsid w:val="75C6C33A"/>
    <w:multiLevelType w:val="hybridMultilevel"/>
    <w:lvl w:ilvl="0">
      <w:lvlJc w:val="left"/>
      <w:lvlText w:val="(%1)"/>
      <w:numFmt w:val="lowerLetter"/>
      <w:start w:val="1"/>
    </w:lvl>
  </w:abstractNum>
  <w:abstractNum w:abstractNumId="22">
    <w:nsid w:val="12E685FB"/>
    <w:multiLevelType w:val="hybridMultilevel"/>
    <w:lvl w:ilvl="0">
      <w:lvlJc w:val="left"/>
      <w:lvlText w:val="(%1)"/>
      <w:numFmt w:val="lowerLetter"/>
      <w:start w:val="2"/>
    </w:lvl>
  </w:abstractNum>
  <w:abstractNum w:abstractNumId="23">
    <w:nsid w:val="70C6A529"/>
    <w:multiLevelType w:val="hybridMultilevel"/>
    <w:lvl w:ilvl="0">
      <w:lvlJc w:val="left"/>
      <w:lvlText w:val="(%1)"/>
      <w:numFmt w:val="lowerLetter"/>
      <w:start w:val="4"/>
    </w:lvl>
    <w:lvl w:ilvl="1">
      <w:lvlJc w:val="left"/>
      <w:lvlText w:val="%2."/>
      <w:numFmt w:val="decimal"/>
      <w:start w:val="9"/>
    </w:lvl>
  </w:abstractNum>
  <w:abstractNum w:abstractNumId="24">
    <w:nsid w:val="520EEDD1"/>
    <w:multiLevelType w:val="hybridMultilevel"/>
    <w:lvl w:ilvl="0">
      <w:lvlJc w:val="left"/>
      <w:lvlText w:val="%1."/>
      <w:numFmt w:val="decimal"/>
      <w:start w:val="11"/>
    </w:lvl>
    <w:lvl w:ilvl="1">
      <w:lvlJc w:val="left"/>
      <w:lvlText w:val="(%2)"/>
      <w:numFmt w:val="lowerLetter"/>
      <w:start w:val="1"/>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lowerLetter"/>
      <w:start w:val="2"/>
    </w:lvl>
  </w:abstractNum>
  <w:abstractNum w:abstractNumId="27">
    <w:nsid w:val="23F9C13C"/>
    <w:multiLevelType w:val="hybridMultilevel"/>
    <w:lvl w:ilvl="0">
      <w:lvlJc w:val="left"/>
      <w:lvlText w:val="%1."/>
      <w:numFmt w:val="decimal"/>
      <w:start w:val="18"/>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lowerRoman"/>
      <w:start w:val="1"/>
    </w:lvl>
  </w:abstractNum>
  <w:abstractNum w:abstractNumId="32">
    <w:nsid w:val="180115BE"/>
    <w:multiLevelType w:val="hybridMultilevel"/>
    <w:lvl w:ilvl="0">
      <w:lvlJc w:val="left"/>
      <w:lvlText w:val="(%1)"/>
      <w:numFmt w:val="lowerRoman"/>
      <w:start w:val="2"/>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2"/>
    </w:lvl>
    <w:lvl w:ilvl="1">
      <w:lvlJc w:val="left"/>
      <w:lvlText w:val="(%2)"/>
      <w:numFmt w:val="decimal"/>
      <w:start w:val="1"/>
    </w:lvl>
  </w:abstractNum>
  <w:abstractNum w:abstractNumId="36">
    <w:nsid w:val="15B5AF5C"/>
    <w:multiLevelType w:val="hybridMultilevel"/>
    <w:lvl w:ilvl="0">
      <w:lvlJc w:val="left"/>
      <w:lvlText w:val="(%1)"/>
      <w:numFmt w:val="lowerLetter"/>
      <w:start w:val="1"/>
    </w:lvl>
    <w:lvl w:ilvl="1">
      <w:lvlJc w:val="left"/>
      <w:lvlText w:val="(%2)"/>
      <w:numFmt w:val="decimal"/>
      <w:start w:val="1"/>
    </w:lvl>
  </w:abstractNum>
  <w:abstractNum w:abstractNumId="37">
    <w:nsid w:val="741226BB"/>
    <w:multiLevelType w:val="hybridMultilevel"/>
    <w:lvl w:ilvl="0">
      <w:lvlJc w:val="left"/>
      <w:lvlText w:val="(%1)"/>
      <w:numFmt w:val="decimal"/>
      <w:start w:val="2"/>
    </w:lvl>
  </w:abstractNum>
  <w:abstractNum w:abstractNumId="38">
    <w:nsid w:val="D34B6A8"/>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39">
    <w:nsid w:val="10233C99"/>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40">
    <w:nsid w:val="3F6AB60F"/>
    <w:multiLevelType w:val="hybridMultilevel"/>
    <w:lvl w:ilvl="0">
      <w:lvlJc w:val="left"/>
      <w:lvlText w:val="(%1)"/>
      <w:numFmt w:val="lowerLetter"/>
      <w:start w:val="3"/>
    </w:lvl>
  </w:abstractNum>
  <w:abstractNum w:abstractNumId="41">
    <w:nsid w:val="61574095"/>
    <w:multiLevelType w:val="hybridMultilevel"/>
    <w:lvl w:ilvl="0">
      <w:lvlJc w:val="left"/>
      <w:lvlText w:val="(%1)"/>
      <w:numFmt w:val="lowerLetter"/>
      <w:start w:val="4"/>
    </w:lvl>
  </w:abstractNum>
  <w:abstractNum w:abstractNumId="42">
    <w:nsid w:val="7E0C57B1"/>
    <w:multiLevelType w:val="hybridMultilevel"/>
    <w:lvl w:ilvl="0">
      <w:lvlJc w:val="left"/>
      <w:lvlText w:val="(%1)"/>
      <w:numFmt w:val="lowerLetter"/>
      <w:start w:val="6"/>
    </w:lvl>
  </w:abstractNum>
  <w:abstractNum w:abstractNumId="43">
    <w:nsid w:val="77AE35EB"/>
    <w:multiLevelType w:val="hybridMultilevel"/>
    <w:lvl w:ilvl="0">
      <w:lvlJc w:val="left"/>
      <w:lvlText w:val="(%1)"/>
      <w:numFmt w:val="lowerLetter"/>
      <w:start w:val="7"/>
    </w:lvl>
    <w:lvl w:ilvl="1">
      <w:lvlJc w:val="left"/>
      <w:lvlText w:val="(%2)"/>
      <w:numFmt w:val="decimal"/>
      <w:start w:val="1"/>
    </w:lvl>
  </w:abstractNum>
  <w:abstractNum w:abstractNumId="44">
    <w:nsid w:val="579BE4F1"/>
    <w:multiLevelType w:val="hybridMultilevel"/>
    <w:lvl w:ilvl="0">
      <w:lvlJc w:val="left"/>
      <w:lvlText w:val="(%1)"/>
      <w:numFmt w:val="lowerRoman"/>
      <w:start w:val="1"/>
    </w:lvl>
  </w:abstractNum>
  <w:abstractNum w:abstractNumId="45">
    <w:nsid w:val="310C50B3"/>
    <w:multiLevelType w:val="hybridMultilevel"/>
    <w:lvl w:ilvl="0">
      <w:lvlJc w:val="left"/>
      <w:lvlText w:val="(%1)"/>
      <w:numFmt w:val="decimal"/>
      <w:start w:val="6"/>
    </w:lvl>
  </w:abstractNum>
  <w:abstractNum w:abstractNumId="46">
    <w:nsid w:val="5FF87E05"/>
    <w:multiLevelType w:val="hybridMultilevel"/>
    <w:lvl w:ilvl="0">
      <w:lvlJc w:val="left"/>
      <w:lvlText w:val="(%1)"/>
      <w:numFmt w:val="decimal"/>
      <w:start w:val="10"/>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lowerRoman"/>
      <w:start w:val="1"/>
    </w:lvl>
  </w:abstractNum>
  <w:abstractNum w:abstractNumId="49">
    <w:nsid w:val="1DBABF00"/>
    <w:multiLevelType w:val="hybridMultilevel"/>
    <w:lvl w:ilvl="0">
      <w:lvlJc w:val="left"/>
      <w:lvlText w:val="(%1)"/>
      <w:numFmt w:val="lowerLetter"/>
      <w:start w:val="1"/>
    </w:lvl>
    <w:lvl w:ilvl="1">
      <w:lvlJc w:val="left"/>
      <w:lvlText w:val="(%2)"/>
      <w:numFmt w:val="decimal"/>
      <w:start w:val="1"/>
    </w:lvl>
  </w:abstractNum>
  <w:abstractNum w:abstractNumId="50">
    <w:nsid w:val="4AD084E9"/>
    <w:multiLevelType w:val="hybridMultilevel"/>
    <w:lvl w:ilvl="0">
      <w:lvlJc w:val="left"/>
      <w:lvlText w:val="%1"/>
      <w:numFmt w:val="lowerLetter"/>
      <w:start w:val="1"/>
    </w:lvl>
    <w:lvl w:ilvl="1">
      <w:lvlJc w:val="left"/>
      <w:lvlText w:val="(%2)"/>
      <w:numFmt w:val="decimal"/>
      <w:start w:val="2"/>
    </w:lvl>
  </w:abstractNum>
  <w:abstractNum w:abstractNumId="51">
    <w:nsid w:val="1F48EAA1"/>
    <w:multiLevelType w:val="hybridMultilevel"/>
    <w:lvl w:ilvl="0">
      <w:lvlJc w:val="left"/>
      <w:lvlText w:val="(%1)"/>
      <w:numFmt w:val="lowerLetter"/>
      <w:start w:val="2"/>
    </w:lvl>
    <w:lvl w:ilvl="1">
      <w:lvlJc w:val="left"/>
      <w:lvlText w:val="%2"/>
      <w:numFmt w:val="decimal"/>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2"/>
    </w:lvl>
    <w:lvl w:ilvl="1">
      <w:lvlJc w:val="left"/>
      <w:lvlText w:val="(%2)"/>
      <w:numFmt w:val="decimal"/>
      <w:start w:val="1"/>
    </w:lvl>
  </w:abstractNum>
  <w:abstractNum w:abstractNumId="54">
    <w:nsid w:val="100F8FCA"/>
    <w:multiLevelType w:val="hybridMultilevel"/>
    <w:lvl w:ilvl="0">
      <w:lvlJc w:val="left"/>
      <w:lvlText w:val="(%1)"/>
      <w:numFmt w:val="lowerLetter"/>
      <w:start w:val="4"/>
    </w:lvl>
  </w:abstractNum>
  <w:abstractNum w:abstractNumId="55">
    <w:nsid w:val="6590700B"/>
    <w:multiLevelType w:val="hybridMultilevel"/>
    <w:lvl w:ilvl="0">
      <w:lvlJc w:val="left"/>
      <w:lvlText w:val="(%1)"/>
      <w:numFmt w:val="lowerLetter"/>
      <w:start w:val="1"/>
    </w:lvl>
    <w:lvl w:ilvl="1">
      <w:lvlJc w:val="left"/>
      <w:lvlText w:val="(%2)"/>
      <w:numFmt w:val="decimal"/>
      <w:start w:val="1"/>
    </w:lvl>
  </w:abstractNum>
  <w:abstractNum w:abstractNumId="56">
    <w:nsid w:val="15014ACB"/>
    <w:multiLevelType w:val="hybridMultilevel"/>
    <w:lvl w:ilvl="0">
      <w:lvlJc w:val="left"/>
      <w:lvlText w:val="%1"/>
      <w:numFmt w:val="lowerLetter"/>
      <w:start w:val="1"/>
    </w:lvl>
    <w:lvl w:ilvl="1">
      <w:lvlJc w:val="left"/>
      <w:lvlText w:val="(%2)"/>
      <w:numFmt w:val="decimal"/>
      <w:start w:val="6"/>
    </w:lvl>
  </w:abstractNum>
  <w:abstractNum w:abstractNumId="57">
    <w:nsid w:val="5F5E7FD0"/>
    <w:multiLevelType w:val="hybridMultilevel"/>
    <w:lvl w:ilvl="0">
      <w:lvlJc w:val="left"/>
      <w:lvlText w:val="(%1)"/>
      <w:numFmt w:val="lowerLetter"/>
      <w:start w:val="2"/>
    </w:lvl>
    <w:lvl w:ilvl="1">
      <w:lvlJc w:val="left"/>
      <w:lvlText w:val="%2"/>
      <w:numFmt w:val="decimal"/>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upperLetter"/>
      <w:start w:val="6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5"/>
    </w:lvl>
  </w:abstractNum>
  <w:abstractNum w:abstractNumId="63">
    <w:nsid w:val="1EBA5D23"/>
    <w:multiLevelType w:val="hybridMultilevel"/>
    <w:lvl w:ilvl="0">
      <w:lvlJc w:val="left"/>
      <w:lvlText w:val="(%1)"/>
      <w:numFmt w:val="upperLetter"/>
      <w:start w:val="9"/>
    </w:lvl>
  </w:abstractNum>
  <w:abstractNum w:abstractNumId="64">
    <w:nsid w:val="661E3F1E"/>
    <w:multiLevelType w:val="hybridMultilevel"/>
    <w:lvl w:ilvl="0">
      <w:lvlJc w:val="left"/>
      <w:lvlText w:val="(%1)"/>
      <w:numFmt w:val="upperLetter"/>
      <w:start w:val="35"/>
    </w:lvl>
  </w:abstractNum>
  <w:abstractNum w:abstractNumId="65">
    <w:nsid w:val="5DC79EA8"/>
    <w:multiLevelType w:val="hybridMultilevel"/>
    <w:lvl w:ilvl="0">
      <w:lvlJc w:val="left"/>
      <w:lvlText w:val="%1."/>
      <w:numFmt w:val="decimal"/>
      <w:start w:val="6"/>
    </w:lvl>
  </w:abstractNum>
  <w:abstractNum w:abstractNumId="66">
    <w:nsid w:val="540A471C"/>
    <w:multiLevelType w:val="hybridMultilevel"/>
    <w:lvl w:ilvl="0">
      <w:lvlJc w:val="left"/>
      <w:lvlText w:val="%1"/>
      <w:numFmt w:val="lowerRoman"/>
      <w:start w:val="1"/>
    </w:lvl>
    <w:lvl w:ilvl="1">
      <w:lvlJc w:val="left"/>
      <w:lvlText w:val="%2."/>
      <w:numFmt w:val="decimal"/>
      <w:start w:val="9"/>
    </w:lvl>
  </w:abstractNum>
  <w:abstractNum w:abstractNumId="67">
    <w:nsid w:val="7BD3EE7B"/>
    <w:multiLevelType w:val="hybridMultilevel"/>
    <w:lvl w:ilvl="0">
      <w:lvlJc w:val="left"/>
      <w:lvlText w:val="(%1)"/>
      <w:numFmt w:val="lowerRoman"/>
      <w:start w:val="2"/>
    </w:lvl>
    <w:lvl w:ilvl="1">
      <w:lvlJc w:val="left"/>
      <w:lvlText w:val="%2."/>
      <w:numFmt w:val="decimal"/>
      <w:start w:val="1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1)"/>
      <w:numFmt w:val="upperLetter"/>
      <w:start w:val="6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5"/>
    </w:lvl>
  </w:abstractNum>
  <w:abstractNum w:abstractNumId="72">
    <w:nsid w:val="42963E5A"/>
    <w:multiLevelType w:val="hybridMultilevel"/>
    <w:lvl w:ilvl="0">
      <w:lvlJc w:val="left"/>
      <w:lvlText w:val="(%1)"/>
      <w:numFmt w:val="upperLetter"/>
      <w:start w:val="9"/>
    </w:lvl>
  </w:abstractNum>
  <w:abstractNum w:abstractNumId="73">
    <w:nsid w:val="A0382C5"/>
    <w:multiLevelType w:val="hybridMultilevel"/>
    <w:lvl w:ilvl="0">
      <w:lvlJc w:val="left"/>
      <w:lvlText w:val="(%1)"/>
      <w:numFmt w:val="upperLetter"/>
      <w:start w:val="35"/>
    </w:lvl>
  </w:abstractNum>
  <w:abstractNum w:abstractNumId="74">
    <w:nsid w:val="8F2B15E"/>
    <w:multiLevelType w:val="hybridMultilevel"/>
    <w:lvl w:ilvl="0">
      <w:lvlJc w:val="left"/>
      <w:lvlText w:val="%1."/>
      <w:numFmt w:val="decimal"/>
      <w:start w:val="6"/>
    </w:lvl>
  </w:abstractNum>
  <w:abstractNum w:abstractNumId="75">
    <w:nsid w:val="1A32234B"/>
    <w:multiLevelType w:val="hybridMultilevel"/>
    <w:lvl w:ilvl="0">
      <w:lvlJc w:val="left"/>
      <w:lvlText w:val="%1"/>
      <w:numFmt w:val="lowerRoman"/>
      <w:start w:val="1"/>
    </w:lvl>
    <w:lvl w:ilvl="1">
      <w:lvlJc w:val="left"/>
      <w:lvlText w:val="%2."/>
      <w:numFmt w:val="decimal"/>
      <w:start w:val="9"/>
    </w:lvl>
  </w:abstractNum>
  <w:abstractNum w:abstractNumId="76">
    <w:nsid w:val="3B0FD379"/>
    <w:multiLevelType w:val="hybridMultilevel"/>
    <w:lvl w:ilvl="0">
      <w:lvlJc w:val="left"/>
      <w:lvlText w:val="(%1)"/>
      <w:numFmt w:val="lowerRoman"/>
      <w:start w:val="2"/>
    </w:lvl>
    <w:lvl w:ilvl="1">
      <w:lvlJc w:val="left"/>
      <w:lvlText w:val="%2."/>
      <w:numFmt w:val="decimal"/>
      <w:start w:val="1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Letter"/>
      <w:start w:val="9"/>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lowerLetter"/>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19" Type="http://schemas.openxmlformats.org/officeDocument/2006/relationships/hyperlink" Target="http://www.sec.gov/Archives/edgar/data/6281/000119312513245264/d5487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2025-06-16T15:22:30Z</dcterms:created>
  <dcterms:modified xsi:type="dcterms:W3CDTF">2025-06-16T15:22:30Z</dcterms:modified>
</cp:coreProperties>
</file>