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2,250,000 Shares</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[ANALOG LOGO]</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The 2,250,000 shares (the "Shares") of Common Stock, $.16 2/3 par value per share (the "Common Stock"), of Analog Devices, Inc. ("Analog" or the "Company") covered by this Prospectus will be issued to Bourns, Inc. ("Bourns") upon exercise of a warrant issued to Bourns in connection with the acquisition of Precision Monolithics, Inc. by the Company in 1990. Initially, the Shares are to be offered by or for the account of Bourns. In the event that Bourns hereafter transfers any of the Shares to any person or entity identified in this Prospectus as a Selling Stockholder (together with Bourns, the "Selling Stockholders"), such Shares may thereafter be offered by or for the account of such Selling Stockholders. See "The Selling Stockholders." The Company will not receive any of the proceeds from the sale of the shares by the Selling Stockholders. The Common Stock is traded on the New York Stock Exchange under the symbol "ADI." On July 16, 1996, the last reported sale price of the Common Stock on the New York Stock Exchange was $19.375 per share.</w:t>
      </w:r>
    </w:p>
    <w:p>
      <w:pPr>
        <w:spacing w:after="0" w:line="38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160" w:right="2519" w:hanging="419"/>
        <w:spacing w:after="0" w:line="290" w:lineRule="auto"/>
        <w:tabs>
          <w:tab w:leader="none" w:pos="1140" w:val="left"/>
        </w:tabs>
        <w:rPr>
          <w:sz w:val="20"/>
          <w:szCs w:val="20"/>
          <w:color w:val="auto"/>
        </w:rPr>
      </w:pPr>
      <w:r>
        <w:rPr>
          <w:rFonts w:ascii="Courier New" w:cs="Courier New" w:eastAsia="Courier New" w:hAnsi="Courier New"/>
          <w:sz w:val="16"/>
          <w:szCs w:val="16"/>
          <w:color w:val="auto"/>
        </w:rPr>
        <w:t>SEE</w:t>
        <w:tab/>
        <w:t>"RISK FACTORS" BEGINNING ON PAGE 4 FOR A DISCUSSION OF CERTAIN FACTORS THAT SHOULD BE CONSIDERED BY PROSPECTIVE INVESTORS.</w:t>
      </w:r>
    </w:p>
    <w:p>
      <w:pPr>
        <w:spacing w:after="0" w:line="16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THESE SECURITIES HAVE NOT BEEN APPROVED OR DISAPPROVED BY THE SECURITIES AND</w:t>
      </w:r>
    </w:p>
    <w:p>
      <w:pPr>
        <w:spacing w:after="0" w:line="4" w:lineRule="exact"/>
        <w:rPr>
          <w:sz w:val="24"/>
          <w:szCs w:val="24"/>
          <w:color w:val="auto"/>
        </w:rPr>
      </w:pPr>
    </w:p>
    <w:p>
      <w:pPr>
        <w:jc w:val="center"/>
        <w:ind w:left="340" w:right="640"/>
        <w:spacing w:after="0" w:line="237" w:lineRule="auto"/>
        <w:rPr>
          <w:sz w:val="20"/>
          <w:szCs w:val="20"/>
          <w:color w:val="auto"/>
        </w:rPr>
      </w:pPr>
      <w:r>
        <w:rPr>
          <w:rFonts w:ascii="Courier New" w:cs="Courier New" w:eastAsia="Courier New" w:hAnsi="Courier New"/>
          <w:sz w:val="18"/>
          <w:szCs w:val="18"/>
          <w:color w:val="auto"/>
        </w:rPr>
        <w:t>EXCHANGE COMMISSION OR ANY STATE SECURITIES COMMISSION NOR HAS THE COMMISSION OR ANY STATE SECURITIES COMMISSION PASSED UPON THE ACCURACY OR ADEQUACY OF THIS PROSPECTUS.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August 7, 1996.</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jc w:val="center"/>
        <w:ind w:right="1659"/>
        <w:spacing w:after="0" w:line="238" w:lineRule="auto"/>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reports and other information with the Securities and Exchange Commission (the "Commission"). The reports, proxy materials and other information filed by the Company with the Commission may be inspected and copied at the public reference facilities maintained by the Commission at the Public Reference Section of the Commission at 450 Fifth Street, N.W., Washington, D.C. 20549, and at the Regional Offices of the Commission located at Seven World Trade Center, Suite 1300, New York, New York 10048, and at Citicorp Center, 500 West Madison Street, Suite 1400, Chicago, Illinois 60661. Copies of such materials also may be obtained from the Public Reference Section of the Commission at 450 Fifth Street, N.W., Washington, D.C. 20549 at prescribed rates. The Common Stock of the Company is listed on the New York Stock Exchange. Reports, proxy materials and other information concerning the Company may also be inspected at the offices of the New York Stock Exchange, 20 Broad Street, New York, New York 10005.</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Company has filed with the Commission a Registration Statement on Form S-3 under the Securities Act of 1933, as amended (the "Securities Act"), with respect to the shares of Common Stock offered hereby. This Prospectus does not contain all the information set forth in the Registration Statement and the exhibits and schedules thereto, certain portions of which are omitted as permitted by the rules and regulations of the Commission. For further information with respect to the Company and the shares of Common Stock offered hereby, reference is made to the Registration Statement, including the exhibits and schedules. The Registration Statement, together with the exhibits and schedules thereto, may be inspected, without charge, at the Commission's principal office at 450 Fifth Street, N.W., Washington, D.C. 20549, and also at the regional offices of the Commission listed above. Copies of such material may also be obtained from the Commission upon the payment of prescribed rates.</w:t>
      </w:r>
    </w:p>
    <w:p>
      <w:pPr>
        <w:spacing w:after="0" w:line="3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Statements contained in this Prospectus as to any contracts, agreements or other documents filed as an exhibit to the Registration Statement are not necessarily complete, and in each instance reference is hereby made to the copy of such contract, agreement or other document filed as an exhibit to the Registration Statement for a full statement of the provisions thereof, and each such statement in this Prospectus is qualified in all respects by such reference.</w:t>
      </w:r>
    </w:p>
    <w:p>
      <w:pPr>
        <w:spacing w:after="0" w:line="205"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accordance with the requirements of the Exchange Act, certain reports and other information are filed by the Company periodically with the Commission. The following documents filed by the Company with the Commission are incorporated herein by reference: (1) the Company's Annual Report on Form 10-K for the fiscal year ended October 28, 1995, (2)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Quarterly Report on Form 10-Q for the quarter ended February 3, 1996,</w:t>
      </w:r>
    </w:p>
    <w:p>
      <w:pPr>
        <w:spacing w:after="0" w:line="21" w:lineRule="exact"/>
        <w:rPr>
          <w:sz w:val="20"/>
          <w:szCs w:val="20"/>
          <w:color w:val="auto"/>
        </w:rPr>
      </w:pPr>
    </w:p>
    <w:p>
      <w:pPr>
        <w:ind w:right="2099" w:firstLine="8"/>
        <w:spacing w:after="0" w:line="268"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May 4, 1996, (4) the Company's Current Report on Form 8-K filed on July 16, 1996 and</w:t>
      </w:r>
    </w:p>
    <w:p>
      <w:pPr>
        <w:ind w:right="1999" w:firstLine="8"/>
        <w:spacing w:after="0" w:line="23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the Company pursuant to Section 13(a), 13(c), 14 or 15(d) of the Exchange Act after July 19, 1996 and prior to the date of this Prospectus.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 13(a), 13(c), 14 or 15(d) of the Exchange Act after the date of this Prospectus and before the termination of the offering of the Common Stock offered hereby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21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Company will provide without charge to each person to whom this Prospectus is delivered, on the request of any such person, a copy of any or all of the above documents incorporated herein by reference (other than exhibits to such documents, unless such exhibits are specifically incorporated by reference into the documents that this Prospectus incorporates). Requests should be directed to Joseph E. McDonough, Vice President-Finance of Analog Devices, Inc., One Technology Way, Norwood, MA 02062-9106; telephone number (617) 329-4700.</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3580"/>
        <w:spacing w:after="0" w:line="238" w:lineRule="auto"/>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The shares of Common Stock offered hereby involve a high degree of risk, including the risks described below. Prospective investors should carefully consider the following risk factors in addition to the other information contained in, or incorporated by reference in, this Prospectus before purchasing the shares of Common Stock offered hereby.</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POTENTIAL FLUCTUATIONS IN OPERATING RESULTS. The Company's operating results are affected by a wide variety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As a result of these and other factors, there can be no assurance that the Company will not experience material fluctuations in future operating results on a quarterly or annual basis.</w:t>
      </w:r>
    </w:p>
    <w:p>
      <w:pPr>
        <w:spacing w:after="0" w:line="18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DEPENDENCE ON NEW PRODUCTS AND NEW MARKETS. 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continue to grow,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In addition, some of the customers in these markets are less well established which could subject the Company to increased credit risk.</w:t>
      </w:r>
    </w:p>
    <w:p>
      <w:pPr>
        <w:spacing w:after="0" w:line="38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COMPETITION. 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215"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MANUFACTURING CAPACITY. While the Company is planning in fiscal 1996 to increase substantially its manufacturing capacity through</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both expansion of its production facilities and increased access to third-party foundries, there can be no assurance that the Company will complete the expansion of its production facilities or secure increased access to third party foundries in a timely manner or that the Company will not encounter unanticipated production problems at either its own facilities or at third-party foundries. The Company relies, and plans to continue to rely, on third-party wafer fabricators to supply most of its wafers that can be manufactured using industry-standard digital processes, and such reliance involves several risks, including the absence of adequate guaranteed capacity and reduced control over delivery schedules, 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w:t>
      </w:r>
    </w:p>
    <w:p>
      <w:pPr>
        <w:spacing w:after="0" w:line="38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believes that other semiconductors manufacturers are also expanding or planning to expand their production capacity over the next several years, and there can be no assurance that the expansion by the Company and its competitors will not lead to over capacity in the Company's target markets, which could lead to price erosion that would adversely affect the Company's operating results.</w:t>
      </w:r>
    </w:p>
    <w:p>
      <w:pPr>
        <w:spacing w:after="0" w:line="210"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MANUFACTURING RISKS. The fabrication of integrated circuits involves highly complex and precise processes that are continuously being modified in an effort to improve yields and product performance. Minute impurities or other difficulties in the manufacturing process can lower yields. As the Company continues to increase its manufacturing output and its use of third-party foundries, there can be no assurance that the Company will not experience a decrease in manufacturing yields or other manufacturing problems. Decreased yields could adversely affect gross margin and operating results. If the Company were unable to use any manufacturing facility, as a result of a natural disaster or otherwise, the Company's operations would be materially adversely affected.</w:t>
      </w:r>
    </w:p>
    <w:p>
      <w:pPr>
        <w:spacing w:after="0" w:line="18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PATENTS AND INTELLECTUAL PROPERTY. 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Part II, Item 1 - "Legal Proceedings," contained in the Form 10-Q for the fiscal quarter ended May 4, 1996 and Part I, Item 3 - "Legal Proceedings," contained in the Company's Annual Report on Form 10-K for the fiscal year ended October 28, 1995 for information concerning pending litigation involving the Company. An adverse resolution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of such litigation, may, in certain cases, have a material adverse effect on the Company's consolidated financial position or on its consolidated results of operations or cash flows in the period in which the litigation is resolved.</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INTERNATIONAL OPERATIONS. A significant portion of the Company's revenues are derived from customers in international markets. The Company has manufacturing facilities in Ireland, the Philippines and Taiwan. The Company is therefore subject to the economic and political risks inherent in international operations, including expropriation, air transportation disruptions,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18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STOCK PRICE VOLATILITY. The trading price of the Company's Common Stock may be subject to wide fluctuations in response to quarter-to-quarter variations in operating results, announcements of new products by the Company or its competitors, general conditions in the semiconductor industry, changes in earnings estimates and recommendations by analysts or other events. In future quarters, if the Company's financial performance were to fall below the performance predicted by securities analysts, the Company's stock price could decline. In addition, the public stock markets have experienced extreme price and trading volume volatility that has significantly affected the market prices of securities of many high technology companies and that has often been unrelated or disproportionate to the operating performance of these companies. These factors may adversely affect the market price of the Common Stock.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188"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Analog believes it is one of the world's largest suppliers of SLIC products. The Company's SLIC products are primarily high-performance, single-function devices. The majority of the Company's SLIC revenue is attributable to data converters (analog-to-digital and digital-to-analog) and amplifiers. Other SLIC products offered by the Company include analog signal-processing devices (such as analog multipliers), voltage references and comparators. SLICs are sold to a very large customer base for a wide variety of applications, including applications in the medical, engineering and scientific instruments market, factory automation market and military/ aerospace market.</w:t>
      </w:r>
    </w:p>
    <w:p>
      <w:pPr>
        <w:spacing w:after="0" w:line="18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Over the past five years, Analog has sought to balance its traditionally stable SLIC business with the growth opportunities available for SPLICs and DSP ICs, particularly in the communications and computer markets. Analog's SPLIC and DSP IC products feature high levels of functional integration on a single chip and are designed to address customers' needs to incorporate increasingly greater levels of real-world signal processing capability in their products. The Company's SPLIC and DSP ICs include products used in wireless communication applications, such as digital mobile phones and base stations, and computer applications, such as audio enhancement in multimedia PCs.</w:t>
      </w:r>
    </w:p>
    <w:p>
      <w:pPr>
        <w:spacing w:after="0" w:line="184"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Company is a Massachusetts corporation with its principal headquarters located at One Technology Way, Norwood, Massachusetts 02062-9106; and its telephone number is (617) 329-4700.</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The Company will not receive any proceeds from the sale of Common Stock by the Selling Stockholders.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ind w:left="2960"/>
        <w:spacing w:after="0" w:line="238" w:lineRule="auto"/>
        <w:rPr>
          <w:sz w:val="20"/>
          <w:szCs w:val="20"/>
          <w:color w:val="auto"/>
        </w:rPr>
      </w:pPr>
      <w:r>
        <w:rPr>
          <w:rFonts w:ascii="Courier New" w:cs="Courier New" w:eastAsia="Courier New" w:hAnsi="Courier New"/>
          <w:sz w:val="18"/>
          <w:szCs w:val="18"/>
          <w:color w:val="auto"/>
        </w:rPr>
        <w:t>THE SELLING STOCKHOLDERS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shares of Common Stock covered by this Prospectus will be issued upon exercise of a warrant issued to Bourns in connection with the acquisition of Precision Monolithics, Inc. by the Company in 1990.</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following table sets forth the name and the number of shares of Common Stock beneficially owned by the Selling Stockholders as of July 17, 1996, and the number of the shares to be offered by the Selling Stockholders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3000" w:type="dxa"/>
            <w:vAlign w:val="bottom"/>
          </w:tcPr>
          <w:p>
            <w:pPr>
              <w:ind w:left="420"/>
              <w:spacing w:after="0"/>
              <w:rPr>
                <w:sz w:val="20"/>
                <w:szCs w:val="20"/>
                <w:color w:val="auto"/>
              </w:rPr>
            </w:pPr>
            <w:r>
              <w:rPr>
                <w:rFonts w:ascii="Courier New" w:cs="Courier New" w:eastAsia="Courier New" w:hAnsi="Courier New"/>
                <w:sz w:val="18"/>
                <w:szCs w:val="18"/>
                <w:color w:val="auto"/>
              </w:rPr>
              <w:t>TOTAL NUMBER OF</w:t>
            </w:r>
          </w:p>
        </w:tc>
        <w:tc>
          <w:tcPr>
            <w:tcW w:w="1960" w:type="dxa"/>
            <w:vAlign w:val="bottom"/>
          </w:tcPr>
          <w:p>
            <w:pPr>
              <w:ind w:left="480"/>
              <w:spacing w:after="0"/>
              <w:rPr>
                <w:sz w:val="20"/>
                <w:szCs w:val="20"/>
                <w:color w:val="auto"/>
              </w:rPr>
            </w:pPr>
            <w:r>
              <w:rPr>
                <w:rFonts w:ascii="Courier New" w:cs="Courier New" w:eastAsia="Courier New" w:hAnsi="Courier New"/>
                <w:sz w:val="18"/>
                <w:szCs w:val="18"/>
                <w:color w:val="auto"/>
              </w:rPr>
              <w:t>SHARES OF</w:t>
            </w:r>
          </w:p>
        </w:tc>
      </w:tr>
      <w:tr>
        <w:trPr>
          <w:trHeight w:val="203"/>
        </w:trPr>
        <w:tc>
          <w:tcPr>
            <w:tcW w:w="3060" w:type="dxa"/>
            <w:vAlign w:val="bottom"/>
          </w:tcPr>
          <w:p>
            <w:pPr>
              <w:spacing w:after="0"/>
              <w:rPr>
                <w:sz w:val="17"/>
                <w:szCs w:val="17"/>
                <w:color w:val="auto"/>
              </w:rPr>
            </w:pPr>
          </w:p>
        </w:tc>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OF COMMON STOCK</w:t>
            </w:r>
          </w:p>
        </w:tc>
        <w:tc>
          <w:tcPr>
            <w:tcW w:w="1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SELLING STOCKHOLDER</w:t>
            </w:r>
          </w:p>
        </w:tc>
        <w:tc>
          <w:tcPr>
            <w:tcW w:w="3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9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OFFERED HEREBY</w:t>
            </w: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Bourns, Inc.</w:t>
            </w:r>
          </w:p>
        </w:tc>
        <w:tc>
          <w:tcPr>
            <w:tcW w:w="3000" w:type="dxa"/>
            <w:vAlign w:val="bottom"/>
          </w:tcPr>
          <w:p>
            <w:pPr>
              <w:ind w:left="420"/>
              <w:spacing w:after="0"/>
              <w:rPr>
                <w:sz w:val="20"/>
                <w:szCs w:val="20"/>
                <w:color w:val="auto"/>
              </w:rPr>
            </w:pPr>
            <w:r>
              <w:rPr>
                <w:rFonts w:ascii="Courier New" w:cs="Courier New" w:eastAsia="Courier New" w:hAnsi="Courier New"/>
                <w:sz w:val="18"/>
                <w:szCs w:val="18"/>
                <w:color w:val="auto"/>
              </w:rPr>
              <w:t>2,250,000(1)</w:t>
            </w:r>
          </w:p>
        </w:tc>
        <w:tc>
          <w:tcPr>
            <w:tcW w:w="1960" w:type="dxa"/>
            <w:vAlign w:val="bottom"/>
          </w:tcPr>
          <w:p>
            <w:pPr>
              <w:ind w:left="480"/>
              <w:spacing w:after="0"/>
              <w:rPr>
                <w:sz w:val="20"/>
                <w:szCs w:val="20"/>
                <w:color w:val="auto"/>
              </w:rPr>
            </w:pPr>
            <w:r>
              <w:rPr>
                <w:rFonts w:ascii="Courier New" w:cs="Courier New" w:eastAsia="Courier New" w:hAnsi="Courier New"/>
                <w:sz w:val="18"/>
                <w:szCs w:val="18"/>
                <w:color w:val="auto"/>
              </w:rPr>
              <w:t>2,250,000(1)</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UC Riverside Foundation</w:t>
            </w:r>
          </w:p>
        </w:tc>
        <w:tc>
          <w:tcPr>
            <w:tcW w:w="3000" w:type="dxa"/>
            <w:vAlign w:val="bottom"/>
          </w:tcPr>
          <w:p>
            <w:pPr>
              <w:ind w:left="220"/>
              <w:spacing w:after="0"/>
              <w:rPr>
                <w:sz w:val="20"/>
                <w:szCs w:val="20"/>
                <w:color w:val="auto"/>
              </w:rPr>
            </w:pPr>
            <w:r>
              <w:rPr>
                <w:rFonts w:ascii="Courier New" w:cs="Courier New" w:eastAsia="Courier New" w:hAnsi="Courier New"/>
                <w:sz w:val="18"/>
                <w:szCs w:val="18"/>
                <w:color w:val="auto"/>
              </w:rPr>
              <w:t>(2)</w:t>
            </w:r>
          </w:p>
        </w:tc>
        <w:tc>
          <w:tcPr>
            <w:tcW w:w="1960" w:type="dxa"/>
            <w:vAlign w:val="bottom"/>
          </w:tcPr>
          <w:p>
            <w:pPr>
              <w:ind w:left="260"/>
              <w:spacing w:after="0"/>
              <w:rPr>
                <w:sz w:val="20"/>
                <w:szCs w:val="20"/>
                <w:color w:val="auto"/>
              </w:rPr>
            </w:pPr>
            <w:r>
              <w:rPr>
                <w:rFonts w:ascii="Courier New" w:cs="Courier New" w:eastAsia="Courier New" w:hAnsi="Courier New"/>
                <w:sz w:val="18"/>
                <w:szCs w:val="18"/>
                <w:color w:val="auto"/>
              </w:rPr>
              <w:t>(2)</w:t>
            </w: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07" w:lineRule="exact"/>
        <w:rPr>
          <w:sz w:val="20"/>
          <w:szCs w:val="20"/>
          <w:color w:val="auto"/>
        </w:rPr>
      </w:pPr>
    </w:p>
    <w:p>
      <w:pPr>
        <w:ind w:left="960" w:right="2099" w:hanging="952"/>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such number of shares, if any, which are hereafter from time to time donated by Bourns to the UC Riverside Foundation.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960" w:right="2199" w:hanging="952"/>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number of shares, if any, as Bourns may hereafter from time to time donate to such institution.</w:t>
      </w:r>
    </w:p>
    <w:p>
      <w:pPr>
        <w:spacing w:after="0" w:line="200" w:lineRule="exact"/>
        <w:rPr>
          <w:sz w:val="20"/>
          <w:szCs w:val="20"/>
          <w:color w:val="auto"/>
        </w:rPr>
      </w:pP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cannot determine the number of shares of Common Stock which will be held by the Selling Stockholders upon the completion of the offering, as the length of time of the offering period and the determination of whether to buy or sell additional securities of the Company during the offering period are at the discretion of the Selling Stockholders.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Shares of Common Stock covered hereby may be offered and sold from time to time by the Selling Stockholders, or by pledgees, donees, transferees or other successors in interest ("Transferees"). Such sales may be made on one or more exchanges or in the over-the-counter market or otherwise, at prices and terms then prevailing or at prices related to the then current market price, or in negotiated transactions. The shares may be sold by means of one or more of the following: (a) a block trade in which the broker-dealer so engaged will attempt to sell the shares as agent, but may position and resell a portion of the block as principal to facilitate the transaction; (b) purchases by a broker-dealer as principal and resale by such broker-dealer for its account pursuant to this Prospectus; (c) an exchange distribution in accordance with the rules of such exchange; (d) ordinary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brokerage transactions and transactions in which the broker solicits purchasers;</w:t>
      </w:r>
    </w:p>
    <w:p>
      <w:pPr>
        <w:spacing w:after="0" w:line="21" w:lineRule="exact"/>
        <w:rPr>
          <w:sz w:val="20"/>
          <w:szCs w:val="20"/>
          <w:color w:val="auto"/>
        </w:rPr>
      </w:pPr>
    </w:p>
    <w:p>
      <w:pPr>
        <w:ind w:right="1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 sales by the Selling Stockholders or Transferees not involving a broker-dealer; and (f) donations to a charity or other donee and resale by the donee pursuant to this Prospectus. In effecting sales, broker-dealers engaged by the Selling Stockholders or Transferees may arrange for other broker-dealers to participate in the resales.</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In connection with distributions of the shares of Common Stock covered hereby or otherwise, the Selling Stockholders or Transferees may enter into hedging transactions with broker-dealers or financial institutions. In connection with such transactions, the broker-dealers or financial institutions may engage in short sales of the shares registered hereunder in the course of hedging the positions they assume with the Selling Stockholders or Transferees. The Selling Stockholders or Transferees may also sell shares short and redeliver the shares to close out such short positions. The Selling Stockholders or Transferees may also enter into option or other transactions with broker-dealers or financial institutions which require the delivery to such broker-dealer or financial institution of the shares registered hereunder, which the broker-dealer or financial institution may resell or otherwise transfer pursuant to this Prospectus. The Selling Stockholders or Transferees may also loan or pledge the shares of Common Stock covered hereby to a broker-dealer or financial institution and such broker-dealer or financial institution may sell the shares so loaned or upon a default the broker-dealer or financial institution may affect sales of the pledged shares pursuant to this Prospectus.</w:t>
      </w:r>
    </w:p>
    <w:p>
      <w:pPr>
        <w:spacing w:after="0" w:line="39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Broker-dealers, financial institutions or agents may receive compensation in the form of commissions, discounts or concessions from the Selling Stockholders or Transferees in amounts to be negotiated in connection with the sale. Such broker-dealers, financial institutions and any other participating broker-dealers may be deemed to be "underwriters" within the meaning of the Securities Act in connection with such sales, and any such commission, discount or concession may be deemed to be underwriting discounts or commissions under the Securities Act. In addition, any securities covered by this Prospectus which qualify for sale pursuant to Rule 144 may be sold under Rule 144 rather than pursuant to this Prospectus.</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has advised Bourns that during such time as the Selling Stockholders may be engaged in a distribution of the shares of Common Stock covered hereby they are required to comply with Rules 10b-6 and 10b-7 under the Exchange Act (as those Rules are described in more detail below) and, in connection therewith, that they may not engage in any stabilization activity in connection with the Company's securities, are required to furnish to each broker-dealer through which the shares of Common Stock covered hereby may be offered copies of this Prospectus, and may not bid for or purchase any securities of the Company or attempt to induce any person to purchase any Company securities except as permitted under the Exchange Act. Bourns has agreed to inform the Company when the distribution of the shares of Common Stock covered hereby is completed.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Rule 10b-6 under the Exchange Act prohibits, with certain exceptions, participants in a distribution from bidding for or purchasing, for an account in which the participant has a beneficial interest, any of the securities that are the subject of the distribution. Rule 10b-7 governs bids and purchases made in order to stabilize the price of a security in connection with a distribution of the security.</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offering will terminate on the earlier of (i) 24 months after the effective date of this Prospectus or (ii) the date on which the shares of Common Stock covered hereby have been sold by the Selling Stockholders.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2199" w:firstLine="948"/>
        <w:spacing w:after="0" w:line="279" w:lineRule="auto"/>
        <w:rPr>
          <w:sz w:val="20"/>
          <w:szCs w:val="20"/>
          <w:color w:val="auto"/>
        </w:rPr>
      </w:pPr>
      <w:r>
        <w:rPr>
          <w:rFonts w:ascii="Courier New" w:cs="Courier New" w:eastAsia="Courier New" w:hAnsi="Courier New"/>
          <w:sz w:val="16"/>
          <w:szCs w:val="16"/>
          <w:color w:val="auto"/>
        </w:rPr>
        <w:t>The authorized capital stock of the Company consists of 450,000,000 shares of Common Stock, $.16 2/3 par value per share, and 500,000 shares of preferred stock, $1.00 par value per share (the "Preferred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As of July 15, 1996, there were 116,257,830 shares of Common Stock outstanding and held of record by approximately 5,499 stockholders.</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such dividends, if any, as may be declared by the Board of Directors out of funds legally available therefor, subject to any preferential dividend rights of outstanding Preferred Stock. Upon the liquidation, dissolution or winding up of the Company, the holders of Common Stock are entitled to receive ratably the net assets of the Company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the Company may designate and issue in the future. There are no shares of Preferred Stock outstanding.</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Board of Directors of the Company is authorized, subject to certain limitations prescribed by law, without further stockholder approval to issue from time to time up to an aggregate of 500,000 shares of Preferred Stock in one or more series and to fix or alter the designations, preferences, rights and any qualifications, limitations or restrictions of the shares of each such series thereof, including the dividend rights, dividend rates,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conversion rights, voting rights, terms of redemption (including sinking fund provisions), redemption price or prices, liquidation preferences and the number of shares constituting any series or designation of such series. The issuance of Preferred Stock may have the effect of delaying, deferring or preventing a change of control of the Company. The Company has no present plans to issue any shares of Preferred Stock.</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MASSACHUSETTS LAW AND CERTAIN PROVISIONS OF THE COMPANY'S RESTATED ARTICLES OF ORGANIZATION AND BY-LAWS</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Because the Company has more than 200 stockholders of record, it is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 (i) the interested stockholder obtains the approval of the Board of Directors prior to becoming an interested stockholder, (ii) the interested stockholder acquires 90% of the outstanding voting stock of the corporation (excluding shares held by certain affiliates of the corporation) at the time it becomes an interested stockholder, or (iii) the business combination is approved by both the Board of Directors and the holders of two-thirds of the outstanding voting stock of the corporation (excluding shares held by the interested stockholder). An "interested stockholder" is a person who, together with affiliates and associates, owns (or at any time within the prior three years did own) 5% or more of the outstanding voting stock of the corporation. A "business combination" includes a merger, a stock or asset sale, and certain other transactions resulting in a financial benefit to the interested stockholders.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Massachusetts General Laws Chapter 156B, Section 50A generally requires that publicly-held Massachusetts corporation have a classified board of directors consisting of three classes as nearly equal in size as possible, unless the corporation elects to opt out of the statute's coverage. The Company's By-Laws contain provisions which give effect to Section 50A.</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Company's By-Laws include a provision excluding the Company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such stock unless the stockholders of the corporation so authorize. The Board of Directors may amend the Company's By-Laws at any time to subject the Company to this statute prospectively.</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or on behalf of the Company. In addition, the Articles of Organization provide that the directors of the Company will not be personally liable for monetary damages to the Company for breaches of their fiduciary duty as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RIGHTS PLAN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adopted a Stockholder Rights Plan on January 28, 1988, which was amended on June 14, 1989 (the "Rights Plan"). Pursuant to the Rights Plan, each share of Common Stock has an associated right (a "Right"). Each Right entitles the registered holder to purchase from the Company one share of Common Stock at a purchase price of $26.67 (as adjusted to account for the 50% Common Stock dividend distributed by the Company on January 3, 1996) per share, subject to adjustment (the "Purchase Price").</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Rights will be exercisable upon the earlier of (i) ten business days following a public announcement that a person or group has acquired, or obtained the right to acquire, beneficial ownership of 20% or more of the outstanding Common Stock of the Company (an "Acquiring Person"), or (ii) ten business days following the commencement of a tender offer or exchange offer, the consummation of which would result in a person or group owning 30% or more of the outstanding Common Stock (the earlier of such dates being called the "Distribution Date"). Until a Right is exercised, the holder thereof has no rights as a stockholder of the Company. Until the Distribution Date (or earlier redemption or expiration of the Rights), Rights are transferred with and only with the Common Stock.</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certain circumstances specified in the Rights Plan, including certain circumstances occurring after any person or group becomes an Acquiring Person, each holder of a Right, other than Rights beneficially owned by the Acquiring Person, will thereafter have the right to receive upon exercise that number of shares of Common Stock having a market value of two times the Purchase Price, and in the event that the Company is acquired in a business combination transaction or 50% or more of its assets are sold, each holder of a Right will thereafter have the right to receive upon exercise that number of shares of Common Stock of the acquiring company which at the time of the transaction will have a market value of two times the Purchase Price.</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have certain anti-takeover effects, in that they would cause substantial dilution to a person or group that attempts to acquire a significant interest in the Company on terms not approved by the Board of Directors. The Board of Directors of the Company may in certain circumstances redeem the Rights in whole at a price of $.0089 per Right, as adjusted.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transfer agent and registrar for the Company's Common Stock is Boston EquiServe L.P.</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ind w:left="3580"/>
        <w:spacing w:after="0" w:line="238" w:lineRule="auto"/>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validity of the shares offered hereby will be passed upon for the Company by Hale and Dorr, Boston, Massachusetts.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consolidated financial statements of Analog Devices, Inc. appearing in Analog Devices, Inc.'s Annual Report (Form 10-K) for the year ended October 28, 1995 have been audited by Ernst &amp; Young LLP, independent auditors, as set forth in their report thereon included therein and incorporated herein by reference. Such financial statements are incorporated herein by reference in reliance upon such report given upon the authority of such firm as experts in accounting and auditing.</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No dealer, salesman or any other person has been authorized to give any information or to make any representation in connection with this offering other than those contained in this Prospectus, and any information or representation not contained herein must not be relied upon as having been authorized by the Company. This Prospectus does not constitute an offer to sell, or a solicitation of an offer to buy, any securities other than the registered securities to which it relates or an offer to, or solicitation of, any person in any jurisdiction where such an offer or solicitation would be unlawful. Neither the delivery of this Prospectus nor any sale made hereunder shall, under any circumstance, create any implication that there has been no change in the affairs of the Company since the date hereof or that the information contained herein is correct as of any date subsequent to the date hereof.</w:t>
      </w:r>
    </w:p>
    <w:p>
      <w:pPr>
        <w:spacing w:after="0" w:line="385"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4"/>
                <w:szCs w:val="24"/>
                <w:color w:val="auto"/>
              </w:rPr>
            </w:pPr>
          </w:p>
        </w:tc>
        <w:tc>
          <w:tcPr>
            <w:tcW w:w="1900" w:type="dxa"/>
            <w:vAlign w:val="bottom"/>
          </w:tcPr>
          <w:p>
            <w:pPr>
              <w:jc w:val="right"/>
              <w:ind w:right="38"/>
              <w:spacing w:after="0"/>
              <w:rPr>
                <w:sz w:val="20"/>
                <w:szCs w:val="20"/>
                <w:color w:val="auto"/>
              </w:rPr>
            </w:pPr>
            <w:r>
              <w:rPr>
                <w:rFonts w:ascii="Courier New" w:cs="Courier New" w:eastAsia="Courier New" w:hAnsi="Courier New"/>
                <w:sz w:val="18"/>
                <w:szCs w:val="18"/>
                <w:color w:val="auto"/>
                <w:w w:val="95"/>
              </w:rPr>
              <w:t>TABLE OF CONTENTS</w:t>
            </w:r>
          </w:p>
        </w:tc>
      </w:tr>
      <w:tr>
        <w:trPr>
          <w:trHeight w:val="405"/>
        </w:trPr>
        <w:tc>
          <w:tcPr>
            <w:tcW w:w="4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810"/>
        </w:trPr>
        <w:tc>
          <w:tcPr>
            <w:tcW w:w="2960" w:type="dxa"/>
            <w:vAlign w:val="bottom"/>
          </w:tcPr>
          <w:p>
            <w:pPr>
              <w:spacing w:after="0"/>
              <w:rPr>
                <w:sz w:val="24"/>
                <w:szCs w:val="24"/>
                <w:color w:val="auto"/>
              </w:rPr>
            </w:pPr>
          </w:p>
        </w:tc>
        <w:tc>
          <w:tcPr>
            <w:tcW w:w="1900" w:type="dxa"/>
            <w:vAlign w:val="bottom"/>
          </w:tcPr>
          <w:p>
            <w:pPr>
              <w:jc w:val="right"/>
              <w:ind w:right="238"/>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w w:val="82"/>
              </w:rPr>
              <w:t>Available Information............</w:t>
            </w:r>
          </w:p>
        </w:tc>
        <w:tc>
          <w:tcPr>
            <w:tcW w:w="1900" w:type="dxa"/>
            <w:vAlign w:val="bottom"/>
          </w:tcPr>
          <w:p>
            <w:pPr>
              <w:jc w:val="right"/>
              <w:ind w:right="238"/>
              <w:spacing w:after="0"/>
              <w:rPr>
                <w:sz w:val="20"/>
                <w:szCs w:val="20"/>
                <w:color w:val="auto"/>
              </w:rPr>
            </w:pPr>
            <w:r>
              <w:rPr>
                <w:rFonts w:ascii="Courier New" w:cs="Courier New" w:eastAsia="Courier New" w:hAnsi="Courier New"/>
                <w:sz w:val="18"/>
                <w:szCs w:val="18"/>
                <w:color w:val="auto"/>
              </w:rPr>
              <w:t>2</w:t>
            </w: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 of Certain Documents by</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1"/>
              </w:rPr>
              <w:t>Reference......................</w:t>
            </w:r>
          </w:p>
        </w:tc>
        <w:tc>
          <w:tcPr>
            <w:tcW w:w="1900" w:type="dxa"/>
            <w:vAlign w:val="bottom"/>
          </w:tcPr>
          <w:p>
            <w:pPr>
              <w:jc w:val="right"/>
              <w:ind w:right="238"/>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Risk Factors.....................</w:t>
            </w:r>
          </w:p>
        </w:tc>
        <w:tc>
          <w:tcPr>
            <w:tcW w:w="1900" w:type="dxa"/>
            <w:vAlign w:val="bottom"/>
          </w:tcPr>
          <w:p>
            <w:pPr>
              <w:jc w:val="right"/>
              <w:ind w:right="238"/>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The Company......................</w:t>
            </w:r>
          </w:p>
        </w:tc>
        <w:tc>
          <w:tcPr>
            <w:tcW w:w="1900" w:type="dxa"/>
            <w:vAlign w:val="bottom"/>
          </w:tcPr>
          <w:p>
            <w:pPr>
              <w:jc w:val="right"/>
              <w:ind w:right="238"/>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Use of Proceeds..................</w:t>
            </w:r>
          </w:p>
        </w:tc>
        <w:tc>
          <w:tcPr>
            <w:tcW w:w="1900" w:type="dxa"/>
            <w:vAlign w:val="bottom"/>
          </w:tcPr>
          <w:p>
            <w:pPr>
              <w:jc w:val="right"/>
              <w:ind w:right="238"/>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The Selling Stockholders.........</w:t>
            </w:r>
          </w:p>
        </w:tc>
        <w:tc>
          <w:tcPr>
            <w:tcW w:w="1900" w:type="dxa"/>
            <w:vAlign w:val="bottom"/>
          </w:tcPr>
          <w:p>
            <w:pPr>
              <w:jc w:val="right"/>
              <w:ind w:right="238"/>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Plan of Distribution.............</w:t>
            </w:r>
          </w:p>
        </w:tc>
        <w:tc>
          <w:tcPr>
            <w:tcW w:w="1900" w:type="dxa"/>
            <w:vAlign w:val="bottom"/>
          </w:tcPr>
          <w:p>
            <w:pPr>
              <w:jc w:val="right"/>
              <w:ind w:right="238"/>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Capital Stock</w:t>
            </w:r>
          </w:p>
        </w:tc>
        <w:tc>
          <w:tcPr>
            <w:tcW w:w="1900" w:type="dxa"/>
            <w:vAlign w:val="bottom"/>
          </w:tcPr>
          <w:p>
            <w:pPr>
              <w:jc w:val="right"/>
              <w:ind w:right="238"/>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Legal Matters....................</w:t>
            </w:r>
          </w:p>
        </w:tc>
        <w:tc>
          <w:tcPr>
            <w:tcW w:w="1900" w:type="dxa"/>
            <w:vAlign w:val="bottom"/>
          </w:tcPr>
          <w:p>
            <w:pPr>
              <w:jc w:val="right"/>
              <w:ind w:right="238"/>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w w:val="82"/>
              </w:rPr>
              <w:t>Experts..........................</w:t>
            </w:r>
          </w:p>
        </w:tc>
        <w:tc>
          <w:tcPr>
            <w:tcW w:w="1900" w:type="dxa"/>
            <w:vAlign w:val="bottom"/>
          </w:tcPr>
          <w:p>
            <w:pPr>
              <w:jc w:val="right"/>
              <w:ind w:right="238"/>
              <w:spacing w:after="0" w:line="203" w:lineRule="exact"/>
              <w:rPr>
                <w:sz w:val="20"/>
                <w:szCs w:val="20"/>
                <w:color w:val="auto"/>
              </w:rPr>
            </w:pPr>
            <w:r>
              <w:rPr>
                <w:rFonts w:ascii="Courier New" w:cs="Courier New" w:eastAsia="Courier New" w:hAnsi="Courier New"/>
                <w:sz w:val="18"/>
                <w:szCs w:val="18"/>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2,250,000 Shares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[ANALOG LOGO]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August 7, 1996</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3"/>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2019-12-20T04:44:01Z</dcterms:created>
  <dcterms:modified xsi:type="dcterms:W3CDTF">2019-12-20T04:44:01Z</dcterms:modified>
</cp:coreProperties>
</file>