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10">
        <w:r>
          <w:rPr>
            <w:rFonts w:ascii="Arial" w:cs="Arial" w:eastAsia="Arial" w:hAnsi="Arial"/>
            <w:sz w:val="17"/>
            <w:szCs w:val="17"/>
            <w:b w:val="1"/>
            <w:bCs w:val="1"/>
            <w:u w:val="single" w:color="auto"/>
            <w:color w:val="0000EE"/>
          </w:rPr>
          <w:t>Table of Contents</w:t>
        </w:r>
      </w:hyperlink>
    </w:p>
    <w:p>
      <w:pPr>
        <w:spacing w:after="0" w:line="294" w:lineRule="exact"/>
        <w:rPr>
          <w:sz w:val="24"/>
          <w:szCs w:val="24"/>
          <w:color w:val="auto"/>
        </w:rPr>
      </w:pPr>
    </w:p>
    <w:p>
      <w:pPr>
        <w:jc w:val="center"/>
        <w:ind w:right="-399"/>
        <w:spacing w:after="0"/>
        <w:rPr>
          <w:sz w:val="20"/>
          <w:szCs w:val="20"/>
          <w:color w:val="auto"/>
        </w:rPr>
      </w:pPr>
      <w:r>
        <w:rPr>
          <w:rFonts w:ascii="Arial" w:cs="Arial" w:eastAsia="Arial" w:hAnsi="Arial"/>
          <w:sz w:val="17"/>
          <w:szCs w:val="17"/>
          <w:b w:val="1"/>
          <w:bCs w:val="1"/>
          <w:color w:val="auto"/>
        </w:rPr>
        <w:t>UNITED STATES</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399"/>
        <w:spacing w:after="0"/>
        <w:rPr>
          <w:sz w:val="20"/>
          <w:szCs w:val="20"/>
          <w:color w:val="auto"/>
        </w:rPr>
      </w:pPr>
      <w:r>
        <w:rPr>
          <w:rFonts w:ascii="Arial" w:cs="Arial" w:eastAsia="Arial" w:hAnsi="Arial"/>
          <w:sz w:val="17"/>
          <w:szCs w:val="17"/>
          <w:b w:val="1"/>
          <w:bCs w:val="1"/>
          <w:color w:val="auto"/>
        </w:rPr>
        <w:t>Washington, D.C. 20549</w:t>
      </w:r>
    </w:p>
    <w:p>
      <w:pPr>
        <w:spacing w:after="0" w:line="82" w:lineRule="exact"/>
        <w:rPr>
          <w:sz w:val="24"/>
          <w:szCs w:val="24"/>
          <w:color w:val="auto"/>
        </w:rPr>
      </w:pPr>
    </w:p>
    <w:p>
      <w:pPr>
        <w:jc w:val="center"/>
        <w:ind w:right="-399"/>
        <w:spacing w:after="0"/>
        <w:rPr>
          <w:sz w:val="20"/>
          <w:szCs w:val="20"/>
          <w:color w:val="auto"/>
        </w:rPr>
      </w:pPr>
      <w:r>
        <w:rPr>
          <w:rFonts w:ascii="Arial" w:cs="Arial" w:eastAsia="Arial" w:hAnsi="Arial"/>
          <w:sz w:val="17"/>
          <w:szCs w:val="17"/>
          <w:b w:val="1"/>
          <w:bCs w:val="1"/>
          <w:color w:val="auto"/>
        </w:rPr>
        <w:t>SCHEDULE 14A</w:t>
      </w:r>
    </w:p>
    <w:p>
      <w:pPr>
        <w:spacing w:after="0" w:line="22" w:lineRule="exact"/>
        <w:rPr>
          <w:sz w:val="24"/>
          <w:szCs w:val="24"/>
          <w:color w:val="auto"/>
        </w:rPr>
      </w:pPr>
    </w:p>
    <w:p>
      <w:pPr>
        <w:jc w:val="center"/>
        <w:ind w:right="-399"/>
        <w:spacing w:after="0"/>
        <w:rPr>
          <w:sz w:val="20"/>
          <w:szCs w:val="20"/>
          <w:color w:val="auto"/>
        </w:rPr>
      </w:pPr>
      <w:r>
        <w:rPr>
          <w:rFonts w:ascii="Arial" w:cs="Arial" w:eastAsia="Arial" w:hAnsi="Arial"/>
          <w:sz w:val="17"/>
          <w:szCs w:val="17"/>
          <w:b w:val="1"/>
          <w:bCs w:val="1"/>
          <w:color w:val="auto"/>
        </w:rPr>
        <w:t>(Rule 14a-101)</w:t>
      </w:r>
    </w:p>
    <w:p>
      <w:pPr>
        <w:spacing w:after="0" w:line="82" w:lineRule="exact"/>
        <w:rPr>
          <w:sz w:val="24"/>
          <w:szCs w:val="24"/>
          <w:color w:val="auto"/>
        </w:rPr>
      </w:pPr>
    </w:p>
    <w:p>
      <w:pPr>
        <w:ind w:left="3560"/>
        <w:spacing w:after="0"/>
        <w:rPr>
          <w:sz w:val="20"/>
          <w:szCs w:val="20"/>
          <w:color w:val="auto"/>
        </w:rPr>
      </w:pPr>
      <w:r>
        <w:rPr>
          <w:rFonts w:ascii="Arial" w:cs="Arial" w:eastAsia="Arial" w:hAnsi="Arial"/>
          <w:sz w:val="17"/>
          <w:szCs w:val="17"/>
          <w:b w:val="1"/>
          <w:bCs w:val="1"/>
          <w:color w:val="auto"/>
        </w:rPr>
        <w:t>INFORMATION REQUIRED IN PROXY STATEMENT</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7"/>
          <w:szCs w:val="17"/>
          <w:b w:val="1"/>
          <w:bCs w:val="1"/>
          <w:color w:val="auto"/>
        </w:rPr>
        <w:t>SCHEDULE 14A INFORMATION</w:t>
      </w:r>
    </w:p>
    <w:p>
      <w:pPr>
        <w:spacing w:after="0" w:line="104" w:lineRule="exact"/>
        <w:rPr>
          <w:sz w:val="24"/>
          <w:szCs w:val="24"/>
          <w:color w:val="auto"/>
        </w:rPr>
      </w:pPr>
    </w:p>
    <w:p>
      <w:pPr>
        <w:ind w:left="3180"/>
        <w:spacing w:after="0"/>
        <w:rPr>
          <w:sz w:val="20"/>
          <w:szCs w:val="20"/>
          <w:color w:val="auto"/>
        </w:rPr>
      </w:pPr>
      <w:r>
        <w:rPr>
          <w:rFonts w:ascii="Arial" w:cs="Arial" w:eastAsia="Arial" w:hAnsi="Arial"/>
          <w:sz w:val="17"/>
          <w:szCs w:val="17"/>
          <w:b w:val="1"/>
          <w:bCs w:val="1"/>
          <w:color w:val="auto"/>
        </w:rPr>
        <w:t>Proxy Statement Pursuant to Section 14(a) of the Securities</w:t>
      </w:r>
    </w:p>
    <w:p>
      <w:pPr>
        <w:spacing w:after="0" w:line="22" w:lineRule="exact"/>
        <w:rPr>
          <w:sz w:val="24"/>
          <w:szCs w:val="24"/>
          <w:color w:val="auto"/>
        </w:rPr>
      </w:pPr>
    </w:p>
    <w:p>
      <w:pPr>
        <w:jc w:val="center"/>
        <w:ind w:right="-399"/>
        <w:spacing w:after="0"/>
        <w:rPr>
          <w:sz w:val="20"/>
          <w:szCs w:val="20"/>
          <w:color w:val="auto"/>
        </w:rPr>
      </w:pPr>
      <w:r>
        <w:rPr>
          <w:rFonts w:ascii="Arial" w:cs="Arial" w:eastAsia="Arial" w:hAnsi="Arial"/>
          <w:sz w:val="17"/>
          <w:szCs w:val="17"/>
          <w:b w:val="1"/>
          <w:bCs w:val="1"/>
          <w:color w:val="auto"/>
        </w:rPr>
        <w:t>Exchange Act of 1934</w:t>
      </w:r>
    </w:p>
    <w:p>
      <w:pPr>
        <w:spacing w:after="0" w:line="164" w:lineRule="exact"/>
        <w:rPr>
          <w:sz w:val="24"/>
          <w:szCs w:val="24"/>
          <w:color w:val="auto"/>
        </w:rPr>
      </w:pPr>
    </w:p>
    <w:p>
      <w:pPr>
        <w:ind w:left="320"/>
        <w:spacing w:after="0" w:line="196" w:lineRule="exact"/>
        <w:tabs>
          <w:tab w:leader="none" w:pos="2220" w:val="left"/>
        </w:tabs>
        <w:rPr>
          <w:sz w:val="20"/>
          <w:szCs w:val="20"/>
          <w:color w:val="auto"/>
        </w:rPr>
      </w:pPr>
      <w:r>
        <w:rPr>
          <w:rFonts w:ascii="Arial" w:cs="Arial" w:eastAsia="Arial" w:hAnsi="Arial"/>
          <w:sz w:val="17"/>
          <w:szCs w:val="17"/>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91" w:lineRule="exact"/>
        <w:rPr>
          <w:sz w:val="24"/>
          <w:szCs w:val="24"/>
          <w:color w:val="auto"/>
        </w:rPr>
      </w:pPr>
    </w:p>
    <w:p>
      <w:pPr>
        <w:ind w:left="320"/>
        <w:spacing w:after="0" w:line="196" w:lineRule="exact"/>
        <w:tabs>
          <w:tab w:leader="none" w:pos="3660" w:val="left"/>
        </w:tabs>
        <w:rPr>
          <w:sz w:val="20"/>
          <w:szCs w:val="20"/>
          <w:color w:val="auto"/>
        </w:rPr>
      </w:pPr>
      <w:r>
        <w:rPr>
          <w:rFonts w:ascii="Arial" w:cs="Arial" w:eastAsia="Arial" w:hAnsi="Arial"/>
          <w:sz w:val="17"/>
          <w:szCs w:val="17"/>
          <w:color w:val="auto"/>
        </w:rPr>
        <w:t>Filed by a Party other than the Registrant</w:t>
      </w:r>
      <w:r>
        <w:rPr>
          <w:sz w:val="20"/>
          <w:szCs w:val="20"/>
          <w:color w:val="auto"/>
        </w:rPr>
        <w:tab/>
      </w:r>
      <w:r>
        <w:rPr>
          <w:rFonts w:ascii="MS PGothic" w:cs="MS PGothic" w:eastAsia="MS PGothic" w:hAnsi="MS PGothic"/>
          <w:sz w:val="14"/>
          <w:szCs w:val="14"/>
          <w:color w:val="auto"/>
        </w:rPr>
        <w:t>☐</w:t>
      </w:r>
    </w:p>
    <w:p>
      <w:pPr>
        <w:spacing w:after="0" w:line="161" w:lineRule="exact"/>
        <w:rPr>
          <w:sz w:val="24"/>
          <w:szCs w:val="24"/>
          <w:color w:val="auto"/>
        </w:rPr>
      </w:pPr>
    </w:p>
    <w:p>
      <w:pPr>
        <w:ind w:left="320"/>
        <w:spacing w:after="0"/>
        <w:rPr>
          <w:sz w:val="20"/>
          <w:szCs w:val="20"/>
          <w:color w:val="auto"/>
        </w:rPr>
      </w:pPr>
      <w:r>
        <w:rPr>
          <w:rFonts w:ascii="Arial" w:cs="Arial" w:eastAsia="Arial" w:hAnsi="Arial"/>
          <w:sz w:val="17"/>
          <w:szCs w:val="17"/>
          <w:color w:val="auto"/>
        </w:rPr>
        <w:t>Check the appropriate box:</w:t>
      </w:r>
    </w:p>
    <w:p>
      <w:pPr>
        <w:spacing w:after="0" w:line="78" w:lineRule="exact"/>
        <w:rPr>
          <w:sz w:val="24"/>
          <w:szCs w:val="24"/>
          <w:color w:val="auto"/>
        </w:rPr>
      </w:pPr>
    </w:p>
    <w:p>
      <w:pPr>
        <w:ind w:left="580" w:hanging="264"/>
        <w:spacing w:after="0"/>
        <w:tabs>
          <w:tab w:leader="none" w:pos="5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2" w:lineRule="exact"/>
        <w:rPr>
          <w:rFonts w:ascii="MS PGothic" w:cs="MS PGothic" w:eastAsia="MS PGothic" w:hAnsi="MS PGothic"/>
          <w:sz w:val="17"/>
          <w:szCs w:val="17"/>
          <w:color w:val="auto"/>
        </w:rPr>
      </w:pPr>
    </w:p>
    <w:p>
      <w:pPr>
        <w:ind w:left="320" w:right="4100" w:hanging="4"/>
        <w:spacing w:after="0" w:line="208" w:lineRule="exact"/>
        <w:tabs>
          <w:tab w:leader="none" w:pos="576"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Confidential, For Use of the Commission Only (as permitted by Rule 14a-6(e)(2)) </w:t>
      </w: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ind w:left="580" w:hanging="264"/>
        <w:spacing w:after="0"/>
        <w:tabs>
          <w:tab w:leader="none" w:pos="5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2" w:lineRule="exact"/>
        <w:rPr>
          <w:rFonts w:ascii="MS PGothic" w:cs="MS PGothic" w:eastAsia="MS PGothic" w:hAnsi="MS PGothic"/>
          <w:sz w:val="17"/>
          <w:szCs w:val="17"/>
          <w:color w:val="auto"/>
        </w:rPr>
      </w:pPr>
    </w:p>
    <w:p>
      <w:pPr>
        <w:ind w:left="580" w:hanging="264"/>
        <w:spacing w:after="0"/>
        <w:tabs>
          <w:tab w:leader="none" w:pos="5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 240.14a-12</w:t>
      </w:r>
    </w:p>
    <w:p>
      <w:pPr>
        <w:spacing w:after="0" w:line="199" w:lineRule="exact"/>
        <w:rPr>
          <w:sz w:val="24"/>
          <w:szCs w:val="24"/>
          <w:color w:val="auto"/>
        </w:rPr>
      </w:pPr>
    </w:p>
    <w:p>
      <w:pPr>
        <w:jc w:val="center"/>
        <w:ind w:right="-399"/>
        <w:spacing w:after="0"/>
        <w:rPr>
          <w:sz w:val="20"/>
          <w:szCs w:val="20"/>
          <w:color w:val="auto"/>
        </w:rPr>
      </w:pPr>
      <w:r>
        <w:rPr>
          <w:rFonts w:ascii="Arial" w:cs="Arial" w:eastAsia="Arial" w:hAnsi="Arial"/>
          <w:sz w:val="17"/>
          <w:szCs w:val="17"/>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200660</wp:posOffset>
            </wp:positionH>
            <wp:positionV relativeFrom="paragraph">
              <wp:posOffset>55880</wp:posOffset>
            </wp:positionV>
            <wp:extent cx="6740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97" w:lineRule="exact"/>
        <w:rPr>
          <w:sz w:val="24"/>
          <w:szCs w:val="24"/>
          <w:color w:val="auto"/>
        </w:rPr>
      </w:pPr>
    </w:p>
    <w:p>
      <w:pPr>
        <w:jc w:val="center"/>
        <w:ind w:right="-399"/>
        <w:spacing w:after="0"/>
        <w:rPr>
          <w:sz w:val="20"/>
          <w:szCs w:val="20"/>
          <w:color w:val="auto"/>
        </w:rPr>
      </w:pPr>
      <w:r>
        <w:rPr>
          <w:rFonts w:ascii="Arial" w:cs="Arial" w:eastAsia="Arial" w:hAnsi="Arial"/>
          <w:sz w:val="14"/>
          <w:szCs w:val="14"/>
          <w:i w:val="1"/>
          <w:i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200660</wp:posOffset>
            </wp:positionH>
            <wp:positionV relativeFrom="paragraph">
              <wp:posOffset>275590</wp:posOffset>
            </wp:positionV>
            <wp:extent cx="6740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ind w:left="3380"/>
        <w:spacing w:after="0"/>
        <w:rPr>
          <w:sz w:val="20"/>
          <w:szCs w:val="20"/>
          <w:color w:val="auto"/>
        </w:rPr>
      </w:pPr>
      <w:r>
        <w:rPr>
          <w:rFonts w:ascii="Arial" w:cs="Arial" w:eastAsia="Arial" w:hAnsi="Arial"/>
          <w:sz w:val="14"/>
          <w:szCs w:val="14"/>
          <w:i w:val="1"/>
          <w:iCs w:val="1"/>
          <w:color w:val="auto"/>
        </w:rPr>
        <w:t>(Name of Person(s) Filing Proxy Statement, if Other Than the Registrant)</w:t>
      </w:r>
    </w:p>
    <w:p>
      <w:pPr>
        <w:spacing w:after="0" w:line="86" w:lineRule="exact"/>
        <w:rPr>
          <w:sz w:val="24"/>
          <w:szCs w:val="24"/>
          <w:color w:val="auto"/>
        </w:rPr>
      </w:pPr>
    </w:p>
    <w:p>
      <w:pPr>
        <w:ind w:left="320"/>
        <w:spacing w:after="0"/>
        <w:rPr>
          <w:sz w:val="20"/>
          <w:szCs w:val="20"/>
          <w:color w:val="auto"/>
        </w:rPr>
      </w:pPr>
      <w:r>
        <w:rPr>
          <w:rFonts w:ascii="Arial" w:cs="Arial" w:eastAsia="Arial" w:hAnsi="Arial"/>
          <w:sz w:val="17"/>
          <w:szCs w:val="17"/>
          <w:b w:val="1"/>
          <w:bCs w:val="1"/>
          <w:color w:val="auto"/>
        </w:rPr>
        <w:t>Payment of Filing Fee (Check the appropriate box):</w:t>
      </w:r>
    </w:p>
    <w:p>
      <w:pPr>
        <w:spacing w:after="0" w:line="139" w:lineRule="exact"/>
        <w:rPr>
          <w:sz w:val="24"/>
          <w:szCs w:val="24"/>
          <w:color w:val="auto"/>
        </w:rPr>
      </w:pPr>
    </w:p>
    <w:p>
      <w:pPr>
        <w:ind w:left="740" w:hanging="424"/>
        <w:spacing w:after="0"/>
        <w:tabs>
          <w:tab w:leader="none" w:pos="74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130" w:lineRule="exact"/>
        <w:rPr>
          <w:sz w:val="24"/>
          <w:szCs w:val="24"/>
          <w:color w:val="auto"/>
        </w:rPr>
      </w:pPr>
    </w:p>
    <w:p>
      <w:pPr>
        <w:ind w:left="740" w:hanging="424"/>
        <w:spacing w:after="0"/>
        <w:tabs>
          <w:tab w:leader="none" w:pos="7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220" w:lineRule="exact"/>
        <w:rPr>
          <w:rFonts w:ascii="MS PGothic" w:cs="MS PGothic" w:eastAsia="MS PGothic" w:hAnsi="MS PGothic"/>
          <w:sz w:val="17"/>
          <w:szCs w:val="17"/>
          <w:color w:val="auto"/>
        </w:rPr>
      </w:pPr>
    </w:p>
    <w:p>
      <w:pPr>
        <w:ind w:left="1260" w:hanging="527"/>
        <w:spacing w:after="0"/>
        <w:tabs>
          <w:tab w:leader="none" w:pos="1260" w:val="left"/>
        </w:tabs>
        <w:numPr>
          <w:ilvl w:val="1"/>
          <w:numId w:val="3"/>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0" w:lineRule="exact"/>
        <w:rPr>
          <w:rFonts w:ascii="Arial" w:cs="Arial" w:eastAsia="Arial" w:hAnsi="Arial"/>
          <w:sz w:val="17"/>
          <w:szCs w:val="17"/>
          <w:color w:val="auto"/>
        </w:rPr>
      </w:pPr>
    </w:p>
    <w:p>
      <w:pPr>
        <w:spacing w:after="0" w:line="202" w:lineRule="exact"/>
        <w:rPr>
          <w:rFonts w:ascii="Arial" w:cs="Arial" w:eastAsia="Arial" w:hAnsi="Arial"/>
          <w:sz w:val="17"/>
          <w:szCs w:val="17"/>
          <w:color w:val="auto"/>
        </w:rPr>
      </w:pPr>
    </w:p>
    <w:p>
      <w:pPr>
        <w:ind w:left="1260" w:hanging="527"/>
        <w:spacing w:after="0"/>
        <w:tabs>
          <w:tab w:leader="none" w:pos="1260" w:val="left"/>
        </w:tabs>
        <w:numPr>
          <w:ilvl w:val="1"/>
          <w:numId w:val="3"/>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0" w:lineRule="exact"/>
        <w:rPr>
          <w:rFonts w:ascii="Arial" w:cs="Arial" w:eastAsia="Arial" w:hAnsi="Arial"/>
          <w:sz w:val="17"/>
          <w:szCs w:val="17"/>
          <w:color w:val="auto"/>
        </w:rPr>
      </w:pPr>
    </w:p>
    <w:p>
      <w:pPr>
        <w:spacing w:after="0" w:line="215" w:lineRule="exact"/>
        <w:rPr>
          <w:rFonts w:ascii="Arial" w:cs="Arial" w:eastAsia="Arial" w:hAnsi="Arial"/>
          <w:sz w:val="17"/>
          <w:szCs w:val="17"/>
          <w:color w:val="auto"/>
        </w:rPr>
      </w:pPr>
    </w:p>
    <w:p>
      <w:pPr>
        <w:ind w:left="1260" w:hanging="527"/>
        <w:spacing w:after="0" w:line="256" w:lineRule="auto"/>
        <w:tabs>
          <w:tab w:leader="none" w:pos="126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389" w:lineRule="exact"/>
        <w:rPr>
          <w:rFonts w:ascii="Arial" w:cs="Arial" w:eastAsia="Arial" w:hAnsi="Arial"/>
          <w:sz w:val="17"/>
          <w:szCs w:val="17"/>
          <w:color w:val="auto"/>
        </w:rPr>
      </w:pPr>
    </w:p>
    <w:p>
      <w:pPr>
        <w:ind w:left="1260" w:hanging="527"/>
        <w:spacing w:after="0"/>
        <w:tabs>
          <w:tab w:leader="none" w:pos="1260" w:val="left"/>
        </w:tabs>
        <w:numPr>
          <w:ilvl w:val="1"/>
          <w:numId w:val="3"/>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0" w:lineRule="exact"/>
        <w:rPr>
          <w:rFonts w:ascii="Arial" w:cs="Arial" w:eastAsia="Arial" w:hAnsi="Arial"/>
          <w:sz w:val="17"/>
          <w:szCs w:val="17"/>
          <w:color w:val="auto"/>
        </w:rPr>
      </w:pPr>
    </w:p>
    <w:p>
      <w:pPr>
        <w:spacing w:after="0" w:line="202" w:lineRule="exact"/>
        <w:rPr>
          <w:rFonts w:ascii="Arial" w:cs="Arial" w:eastAsia="Arial" w:hAnsi="Arial"/>
          <w:sz w:val="17"/>
          <w:szCs w:val="17"/>
          <w:color w:val="auto"/>
        </w:rPr>
      </w:pPr>
    </w:p>
    <w:p>
      <w:pPr>
        <w:ind w:left="1260" w:hanging="527"/>
        <w:spacing w:after="0"/>
        <w:tabs>
          <w:tab w:leader="none" w:pos="126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215" w:lineRule="exact"/>
        <w:rPr>
          <w:rFonts w:ascii="Arial" w:cs="Arial" w:eastAsia="Arial" w:hAnsi="Arial"/>
          <w:sz w:val="17"/>
          <w:szCs w:val="17"/>
          <w:color w:val="auto"/>
        </w:rPr>
      </w:pPr>
    </w:p>
    <w:p>
      <w:pPr>
        <w:ind w:left="740" w:hanging="424"/>
        <w:spacing w:after="0"/>
        <w:tabs>
          <w:tab w:leader="none" w:pos="7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90" w:lineRule="exact"/>
        <w:rPr>
          <w:rFonts w:ascii="MS PGothic" w:cs="MS PGothic" w:eastAsia="MS PGothic" w:hAnsi="MS PGothic"/>
          <w:sz w:val="17"/>
          <w:szCs w:val="17"/>
          <w:color w:val="auto"/>
        </w:rPr>
      </w:pPr>
    </w:p>
    <w:p>
      <w:pPr>
        <w:ind w:left="740" w:right="160" w:hanging="424"/>
        <w:spacing w:after="0" w:line="247" w:lineRule="auto"/>
        <w:tabs>
          <w:tab w:leader="none" w:pos="7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98" w:lineRule="exact"/>
        <w:rPr>
          <w:rFonts w:ascii="MS PGothic" w:cs="MS PGothic" w:eastAsia="MS PGothic" w:hAnsi="MS PGothic"/>
          <w:sz w:val="17"/>
          <w:szCs w:val="17"/>
          <w:color w:val="auto"/>
        </w:rPr>
      </w:pPr>
    </w:p>
    <w:p>
      <w:pPr>
        <w:ind w:left="1260" w:hanging="527"/>
        <w:spacing w:after="0"/>
        <w:tabs>
          <w:tab w:leader="none" w:pos="1260" w:val="left"/>
        </w:tabs>
        <w:numPr>
          <w:ilvl w:val="1"/>
          <w:numId w:val="3"/>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215" w:lineRule="exact"/>
        <w:rPr>
          <w:rFonts w:ascii="Arial" w:cs="Arial" w:eastAsia="Arial" w:hAnsi="Arial"/>
          <w:sz w:val="17"/>
          <w:szCs w:val="17"/>
          <w:color w:val="auto"/>
        </w:rPr>
      </w:pPr>
    </w:p>
    <w:p>
      <w:pPr>
        <w:ind w:left="1260" w:hanging="527"/>
        <w:spacing w:after="0"/>
        <w:tabs>
          <w:tab w:leader="none" w:pos="1260" w:val="left"/>
        </w:tabs>
        <w:numPr>
          <w:ilvl w:val="1"/>
          <w:numId w:val="3"/>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202" w:lineRule="exact"/>
        <w:rPr>
          <w:rFonts w:ascii="Arial" w:cs="Arial" w:eastAsia="Arial" w:hAnsi="Arial"/>
          <w:sz w:val="17"/>
          <w:szCs w:val="17"/>
          <w:color w:val="auto"/>
        </w:rPr>
      </w:pPr>
    </w:p>
    <w:p>
      <w:pPr>
        <w:ind w:left="1260" w:hanging="527"/>
        <w:spacing w:after="0"/>
        <w:tabs>
          <w:tab w:leader="none" w:pos="1260" w:val="left"/>
        </w:tabs>
        <w:numPr>
          <w:ilvl w:val="1"/>
          <w:numId w:val="3"/>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215" w:lineRule="exact"/>
        <w:rPr>
          <w:rFonts w:ascii="Arial" w:cs="Arial" w:eastAsia="Arial" w:hAnsi="Arial"/>
          <w:sz w:val="17"/>
          <w:szCs w:val="17"/>
          <w:color w:val="auto"/>
        </w:rPr>
      </w:pPr>
    </w:p>
    <w:p>
      <w:pPr>
        <w:ind w:left="1260" w:hanging="527"/>
        <w:spacing w:after="0"/>
        <w:tabs>
          <w:tab w:leader="none" w:pos="1260" w:val="left"/>
        </w:tabs>
        <w:numPr>
          <w:ilvl w:val="1"/>
          <w:numId w:val="3"/>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803910</wp:posOffset>
            </wp:positionH>
            <wp:positionV relativeFrom="paragraph">
              <wp:posOffset>-3675380</wp:posOffset>
            </wp:positionV>
            <wp:extent cx="61379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37910" cy="8255"/>
                    </a:xfrm>
                    <a:prstGeom prst="rect">
                      <a:avLst/>
                    </a:prstGeom>
                    <a:noFill/>
                  </pic:spPr>
                </pic:pic>
              </a:graphicData>
            </a:graphic>
          </wp:anchor>
        </w:drawing>
        <w:drawing>
          <wp:anchor simplePos="0" relativeHeight="251657728" behindDoc="1" locked="0" layoutInCell="0" allowOverlap="1">
            <wp:simplePos x="0" y="0"/>
            <wp:positionH relativeFrom="column">
              <wp:posOffset>803910</wp:posOffset>
            </wp:positionH>
            <wp:positionV relativeFrom="paragraph">
              <wp:posOffset>-3295015</wp:posOffset>
            </wp:positionV>
            <wp:extent cx="61379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37910" cy="8255"/>
                    </a:xfrm>
                    <a:prstGeom prst="rect">
                      <a:avLst/>
                    </a:prstGeom>
                    <a:noFill/>
                  </pic:spPr>
                </pic:pic>
              </a:graphicData>
            </a:graphic>
          </wp:anchor>
        </w:drawing>
        <w:drawing>
          <wp:anchor simplePos="0" relativeHeight="251657728" behindDoc="1" locked="0" layoutInCell="0" allowOverlap="1">
            <wp:simplePos x="0" y="0"/>
            <wp:positionH relativeFrom="column">
              <wp:posOffset>803910</wp:posOffset>
            </wp:positionH>
            <wp:positionV relativeFrom="paragraph">
              <wp:posOffset>-2783205</wp:posOffset>
            </wp:positionV>
            <wp:extent cx="61379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37910" cy="8255"/>
                    </a:xfrm>
                    <a:prstGeom prst="rect">
                      <a:avLst/>
                    </a:prstGeom>
                    <a:noFill/>
                  </pic:spPr>
                </pic:pic>
              </a:graphicData>
            </a:graphic>
          </wp:anchor>
        </w:drawing>
        <w:drawing>
          <wp:anchor simplePos="0" relativeHeight="251657728" behindDoc="1" locked="0" layoutInCell="0" allowOverlap="1">
            <wp:simplePos x="0" y="0"/>
            <wp:positionH relativeFrom="column">
              <wp:posOffset>803910</wp:posOffset>
            </wp:positionH>
            <wp:positionV relativeFrom="paragraph">
              <wp:posOffset>-2394585</wp:posOffset>
            </wp:positionV>
            <wp:extent cx="61379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37910" cy="8255"/>
                    </a:xfrm>
                    <a:prstGeom prst="rect">
                      <a:avLst/>
                    </a:prstGeom>
                    <a:noFill/>
                  </pic:spPr>
                </pic:pic>
              </a:graphicData>
            </a:graphic>
          </wp:anchor>
        </w:drawing>
        <w:drawing>
          <wp:anchor simplePos="0" relativeHeight="251657728" behindDoc="1" locked="0" layoutInCell="0" allowOverlap="1">
            <wp:simplePos x="0" y="0"/>
            <wp:positionH relativeFrom="column">
              <wp:posOffset>803910</wp:posOffset>
            </wp:positionH>
            <wp:positionV relativeFrom="paragraph">
              <wp:posOffset>-2014855</wp:posOffset>
            </wp:positionV>
            <wp:extent cx="61379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37910" cy="8255"/>
                    </a:xfrm>
                    <a:prstGeom prst="rect">
                      <a:avLst/>
                    </a:prstGeom>
                    <a:noFill/>
                  </pic:spPr>
                </pic:pic>
              </a:graphicData>
            </a:graphic>
          </wp:anchor>
        </w:drawing>
        <w:drawing>
          <wp:anchor simplePos="0" relativeHeight="251657728" behindDoc="1" locked="0" layoutInCell="0" allowOverlap="1">
            <wp:simplePos x="0" y="0"/>
            <wp:positionH relativeFrom="column">
              <wp:posOffset>803910</wp:posOffset>
            </wp:positionH>
            <wp:positionV relativeFrom="paragraph">
              <wp:posOffset>-998855</wp:posOffset>
            </wp:positionV>
            <wp:extent cx="61379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37910" cy="8255"/>
                    </a:xfrm>
                    <a:prstGeom prst="rect">
                      <a:avLst/>
                    </a:prstGeom>
                    <a:noFill/>
                  </pic:spPr>
                </pic:pic>
              </a:graphicData>
            </a:graphic>
          </wp:anchor>
        </w:drawing>
        <w:drawing>
          <wp:anchor simplePos="0" relativeHeight="251657728" behindDoc="1" locked="0" layoutInCell="0" allowOverlap="1">
            <wp:simplePos x="0" y="0"/>
            <wp:positionH relativeFrom="column">
              <wp:posOffset>803910</wp:posOffset>
            </wp:positionH>
            <wp:positionV relativeFrom="paragraph">
              <wp:posOffset>-610235</wp:posOffset>
            </wp:positionV>
            <wp:extent cx="61379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37910" cy="8255"/>
                    </a:xfrm>
                    <a:prstGeom prst="rect">
                      <a:avLst/>
                    </a:prstGeom>
                    <a:noFill/>
                  </pic:spPr>
                </pic:pic>
              </a:graphicData>
            </a:graphic>
          </wp:anchor>
        </w:drawing>
        <w:drawing>
          <wp:anchor simplePos="0" relativeHeight="251657728" behindDoc="1" locked="0" layoutInCell="0" allowOverlap="1">
            <wp:simplePos x="0" y="0"/>
            <wp:positionH relativeFrom="column">
              <wp:posOffset>803910</wp:posOffset>
            </wp:positionH>
            <wp:positionV relativeFrom="paragraph">
              <wp:posOffset>-230505</wp:posOffset>
            </wp:positionV>
            <wp:extent cx="61379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37910" cy="8255"/>
                    </a:xfrm>
                    <a:prstGeom prst="rect">
                      <a:avLst/>
                    </a:prstGeom>
                    <a:noFill/>
                  </pic:spPr>
                </pic:pic>
              </a:graphicData>
            </a:graphic>
          </wp:anchor>
        </w:drawing>
        <w:drawing>
          <wp:anchor simplePos="0" relativeHeight="251657728" behindDoc="1" locked="0" layoutInCell="0" allowOverlap="1">
            <wp:simplePos x="0" y="0"/>
            <wp:positionH relativeFrom="column">
              <wp:posOffset>803910</wp:posOffset>
            </wp:positionH>
            <wp:positionV relativeFrom="paragraph">
              <wp:posOffset>157480</wp:posOffset>
            </wp:positionV>
            <wp:extent cx="61379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37910" cy="8255"/>
                    </a:xfrm>
                    <a:prstGeom prst="rect">
                      <a:avLst/>
                    </a:prstGeom>
                    <a:noFill/>
                  </pic:spPr>
                </pic:pic>
              </a:graphicData>
            </a:graphic>
          </wp:anchor>
        </w:drawing>
      </w:r>
    </w:p>
    <w:p>
      <w:pPr>
        <w:sectPr>
          <w:pgSz w:w="11900" w:h="16838" w:orient="portrait"/>
          <w:cols w:equalWidth="0" w:num="1">
            <w:col w:w="10860"/>
          </w:cols>
          <w:pgMar w:left="320" w:top="226" w:right="719" w:bottom="1440" w:gutter="0" w:footer="0" w:header="0"/>
        </w:sectPr>
      </w:pPr>
    </w:p>
    <w:bookmarkStart w:id="1" w:name="page2"/>
    <w:bookmarkEnd w:id="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215900</wp:posOffset>
            </wp:positionV>
            <wp:extent cx="7000240" cy="9119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0240" cy="9119870"/>
                    </a:xfrm>
                    <a:prstGeom prst="rect">
                      <a:avLst/>
                    </a:prstGeom>
                    <a:noFill/>
                  </pic:spPr>
                </pic:pic>
              </a:graphicData>
            </a:graphic>
          </wp:anchor>
        </w:drawing>
      </w:r>
    </w:p>
    <w:p>
      <w:pPr>
        <w:sectPr>
          <w:pgSz w:w="11900" w:h="16838" w:orient="portrait"/>
          <w:cols w:equalWidth="0" w:num="1">
            <w:col w:w="10139"/>
          </w:cols>
          <w:pgMar w:left="320" w:top="447" w:right="1440"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696595</wp:posOffset>
            </wp:positionV>
            <wp:extent cx="6740525" cy="4959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40525" cy="49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-122555</wp:posOffset>
            </wp:positionV>
            <wp:extent cx="1404620" cy="396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04620" cy="39624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7"/>
          <w:szCs w:val="17"/>
          <w:color w:val="auto"/>
        </w:rPr>
        <w:t>One Analog Way</w:t>
      </w:r>
    </w:p>
    <w:p>
      <w:pPr>
        <w:jc w:val="right"/>
        <w:spacing w:after="0"/>
        <w:rPr>
          <w:sz w:val="20"/>
          <w:szCs w:val="20"/>
          <w:color w:val="auto"/>
        </w:rPr>
      </w:pPr>
      <w:r>
        <w:rPr>
          <w:rFonts w:ascii="Arial" w:cs="Arial" w:eastAsia="Arial" w:hAnsi="Arial"/>
          <w:sz w:val="17"/>
          <w:szCs w:val="17"/>
          <w:color w:val="auto"/>
        </w:rPr>
        <w:t>Wilmington, MA 01887</w:t>
      </w:r>
    </w:p>
    <w:p>
      <w:pPr>
        <w:spacing w:after="0" w:line="200" w:lineRule="exact"/>
        <w:rPr>
          <w:sz w:val="20"/>
          <w:szCs w:val="20"/>
          <w:color w:val="auto"/>
        </w:rPr>
      </w:pPr>
    </w:p>
    <w:p>
      <w:pPr>
        <w:spacing w:after="0" w:line="218" w:lineRule="exact"/>
        <w:rPr>
          <w:sz w:val="20"/>
          <w:szCs w:val="20"/>
          <w:color w:val="auto"/>
        </w:rPr>
      </w:pPr>
    </w:p>
    <w:p>
      <w:pPr>
        <w:ind w:left="1800"/>
        <w:spacing w:after="0"/>
        <w:rPr>
          <w:sz w:val="20"/>
          <w:szCs w:val="20"/>
          <w:color w:val="auto"/>
        </w:rPr>
      </w:pPr>
      <w:r>
        <w:rPr>
          <w:rFonts w:ascii="Arial" w:cs="Arial" w:eastAsia="Arial" w:hAnsi="Arial"/>
          <w:sz w:val="49"/>
          <w:szCs w:val="49"/>
          <w:color w:val="auto"/>
        </w:rPr>
        <w:t>LETTER FROM OUR BOARD</w:t>
      </w:r>
    </w:p>
    <w:p>
      <w:pPr>
        <w:spacing w:after="0" w:line="399"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Dear Fellow Shareholders,</w:t>
      </w:r>
    </w:p>
    <w:p>
      <w:pPr>
        <w:spacing w:after="0" w:line="221"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First and foremost, we thank you for your continued investment in Analog Devices, Inc., or ADI.</w:t>
      </w:r>
    </w:p>
    <w:p>
      <w:pPr>
        <w:spacing w:after="0" w:line="117" w:lineRule="exact"/>
        <w:rPr>
          <w:sz w:val="20"/>
          <w:szCs w:val="20"/>
          <w:color w:val="auto"/>
        </w:rPr>
      </w:pPr>
    </w:p>
    <w:p>
      <w:pPr>
        <w:ind w:left="1800" w:right="1460"/>
        <w:spacing w:after="0" w:line="319" w:lineRule="auto"/>
        <w:rPr>
          <w:sz w:val="20"/>
          <w:szCs w:val="20"/>
          <w:color w:val="auto"/>
        </w:rPr>
      </w:pPr>
      <w:r>
        <w:rPr>
          <w:rFonts w:ascii="Arial" w:cs="Arial" w:eastAsia="Arial" w:hAnsi="Arial"/>
          <w:sz w:val="16"/>
          <w:szCs w:val="16"/>
          <w:color w:val="auto"/>
        </w:rPr>
        <w:t>At ADI, we are committed to maximizing shareholder value creation over the long-term, and we have a highly engaged Board and sound corporate governance structure in place to oversee this commitment.</w:t>
      </w:r>
    </w:p>
    <w:p>
      <w:pPr>
        <w:spacing w:after="0" w:line="31" w:lineRule="exact"/>
        <w:rPr>
          <w:sz w:val="20"/>
          <w:szCs w:val="20"/>
          <w:color w:val="auto"/>
        </w:rPr>
      </w:pPr>
    </w:p>
    <w:p>
      <w:pPr>
        <w:ind w:left="1800" w:right="1720"/>
        <w:spacing w:after="0" w:line="270" w:lineRule="auto"/>
        <w:rPr>
          <w:sz w:val="20"/>
          <w:szCs w:val="20"/>
          <w:color w:val="auto"/>
        </w:rPr>
      </w:pPr>
      <w:r>
        <w:rPr>
          <w:rFonts w:ascii="Arial" w:cs="Arial" w:eastAsia="Arial" w:hAnsi="Arial"/>
          <w:sz w:val="17"/>
          <w:szCs w:val="17"/>
          <w:color w:val="auto"/>
        </w:rPr>
        <w:t xml:space="preserve">The ADI Board of Directors cordially invites you to attend the 2022 Annual Meeting of Shareholders, or Annual Meeting, which will be held at ADI’s offices located at 125 Summer Street, Boston, Massachusetts 02110 on </w:t>
      </w:r>
      <w:r>
        <w:rPr>
          <w:rFonts w:ascii="Arial" w:cs="Arial" w:eastAsia="Arial" w:hAnsi="Arial"/>
          <w:sz w:val="17"/>
          <w:szCs w:val="17"/>
          <w:b w:val="1"/>
          <w:bCs w:val="1"/>
          <w:color w:val="0066BA"/>
        </w:rPr>
        <w:t>Wednesday, March 9, 2022, at 9:00 a.m. local time.</w:t>
      </w:r>
    </w:p>
    <w:p>
      <w:pPr>
        <w:spacing w:after="0" w:line="69"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At the Annual Meeting you are being asked to:</w:t>
      </w:r>
    </w:p>
    <w:p>
      <w:pPr>
        <w:spacing w:after="0" w:line="130" w:lineRule="exact"/>
        <w:rPr>
          <w:sz w:val="20"/>
          <w:szCs w:val="20"/>
          <w:color w:val="auto"/>
        </w:rPr>
      </w:pPr>
    </w:p>
    <w:p>
      <w:pPr>
        <w:ind w:left="2000" w:hanging="201"/>
        <w:spacing w:after="0"/>
        <w:tabs>
          <w:tab w:leader="none" w:pos="2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Elect 12 members of our Board of Directors, each to serve for a term expiring at the next annual meeting of shareholders;</w:t>
      </w:r>
    </w:p>
    <w:p>
      <w:pPr>
        <w:spacing w:after="0" w:line="89" w:lineRule="exact"/>
        <w:rPr>
          <w:rFonts w:ascii="Arial" w:cs="Arial" w:eastAsia="Arial" w:hAnsi="Arial"/>
          <w:sz w:val="16"/>
          <w:szCs w:val="16"/>
          <w:color w:val="auto"/>
        </w:rPr>
      </w:pPr>
    </w:p>
    <w:p>
      <w:pPr>
        <w:ind w:left="2000" w:hanging="201"/>
        <w:spacing w:after="0"/>
        <w:tabs>
          <w:tab w:leader="none" w:pos="2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Approve a non-binding advisory proposal on the compensation of our named executive officers;</w:t>
      </w:r>
    </w:p>
    <w:p>
      <w:pPr>
        <w:spacing w:after="0" w:line="77" w:lineRule="exact"/>
        <w:rPr>
          <w:rFonts w:ascii="Arial" w:cs="Arial" w:eastAsia="Arial" w:hAnsi="Arial"/>
          <w:sz w:val="17"/>
          <w:szCs w:val="17"/>
          <w:color w:val="auto"/>
        </w:rPr>
      </w:pPr>
    </w:p>
    <w:p>
      <w:pPr>
        <w:ind w:left="2000" w:hanging="201"/>
        <w:spacing w:after="0"/>
        <w:tabs>
          <w:tab w:leader="none" w:pos="2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Approve the Analog Devices, Inc. 2022 Employee Stock Purchase Plan; and</w:t>
      </w:r>
    </w:p>
    <w:p>
      <w:pPr>
        <w:spacing w:after="0" w:line="77" w:lineRule="exact"/>
        <w:rPr>
          <w:rFonts w:ascii="Arial" w:cs="Arial" w:eastAsia="Arial" w:hAnsi="Arial"/>
          <w:sz w:val="17"/>
          <w:szCs w:val="17"/>
          <w:color w:val="auto"/>
        </w:rPr>
      </w:pPr>
    </w:p>
    <w:p>
      <w:pPr>
        <w:ind w:left="2000" w:hanging="201"/>
        <w:spacing w:after="0"/>
        <w:tabs>
          <w:tab w:leader="none" w:pos="2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Ratify the selection of Ernst &amp; Young LLP as our independent registered public accounting firm for the 2022 fiscal year.</w:t>
      </w:r>
    </w:p>
    <w:p>
      <w:pPr>
        <w:spacing w:after="0" w:line="117" w:lineRule="exact"/>
        <w:rPr>
          <w:sz w:val="20"/>
          <w:szCs w:val="20"/>
          <w:color w:val="auto"/>
        </w:rPr>
      </w:pPr>
    </w:p>
    <w:p>
      <w:pPr>
        <w:ind w:left="1800" w:right="1680"/>
        <w:spacing w:after="0" w:line="286" w:lineRule="auto"/>
        <w:rPr>
          <w:sz w:val="20"/>
          <w:szCs w:val="20"/>
          <w:color w:val="auto"/>
        </w:rPr>
      </w:pPr>
      <w:r>
        <w:rPr>
          <w:rFonts w:ascii="Arial" w:cs="Arial" w:eastAsia="Arial" w:hAnsi="Arial"/>
          <w:sz w:val="17"/>
          <w:szCs w:val="17"/>
          <w:color w:val="auto"/>
        </w:rPr>
        <w:t>Your vote is very important to us. Our Board encourages you to read these proxy materials and to vote your shares “FOR” each proposal.</w:t>
      </w:r>
    </w:p>
    <w:p>
      <w:pPr>
        <w:spacing w:after="0" w:line="54"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Thank you for the trust you place in us and the opportunity to serve as your directors.</w:t>
      </w:r>
    </w:p>
    <w:p>
      <w:pPr>
        <w:spacing w:after="0" w:line="117"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Sincerely,</w:t>
      </w:r>
    </w:p>
    <w:p>
      <w:pPr>
        <w:spacing w:after="0" w:line="117" w:lineRule="exact"/>
        <w:rPr>
          <w:sz w:val="20"/>
          <w:szCs w:val="20"/>
          <w:color w:val="auto"/>
        </w:rPr>
      </w:pPr>
    </w:p>
    <w:p>
      <w:pPr>
        <w:ind w:left="1800"/>
        <w:spacing w:after="0"/>
        <w:rPr>
          <w:sz w:val="20"/>
          <w:szCs w:val="20"/>
          <w:color w:val="auto"/>
        </w:rPr>
      </w:pPr>
      <w:r>
        <w:rPr>
          <w:rFonts w:ascii="Arial" w:cs="Arial" w:eastAsia="Arial" w:hAnsi="Arial"/>
          <w:sz w:val="17"/>
          <w:szCs w:val="17"/>
          <w:color w:val="0066BA"/>
        </w:rPr>
        <w:t>THE ADI BOARD OF DIRECTORS</w:t>
      </w:r>
    </w:p>
    <w:p>
      <w:pPr>
        <w:sectPr>
          <w:pgSz w:w="11900" w:h="16838" w:orient="portrait"/>
          <w:cols w:equalWidth="0" w:num="1">
            <w:col w:w="10940"/>
          </w:cols>
          <w:pgMar w:left="320" w:top="447" w:right="63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696595</wp:posOffset>
            </wp:positionV>
            <wp:extent cx="6740525" cy="4959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40525" cy="49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-122555</wp:posOffset>
            </wp:positionV>
            <wp:extent cx="1404620" cy="396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04620" cy="39624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7"/>
          <w:szCs w:val="17"/>
          <w:color w:val="auto"/>
        </w:rPr>
        <w:t>One Analog Way</w:t>
      </w:r>
    </w:p>
    <w:p>
      <w:pPr>
        <w:jc w:val="right"/>
        <w:spacing w:after="0"/>
        <w:rPr>
          <w:sz w:val="20"/>
          <w:szCs w:val="20"/>
          <w:color w:val="auto"/>
        </w:rPr>
      </w:pPr>
      <w:r>
        <w:rPr>
          <w:rFonts w:ascii="Arial" w:cs="Arial" w:eastAsia="Arial" w:hAnsi="Arial"/>
          <w:sz w:val="17"/>
          <w:szCs w:val="17"/>
          <w:color w:val="auto"/>
        </w:rPr>
        <w:t>Wilmington, MA 01887</w:t>
      </w:r>
    </w:p>
    <w:p>
      <w:pPr>
        <w:spacing w:after="0" w:line="248" w:lineRule="exact"/>
        <w:rPr>
          <w:sz w:val="20"/>
          <w:szCs w:val="20"/>
          <w:color w:val="auto"/>
        </w:rPr>
      </w:pPr>
    </w:p>
    <w:p>
      <w:pPr>
        <w:ind w:left="320"/>
        <w:spacing w:after="0"/>
        <w:rPr>
          <w:sz w:val="20"/>
          <w:szCs w:val="20"/>
          <w:color w:val="auto"/>
        </w:rPr>
      </w:pPr>
      <w:r>
        <w:rPr>
          <w:rFonts w:ascii="Arial" w:cs="Arial" w:eastAsia="Arial" w:hAnsi="Arial"/>
          <w:sz w:val="49"/>
          <w:szCs w:val="49"/>
          <w:color w:val="auto"/>
        </w:rPr>
        <w:t>LETTER FROM OUR CEO</w:t>
      </w:r>
    </w:p>
    <w:p>
      <w:pPr>
        <w:sectPr>
          <w:pgSz w:w="11900" w:h="16838" w:orient="portrait"/>
          <w:cols w:equalWidth="0" w:num="1">
            <w:col w:w="10940"/>
          </w:cols>
          <w:pgMar w:left="320" w:top="447" w:right="6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Dear Fellow Shareholders,</w:t>
      </w:r>
    </w:p>
    <w:p>
      <w:pPr>
        <w:spacing w:after="0" w:line="221" w:lineRule="exact"/>
        <w:rPr>
          <w:sz w:val="20"/>
          <w:szCs w:val="20"/>
          <w:color w:val="auto"/>
        </w:rPr>
      </w:pPr>
    </w:p>
    <w:p>
      <w:pPr>
        <w:ind w:left="320" w:right="40"/>
        <w:spacing w:after="0" w:line="294" w:lineRule="auto"/>
        <w:rPr>
          <w:sz w:val="20"/>
          <w:szCs w:val="20"/>
          <w:color w:val="auto"/>
        </w:rPr>
      </w:pPr>
      <w:r>
        <w:rPr>
          <w:rFonts w:ascii="Arial" w:cs="Arial" w:eastAsia="Arial" w:hAnsi="Arial"/>
          <w:sz w:val="15"/>
          <w:szCs w:val="15"/>
          <w:color w:val="auto"/>
        </w:rPr>
        <w:t>While 2021 was a tumultuous year for the world, ADI worked closely with our customers, invested in impactful innovations, and focused on operational excellence to not just weather the challenges, but accelerate through them. Our efforts to support our customers through supply constraints and inflationary pressures helped to differentiate ADI from our competitors and resulted in increased customer engagement and strong financial results in fiscal 2021. Our investments in high-value applications across automotive, communications, digital healthcare, industrial and more, positioned us well to take advantage of society’s accelerating digitalization and the ongoing evolution of how we work, learn and live our lives. We enter fiscal 2022 with tremendous momentum and look forward to collaborating more closely than ever with our customers and ecosystems on the innovations that will continue humanity’s advancement in 2022 and beyond.</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color w:val="0066BA"/>
        </w:rPr>
        <w:t>Strategic Progress &amp; Fiscal 2021 Results</w:t>
      </w:r>
    </w:p>
    <w:p>
      <w:pPr>
        <w:spacing w:after="0" w:line="52" w:lineRule="exact"/>
        <w:rPr>
          <w:sz w:val="20"/>
          <w:szCs w:val="20"/>
          <w:color w:val="auto"/>
        </w:rPr>
      </w:pPr>
    </w:p>
    <w:p>
      <w:pPr>
        <w:ind w:left="320" w:right="20"/>
        <w:spacing w:after="0" w:line="258" w:lineRule="auto"/>
        <w:rPr>
          <w:sz w:val="20"/>
          <w:szCs w:val="20"/>
          <w:color w:val="auto"/>
        </w:rPr>
      </w:pPr>
      <w:r>
        <w:rPr>
          <w:rFonts w:ascii="Arial" w:cs="Arial" w:eastAsia="Arial" w:hAnsi="Arial"/>
          <w:sz w:val="17"/>
          <w:szCs w:val="17"/>
          <w:color w:val="auto"/>
        </w:rPr>
        <w:t>Fiscal 2021 was a remarkable year for ADI, with record operating results. Our success was driven by our industry-leading, high-performance product portfolio and our team’s strong operational execution, which collectively enabled us to meet the increased demand for our products. We delivered $7.3 billion of revenue, adjusted gross margins over 70%, and record adjusted earnings per share. We continued to deliver strong cash generation, with operating cash flow of $2.7 billion and free cash flow of $2.4 billion. Notably, our free cash flow margin is in the top 10% of companies in the S&amp;P 500 and we returned more than $3.7 billion to shareholders through dividends and share repurchases.</w:t>
      </w:r>
    </w:p>
    <w:p>
      <w:pPr>
        <w:spacing w:after="0" w:line="82" w:lineRule="exact"/>
        <w:rPr>
          <w:sz w:val="20"/>
          <w:szCs w:val="20"/>
          <w:color w:val="auto"/>
        </w:rPr>
      </w:pPr>
    </w:p>
    <w:p>
      <w:pPr>
        <w:ind w:left="320" w:right="20"/>
        <w:spacing w:after="0" w:line="279" w:lineRule="auto"/>
        <w:rPr>
          <w:sz w:val="20"/>
          <w:szCs w:val="20"/>
          <w:color w:val="auto"/>
        </w:rPr>
      </w:pPr>
      <w:r>
        <w:rPr>
          <w:rFonts w:ascii="Arial" w:cs="Arial" w:eastAsia="Arial" w:hAnsi="Arial"/>
          <w:sz w:val="16"/>
          <w:szCs w:val="16"/>
          <w:color w:val="auto"/>
        </w:rPr>
        <w:t>It was also a year of transformation for ADI. To complement our organic efforts, we have selectively used M&amp;A over the years to expand both our scale and scope. The completion of the Maxim Integrated acquisition further builds our comprehensive portfolio of products, enabling us to serve the expanding needs of our customers better than ever before, which we believe better positions ADI to deliver long-term, profitable and sustainable growth.</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7"/>
          <w:szCs w:val="17"/>
          <w:color w:val="0066BA"/>
        </w:rPr>
        <w:t>Milestone Acquisition of Maxim Integrated</w:t>
      </w:r>
    </w:p>
    <w:p>
      <w:pPr>
        <w:spacing w:after="0" w:line="39" w:lineRule="exact"/>
        <w:rPr>
          <w:sz w:val="20"/>
          <w:szCs w:val="20"/>
          <w:color w:val="auto"/>
        </w:rPr>
      </w:pPr>
    </w:p>
    <w:p>
      <w:pPr>
        <w:ind w:left="320"/>
        <w:spacing w:after="0" w:line="278" w:lineRule="auto"/>
        <w:rPr>
          <w:sz w:val="20"/>
          <w:szCs w:val="20"/>
          <w:color w:val="auto"/>
        </w:rPr>
      </w:pPr>
      <w:r>
        <w:rPr>
          <w:rFonts w:ascii="Arial" w:cs="Arial" w:eastAsia="Arial" w:hAnsi="Arial"/>
          <w:sz w:val="16"/>
          <w:szCs w:val="16"/>
          <w:color w:val="auto"/>
        </w:rPr>
        <w:t>We are hard at work on the integration of Maxim Integrated as we work to further solidify ADI as the strongest and most durable analog franchise on earth. This combination increases the breadth and depth of our best-in-class technology offerings – we now have approximately 75,000 product SKUs, and 80% of these products individually account for less than 0.1% of our total revenue. We believe our portfolio diversity helps to create a high barrier to entry and business model that is both resilient and rich with growth opportunities.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The addition of Maxim Integrated positions us to develop and deliver more complete, cutting-edge solutions for our customers. For example, we now have a more comprehensive power management portfolio, where Maxim’s primarily application-focused offerings are highly complementary with ADI’s more general purpose or catalog portfolio. We expect to accelerate growth in our more than $2 billion revenue power management portfolio as there are abundant cross-selling and design support opportunities across all our end markets.</w:t>
      </w:r>
    </w:p>
    <w:p>
      <w:pPr>
        <w:spacing w:after="0" w:line="82" w:lineRule="exact"/>
        <w:rPr>
          <w:sz w:val="20"/>
          <w:szCs w:val="20"/>
          <w:color w:val="auto"/>
        </w:rPr>
      </w:pPr>
    </w:p>
    <w:p>
      <w:pPr>
        <w:jc w:val="both"/>
        <w:ind w:right="80"/>
        <w:spacing w:after="0" w:line="283" w:lineRule="auto"/>
        <w:rPr>
          <w:sz w:val="20"/>
          <w:szCs w:val="20"/>
          <w:color w:val="auto"/>
        </w:rPr>
      </w:pPr>
      <w:r>
        <w:rPr>
          <w:rFonts w:ascii="Arial" w:cs="Arial" w:eastAsia="Arial" w:hAnsi="Arial"/>
          <w:sz w:val="16"/>
          <w:szCs w:val="16"/>
          <w:color w:val="auto"/>
        </w:rPr>
        <w:t>More importantly, Maxim Integrated expands our global team of talented employees, including our cadre of brilliant engineering talent, which now stands at 11,000 engineers strong. This increased scale unlocks additional avenues of professional growth for our people, while enabling us to better address the future needs of our customers.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0066BA"/>
        </w:rPr>
        <w:t>Destination for the Best Engineering Talent</w:t>
      </w:r>
    </w:p>
    <w:p>
      <w:pPr>
        <w:spacing w:after="0" w:line="52"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We recognize the importance of our engineering talent as a key competitive differentiator. Over the last several years, our customers have allocated more of their engineering resources towards software and away from hardware. As a result, they are increasingly relying on us to fill this void and be a close partner in helping them architect complete analog solutions.</w:t>
      </w:r>
    </w:p>
    <w:p>
      <w:pPr>
        <w:spacing w:after="0" w:line="77"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Our commitment to R&amp;D investment and engineer autonomy is what makes us a destination for the world’s best technologists. At its core, our culture is deeply rooted in solving our customers’ most challenging problems and developing and shaping the growth of our people. Our global team of problem solvers is mentored by the best minds and empowered to imagine the future instead of waiting for it. With that foundation, they’re able to develop breakthrough solutions that impact the world.</w:t>
      </w:r>
    </w:p>
    <w:p>
      <w:pPr>
        <w:spacing w:after="0" w:line="82" w:lineRule="exact"/>
        <w:rPr>
          <w:sz w:val="20"/>
          <w:szCs w:val="20"/>
          <w:color w:val="auto"/>
        </w:rPr>
      </w:pPr>
    </w:p>
    <w:p>
      <w:pPr>
        <w:ind w:right="240"/>
        <w:spacing w:after="0" w:line="263" w:lineRule="auto"/>
        <w:rPr>
          <w:sz w:val="20"/>
          <w:szCs w:val="20"/>
          <w:color w:val="auto"/>
        </w:rPr>
      </w:pPr>
      <w:r>
        <w:rPr>
          <w:rFonts w:ascii="Arial" w:cs="Arial" w:eastAsia="Arial" w:hAnsi="Arial"/>
          <w:sz w:val="17"/>
          <w:szCs w:val="17"/>
          <w:color w:val="auto"/>
        </w:rPr>
        <w:t>At the same time, ADI continues to expand our recruitment efforts to attract more diverse talent to our organization. Bringing different perspectives together not only fosters innovation, but it also strengthens bonds between people working towards a united goal and results in improved business outcomes.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0066BA"/>
        </w:rPr>
        <w:t>Our Mission to “Engineer Good”</w:t>
      </w:r>
    </w:p>
    <w:p>
      <w:pPr>
        <w:spacing w:after="0" w:line="3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Broadly speaking, we believe our industry-leading portfolio defines the edge of performance, creates successful business outcomes, and inherently delivers environmental and sustainability benefits.</w:t>
      </w:r>
    </w:p>
    <w:p>
      <w:pPr>
        <w:spacing w:after="0" w:line="69"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With each generation of chip design, we increase energy efficiency, while enhancing the performance of our customers’ systems. For example, in 2021 alone, electric vehicles equipped with ADI’s battery management system (BMS) technologies reduced the amount of carbon dioxide entering the atmosphere by nearly 100 million tons.</w:t>
      </w:r>
    </w:p>
    <w:p>
      <w:pPr>
        <w:spacing w:after="0" w:line="299" w:lineRule="exact"/>
        <w:rPr>
          <w:sz w:val="20"/>
          <w:szCs w:val="20"/>
          <w:color w:val="auto"/>
        </w:rPr>
      </w:pPr>
    </w:p>
    <w:p>
      <w:pPr>
        <w:sectPr>
          <w:pgSz w:w="11900" w:h="16838" w:orient="portrait"/>
          <w:cols w:equalWidth="0" w:num="2">
            <w:col w:w="5400" w:space="340"/>
            <w:col w:w="5200"/>
          </w:cols>
          <w:pgMar w:left="320" w:top="447" w:right="639" w:bottom="1440" w:gutter="0" w:footer="0" w:header="0"/>
          <w:type w:val="continuous"/>
        </w:sectPr>
      </w:pPr>
    </w:p>
    <w:p>
      <w:pPr>
        <w:spacing w:after="0" w:line="6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A-1</w:t>
      </w:r>
    </w:p>
    <w:p>
      <w:pPr>
        <w:sectPr>
          <w:pgSz w:w="11900" w:h="16838" w:orient="portrait"/>
          <w:cols w:equalWidth="0" w:num="1">
            <w:col w:w="10940"/>
          </w:cols>
          <w:pgMar w:left="320" w:top="447" w:right="639" w:bottom="1440" w:gutter="0" w:footer="0" w:header="0"/>
          <w:type w:val="continuous"/>
        </w:sectPr>
      </w:pPr>
    </w:p>
    <w:bookmarkStart w:id="4" w:name="page5"/>
    <w:bookmarkEnd w:id="4"/>
    <w:p>
      <w:pPr>
        <w:spacing w:after="0"/>
        <w:rPr>
          <w:rFonts w:ascii="Arial" w:cs="Arial" w:eastAsia="Arial" w:hAnsi="Arial"/>
          <w:sz w:val="17"/>
          <w:szCs w:val="17"/>
          <w:b w:val="1"/>
          <w:bCs w:val="1"/>
          <w:u w:val="single" w:color="auto"/>
          <w:color w:val="0000EE"/>
        </w:rPr>
      </w:pPr>
      <w:hyperlink w:anchor="page10">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20"/>
        <w:spacing w:after="0" w:line="277" w:lineRule="auto"/>
        <w:rPr>
          <w:sz w:val="20"/>
          <w:szCs w:val="20"/>
          <w:color w:val="auto"/>
        </w:rPr>
      </w:pPr>
      <w:r>
        <w:rPr>
          <w:rFonts w:ascii="Arial" w:cs="Arial" w:eastAsia="Arial" w:hAnsi="Arial"/>
          <w:sz w:val="16"/>
          <w:szCs w:val="16"/>
          <w:color w:val="auto"/>
        </w:rPr>
        <w:t>Beyond making products that enable energy-efficient applications across transportation, communication, healthcare, and more, we are leveraging our expertise to support climate-focused initiatives. In April 2021, we launched the Ocean and Climate Innovation Accelerator (OCIA) consortium with Woods Hole Oceanographic Institution. Unleashing the ocean’s potential to address the global climate crisis begins with science-driven knowledge, and our sensors and domain expertise in physical world metrology measurement will be critical to understanding the ocean’s role in climate change.</w:t>
      </w:r>
    </w:p>
    <w:p>
      <w:pPr>
        <w:spacing w:after="0" w:line="79" w:lineRule="exact"/>
        <w:rPr>
          <w:sz w:val="20"/>
          <w:szCs w:val="20"/>
          <w:color w:val="auto"/>
        </w:rPr>
      </w:pPr>
    </w:p>
    <w:p>
      <w:pPr>
        <w:ind w:left="320" w:right="60"/>
        <w:spacing w:after="0" w:line="278" w:lineRule="auto"/>
        <w:rPr>
          <w:sz w:val="20"/>
          <w:szCs w:val="20"/>
          <w:color w:val="auto"/>
        </w:rPr>
      </w:pPr>
      <w:r>
        <w:rPr>
          <w:rFonts w:ascii="Arial" w:cs="Arial" w:eastAsia="Arial" w:hAnsi="Arial"/>
          <w:sz w:val="16"/>
          <w:szCs w:val="16"/>
          <w:color w:val="auto"/>
        </w:rPr>
        <w:t>We’re also committed to answering the global call to action to address the world’s environmental degradation and climate change with more sustainable operations. For our part, we’ve set science-based emission reduction targets that ensure our sustainability plans are based on climate science and are independently verified and certified. These include using 100% renewable energy in our legacy ADI manufacturing sites by 2025, as well as achieving carbon neutrality by 2030 and net zero emissions by 2050 or sooner.</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7"/>
          <w:szCs w:val="17"/>
          <w:color w:val="0066BA"/>
        </w:rPr>
        <w:t>Thank You</w:t>
      </w:r>
    </w:p>
    <w:p>
      <w:pPr>
        <w:spacing w:after="0" w:line="52" w:lineRule="exact"/>
        <w:rPr>
          <w:sz w:val="20"/>
          <w:szCs w:val="20"/>
          <w:color w:val="auto"/>
        </w:rPr>
      </w:pPr>
    </w:p>
    <w:p>
      <w:pPr>
        <w:ind w:left="320" w:right="20"/>
        <w:spacing w:after="0" w:line="275" w:lineRule="auto"/>
        <w:rPr>
          <w:sz w:val="20"/>
          <w:szCs w:val="20"/>
          <w:color w:val="auto"/>
        </w:rPr>
      </w:pPr>
      <w:r>
        <w:rPr>
          <w:rFonts w:ascii="Arial" w:cs="Arial" w:eastAsia="Arial" w:hAnsi="Arial"/>
          <w:sz w:val="16"/>
          <w:szCs w:val="16"/>
          <w:color w:val="auto"/>
        </w:rPr>
        <w:t>In closing, our company remains strong, resilient, and adaptable in a period of tremendous change for our industry. I’ve never been more optimistic about our future in this ubiquitously sensed and connected world given the wide array of secular growth drivers, the breadth and depth of our product and technology portfolio and, critically, our increased ability to reach and fully serve our more-than one hundred thousand customers. I’d like to thank our employees and partners, who worked tirelessly throughout fiscal 2021 to help ADI achieve these historic results. I would also like to thank the Board for their confidence in appointing me as the incoming Chair of the Board, effective as of our Annual Meeting date. I look forward to continuing to work with the Board and management team to take ADI to even greater heights.</w:t>
      </w:r>
    </w:p>
    <w:p>
      <w:pPr>
        <w:spacing w:after="0" w:line="82" w:lineRule="exact"/>
        <w:rPr>
          <w:sz w:val="20"/>
          <w:szCs w:val="20"/>
          <w:color w:val="auto"/>
        </w:rPr>
      </w:pPr>
    </w:p>
    <w:p>
      <w:pPr>
        <w:ind w:left="320" w:right="40"/>
        <w:spacing w:after="0" w:line="286" w:lineRule="auto"/>
        <w:rPr>
          <w:sz w:val="20"/>
          <w:szCs w:val="20"/>
          <w:color w:val="auto"/>
        </w:rPr>
      </w:pPr>
      <w:r>
        <w:rPr>
          <w:rFonts w:ascii="Arial" w:cs="Arial" w:eastAsia="Arial" w:hAnsi="Arial"/>
          <w:sz w:val="17"/>
          <w:szCs w:val="17"/>
          <w:color w:val="auto"/>
        </w:rPr>
        <w:t>Lastly, thank you for choosing to invest in ADI and for your continued trust in our Board and management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133350</wp:posOffset>
            </wp:positionV>
            <wp:extent cx="2626995" cy="6940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2699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600"/>
        <w:spacing w:after="0"/>
        <w:rPr>
          <w:sz w:val="20"/>
          <w:szCs w:val="20"/>
          <w:color w:val="auto"/>
        </w:rPr>
      </w:pPr>
      <w:r>
        <w:rPr>
          <w:rFonts w:ascii="Arial" w:cs="Arial" w:eastAsia="Arial" w:hAnsi="Arial"/>
          <w:sz w:val="17"/>
          <w:szCs w:val="17"/>
          <w:color w:val="0066BA"/>
        </w:rPr>
        <w:t>VINCENT ROCHE</w:t>
      </w:r>
    </w:p>
    <w:p>
      <w:pPr>
        <w:spacing w:after="0" w:line="25"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Incoming Chair and</w:t>
      </w:r>
    </w:p>
    <w:p>
      <w:pPr>
        <w:spacing w:after="0" w:line="13"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960"/>
        <w:spacing w:after="0" w:line="295" w:lineRule="auto"/>
        <w:rPr>
          <w:sz w:val="20"/>
          <w:szCs w:val="20"/>
          <w:color w:val="auto"/>
        </w:rPr>
      </w:pPr>
      <w:r>
        <w:rPr>
          <w:rFonts w:ascii="Arial" w:cs="Arial" w:eastAsia="Arial" w:hAnsi="Arial"/>
          <w:sz w:val="27"/>
          <w:szCs w:val="27"/>
          <w:b w:val="1"/>
          <w:bCs w:val="1"/>
          <w:color w:val="0066BA"/>
        </w:rPr>
        <w:t>Strengthening Our End Markets with Maxim Integrated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-3781425</wp:posOffset>
            </wp:positionH>
            <wp:positionV relativeFrom="paragraph">
              <wp:posOffset>-1211580</wp:posOffset>
            </wp:positionV>
            <wp:extent cx="7179310" cy="81038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9310" cy="8103870"/>
                    </a:xfrm>
                    <a:prstGeom prst="rect">
                      <a:avLst/>
                    </a:prstGeom>
                    <a:noFill/>
                  </pic:spPr>
                </pic:pic>
              </a:graphicData>
            </a:graphic>
          </wp:anchor>
        </w:drawing>
        <w:drawing>
          <wp:anchor simplePos="0" relativeHeight="251657728" behindDoc="1" locked="0" layoutInCell="0" allowOverlap="1">
            <wp:simplePos x="0" y="0"/>
            <wp:positionH relativeFrom="column">
              <wp:posOffset>-3781425</wp:posOffset>
            </wp:positionH>
            <wp:positionV relativeFrom="paragraph">
              <wp:posOffset>-1211580</wp:posOffset>
            </wp:positionV>
            <wp:extent cx="7179310" cy="8103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9310" cy="810387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24"/>
          <w:szCs w:val="24"/>
          <w:color w:val="0066BA"/>
        </w:rPr>
        <w:t>Industrial</w:t>
      </w:r>
    </w:p>
    <w:p>
      <w:pPr>
        <w:spacing w:after="0" w:line="74" w:lineRule="exact"/>
        <w:rPr>
          <w:sz w:val="20"/>
          <w:szCs w:val="20"/>
          <w:color w:val="auto"/>
        </w:rPr>
      </w:pPr>
    </w:p>
    <w:p>
      <w:pPr>
        <w:ind w:left="920" w:right="260"/>
        <w:spacing w:after="0" w:line="276" w:lineRule="auto"/>
        <w:rPr>
          <w:sz w:val="20"/>
          <w:szCs w:val="20"/>
          <w:color w:val="auto"/>
        </w:rPr>
      </w:pPr>
      <w:r>
        <w:rPr>
          <w:rFonts w:ascii="Arial" w:cs="Arial" w:eastAsia="Arial" w:hAnsi="Arial"/>
          <w:sz w:val="16"/>
          <w:szCs w:val="16"/>
          <w:color w:val="auto"/>
        </w:rPr>
        <w:t>The Industrial sector is characterized by a diversity of customers, products and applications, and features sticky, long-life-cycle products. ADI’s heritage in this market, combined with Maxim Integrated, positions us as the partner of choice across precision signal processing, control, power management, connectivity and safety. And, we have a significant opportunity to connect Maxim’s rich power portfolio, which is underrepresented in the Industrial sector today, with ADI’s strong position in this market.</w:t>
      </w:r>
    </w:p>
    <w:p>
      <w:pPr>
        <w:spacing w:after="0" w:line="97" w:lineRule="exact"/>
        <w:rPr>
          <w:sz w:val="20"/>
          <w:szCs w:val="20"/>
          <w:color w:val="auto"/>
        </w:rPr>
      </w:pPr>
    </w:p>
    <w:p>
      <w:pPr>
        <w:spacing w:after="0"/>
        <w:rPr>
          <w:sz w:val="20"/>
          <w:szCs w:val="20"/>
          <w:color w:val="auto"/>
        </w:rPr>
      </w:pPr>
      <w:r>
        <w:rPr>
          <w:rFonts w:ascii="Arial" w:cs="Arial" w:eastAsia="Arial" w:hAnsi="Arial"/>
          <w:sz w:val="24"/>
          <w:szCs w:val="24"/>
          <w:color w:val="0066BA"/>
        </w:rPr>
        <w:t>Automotive</w:t>
      </w:r>
    </w:p>
    <w:p>
      <w:pPr>
        <w:spacing w:after="0" w:line="74" w:lineRule="exact"/>
        <w:rPr>
          <w:sz w:val="20"/>
          <w:szCs w:val="20"/>
          <w:color w:val="auto"/>
        </w:rPr>
      </w:pPr>
    </w:p>
    <w:p>
      <w:pPr>
        <w:ind w:left="920" w:right="280"/>
        <w:spacing w:after="0" w:line="258" w:lineRule="auto"/>
        <w:rPr>
          <w:sz w:val="20"/>
          <w:szCs w:val="20"/>
          <w:color w:val="auto"/>
        </w:rPr>
      </w:pPr>
      <w:r>
        <w:rPr>
          <w:rFonts w:ascii="Arial" w:cs="Arial" w:eastAsia="Arial" w:hAnsi="Arial"/>
          <w:sz w:val="17"/>
          <w:szCs w:val="17"/>
          <w:color w:val="auto"/>
        </w:rPr>
        <w:t>ADI’s automotive business is focused on vehicle electrification and in-cabin connectivity. Maxim Integrated strengthens our market-leading BMS position with its growing power management capabilities. Now, seven of the top 10 electric vehicle brands use our solution, and our BMS revenue has doubled. Maxim Integrated also adds an industry-leading Gigabit Multimedia Serial Link</w:t>
      </w:r>
      <w:r>
        <w:rPr>
          <w:rFonts w:ascii="Arial" w:cs="Arial" w:eastAsia="Arial" w:hAnsi="Arial"/>
          <w:sz w:val="14"/>
          <w:szCs w:val="14"/>
          <w:color w:val="auto"/>
        </w:rPr>
        <w:t>™</w:t>
      </w:r>
      <w:r>
        <w:rPr>
          <w:rFonts w:ascii="Arial" w:cs="Arial" w:eastAsia="Arial" w:hAnsi="Arial"/>
          <w:sz w:val="17"/>
          <w:szCs w:val="17"/>
          <w:color w:val="auto"/>
        </w:rPr>
        <w:t xml:space="preserve"> (GSML) franchise, making ADI the go to provider for connectivity systems in the vehicle, which is critical in architecting Advanced Driver Assistance Systems (ADAS) systems.</w:t>
      </w:r>
    </w:p>
    <w:p>
      <w:pPr>
        <w:spacing w:after="0" w:line="107" w:lineRule="exact"/>
        <w:rPr>
          <w:sz w:val="20"/>
          <w:szCs w:val="20"/>
          <w:color w:val="auto"/>
        </w:rPr>
      </w:pPr>
    </w:p>
    <w:p>
      <w:pPr>
        <w:spacing w:after="0"/>
        <w:rPr>
          <w:sz w:val="20"/>
          <w:szCs w:val="20"/>
          <w:color w:val="auto"/>
        </w:rPr>
      </w:pPr>
      <w:r>
        <w:rPr>
          <w:rFonts w:ascii="Arial" w:cs="Arial" w:eastAsia="Arial" w:hAnsi="Arial"/>
          <w:sz w:val="24"/>
          <w:szCs w:val="24"/>
          <w:color w:val="0066BA"/>
        </w:rPr>
        <w:t>Communications</w:t>
      </w:r>
    </w:p>
    <w:p>
      <w:pPr>
        <w:spacing w:after="0" w:line="74" w:lineRule="exact"/>
        <w:rPr>
          <w:sz w:val="20"/>
          <w:szCs w:val="20"/>
          <w:color w:val="auto"/>
        </w:rPr>
      </w:pPr>
    </w:p>
    <w:p>
      <w:pPr>
        <w:ind w:left="920" w:right="320"/>
        <w:spacing w:after="0" w:line="276" w:lineRule="auto"/>
        <w:rPr>
          <w:sz w:val="20"/>
          <w:szCs w:val="20"/>
          <w:color w:val="auto"/>
        </w:rPr>
      </w:pPr>
      <w:r>
        <w:rPr>
          <w:rFonts w:ascii="Arial" w:cs="Arial" w:eastAsia="Arial" w:hAnsi="Arial"/>
          <w:sz w:val="16"/>
          <w:szCs w:val="16"/>
          <w:color w:val="auto"/>
        </w:rPr>
        <w:t>ADI is a wireless market leader, and our deep domain expertise enabled the launch of the industry’s first software-defined radio transceiver with a fully integrated digital front end this year. In wireline, our precision signal chain for optical control systems and power management is used by carrier networks and data centers. Maxim Integrated more than doubles our data center exposure and expands our growth opportunities with power management solutions for cloud processors and accelerators.</w:t>
      </w:r>
    </w:p>
    <w:p>
      <w:pPr>
        <w:spacing w:after="0" w:line="97" w:lineRule="exact"/>
        <w:rPr>
          <w:sz w:val="20"/>
          <w:szCs w:val="20"/>
          <w:color w:val="auto"/>
        </w:rPr>
      </w:pPr>
    </w:p>
    <w:p>
      <w:pPr>
        <w:spacing w:after="0"/>
        <w:rPr>
          <w:sz w:val="20"/>
          <w:szCs w:val="20"/>
          <w:color w:val="auto"/>
        </w:rPr>
      </w:pPr>
      <w:r>
        <w:rPr>
          <w:rFonts w:ascii="Arial" w:cs="Arial" w:eastAsia="Arial" w:hAnsi="Arial"/>
          <w:sz w:val="24"/>
          <w:szCs w:val="24"/>
          <w:color w:val="0066BA"/>
        </w:rPr>
        <w:t>Consumer</w:t>
      </w:r>
    </w:p>
    <w:p>
      <w:pPr>
        <w:spacing w:after="0" w:line="74" w:lineRule="exact"/>
        <w:rPr>
          <w:sz w:val="20"/>
          <w:szCs w:val="20"/>
          <w:color w:val="auto"/>
        </w:rPr>
      </w:pPr>
    </w:p>
    <w:p>
      <w:pPr>
        <w:ind w:left="920" w:right="320"/>
        <w:spacing w:after="0" w:line="276" w:lineRule="auto"/>
        <w:rPr>
          <w:sz w:val="20"/>
          <w:szCs w:val="20"/>
          <w:color w:val="auto"/>
        </w:rPr>
      </w:pPr>
      <w:r>
        <w:rPr>
          <w:rFonts w:ascii="Arial" w:cs="Arial" w:eastAsia="Arial" w:hAnsi="Arial"/>
          <w:sz w:val="16"/>
          <w:szCs w:val="16"/>
          <w:color w:val="auto"/>
        </w:rPr>
        <w:t>Our Consumer business is focused on enhancing human sensory experiences, and we have repositioned this franchise by further diversifying our customers, products and applications. Our portfolio is defined by signal processing solutions across hearables, wearables and professional audio/video, along with strong power management capabilities. Maxim Integrated builds on this, bringing additional power and sensing capabilities and new applications, including fast charging and gaming.</w:t>
      </w: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A-2</w:t>
      </w:r>
    </w:p>
    <w:p>
      <w:pPr>
        <w:sectPr>
          <w:pgSz w:w="11900" w:h="16838" w:orient="portrait"/>
          <w:cols w:equalWidth="0" w:num="2">
            <w:col w:w="5260" w:space="680"/>
            <w:col w:w="5000"/>
          </w:cols>
          <w:pgMar w:left="320" w:top="447" w:right="63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696595</wp:posOffset>
            </wp:positionV>
            <wp:extent cx="6740525" cy="4959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40525" cy="49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-122555</wp:posOffset>
            </wp:positionV>
            <wp:extent cx="1404620" cy="396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04620" cy="39624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7"/>
          <w:szCs w:val="17"/>
          <w:color w:val="auto"/>
        </w:rPr>
        <w:t>One Analog Way</w:t>
      </w:r>
    </w:p>
    <w:p>
      <w:pPr>
        <w:jc w:val="right"/>
        <w:spacing w:after="0"/>
        <w:rPr>
          <w:sz w:val="20"/>
          <w:szCs w:val="20"/>
          <w:color w:val="auto"/>
        </w:rPr>
      </w:pPr>
      <w:r>
        <w:rPr>
          <w:rFonts w:ascii="Arial" w:cs="Arial" w:eastAsia="Arial" w:hAnsi="Arial"/>
          <w:sz w:val="17"/>
          <w:szCs w:val="17"/>
          <w:color w:val="auto"/>
        </w:rPr>
        <w:t>Wilmington, MA 01887</w:t>
      </w:r>
    </w:p>
    <w:p>
      <w:pPr>
        <w:spacing w:after="0" w:line="200" w:lineRule="exact"/>
        <w:rPr>
          <w:sz w:val="20"/>
          <w:szCs w:val="20"/>
          <w:color w:val="auto"/>
        </w:rPr>
      </w:pPr>
    </w:p>
    <w:p>
      <w:pPr>
        <w:spacing w:after="0" w:line="249" w:lineRule="exact"/>
        <w:rPr>
          <w:sz w:val="20"/>
          <w:szCs w:val="20"/>
          <w:color w:val="auto"/>
        </w:rPr>
      </w:pPr>
    </w:p>
    <w:p>
      <w:pPr>
        <w:ind w:left="320"/>
        <w:spacing w:after="0"/>
        <w:rPr>
          <w:sz w:val="20"/>
          <w:szCs w:val="20"/>
          <w:color w:val="auto"/>
        </w:rPr>
      </w:pPr>
      <w:r>
        <w:rPr>
          <w:rFonts w:ascii="Arial" w:cs="Arial" w:eastAsia="Arial" w:hAnsi="Arial"/>
          <w:sz w:val="45"/>
          <w:szCs w:val="45"/>
          <w:color w:val="auto"/>
        </w:rPr>
        <w:t>A GLOBAL TEAM</w:t>
      </w:r>
    </w:p>
    <w:p>
      <w:pPr>
        <w:spacing w:after="0" w:line="379" w:lineRule="exact"/>
        <w:rPr>
          <w:sz w:val="20"/>
          <w:szCs w:val="20"/>
          <w:color w:val="auto"/>
        </w:rPr>
      </w:pPr>
    </w:p>
    <w:p>
      <w:pPr>
        <w:ind w:left="320" w:right="160"/>
        <w:spacing w:after="0" w:line="246" w:lineRule="auto"/>
        <w:rPr>
          <w:sz w:val="20"/>
          <w:szCs w:val="20"/>
          <w:color w:val="auto"/>
        </w:rPr>
      </w:pPr>
      <w:r>
        <w:rPr>
          <w:rFonts w:ascii="Arial" w:cs="Arial" w:eastAsia="Arial" w:hAnsi="Arial"/>
          <w:sz w:val="28"/>
          <w:szCs w:val="28"/>
          <w:i w:val="1"/>
          <w:iCs w:val="1"/>
          <w:color w:val="0066BA"/>
        </w:rPr>
        <w:t>“At ADI, our greatest asset is our people. We offer the most curious problem-solvers career-long opportunities to learn from the best minds and maximize their potential and impact. This environment, when paired with our inspiring mission to solve the world’s most complex challenges, creates a unique draw for brilliant people who are passionate about partnering with our customers to make a lasting, positive impact on humanity. And this applies across all functions – their ingenuity and collaborative approach power the innovation engine that is at the root of our customer success and long-term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129540</wp:posOffset>
            </wp:positionV>
            <wp:extent cx="586740" cy="586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6740" cy="586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400"/>
        <w:spacing w:after="0"/>
        <w:rPr>
          <w:sz w:val="20"/>
          <w:szCs w:val="20"/>
          <w:color w:val="auto"/>
        </w:rPr>
      </w:pPr>
      <w:r>
        <w:rPr>
          <w:rFonts w:ascii="Arial" w:cs="Arial" w:eastAsia="Arial" w:hAnsi="Arial"/>
          <w:sz w:val="17"/>
          <w:szCs w:val="17"/>
          <w:color w:val="0066BA"/>
        </w:rPr>
        <w:t>ANELISE SACKS</w:t>
      </w:r>
    </w:p>
    <w:p>
      <w:pPr>
        <w:spacing w:after="0" w:line="25"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Chief Customer Officer</w:t>
      </w:r>
    </w:p>
    <w:p>
      <w:pPr>
        <w:spacing w:after="0" w:line="200" w:lineRule="exact"/>
        <w:rPr>
          <w:sz w:val="20"/>
          <w:szCs w:val="20"/>
          <w:color w:val="auto"/>
        </w:rPr>
      </w:pPr>
    </w:p>
    <w:p>
      <w:pPr>
        <w:spacing w:after="0" w:line="218"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0066BA"/>
        </w:rPr>
        <w:t>Talent Priorities</w:t>
      </w:r>
    </w:p>
    <w:p>
      <w:pPr>
        <w:spacing w:after="0" w:line="124" w:lineRule="exact"/>
        <w:rPr>
          <w:sz w:val="20"/>
          <w:szCs w:val="20"/>
          <w:color w:val="auto"/>
        </w:rPr>
      </w:pPr>
    </w:p>
    <w:p>
      <w:pPr>
        <w:ind w:left="320" w:right="140"/>
        <w:spacing w:after="0" w:line="270" w:lineRule="auto"/>
        <w:rPr>
          <w:sz w:val="20"/>
          <w:szCs w:val="20"/>
          <w:color w:val="auto"/>
        </w:rPr>
      </w:pPr>
      <w:r>
        <w:rPr>
          <w:rFonts w:ascii="Arial" w:cs="Arial" w:eastAsia="Arial" w:hAnsi="Arial"/>
          <w:sz w:val="17"/>
          <w:szCs w:val="17"/>
          <w:color w:val="auto"/>
        </w:rPr>
        <w:t>We invest in our people so they can engineer the next generation of technology that betters our world. We care about our employees, offering competitive benefits and compensation, as well as fulfilling career opportunities. In support of this, we are continuously looking for ways to evolve our programs and practices to ensure employee satisfaction.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133985</wp:posOffset>
            </wp:positionV>
            <wp:extent cx="6740525" cy="29819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40525" cy="2981960"/>
                    </a:xfrm>
                    <a:prstGeom prst="rect">
                      <a:avLst/>
                    </a:prstGeom>
                    <a:noFill/>
                  </pic:spPr>
                </pic:pic>
              </a:graphicData>
            </a:graphic>
          </wp:anchor>
        </w:drawing>
      </w:r>
    </w:p>
    <w:p>
      <w:pPr>
        <w:sectPr>
          <w:pgSz w:w="11900" w:h="16838" w:orient="portrait"/>
          <w:cols w:equalWidth="0" w:num="1">
            <w:col w:w="10940"/>
          </w:cols>
          <w:pgMar w:left="320" w:top="447" w:right="639" w:bottom="1011" w:gutter="0" w:footer="0" w:header="0"/>
        </w:sectPr>
      </w:pPr>
    </w:p>
    <w:p>
      <w:pPr>
        <w:spacing w:after="0" w:line="140" w:lineRule="exact"/>
        <w:rPr>
          <w:sz w:val="20"/>
          <w:szCs w:val="20"/>
          <w:color w:val="auto"/>
        </w:rPr>
      </w:pPr>
    </w:p>
    <w:tbl>
      <w:tblPr>
        <w:tblLayout w:type="fixed"/>
        <w:tblInd w:w="400" w:type="dxa"/>
        <w:tblCellMar>
          <w:top w:w="0" w:type="dxa"/>
          <w:left w:w="0" w:type="dxa"/>
          <w:bottom w:w="0" w:type="dxa"/>
          <w:right w:w="0" w:type="dxa"/>
        </w:tblCellMar>
      </w:tblPr>
      <w:tr>
        <w:trPr>
          <w:trHeight w:val="322"/>
        </w:trPr>
        <w:tc>
          <w:tcPr>
            <w:tcW w:w="220" w:type="dxa"/>
            <w:vAlign w:val="bottom"/>
          </w:tcPr>
          <w:p>
            <w:pPr>
              <w:jc w:val="right"/>
              <w:spacing w:after="0"/>
              <w:rPr>
                <w:sz w:val="20"/>
                <w:szCs w:val="20"/>
                <w:color w:val="auto"/>
              </w:rPr>
            </w:pPr>
            <w:r>
              <w:rPr>
                <w:rFonts w:ascii="Arial" w:cs="Arial" w:eastAsia="Arial" w:hAnsi="Arial"/>
                <w:sz w:val="28"/>
                <w:szCs w:val="28"/>
                <w:b w:val="1"/>
                <w:bCs w:val="1"/>
                <w:color w:val="FFFFFF"/>
                <w:w w:val="85"/>
              </w:rPr>
              <w:t>1.</w:t>
            </w:r>
          </w:p>
        </w:tc>
        <w:tc>
          <w:tcPr>
            <w:tcW w:w="1700" w:type="dxa"/>
            <w:vAlign w:val="bottom"/>
            <w:shd w:val="clear" w:color="auto" w:fill="CCE0F1"/>
          </w:tcPr>
          <w:p>
            <w:pPr>
              <w:ind w:left="120"/>
              <w:spacing w:after="0"/>
              <w:rPr>
                <w:sz w:val="20"/>
                <w:szCs w:val="20"/>
                <w:color w:val="auto"/>
              </w:rPr>
            </w:pPr>
            <w:r>
              <w:rPr>
                <w:rFonts w:ascii="Arial" w:cs="Arial" w:eastAsia="Arial" w:hAnsi="Arial"/>
                <w:sz w:val="17"/>
                <w:szCs w:val="17"/>
                <w:b w:val="1"/>
                <w:bCs w:val="1"/>
                <w:color w:val="auto"/>
                <w:w w:val="93"/>
              </w:rPr>
              <w:t>Empower Innovation</w:t>
            </w:r>
          </w:p>
        </w:tc>
        <w:tc>
          <w:tcPr>
            <w:tcW w:w="1300" w:type="dxa"/>
            <w:vAlign w:val="bottom"/>
          </w:tcPr>
          <w:p>
            <w:pPr>
              <w:ind w:left="120"/>
              <w:spacing w:after="0"/>
              <w:rPr>
                <w:sz w:val="20"/>
                <w:szCs w:val="20"/>
                <w:color w:val="auto"/>
              </w:rPr>
            </w:pPr>
            <w:r>
              <w:rPr>
                <w:rFonts w:ascii="Arial" w:cs="Arial" w:eastAsia="Arial" w:hAnsi="Arial"/>
                <w:sz w:val="16"/>
                <w:szCs w:val="16"/>
                <w:i w:val="1"/>
                <w:iCs w:val="1"/>
                <w:color w:val="auto"/>
                <w:w w:val="99"/>
              </w:rPr>
              <w:t>Empowering our</w:t>
            </w:r>
          </w:p>
        </w:tc>
        <w:tc>
          <w:tcPr>
            <w:tcW w:w="3560" w:type="dxa"/>
            <w:vAlign w:val="bottom"/>
          </w:tcPr>
          <w:p>
            <w:pPr>
              <w:ind w:left="100"/>
              <w:spacing w:after="0"/>
              <w:rPr>
                <w:sz w:val="20"/>
                <w:szCs w:val="20"/>
                <w:color w:val="auto"/>
              </w:rPr>
            </w:pPr>
            <w:r>
              <w:rPr>
                <w:rFonts w:ascii="Arial" w:cs="Arial" w:eastAsia="Arial" w:hAnsi="Arial"/>
                <w:sz w:val="16"/>
                <w:szCs w:val="16"/>
                <w:color w:val="auto"/>
              </w:rPr>
              <w:t xml:space="preserve">Our pandemic-inspired </w:t>
            </w:r>
            <w:r>
              <w:rPr>
                <w:rFonts w:ascii="Arial" w:cs="Arial" w:eastAsia="Arial" w:hAnsi="Arial"/>
                <w:sz w:val="16"/>
                <w:szCs w:val="16"/>
                <w:b w:val="1"/>
                <w:bCs w:val="1"/>
                <w:color w:val="auto"/>
              </w:rPr>
              <w:t>ADI Ignite Network</w:t>
            </w:r>
          </w:p>
        </w:tc>
      </w:tr>
      <w:tr>
        <w:trPr>
          <w:trHeight w:val="181"/>
        </w:trPr>
        <w:tc>
          <w:tcPr>
            <w:tcW w:w="220" w:type="dxa"/>
            <w:vAlign w:val="bottom"/>
          </w:tcPr>
          <w:p>
            <w:pPr>
              <w:spacing w:after="0"/>
              <w:rPr>
                <w:sz w:val="15"/>
                <w:szCs w:val="15"/>
                <w:color w:val="auto"/>
              </w:rPr>
            </w:pPr>
          </w:p>
        </w:tc>
        <w:tc>
          <w:tcPr>
            <w:tcW w:w="1700" w:type="dxa"/>
            <w:vAlign w:val="bottom"/>
            <w:shd w:val="clear" w:color="auto" w:fill="CCE0F1"/>
          </w:tcPr>
          <w:p>
            <w:pPr>
              <w:ind w:left="120"/>
              <w:spacing w:after="0" w:line="181" w:lineRule="exact"/>
              <w:rPr>
                <w:sz w:val="20"/>
                <w:szCs w:val="20"/>
                <w:color w:val="auto"/>
              </w:rPr>
            </w:pPr>
            <w:r>
              <w:rPr>
                <w:rFonts w:ascii="Arial" w:cs="Arial" w:eastAsia="Arial" w:hAnsi="Arial"/>
                <w:sz w:val="17"/>
                <w:szCs w:val="17"/>
                <w:b w:val="1"/>
                <w:bCs w:val="1"/>
                <w:color w:val="auto"/>
              </w:rPr>
              <w:t>Leadership &amp;</w:t>
            </w:r>
          </w:p>
        </w:tc>
        <w:tc>
          <w:tcPr>
            <w:tcW w:w="1300" w:type="dxa"/>
            <w:vAlign w:val="bottom"/>
          </w:tcPr>
          <w:p>
            <w:pPr>
              <w:ind w:left="120"/>
              <w:spacing w:after="0" w:line="181" w:lineRule="exact"/>
              <w:rPr>
                <w:sz w:val="20"/>
                <w:szCs w:val="20"/>
                <w:color w:val="auto"/>
              </w:rPr>
            </w:pPr>
            <w:r>
              <w:rPr>
                <w:rFonts w:ascii="Arial" w:cs="Arial" w:eastAsia="Arial" w:hAnsi="Arial"/>
                <w:sz w:val="16"/>
                <w:szCs w:val="16"/>
                <w:i w:val="1"/>
                <w:iCs w:val="1"/>
                <w:color w:val="auto"/>
                <w:w w:val="91"/>
              </w:rPr>
              <w:t>teams to innovate</w:t>
            </w:r>
          </w:p>
        </w:tc>
        <w:tc>
          <w:tcPr>
            <w:tcW w:w="3560" w:type="dxa"/>
            <w:vAlign w:val="bottom"/>
          </w:tcPr>
          <w:p>
            <w:pPr>
              <w:ind w:left="100"/>
              <w:spacing w:after="0" w:line="181" w:lineRule="exact"/>
              <w:rPr>
                <w:sz w:val="20"/>
                <w:szCs w:val="20"/>
                <w:color w:val="auto"/>
              </w:rPr>
            </w:pPr>
            <w:r>
              <w:rPr>
                <w:rFonts w:ascii="Arial" w:cs="Arial" w:eastAsia="Arial" w:hAnsi="Arial"/>
                <w:sz w:val="16"/>
                <w:szCs w:val="16"/>
                <w:color w:val="auto"/>
                <w:w w:val="92"/>
              </w:rPr>
              <w:t>“innovates how we innovate.” The network opens up</w:t>
            </w:r>
          </w:p>
        </w:tc>
      </w:tr>
      <w:tr>
        <w:trPr>
          <w:trHeight w:val="192"/>
        </w:trPr>
        <w:tc>
          <w:tcPr>
            <w:tcW w:w="220" w:type="dxa"/>
            <w:vAlign w:val="bottom"/>
          </w:tcPr>
          <w:p>
            <w:pPr>
              <w:spacing w:after="0"/>
              <w:rPr>
                <w:sz w:val="16"/>
                <w:szCs w:val="16"/>
                <w:color w:val="auto"/>
              </w:rPr>
            </w:pPr>
          </w:p>
        </w:tc>
        <w:tc>
          <w:tcPr>
            <w:tcW w:w="1700" w:type="dxa"/>
            <w:vAlign w:val="bottom"/>
            <w:shd w:val="clear" w:color="auto" w:fill="CCE0F1"/>
          </w:tcPr>
          <w:p>
            <w:pPr>
              <w:ind w:left="120"/>
              <w:spacing w:after="0" w:line="192" w:lineRule="exact"/>
              <w:rPr>
                <w:sz w:val="20"/>
                <w:szCs w:val="20"/>
                <w:color w:val="auto"/>
              </w:rPr>
            </w:pPr>
            <w:r>
              <w:rPr>
                <w:rFonts w:ascii="Arial" w:cs="Arial" w:eastAsia="Arial" w:hAnsi="Arial"/>
                <w:sz w:val="17"/>
                <w:szCs w:val="17"/>
                <w:b w:val="1"/>
                <w:bCs w:val="1"/>
                <w:color w:val="auto"/>
              </w:rPr>
              <w:t>Mentoring</w:t>
            </w:r>
          </w:p>
        </w:tc>
        <w:tc>
          <w:tcPr>
            <w:tcW w:w="1300" w:type="dxa"/>
            <w:vAlign w:val="bottom"/>
          </w:tcPr>
          <w:p>
            <w:pPr>
              <w:ind w:left="120"/>
              <w:spacing w:after="0"/>
              <w:rPr>
                <w:sz w:val="20"/>
                <w:szCs w:val="20"/>
                <w:color w:val="auto"/>
              </w:rPr>
            </w:pPr>
            <w:r>
              <w:rPr>
                <w:rFonts w:ascii="Arial" w:cs="Arial" w:eastAsia="Arial" w:hAnsi="Arial"/>
                <w:sz w:val="16"/>
                <w:szCs w:val="16"/>
                <w:i w:val="1"/>
                <w:iCs w:val="1"/>
                <w:color w:val="auto"/>
                <w:w w:val="94"/>
              </w:rPr>
              <w:t>and learn, across</w:t>
            </w:r>
          </w:p>
        </w:tc>
        <w:tc>
          <w:tcPr>
            <w:tcW w:w="3560" w:type="dxa"/>
            <w:vAlign w:val="bottom"/>
          </w:tcPr>
          <w:p>
            <w:pPr>
              <w:ind w:left="100"/>
              <w:spacing w:after="0"/>
              <w:rPr>
                <w:sz w:val="20"/>
                <w:szCs w:val="20"/>
                <w:color w:val="auto"/>
              </w:rPr>
            </w:pPr>
            <w:r>
              <w:rPr>
                <w:rFonts w:ascii="Arial" w:cs="Arial" w:eastAsia="Arial" w:hAnsi="Arial"/>
                <w:sz w:val="16"/>
                <w:szCs w:val="16"/>
                <w:color w:val="auto"/>
                <w:w w:val="89"/>
              </w:rPr>
              <w:t>innovation to all employees and expands the impact of</w:t>
            </w:r>
          </w:p>
        </w:tc>
      </w:tr>
      <w:tr>
        <w:trPr>
          <w:trHeight w:val="194"/>
        </w:trPr>
        <w:tc>
          <w:tcPr>
            <w:tcW w:w="220" w:type="dxa"/>
            <w:vAlign w:val="bottom"/>
          </w:tcPr>
          <w:p>
            <w:pPr>
              <w:spacing w:after="0"/>
              <w:rPr>
                <w:sz w:val="16"/>
                <w:szCs w:val="16"/>
                <w:color w:val="auto"/>
              </w:rPr>
            </w:pPr>
          </w:p>
        </w:tc>
        <w:tc>
          <w:tcPr>
            <w:tcW w:w="1700" w:type="dxa"/>
            <w:vAlign w:val="bottom"/>
            <w:shd w:val="clear" w:color="auto" w:fill="CCE0F1"/>
          </w:tcPr>
          <w:p>
            <w:pPr>
              <w:spacing w:after="0"/>
              <w:rPr>
                <w:sz w:val="16"/>
                <w:szCs w:val="16"/>
                <w:color w:val="auto"/>
              </w:rPr>
            </w:pPr>
          </w:p>
        </w:tc>
        <w:tc>
          <w:tcPr>
            <w:tcW w:w="1300" w:type="dxa"/>
            <w:vAlign w:val="bottom"/>
          </w:tcPr>
          <w:p>
            <w:pPr>
              <w:ind w:left="120"/>
              <w:spacing w:after="0"/>
              <w:rPr>
                <w:sz w:val="20"/>
                <w:szCs w:val="20"/>
                <w:color w:val="auto"/>
              </w:rPr>
            </w:pPr>
            <w:r>
              <w:rPr>
                <w:rFonts w:ascii="Arial" w:cs="Arial" w:eastAsia="Arial" w:hAnsi="Arial"/>
                <w:sz w:val="16"/>
                <w:szCs w:val="16"/>
                <w:i w:val="1"/>
                <w:iCs w:val="1"/>
                <w:color w:val="auto"/>
              </w:rPr>
              <w:t>every level &amp;</w:t>
            </w:r>
          </w:p>
        </w:tc>
        <w:tc>
          <w:tcPr>
            <w:tcW w:w="3560" w:type="dxa"/>
            <w:vAlign w:val="bottom"/>
          </w:tcPr>
          <w:p>
            <w:pPr>
              <w:ind w:left="100"/>
              <w:spacing w:after="0"/>
              <w:rPr>
                <w:sz w:val="20"/>
                <w:szCs w:val="20"/>
                <w:color w:val="auto"/>
              </w:rPr>
            </w:pPr>
            <w:r>
              <w:rPr>
                <w:rFonts w:ascii="Arial" w:cs="Arial" w:eastAsia="Arial" w:hAnsi="Arial"/>
                <w:sz w:val="16"/>
                <w:szCs w:val="16"/>
                <w:color w:val="auto"/>
                <w:w w:val="88"/>
              </w:rPr>
              <w:t xml:space="preserve">mentoring across the globe. Our recently launched </w:t>
            </w:r>
            <w:r>
              <w:rPr>
                <w:rFonts w:ascii="Arial" w:cs="Arial" w:eastAsia="Arial" w:hAnsi="Arial"/>
                <w:sz w:val="16"/>
                <w:szCs w:val="16"/>
                <w:b w:val="1"/>
                <w:bCs w:val="1"/>
                <w:color w:val="auto"/>
                <w:w w:val="88"/>
              </w:rPr>
              <w:t>ADI</w:t>
            </w:r>
          </w:p>
        </w:tc>
      </w:tr>
      <w:tr>
        <w:trPr>
          <w:trHeight w:val="199"/>
        </w:trPr>
        <w:tc>
          <w:tcPr>
            <w:tcW w:w="220" w:type="dxa"/>
            <w:vAlign w:val="bottom"/>
          </w:tcPr>
          <w:p>
            <w:pPr>
              <w:spacing w:after="0"/>
              <w:rPr>
                <w:sz w:val="17"/>
                <w:szCs w:val="17"/>
                <w:color w:val="auto"/>
              </w:rPr>
            </w:pPr>
          </w:p>
        </w:tc>
        <w:tc>
          <w:tcPr>
            <w:tcW w:w="1700" w:type="dxa"/>
            <w:vAlign w:val="bottom"/>
            <w:shd w:val="clear" w:color="auto" w:fill="CCE0F1"/>
          </w:tcPr>
          <w:p>
            <w:pPr>
              <w:spacing w:after="0"/>
              <w:rPr>
                <w:sz w:val="17"/>
                <w:szCs w:val="17"/>
                <w:color w:val="auto"/>
              </w:rPr>
            </w:pPr>
          </w:p>
        </w:tc>
        <w:tc>
          <w:tcPr>
            <w:tcW w:w="1300" w:type="dxa"/>
            <w:vAlign w:val="bottom"/>
          </w:tcPr>
          <w:p>
            <w:pPr>
              <w:ind w:left="120"/>
              <w:spacing w:after="0"/>
              <w:rPr>
                <w:sz w:val="20"/>
                <w:szCs w:val="20"/>
                <w:color w:val="auto"/>
              </w:rPr>
            </w:pPr>
            <w:r>
              <w:rPr>
                <w:rFonts w:ascii="Arial" w:cs="Arial" w:eastAsia="Arial" w:hAnsi="Arial"/>
                <w:sz w:val="16"/>
                <w:szCs w:val="16"/>
                <w:i w:val="1"/>
                <w:iCs w:val="1"/>
                <w:color w:val="auto"/>
              </w:rPr>
              <w:t>function</w:t>
            </w:r>
          </w:p>
        </w:tc>
        <w:tc>
          <w:tcPr>
            <w:tcW w:w="3560" w:type="dxa"/>
            <w:vAlign w:val="bottom"/>
          </w:tcPr>
          <w:p>
            <w:pPr>
              <w:ind w:left="100"/>
              <w:spacing w:after="0"/>
              <w:rPr>
                <w:sz w:val="20"/>
                <w:szCs w:val="20"/>
                <w:color w:val="auto"/>
              </w:rPr>
            </w:pPr>
            <w:r>
              <w:rPr>
                <w:rFonts w:ascii="Arial" w:cs="Arial" w:eastAsia="Arial" w:hAnsi="Arial"/>
                <w:sz w:val="16"/>
                <w:szCs w:val="16"/>
                <w:b w:val="1"/>
                <w:bCs w:val="1"/>
                <w:color w:val="auto"/>
                <w:w w:val="91"/>
              </w:rPr>
              <w:t xml:space="preserve">Mentoring Program </w:t>
            </w:r>
            <w:r>
              <w:rPr>
                <w:rFonts w:ascii="Arial" w:cs="Arial" w:eastAsia="Arial" w:hAnsi="Arial"/>
                <w:sz w:val="16"/>
                <w:szCs w:val="16"/>
                <w:color w:val="auto"/>
                <w:w w:val="91"/>
              </w:rPr>
              <w:t>makes it easier for mentors and</w:t>
            </w:r>
          </w:p>
        </w:tc>
      </w:tr>
      <w:tr>
        <w:trPr>
          <w:trHeight w:val="195"/>
        </w:trPr>
        <w:tc>
          <w:tcPr>
            <w:tcW w:w="220" w:type="dxa"/>
            <w:vAlign w:val="bottom"/>
          </w:tcPr>
          <w:p>
            <w:pPr>
              <w:spacing w:after="0"/>
              <w:rPr>
                <w:sz w:val="16"/>
                <w:szCs w:val="16"/>
                <w:color w:val="auto"/>
              </w:rPr>
            </w:pPr>
          </w:p>
        </w:tc>
        <w:tc>
          <w:tcPr>
            <w:tcW w:w="1700" w:type="dxa"/>
            <w:vAlign w:val="bottom"/>
            <w:shd w:val="clear" w:color="auto" w:fill="CCE0F1"/>
          </w:tcPr>
          <w:p>
            <w:pPr>
              <w:spacing w:after="0"/>
              <w:rPr>
                <w:sz w:val="16"/>
                <w:szCs w:val="16"/>
                <w:color w:val="auto"/>
              </w:rPr>
            </w:pPr>
          </w:p>
        </w:tc>
        <w:tc>
          <w:tcPr>
            <w:tcW w:w="1300" w:type="dxa"/>
            <w:vAlign w:val="bottom"/>
          </w:tcPr>
          <w:p>
            <w:pPr>
              <w:spacing w:after="0"/>
              <w:rPr>
                <w:sz w:val="16"/>
                <w:szCs w:val="16"/>
                <w:color w:val="auto"/>
              </w:rPr>
            </w:pPr>
          </w:p>
        </w:tc>
        <w:tc>
          <w:tcPr>
            <w:tcW w:w="3560" w:type="dxa"/>
            <w:vAlign w:val="bottom"/>
          </w:tcPr>
          <w:p>
            <w:pPr>
              <w:ind w:left="100"/>
              <w:spacing w:after="0"/>
              <w:rPr>
                <w:sz w:val="20"/>
                <w:szCs w:val="20"/>
                <w:color w:val="auto"/>
              </w:rPr>
            </w:pPr>
            <w:r>
              <w:rPr>
                <w:rFonts w:ascii="Arial" w:cs="Arial" w:eastAsia="Arial" w:hAnsi="Arial"/>
                <w:sz w:val="16"/>
                <w:szCs w:val="16"/>
                <w:color w:val="auto"/>
                <w:w w:val="89"/>
              </w:rPr>
              <w:t>mentees to connect via a digital platform that matches</w:t>
            </w:r>
          </w:p>
        </w:tc>
      </w:tr>
      <w:tr>
        <w:trPr>
          <w:trHeight w:val="195"/>
        </w:trPr>
        <w:tc>
          <w:tcPr>
            <w:tcW w:w="220" w:type="dxa"/>
            <w:vAlign w:val="bottom"/>
          </w:tcPr>
          <w:p>
            <w:pPr>
              <w:spacing w:after="0"/>
              <w:rPr>
                <w:sz w:val="16"/>
                <w:szCs w:val="16"/>
                <w:color w:val="auto"/>
              </w:rPr>
            </w:pPr>
          </w:p>
        </w:tc>
        <w:tc>
          <w:tcPr>
            <w:tcW w:w="1700" w:type="dxa"/>
            <w:vAlign w:val="bottom"/>
            <w:shd w:val="clear" w:color="auto" w:fill="CCE0F1"/>
          </w:tcPr>
          <w:p>
            <w:pPr>
              <w:spacing w:after="0"/>
              <w:rPr>
                <w:sz w:val="16"/>
                <w:szCs w:val="16"/>
                <w:color w:val="auto"/>
              </w:rPr>
            </w:pPr>
          </w:p>
        </w:tc>
        <w:tc>
          <w:tcPr>
            <w:tcW w:w="1300" w:type="dxa"/>
            <w:vAlign w:val="bottom"/>
          </w:tcPr>
          <w:p>
            <w:pPr>
              <w:spacing w:after="0"/>
              <w:rPr>
                <w:sz w:val="16"/>
                <w:szCs w:val="16"/>
                <w:color w:val="auto"/>
              </w:rPr>
            </w:pPr>
          </w:p>
        </w:tc>
        <w:tc>
          <w:tcPr>
            <w:tcW w:w="3560" w:type="dxa"/>
            <w:vAlign w:val="bottom"/>
          </w:tcPr>
          <w:p>
            <w:pPr>
              <w:ind w:left="100"/>
              <w:spacing w:after="0"/>
              <w:rPr>
                <w:sz w:val="20"/>
                <w:szCs w:val="20"/>
                <w:color w:val="auto"/>
              </w:rPr>
            </w:pPr>
            <w:r>
              <w:rPr>
                <w:rFonts w:ascii="Arial" w:cs="Arial" w:eastAsia="Arial" w:hAnsi="Arial"/>
                <w:sz w:val="16"/>
                <w:szCs w:val="16"/>
                <w:color w:val="auto"/>
                <w:w w:val="84"/>
              </w:rPr>
              <w:t>mentors and mentees based on suggestions, personality,</w:t>
            </w:r>
          </w:p>
        </w:tc>
      </w:tr>
      <w:tr>
        <w:trPr>
          <w:trHeight w:val="199"/>
        </w:trPr>
        <w:tc>
          <w:tcPr>
            <w:tcW w:w="220" w:type="dxa"/>
            <w:vAlign w:val="bottom"/>
          </w:tcPr>
          <w:p>
            <w:pPr>
              <w:spacing w:after="0"/>
              <w:rPr>
                <w:sz w:val="17"/>
                <w:szCs w:val="17"/>
                <w:color w:val="auto"/>
              </w:rPr>
            </w:pPr>
          </w:p>
        </w:tc>
        <w:tc>
          <w:tcPr>
            <w:tcW w:w="1700" w:type="dxa"/>
            <w:vAlign w:val="bottom"/>
            <w:shd w:val="clear" w:color="auto" w:fill="CCE0F1"/>
          </w:tcPr>
          <w:p>
            <w:pPr>
              <w:spacing w:after="0"/>
              <w:rPr>
                <w:sz w:val="17"/>
                <w:szCs w:val="17"/>
                <w:color w:val="auto"/>
              </w:rPr>
            </w:pPr>
          </w:p>
        </w:tc>
        <w:tc>
          <w:tcPr>
            <w:tcW w:w="1300" w:type="dxa"/>
            <w:vAlign w:val="bottom"/>
          </w:tcPr>
          <w:p>
            <w:pPr>
              <w:spacing w:after="0"/>
              <w:rPr>
                <w:sz w:val="17"/>
                <w:szCs w:val="17"/>
                <w:color w:val="auto"/>
              </w:rPr>
            </w:pPr>
          </w:p>
        </w:tc>
        <w:tc>
          <w:tcPr>
            <w:tcW w:w="3560" w:type="dxa"/>
            <w:vAlign w:val="bottom"/>
          </w:tcPr>
          <w:p>
            <w:pPr>
              <w:ind w:left="100"/>
              <w:spacing w:after="0"/>
              <w:rPr>
                <w:sz w:val="20"/>
                <w:szCs w:val="20"/>
                <w:color w:val="auto"/>
              </w:rPr>
            </w:pPr>
            <w:r>
              <w:rPr>
                <w:rFonts w:ascii="Arial" w:cs="Arial" w:eastAsia="Arial" w:hAnsi="Arial"/>
                <w:sz w:val="16"/>
                <w:szCs w:val="16"/>
                <w:color w:val="auto"/>
              </w:rPr>
              <w:t>and other preferences.</w:t>
            </w:r>
          </w:p>
        </w:tc>
      </w:tr>
      <w:tr>
        <w:trPr>
          <w:trHeight w:val="84"/>
        </w:trPr>
        <w:tc>
          <w:tcPr>
            <w:tcW w:w="220" w:type="dxa"/>
            <w:vAlign w:val="bottom"/>
          </w:tcPr>
          <w:p>
            <w:pPr>
              <w:spacing w:after="0"/>
              <w:rPr>
                <w:sz w:val="7"/>
                <w:szCs w:val="7"/>
                <w:color w:val="auto"/>
              </w:rPr>
            </w:pPr>
          </w:p>
        </w:tc>
        <w:tc>
          <w:tcPr>
            <w:tcW w:w="1700" w:type="dxa"/>
            <w:vAlign w:val="bottom"/>
            <w:shd w:val="clear" w:color="auto" w:fill="CCE0F1"/>
          </w:tcPr>
          <w:p>
            <w:pPr>
              <w:spacing w:after="0"/>
              <w:rPr>
                <w:sz w:val="7"/>
                <w:szCs w:val="7"/>
                <w:color w:val="auto"/>
              </w:rPr>
            </w:pPr>
          </w:p>
        </w:tc>
        <w:tc>
          <w:tcPr>
            <w:tcW w:w="1300" w:type="dxa"/>
            <w:vAlign w:val="bottom"/>
          </w:tcPr>
          <w:p>
            <w:pPr>
              <w:spacing w:after="0"/>
              <w:rPr>
                <w:sz w:val="7"/>
                <w:szCs w:val="7"/>
                <w:color w:val="auto"/>
              </w:rPr>
            </w:pPr>
          </w:p>
        </w:tc>
        <w:tc>
          <w:tcPr>
            <w:tcW w:w="356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 xml:space="preserve">ADI’s </w:t>
      </w:r>
      <w:r>
        <w:rPr>
          <w:rFonts w:ascii="Arial" w:cs="Arial" w:eastAsia="Arial" w:hAnsi="Arial"/>
          <w:sz w:val="16"/>
          <w:szCs w:val="16"/>
          <w:b w:val="1"/>
          <w:bCs w:val="1"/>
          <w:color w:val="auto"/>
        </w:rPr>
        <w:t>Pulse</w:t>
      </w:r>
      <w:r>
        <w:rPr>
          <w:rFonts w:ascii="Arial" w:cs="Arial" w:eastAsia="Arial" w:hAnsi="Arial"/>
          <w:sz w:val="16"/>
          <w:szCs w:val="16"/>
          <w:color w:val="auto"/>
        </w:rPr>
        <w:t xml:space="preserve"> survey captures employee feedback on 30 cultural dimensions and enables ADI to prioritize actions for positive organizational impact. Employee participation in fiscal 2021 was 87% with 80% likely to recommend working at ADI and 77% employee satisfaction.</w:t>
      </w:r>
    </w:p>
    <w:p>
      <w:pPr>
        <w:spacing w:after="0" w:line="462" w:lineRule="exact"/>
        <w:rPr>
          <w:sz w:val="20"/>
          <w:szCs w:val="20"/>
          <w:color w:val="auto"/>
        </w:rPr>
      </w:pPr>
    </w:p>
    <w:p>
      <w:pPr>
        <w:sectPr>
          <w:pgSz w:w="11900" w:h="16838" w:orient="portrait"/>
          <w:cols w:equalWidth="0" w:num="2">
            <w:col w:w="7180" w:space="140"/>
            <w:col w:w="3620"/>
          </w:cols>
          <w:pgMar w:left="320" w:top="447" w:right="639" w:bottom="1011" w:gutter="0" w:footer="0" w:header="0"/>
          <w:type w:val="continuous"/>
        </w:sectPr>
      </w:pPr>
    </w:p>
    <w:p>
      <w:pPr>
        <w:spacing w:after="0" w:line="13" w:lineRule="exact"/>
        <w:rPr>
          <w:sz w:val="20"/>
          <w:szCs w:val="20"/>
          <w:color w:val="auto"/>
        </w:rPr>
      </w:pPr>
    </w:p>
    <w:p>
      <w:pPr>
        <w:ind w:left="400"/>
        <w:spacing w:after="0"/>
        <w:rPr>
          <w:sz w:val="20"/>
          <w:szCs w:val="20"/>
          <w:color w:val="auto"/>
        </w:rPr>
      </w:pPr>
      <w:r>
        <w:rPr>
          <w:rFonts w:ascii="Arial" w:cs="Arial" w:eastAsia="Arial" w:hAnsi="Arial"/>
          <w:sz w:val="26"/>
          <w:szCs w:val="26"/>
          <w:b w:val="1"/>
          <w:bCs w:val="1"/>
          <w:color w:val="FFFFFF"/>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0"/>
        <w:spacing w:after="0"/>
        <w:rPr>
          <w:sz w:val="20"/>
          <w:szCs w:val="20"/>
          <w:color w:val="auto"/>
        </w:rPr>
      </w:pPr>
      <w:r>
        <w:rPr>
          <w:rFonts w:ascii="Arial" w:cs="Arial" w:eastAsia="Arial" w:hAnsi="Arial"/>
          <w:sz w:val="26"/>
          <w:szCs w:val="26"/>
          <w:b w:val="1"/>
          <w:bCs w:val="1"/>
          <w:color w:val="FFFFFF"/>
        </w:rPr>
        <w:t>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20" w:type="dxa"/>
            <w:vAlign w:val="bottom"/>
            <w:tcBorders>
              <w:top w:val="single" w:sz="8" w:color="0066BA"/>
            </w:tcBorders>
          </w:tcPr>
          <w:p>
            <w:pPr>
              <w:spacing w:after="0"/>
              <w:rPr>
                <w:sz w:val="18"/>
                <w:szCs w:val="18"/>
                <w:color w:val="auto"/>
              </w:rPr>
            </w:pPr>
          </w:p>
        </w:tc>
        <w:tc>
          <w:tcPr>
            <w:tcW w:w="1580" w:type="dxa"/>
            <w:vAlign w:val="bottom"/>
            <w:tcBorders>
              <w:top w:val="single" w:sz="8" w:color="0066BA"/>
            </w:tcBorders>
            <w:shd w:val="clear" w:color="auto" w:fill="CCE0F1"/>
          </w:tcPr>
          <w:p>
            <w:pPr>
              <w:spacing w:after="0"/>
              <w:rPr>
                <w:sz w:val="20"/>
                <w:szCs w:val="20"/>
                <w:color w:val="auto"/>
              </w:rPr>
            </w:pPr>
            <w:r>
              <w:rPr>
                <w:rFonts w:ascii="Arial" w:cs="Arial" w:eastAsia="Arial" w:hAnsi="Arial"/>
                <w:sz w:val="17"/>
                <w:szCs w:val="17"/>
                <w:b w:val="1"/>
                <w:bCs w:val="1"/>
                <w:color w:val="auto"/>
              </w:rPr>
              <w:t>Focus on Social</w:t>
            </w:r>
          </w:p>
        </w:tc>
        <w:tc>
          <w:tcPr>
            <w:tcW w:w="1340" w:type="dxa"/>
            <w:vAlign w:val="bottom"/>
            <w:tcBorders>
              <w:top w:val="single" w:sz="8" w:color="0066BA"/>
            </w:tcBorders>
          </w:tcPr>
          <w:p>
            <w:pPr>
              <w:ind w:left="120"/>
              <w:spacing w:after="0"/>
              <w:rPr>
                <w:sz w:val="20"/>
                <w:szCs w:val="20"/>
                <w:color w:val="auto"/>
              </w:rPr>
            </w:pPr>
            <w:r>
              <w:rPr>
                <w:rFonts w:ascii="Arial" w:cs="Arial" w:eastAsia="Arial" w:hAnsi="Arial"/>
                <w:sz w:val="16"/>
                <w:szCs w:val="16"/>
                <w:i w:val="1"/>
                <w:iCs w:val="1"/>
                <w:color w:val="auto"/>
              </w:rPr>
              <w:t>Fostering a</w:t>
            </w:r>
          </w:p>
        </w:tc>
        <w:tc>
          <w:tcPr>
            <w:tcW w:w="3600" w:type="dxa"/>
            <w:vAlign w:val="bottom"/>
            <w:tcBorders>
              <w:top w:val="single" w:sz="8" w:color="0066BA"/>
            </w:tcBorders>
          </w:tcPr>
          <w:p>
            <w:pPr>
              <w:ind w:left="60"/>
              <w:spacing w:after="0"/>
              <w:rPr>
                <w:sz w:val="20"/>
                <w:szCs w:val="20"/>
                <w:color w:val="auto"/>
              </w:rPr>
            </w:pPr>
            <w:r>
              <w:rPr>
                <w:rFonts w:ascii="Arial" w:cs="Arial" w:eastAsia="Arial" w:hAnsi="Arial"/>
                <w:sz w:val="16"/>
                <w:szCs w:val="16"/>
                <w:b w:val="1"/>
                <w:bCs w:val="1"/>
                <w:color w:val="auto"/>
                <w:w w:val="97"/>
              </w:rPr>
              <w:t>GEEC, or Global Early Employee Challenge</w:t>
            </w:r>
            <w:r>
              <w:rPr>
                <w:rFonts w:ascii="Arial" w:cs="Arial" w:eastAsia="Arial" w:hAnsi="Arial"/>
                <w:sz w:val="16"/>
                <w:szCs w:val="16"/>
                <w:color w:val="auto"/>
                <w:w w:val="97"/>
              </w:rPr>
              <w:t>, is a</w:t>
            </w:r>
          </w:p>
        </w:tc>
        <w:tc>
          <w:tcPr>
            <w:tcW w:w="3680" w:type="dxa"/>
            <w:vAlign w:val="bottom"/>
            <w:tcBorders>
              <w:top w:val="single" w:sz="8" w:color="0066BA"/>
            </w:tcBorders>
          </w:tcPr>
          <w:p>
            <w:pPr>
              <w:ind w:left="60"/>
              <w:spacing w:after="0"/>
              <w:rPr>
                <w:sz w:val="20"/>
                <w:szCs w:val="20"/>
                <w:color w:val="auto"/>
              </w:rPr>
            </w:pPr>
            <w:r>
              <w:rPr>
                <w:rFonts w:ascii="Arial" w:cs="Arial" w:eastAsia="Arial" w:hAnsi="Arial"/>
                <w:sz w:val="16"/>
                <w:szCs w:val="16"/>
                <w:color w:val="auto"/>
                <w:w w:val="90"/>
              </w:rPr>
              <w:t>Diversity, equity, and inclusion is a global mission for us.</w:t>
            </w:r>
          </w:p>
        </w:tc>
      </w:tr>
      <w:tr>
        <w:trPr>
          <w:trHeight w:val="199"/>
        </w:trPr>
        <w:tc>
          <w:tcPr>
            <w:tcW w:w="120" w:type="dxa"/>
            <w:vAlign w:val="bottom"/>
          </w:tcPr>
          <w:p>
            <w:pPr>
              <w:spacing w:after="0"/>
              <w:rPr>
                <w:sz w:val="17"/>
                <w:szCs w:val="17"/>
                <w:color w:val="auto"/>
              </w:rPr>
            </w:pPr>
          </w:p>
        </w:tc>
        <w:tc>
          <w:tcPr>
            <w:tcW w:w="1580" w:type="dxa"/>
            <w:vAlign w:val="bottom"/>
            <w:shd w:val="clear" w:color="auto" w:fill="CCE0F1"/>
          </w:tcPr>
          <w:p>
            <w:pPr>
              <w:spacing w:after="0"/>
              <w:rPr>
                <w:sz w:val="20"/>
                <w:szCs w:val="20"/>
                <w:color w:val="auto"/>
              </w:rPr>
            </w:pPr>
            <w:r>
              <w:rPr>
                <w:rFonts w:ascii="Arial" w:cs="Arial" w:eastAsia="Arial" w:hAnsi="Arial"/>
                <w:sz w:val="17"/>
                <w:szCs w:val="17"/>
                <w:b w:val="1"/>
                <w:bCs w:val="1"/>
                <w:color w:val="auto"/>
                <w:w w:val="91"/>
              </w:rPr>
              <w:t>Purpose &amp; Employee</w:t>
            </w:r>
          </w:p>
        </w:tc>
        <w:tc>
          <w:tcPr>
            <w:tcW w:w="1340" w:type="dxa"/>
            <w:vAlign w:val="bottom"/>
          </w:tcPr>
          <w:p>
            <w:pPr>
              <w:ind w:left="120"/>
              <w:spacing w:after="0"/>
              <w:rPr>
                <w:sz w:val="20"/>
                <w:szCs w:val="20"/>
                <w:color w:val="auto"/>
              </w:rPr>
            </w:pPr>
            <w:r>
              <w:rPr>
                <w:rFonts w:ascii="Arial" w:cs="Arial" w:eastAsia="Arial" w:hAnsi="Arial"/>
                <w:sz w:val="16"/>
                <w:szCs w:val="16"/>
                <w:i w:val="1"/>
                <w:iCs w:val="1"/>
                <w:color w:val="auto"/>
              </w:rPr>
              <w:t>collaborative</w:t>
            </w:r>
          </w:p>
        </w:tc>
        <w:tc>
          <w:tcPr>
            <w:tcW w:w="3600" w:type="dxa"/>
            <w:vAlign w:val="bottom"/>
          </w:tcPr>
          <w:p>
            <w:pPr>
              <w:ind w:left="60"/>
              <w:spacing w:after="0"/>
              <w:rPr>
                <w:sz w:val="20"/>
                <w:szCs w:val="20"/>
                <w:color w:val="auto"/>
              </w:rPr>
            </w:pPr>
            <w:r>
              <w:rPr>
                <w:rFonts w:ascii="Arial" w:cs="Arial" w:eastAsia="Arial" w:hAnsi="Arial"/>
                <w:sz w:val="16"/>
                <w:szCs w:val="16"/>
                <w:color w:val="auto"/>
                <w:w w:val="95"/>
              </w:rPr>
              <w:t>company-wide competition that helps to develop the</w:t>
            </w:r>
          </w:p>
        </w:tc>
        <w:tc>
          <w:tcPr>
            <w:tcW w:w="3680" w:type="dxa"/>
            <w:vAlign w:val="bottom"/>
          </w:tcPr>
          <w:p>
            <w:pPr>
              <w:ind w:left="60"/>
              <w:spacing w:after="0"/>
              <w:rPr>
                <w:sz w:val="20"/>
                <w:szCs w:val="20"/>
                <w:color w:val="auto"/>
              </w:rPr>
            </w:pPr>
            <w:r>
              <w:rPr>
                <w:rFonts w:ascii="Arial" w:cs="Arial" w:eastAsia="Arial" w:hAnsi="Arial"/>
                <w:sz w:val="16"/>
                <w:szCs w:val="16"/>
                <w:color w:val="auto"/>
                <w:w w:val="90"/>
              </w:rPr>
              <w:t xml:space="preserve">We launched a </w:t>
            </w:r>
            <w:r>
              <w:rPr>
                <w:rFonts w:ascii="Arial" w:cs="Arial" w:eastAsia="Arial" w:hAnsi="Arial"/>
                <w:sz w:val="16"/>
                <w:szCs w:val="16"/>
                <w:b w:val="1"/>
                <w:bCs w:val="1"/>
                <w:color w:val="auto"/>
                <w:w w:val="90"/>
              </w:rPr>
              <w:t>Diversity Council and Working Group</w:t>
            </w:r>
          </w:p>
        </w:tc>
      </w:tr>
      <w:tr>
        <w:trPr>
          <w:trHeight w:val="195"/>
        </w:trPr>
        <w:tc>
          <w:tcPr>
            <w:tcW w:w="120" w:type="dxa"/>
            <w:vAlign w:val="bottom"/>
          </w:tcPr>
          <w:p>
            <w:pPr>
              <w:spacing w:after="0"/>
              <w:rPr>
                <w:sz w:val="16"/>
                <w:szCs w:val="16"/>
                <w:color w:val="auto"/>
              </w:rPr>
            </w:pPr>
          </w:p>
        </w:tc>
        <w:tc>
          <w:tcPr>
            <w:tcW w:w="1580" w:type="dxa"/>
            <w:vAlign w:val="bottom"/>
            <w:shd w:val="clear" w:color="auto" w:fill="CCE0F1"/>
          </w:tcPr>
          <w:p>
            <w:pPr>
              <w:spacing w:after="0"/>
              <w:rPr>
                <w:sz w:val="20"/>
                <w:szCs w:val="20"/>
                <w:color w:val="auto"/>
              </w:rPr>
            </w:pPr>
            <w:r>
              <w:rPr>
                <w:rFonts w:ascii="Arial" w:cs="Arial" w:eastAsia="Arial" w:hAnsi="Arial"/>
                <w:sz w:val="17"/>
                <w:szCs w:val="17"/>
                <w:b w:val="1"/>
                <w:bCs w:val="1"/>
                <w:color w:val="auto"/>
              </w:rPr>
              <w:t>Engagement</w:t>
            </w:r>
          </w:p>
        </w:tc>
        <w:tc>
          <w:tcPr>
            <w:tcW w:w="1340" w:type="dxa"/>
            <w:vAlign w:val="bottom"/>
          </w:tcPr>
          <w:p>
            <w:pPr>
              <w:ind w:left="120"/>
              <w:spacing w:after="0"/>
              <w:rPr>
                <w:sz w:val="20"/>
                <w:szCs w:val="20"/>
                <w:color w:val="auto"/>
              </w:rPr>
            </w:pPr>
            <w:r>
              <w:rPr>
                <w:rFonts w:ascii="Arial" w:cs="Arial" w:eastAsia="Arial" w:hAnsi="Arial"/>
                <w:sz w:val="16"/>
                <w:szCs w:val="16"/>
                <w:i w:val="1"/>
                <w:iCs w:val="1"/>
                <w:color w:val="auto"/>
                <w:w w:val="99"/>
              </w:rPr>
              <w:t>workplace where</w:t>
            </w:r>
          </w:p>
        </w:tc>
        <w:tc>
          <w:tcPr>
            <w:tcW w:w="3600" w:type="dxa"/>
            <w:vAlign w:val="bottom"/>
          </w:tcPr>
          <w:p>
            <w:pPr>
              <w:ind w:left="60"/>
              <w:spacing w:after="0"/>
              <w:rPr>
                <w:sz w:val="20"/>
                <w:szCs w:val="20"/>
                <w:color w:val="auto"/>
              </w:rPr>
            </w:pPr>
            <w:r>
              <w:rPr>
                <w:rFonts w:ascii="Arial" w:cs="Arial" w:eastAsia="Arial" w:hAnsi="Arial"/>
                <w:sz w:val="16"/>
                <w:szCs w:val="16"/>
                <w:color w:val="auto"/>
                <w:w w:val="90"/>
              </w:rPr>
              <w:t>business skills of employees with five or fewer years of</w:t>
            </w:r>
          </w:p>
        </w:tc>
        <w:tc>
          <w:tcPr>
            <w:tcW w:w="3680" w:type="dxa"/>
            <w:vAlign w:val="bottom"/>
          </w:tcPr>
          <w:p>
            <w:pPr>
              <w:ind w:left="60"/>
              <w:spacing w:after="0"/>
              <w:rPr>
                <w:sz w:val="20"/>
                <w:szCs w:val="20"/>
                <w:color w:val="auto"/>
              </w:rPr>
            </w:pPr>
            <w:r>
              <w:rPr>
                <w:rFonts w:ascii="Arial" w:cs="Arial" w:eastAsia="Arial" w:hAnsi="Arial"/>
                <w:sz w:val="16"/>
                <w:szCs w:val="16"/>
                <w:color w:val="auto"/>
                <w:w w:val="97"/>
              </w:rPr>
              <w:t>to ensure all our initiatives resonate locally while still</w:t>
            </w:r>
          </w:p>
        </w:tc>
      </w:tr>
      <w:tr>
        <w:trPr>
          <w:trHeight w:val="195"/>
        </w:trPr>
        <w:tc>
          <w:tcPr>
            <w:tcW w:w="120" w:type="dxa"/>
            <w:vAlign w:val="bottom"/>
          </w:tcPr>
          <w:p>
            <w:pPr>
              <w:spacing w:after="0"/>
              <w:rPr>
                <w:sz w:val="16"/>
                <w:szCs w:val="16"/>
                <w:color w:val="auto"/>
              </w:rPr>
            </w:pPr>
          </w:p>
        </w:tc>
        <w:tc>
          <w:tcPr>
            <w:tcW w:w="1580" w:type="dxa"/>
            <w:vAlign w:val="bottom"/>
            <w:shd w:val="clear" w:color="auto" w:fill="CCE0F1"/>
          </w:tcPr>
          <w:p>
            <w:pPr>
              <w:spacing w:after="0"/>
              <w:rPr>
                <w:sz w:val="16"/>
                <w:szCs w:val="16"/>
                <w:color w:val="auto"/>
              </w:rPr>
            </w:pPr>
          </w:p>
        </w:tc>
        <w:tc>
          <w:tcPr>
            <w:tcW w:w="1340" w:type="dxa"/>
            <w:vAlign w:val="bottom"/>
          </w:tcPr>
          <w:p>
            <w:pPr>
              <w:ind w:left="120"/>
              <w:spacing w:after="0"/>
              <w:rPr>
                <w:sz w:val="20"/>
                <w:szCs w:val="20"/>
                <w:color w:val="auto"/>
              </w:rPr>
            </w:pPr>
            <w:r>
              <w:rPr>
                <w:rFonts w:ascii="Arial" w:cs="Arial" w:eastAsia="Arial" w:hAnsi="Arial"/>
                <w:sz w:val="16"/>
                <w:szCs w:val="16"/>
                <w:i w:val="1"/>
                <w:iCs w:val="1"/>
                <w:color w:val="auto"/>
                <w:w w:val="89"/>
              </w:rPr>
              <w:t>the best minds can</w:t>
            </w:r>
          </w:p>
        </w:tc>
        <w:tc>
          <w:tcPr>
            <w:tcW w:w="3600" w:type="dxa"/>
            <w:vAlign w:val="bottom"/>
          </w:tcPr>
          <w:p>
            <w:pPr>
              <w:ind w:left="60"/>
              <w:spacing w:after="0"/>
              <w:rPr>
                <w:sz w:val="20"/>
                <w:szCs w:val="20"/>
                <w:color w:val="auto"/>
              </w:rPr>
            </w:pPr>
            <w:r>
              <w:rPr>
                <w:rFonts w:ascii="Arial" w:cs="Arial" w:eastAsia="Arial" w:hAnsi="Arial"/>
                <w:sz w:val="16"/>
                <w:szCs w:val="16"/>
                <w:color w:val="auto"/>
                <w:w w:val="94"/>
              </w:rPr>
              <w:t>experience. In fiscal 2021, we had 400+ early career</w:t>
            </w:r>
          </w:p>
        </w:tc>
        <w:tc>
          <w:tcPr>
            <w:tcW w:w="3680" w:type="dxa"/>
            <w:vAlign w:val="bottom"/>
          </w:tcPr>
          <w:p>
            <w:pPr>
              <w:ind w:left="60"/>
              <w:spacing w:after="0"/>
              <w:rPr>
                <w:sz w:val="20"/>
                <w:szCs w:val="20"/>
                <w:color w:val="auto"/>
              </w:rPr>
            </w:pPr>
            <w:r>
              <w:rPr>
                <w:rFonts w:ascii="Arial" w:cs="Arial" w:eastAsia="Arial" w:hAnsi="Arial"/>
                <w:sz w:val="16"/>
                <w:szCs w:val="16"/>
                <w:color w:val="auto"/>
              </w:rPr>
              <w:t>having a global impact. These teams are currently</w:t>
            </w:r>
          </w:p>
        </w:tc>
      </w:tr>
      <w:tr>
        <w:trPr>
          <w:trHeight w:val="195"/>
        </w:trPr>
        <w:tc>
          <w:tcPr>
            <w:tcW w:w="120" w:type="dxa"/>
            <w:vAlign w:val="bottom"/>
          </w:tcPr>
          <w:p>
            <w:pPr>
              <w:spacing w:after="0"/>
              <w:rPr>
                <w:sz w:val="16"/>
                <w:szCs w:val="16"/>
                <w:color w:val="auto"/>
              </w:rPr>
            </w:pPr>
          </w:p>
        </w:tc>
        <w:tc>
          <w:tcPr>
            <w:tcW w:w="1580" w:type="dxa"/>
            <w:vAlign w:val="bottom"/>
            <w:shd w:val="clear" w:color="auto" w:fill="CCE0F1"/>
          </w:tcPr>
          <w:p>
            <w:pPr>
              <w:spacing w:after="0"/>
              <w:rPr>
                <w:sz w:val="16"/>
                <w:szCs w:val="16"/>
                <w:color w:val="auto"/>
              </w:rPr>
            </w:pPr>
          </w:p>
        </w:tc>
        <w:tc>
          <w:tcPr>
            <w:tcW w:w="1340" w:type="dxa"/>
            <w:vAlign w:val="bottom"/>
          </w:tcPr>
          <w:p>
            <w:pPr>
              <w:ind w:left="120"/>
              <w:spacing w:after="0"/>
              <w:rPr>
                <w:sz w:val="20"/>
                <w:szCs w:val="20"/>
                <w:color w:val="auto"/>
              </w:rPr>
            </w:pPr>
            <w:r>
              <w:rPr>
                <w:rFonts w:ascii="Arial" w:cs="Arial" w:eastAsia="Arial" w:hAnsi="Arial"/>
                <w:sz w:val="16"/>
                <w:szCs w:val="16"/>
                <w:i w:val="1"/>
                <w:iCs w:val="1"/>
                <w:color w:val="auto"/>
              </w:rPr>
              <w:t>do the best work</w:t>
            </w:r>
          </w:p>
        </w:tc>
        <w:tc>
          <w:tcPr>
            <w:tcW w:w="3600" w:type="dxa"/>
            <w:vAlign w:val="bottom"/>
          </w:tcPr>
          <w:p>
            <w:pPr>
              <w:ind w:left="60"/>
              <w:spacing w:after="0"/>
              <w:rPr>
                <w:sz w:val="20"/>
                <w:szCs w:val="20"/>
                <w:color w:val="auto"/>
              </w:rPr>
            </w:pPr>
            <w:r>
              <w:rPr>
                <w:rFonts w:ascii="Arial" w:cs="Arial" w:eastAsia="Arial" w:hAnsi="Arial"/>
                <w:sz w:val="16"/>
                <w:szCs w:val="16"/>
                <w:color w:val="auto"/>
                <w:w w:val="97"/>
              </w:rPr>
              <w:t>participants across 60 teams focused on designing</w:t>
            </w:r>
          </w:p>
        </w:tc>
        <w:tc>
          <w:tcPr>
            <w:tcW w:w="3680" w:type="dxa"/>
            <w:vAlign w:val="bottom"/>
          </w:tcPr>
          <w:p>
            <w:pPr>
              <w:ind w:left="60"/>
              <w:spacing w:after="0"/>
              <w:rPr>
                <w:sz w:val="20"/>
                <w:szCs w:val="20"/>
                <w:color w:val="auto"/>
              </w:rPr>
            </w:pPr>
            <w:r>
              <w:rPr>
                <w:rFonts w:ascii="Arial" w:cs="Arial" w:eastAsia="Arial" w:hAnsi="Arial"/>
                <w:sz w:val="16"/>
                <w:szCs w:val="16"/>
                <w:color w:val="auto"/>
              </w:rPr>
              <w:t>helping to identify systemic oppression within their</w:t>
            </w:r>
          </w:p>
        </w:tc>
      </w:tr>
      <w:tr>
        <w:trPr>
          <w:trHeight w:val="195"/>
        </w:trPr>
        <w:tc>
          <w:tcPr>
            <w:tcW w:w="120" w:type="dxa"/>
            <w:vAlign w:val="bottom"/>
          </w:tcPr>
          <w:p>
            <w:pPr>
              <w:spacing w:after="0"/>
              <w:rPr>
                <w:sz w:val="16"/>
                <w:szCs w:val="16"/>
                <w:color w:val="auto"/>
              </w:rPr>
            </w:pPr>
          </w:p>
        </w:tc>
        <w:tc>
          <w:tcPr>
            <w:tcW w:w="1580" w:type="dxa"/>
            <w:vAlign w:val="bottom"/>
            <w:shd w:val="clear" w:color="auto" w:fill="CCE0F1"/>
          </w:tcPr>
          <w:p>
            <w:pPr>
              <w:spacing w:after="0"/>
              <w:rPr>
                <w:sz w:val="16"/>
                <w:szCs w:val="16"/>
                <w:color w:val="auto"/>
              </w:rPr>
            </w:pPr>
          </w:p>
        </w:tc>
        <w:tc>
          <w:tcPr>
            <w:tcW w:w="1340" w:type="dxa"/>
            <w:vAlign w:val="bottom"/>
          </w:tcPr>
          <w:p>
            <w:pPr>
              <w:spacing w:after="0"/>
              <w:rPr>
                <w:sz w:val="16"/>
                <w:szCs w:val="16"/>
                <w:color w:val="auto"/>
              </w:rPr>
            </w:pPr>
          </w:p>
        </w:tc>
        <w:tc>
          <w:tcPr>
            <w:tcW w:w="3600" w:type="dxa"/>
            <w:vAlign w:val="bottom"/>
          </w:tcPr>
          <w:p>
            <w:pPr>
              <w:ind w:left="60"/>
              <w:spacing w:after="0"/>
              <w:rPr>
                <w:sz w:val="20"/>
                <w:szCs w:val="20"/>
                <w:color w:val="auto"/>
              </w:rPr>
            </w:pPr>
            <w:r>
              <w:rPr>
                <w:rFonts w:ascii="Arial" w:cs="Arial" w:eastAsia="Arial" w:hAnsi="Arial"/>
                <w:sz w:val="16"/>
                <w:szCs w:val="16"/>
                <w:color w:val="auto"/>
              </w:rPr>
              <w:t>solutions that help protect and regenerate the</w:t>
            </w:r>
          </w:p>
        </w:tc>
        <w:tc>
          <w:tcPr>
            <w:tcW w:w="3680" w:type="dxa"/>
            <w:vAlign w:val="bottom"/>
          </w:tcPr>
          <w:p>
            <w:pPr>
              <w:ind w:left="60"/>
              <w:spacing w:after="0"/>
              <w:rPr>
                <w:sz w:val="20"/>
                <w:szCs w:val="20"/>
                <w:color w:val="auto"/>
              </w:rPr>
            </w:pPr>
            <w:r>
              <w:rPr>
                <w:rFonts w:ascii="Arial" w:cs="Arial" w:eastAsia="Arial" w:hAnsi="Arial"/>
                <w:sz w:val="16"/>
                <w:szCs w:val="16"/>
                <w:color w:val="auto"/>
                <w:w w:val="93"/>
              </w:rPr>
              <w:t>regions so we can address inequity beyond the United</w:t>
            </w:r>
          </w:p>
        </w:tc>
      </w:tr>
      <w:tr>
        <w:trPr>
          <w:trHeight w:val="199"/>
        </w:trPr>
        <w:tc>
          <w:tcPr>
            <w:tcW w:w="120" w:type="dxa"/>
            <w:vAlign w:val="bottom"/>
          </w:tcPr>
          <w:p>
            <w:pPr>
              <w:spacing w:after="0"/>
              <w:rPr>
                <w:sz w:val="17"/>
                <w:szCs w:val="17"/>
                <w:color w:val="auto"/>
              </w:rPr>
            </w:pPr>
          </w:p>
        </w:tc>
        <w:tc>
          <w:tcPr>
            <w:tcW w:w="1580" w:type="dxa"/>
            <w:vAlign w:val="bottom"/>
            <w:shd w:val="clear" w:color="auto" w:fill="CCE0F1"/>
          </w:tcPr>
          <w:p>
            <w:pPr>
              <w:spacing w:after="0"/>
              <w:rPr>
                <w:sz w:val="17"/>
                <w:szCs w:val="17"/>
                <w:color w:val="auto"/>
              </w:rPr>
            </w:pPr>
          </w:p>
        </w:tc>
        <w:tc>
          <w:tcPr>
            <w:tcW w:w="1340" w:type="dxa"/>
            <w:vAlign w:val="bottom"/>
          </w:tcPr>
          <w:p>
            <w:pPr>
              <w:spacing w:after="0"/>
              <w:rPr>
                <w:sz w:val="17"/>
                <w:szCs w:val="17"/>
                <w:color w:val="auto"/>
              </w:rPr>
            </w:pPr>
          </w:p>
        </w:tc>
        <w:tc>
          <w:tcPr>
            <w:tcW w:w="3600" w:type="dxa"/>
            <w:vAlign w:val="bottom"/>
          </w:tcPr>
          <w:p>
            <w:pPr>
              <w:ind w:left="60"/>
              <w:spacing w:after="0"/>
              <w:rPr>
                <w:sz w:val="20"/>
                <w:szCs w:val="20"/>
                <w:color w:val="auto"/>
              </w:rPr>
            </w:pPr>
            <w:r>
              <w:rPr>
                <w:rFonts w:ascii="Arial" w:cs="Arial" w:eastAsia="Arial" w:hAnsi="Arial"/>
                <w:sz w:val="16"/>
                <w:szCs w:val="16"/>
                <w:color w:val="auto"/>
              </w:rPr>
              <w:t>environment, enabling a more sustainable future.</w:t>
            </w:r>
          </w:p>
        </w:tc>
        <w:tc>
          <w:tcPr>
            <w:tcW w:w="3680" w:type="dxa"/>
            <w:vAlign w:val="bottom"/>
          </w:tcPr>
          <w:p>
            <w:pPr>
              <w:ind w:left="60"/>
              <w:spacing w:after="0"/>
              <w:rPr>
                <w:sz w:val="20"/>
                <w:szCs w:val="20"/>
                <w:color w:val="auto"/>
              </w:rPr>
            </w:pPr>
            <w:r>
              <w:rPr>
                <w:rFonts w:ascii="Arial" w:cs="Arial" w:eastAsia="Arial" w:hAnsi="Arial"/>
                <w:sz w:val="16"/>
                <w:szCs w:val="16"/>
                <w:color w:val="auto"/>
              </w:rPr>
              <w:t>States.</w:t>
            </w:r>
          </w:p>
        </w:tc>
      </w:tr>
      <w:tr>
        <w:trPr>
          <w:trHeight w:val="84"/>
        </w:trPr>
        <w:tc>
          <w:tcPr>
            <w:tcW w:w="120" w:type="dxa"/>
            <w:vAlign w:val="bottom"/>
            <w:tcBorders>
              <w:bottom w:val="single" w:sz="8" w:color="0066BA"/>
            </w:tcBorders>
          </w:tcPr>
          <w:p>
            <w:pPr>
              <w:spacing w:after="0"/>
              <w:rPr>
                <w:sz w:val="7"/>
                <w:szCs w:val="7"/>
                <w:color w:val="auto"/>
              </w:rPr>
            </w:pPr>
          </w:p>
        </w:tc>
        <w:tc>
          <w:tcPr>
            <w:tcW w:w="1580" w:type="dxa"/>
            <w:vAlign w:val="bottom"/>
            <w:tcBorders>
              <w:bottom w:val="single" w:sz="8" w:color="0066BA"/>
            </w:tcBorders>
            <w:shd w:val="clear" w:color="auto" w:fill="CCE0F1"/>
          </w:tcPr>
          <w:p>
            <w:pPr>
              <w:spacing w:after="0"/>
              <w:rPr>
                <w:sz w:val="7"/>
                <w:szCs w:val="7"/>
                <w:color w:val="auto"/>
              </w:rPr>
            </w:pPr>
          </w:p>
        </w:tc>
        <w:tc>
          <w:tcPr>
            <w:tcW w:w="1340" w:type="dxa"/>
            <w:vAlign w:val="bottom"/>
            <w:tcBorders>
              <w:bottom w:val="single" w:sz="8" w:color="0066BA"/>
            </w:tcBorders>
          </w:tcPr>
          <w:p>
            <w:pPr>
              <w:spacing w:after="0"/>
              <w:rPr>
                <w:sz w:val="7"/>
                <w:szCs w:val="7"/>
                <w:color w:val="auto"/>
              </w:rPr>
            </w:pPr>
          </w:p>
        </w:tc>
        <w:tc>
          <w:tcPr>
            <w:tcW w:w="3600" w:type="dxa"/>
            <w:vAlign w:val="bottom"/>
            <w:tcBorders>
              <w:bottom w:val="single" w:sz="8" w:color="0066BA"/>
            </w:tcBorders>
          </w:tcPr>
          <w:p>
            <w:pPr>
              <w:spacing w:after="0"/>
              <w:rPr>
                <w:sz w:val="7"/>
                <w:szCs w:val="7"/>
                <w:color w:val="auto"/>
              </w:rPr>
            </w:pPr>
          </w:p>
        </w:tc>
        <w:tc>
          <w:tcPr>
            <w:tcW w:w="3680" w:type="dxa"/>
            <w:vAlign w:val="bottom"/>
            <w:tcBorders>
              <w:bottom w:val="single" w:sz="8" w:color="0066BA"/>
            </w:tcBorders>
          </w:tcPr>
          <w:p>
            <w:pPr>
              <w:spacing w:after="0"/>
              <w:rPr>
                <w:sz w:val="7"/>
                <w:szCs w:val="7"/>
                <w:color w:val="auto"/>
              </w:rPr>
            </w:pPr>
          </w:p>
        </w:tc>
      </w:tr>
      <w:tr>
        <w:trPr>
          <w:trHeight w:val="217"/>
        </w:trPr>
        <w:tc>
          <w:tcPr>
            <w:tcW w:w="120" w:type="dxa"/>
            <w:vAlign w:val="bottom"/>
          </w:tcPr>
          <w:p>
            <w:pPr>
              <w:spacing w:after="0"/>
              <w:rPr>
                <w:sz w:val="18"/>
                <w:szCs w:val="18"/>
                <w:color w:val="auto"/>
              </w:rPr>
            </w:pPr>
          </w:p>
        </w:tc>
        <w:tc>
          <w:tcPr>
            <w:tcW w:w="1580" w:type="dxa"/>
            <w:vAlign w:val="bottom"/>
            <w:shd w:val="clear" w:color="auto" w:fill="CCE0F1"/>
          </w:tcPr>
          <w:p>
            <w:pPr>
              <w:spacing w:after="0"/>
              <w:rPr>
                <w:sz w:val="20"/>
                <w:szCs w:val="20"/>
                <w:color w:val="auto"/>
              </w:rPr>
            </w:pPr>
            <w:r>
              <w:rPr>
                <w:rFonts w:ascii="Arial" w:cs="Arial" w:eastAsia="Arial" w:hAnsi="Arial"/>
                <w:sz w:val="17"/>
                <w:szCs w:val="17"/>
                <w:b w:val="1"/>
                <w:bCs w:val="1"/>
                <w:color w:val="auto"/>
              </w:rPr>
              <w:t>Building the</w:t>
            </w:r>
          </w:p>
        </w:tc>
        <w:tc>
          <w:tcPr>
            <w:tcW w:w="1340" w:type="dxa"/>
            <w:vAlign w:val="bottom"/>
          </w:tcPr>
          <w:p>
            <w:pPr>
              <w:ind w:left="120"/>
              <w:spacing w:after="0"/>
              <w:rPr>
                <w:sz w:val="20"/>
                <w:szCs w:val="20"/>
                <w:color w:val="auto"/>
              </w:rPr>
            </w:pPr>
            <w:r>
              <w:rPr>
                <w:rFonts w:ascii="Arial" w:cs="Arial" w:eastAsia="Arial" w:hAnsi="Arial"/>
                <w:sz w:val="16"/>
                <w:szCs w:val="16"/>
                <w:i w:val="1"/>
                <w:iCs w:val="1"/>
                <w:color w:val="auto"/>
              </w:rPr>
              <w:t>Evolving our</w:t>
            </w:r>
          </w:p>
        </w:tc>
        <w:tc>
          <w:tcPr>
            <w:tcW w:w="3600" w:type="dxa"/>
            <w:vAlign w:val="bottom"/>
          </w:tcPr>
          <w:p>
            <w:pPr>
              <w:ind w:left="60"/>
              <w:spacing w:after="0"/>
              <w:rPr>
                <w:sz w:val="20"/>
                <w:szCs w:val="20"/>
                <w:color w:val="auto"/>
              </w:rPr>
            </w:pPr>
            <w:r>
              <w:rPr>
                <w:rFonts w:ascii="Arial" w:cs="Arial" w:eastAsia="Arial" w:hAnsi="Arial"/>
                <w:sz w:val="16"/>
                <w:szCs w:val="16"/>
                <w:color w:val="auto"/>
              </w:rPr>
              <w:t>As the future of the workforce is redefined, ADI</w:t>
            </w:r>
          </w:p>
        </w:tc>
        <w:tc>
          <w:tcPr>
            <w:tcW w:w="3680" w:type="dxa"/>
            <w:vAlign w:val="bottom"/>
          </w:tcPr>
          <w:p>
            <w:pPr>
              <w:ind w:left="60"/>
              <w:spacing w:after="0"/>
              <w:rPr>
                <w:sz w:val="20"/>
                <w:szCs w:val="20"/>
                <w:color w:val="auto"/>
              </w:rPr>
            </w:pPr>
            <w:r>
              <w:rPr>
                <w:rFonts w:ascii="Arial" w:cs="Arial" w:eastAsia="Arial" w:hAnsi="Arial"/>
                <w:sz w:val="16"/>
                <w:szCs w:val="16"/>
                <w:color w:val="auto"/>
              </w:rPr>
              <w:t xml:space="preserve">As </w:t>
            </w:r>
            <w:r>
              <w:rPr>
                <w:rFonts w:ascii="Arial" w:cs="Arial" w:eastAsia="Arial" w:hAnsi="Arial"/>
                <w:sz w:val="16"/>
                <w:szCs w:val="16"/>
                <w:b w:val="1"/>
                <w:bCs w:val="1"/>
                <w:color w:val="auto"/>
              </w:rPr>
              <w:t>experiential learning</w:t>
            </w:r>
            <w:r>
              <w:rPr>
                <w:rFonts w:ascii="Arial" w:cs="Arial" w:eastAsia="Arial" w:hAnsi="Arial"/>
                <w:sz w:val="16"/>
                <w:szCs w:val="16"/>
                <w:color w:val="auto"/>
              </w:rPr>
              <w:t xml:space="preserve"> is vitally important to</w:t>
            </w:r>
          </w:p>
        </w:tc>
      </w:tr>
      <w:tr>
        <w:trPr>
          <w:trHeight w:val="195"/>
        </w:trPr>
        <w:tc>
          <w:tcPr>
            <w:tcW w:w="120" w:type="dxa"/>
            <w:vAlign w:val="bottom"/>
          </w:tcPr>
          <w:p>
            <w:pPr>
              <w:spacing w:after="0"/>
              <w:rPr>
                <w:sz w:val="16"/>
                <w:szCs w:val="16"/>
                <w:color w:val="auto"/>
              </w:rPr>
            </w:pPr>
          </w:p>
        </w:tc>
        <w:tc>
          <w:tcPr>
            <w:tcW w:w="1580" w:type="dxa"/>
            <w:vAlign w:val="bottom"/>
            <w:shd w:val="clear" w:color="auto" w:fill="CCE0F1"/>
          </w:tcPr>
          <w:p>
            <w:pPr>
              <w:spacing w:after="0"/>
              <w:rPr>
                <w:sz w:val="20"/>
                <w:szCs w:val="20"/>
                <w:color w:val="auto"/>
              </w:rPr>
            </w:pPr>
            <w:r>
              <w:rPr>
                <w:rFonts w:ascii="Arial" w:cs="Arial" w:eastAsia="Arial" w:hAnsi="Arial"/>
                <w:sz w:val="17"/>
                <w:szCs w:val="17"/>
                <w:b w:val="1"/>
                <w:bCs w:val="1"/>
                <w:color w:val="auto"/>
              </w:rPr>
              <w:t>Workforce</w:t>
            </w:r>
          </w:p>
        </w:tc>
        <w:tc>
          <w:tcPr>
            <w:tcW w:w="1340" w:type="dxa"/>
            <w:vAlign w:val="bottom"/>
          </w:tcPr>
          <w:p>
            <w:pPr>
              <w:ind w:left="120"/>
              <w:spacing w:after="0"/>
              <w:rPr>
                <w:sz w:val="20"/>
                <w:szCs w:val="20"/>
                <w:color w:val="auto"/>
              </w:rPr>
            </w:pPr>
            <w:r>
              <w:rPr>
                <w:rFonts w:ascii="Arial" w:cs="Arial" w:eastAsia="Arial" w:hAnsi="Arial"/>
                <w:sz w:val="16"/>
                <w:szCs w:val="16"/>
                <w:i w:val="1"/>
                <w:iCs w:val="1"/>
                <w:color w:val="auto"/>
                <w:w w:val="95"/>
              </w:rPr>
              <w:t>workforce skills to</w:t>
            </w:r>
          </w:p>
        </w:tc>
        <w:tc>
          <w:tcPr>
            <w:tcW w:w="3600" w:type="dxa"/>
            <w:vAlign w:val="bottom"/>
          </w:tcPr>
          <w:p>
            <w:pPr>
              <w:ind w:left="60"/>
              <w:spacing w:after="0"/>
              <w:rPr>
                <w:sz w:val="20"/>
                <w:szCs w:val="20"/>
                <w:color w:val="auto"/>
              </w:rPr>
            </w:pPr>
            <w:r>
              <w:rPr>
                <w:rFonts w:ascii="Arial" w:cs="Arial" w:eastAsia="Arial" w:hAnsi="Arial"/>
                <w:sz w:val="16"/>
                <w:szCs w:val="16"/>
                <w:color w:val="auto"/>
              </w:rPr>
              <w:t>continues to prioritize attracting and retaining the</w:t>
            </w:r>
          </w:p>
        </w:tc>
        <w:tc>
          <w:tcPr>
            <w:tcW w:w="3680" w:type="dxa"/>
            <w:vAlign w:val="bottom"/>
          </w:tcPr>
          <w:p>
            <w:pPr>
              <w:ind w:left="60"/>
              <w:spacing w:after="0"/>
              <w:rPr>
                <w:sz w:val="20"/>
                <w:szCs w:val="20"/>
                <w:color w:val="auto"/>
              </w:rPr>
            </w:pPr>
            <w:r>
              <w:rPr>
                <w:rFonts w:ascii="Arial" w:cs="Arial" w:eastAsia="Arial" w:hAnsi="Arial"/>
                <w:sz w:val="16"/>
                <w:szCs w:val="16"/>
                <w:color w:val="auto"/>
                <w:w w:val="96"/>
              </w:rPr>
              <w:t>employees’ development, we will continue to work to</w:t>
            </w:r>
          </w:p>
        </w:tc>
      </w:tr>
      <w:tr>
        <w:trPr>
          <w:trHeight w:val="192"/>
        </w:trPr>
        <w:tc>
          <w:tcPr>
            <w:tcW w:w="120" w:type="dxa"/>
            <w:vAlign w:val="bottom"/>
          </w:tcPr>
          <w:p>
            <w:pPr>
              <w:spacing w:after="0"/>
              <w:rPr>
                <w:sz w:val="16"/>
                <w:szCs w:val="16"/>
                <w:color w:val="auto"/>
              </w:rPr>
            </w:pPr>
          </w:p>
        </w:tc>
        <w:tc>
          <w:tcPr>
            <w:tcW w:w="1580" w:type="dxa"/>
            <w:vAlign w:val="bottom"/>
            <w:shd w:val="clear" w:color="auto" w:fill="CCE0F1"/>
          </w:tcPr>
          <w:p>
            <w:pPr>
              <w:spacing w:after="0" w:line="192" w:lineRule="exact"/>
              <w:rPr>
                <w:sz w:val="20"/>
                <w:szCs w:val="20"/>
                <w:color w:val="auto"/>
              </w:rPr>
            </w:pPr>
            <w:r>
              <w:rPr>
                <w:rFonts w:ascii="Arial" w:cs="Arial" w:eastAsia="Arial" w:hAnsi="Arial"/>
                <w:sz w:val="17"/>
                <w:szCs w:val="17"/>
                <w:b w:val="1"/>
                <w:bCs w:val="1"/>
                <w:color w:val="auto"/>
              </w:rPr>
              <w:t>of the Future</w:t>
            </w:r>
          </w:p>
        </w:tc>
        <w:tc>
          <w:tcPr>
            <w:tcW w:w="1340" w:type="dxa"/>
            <w:vAlign w:val="bottom"/>
          </w:tcPr>
          <w:p>
            <w:pPr>
              <w:ind w:left="120"/>
              <w:spacing w:after="0"/>
              <w:rPr>
                <w:sz w:val="20"/>
                <w:szCs w:val="20"/>
                <w:color w:val="auto"/>
              </w:rPr>
            </w:pPr>
            <w:r>
              <w:rPr>
                <w:rFonts w:ascii="Arial" w:cs="Arial" w:eastAsia="Arial" w:hAnsi="Arial"/>
                <w:sz w:val="16"/>
                <w:szCs w:val="16"/>
                <w:i w:val="1"/>
                <w:iCs w:val="1"/>
                <w:color w:val="auto"/>
              </w:rPr>
              <w:t>prepare our</w:t>
            </w:r>
          </w:p>
        </w:tc>
        <w:tc>
          <w:tcPr>
            <w:tcW w:w="3600" w:type="dxa"/>
            <w:vAlign w:val="bottom"/>
          </w:tcPr>
          <w:p>
            <w:pPr>
              <w:ind w:left="60"/>
              <w:spacing w:after="0"/>
              <w:rPr>
                <w:sz w:val="20"/>
                <w:szCs w:val="20"/>
                <w:color w:val="auto"/>
              </w:rPr>
            </w:pPr>
            <w:r>
              <w:rPr>
                <w:rFonts w:ascii="Arial" w:cs="Arial" w:eastAsia="Arial" w:hAnsi="Arial"/>
                <w:sz w:val="16"/>
                <w:szCs w:val="16"/>
                <w:color w:val="auto"/>
              </w:rPr>
              <w:t>world’s finest talent to push the limit of what’s</w:t>
            </w:r>
          </w:p>
        </w:tc>
        <w:tc>
          <w:tcPr>
            <w:tcW w:w="3680" w:type="dxa"/>
            <w:vAlign w:val="bottom"/>
          </w:tcPr>
          <w:p>
            <w:pPr>
              <w:ind w:left="60"/>
              <w:spacing w:after="0"/>
              <w:rPr>
                <w:sz w:val="20"/>
                <w:szCs w:val="20"/>
                <w:color w:val="auto"/>
              </w:rPr>
            </w:pPr>
            <w:r>
              <w:rPr>
                <w:rFonts w:ascii="Arial" w:cs="Arial" w:eastAsia="Arial" w:hAnsi="Arial"/>
                <w:sz w:val="16"/>
                <w:szCs w:val="16"/>
                <w:color w:val="auto"/>
                <w:w w:val="96"/>
              </w:rPr>
              <w:t>make opportunities and roles available to employees</w:t>
            </w:r>
          </w:p>
        </w:tc>
      </w:tr>
      <w:tr>
        <w:trPr>
          <w:trHeight w:val="194"/>
        </w:trPr>
        <w:tc>
          <w:tcPr>
            <w:tcW w:w="120" w:type="dxa"/>
            <w:vAlign w:val="bottom"/>
          </w:tcPr>
          <w:p>
            <w:pPr>
              <w:spacing w:after="0"/>
              <w:rPr>
                <w:sz w:val="16"/>
                <w:szCs w:val="16"/>
                <w:color w:val="auto"/>
              </w:rPr>
            </w:pPr>
          </w:p>
        </w:tc>
        <w:tc>
          <w:tcPr>
            <w:tcW w:w="1580" w:type="dxa"/>
            <w:vAlign w:val="bottom"/>
            <w:shd w:val="clear" w:color="auto" w:fill="CCE0F1"/>
          </w:tcPr>
          <w:p>
            <w:pPr>
              <w:spacing w:after="0"/>
              <w:rPr>
                <w:sz w:val="16"/>
                <w:szCs w:val="16"/>
                <w:color w:val="auto"/>
              </w:rPr>
            </w:pPr>
          </w:p>
        </w:tc>
        <w:tc>
          <w:tcPr>
            <w:tcW w:w="1340" w:type="dxa"/>
            <w:vAlign w:val="bottom"/>
          </w:tcPr>
          <w:p>
            <w:pPr>
              <w:ind w:left="120"/>
              <w:spacing w:after="0"/>
              <w:rPr>
                <w:sz w:val="20"/>
                <w:szCs w:val="20"/>
                <w:color w:val="auto"/>
              </w:rPr>
            </w:pPr>
            <w:r>
              <w:rPr>
                <w:rFonts w:ascii="Arial" w:cs="Arial" w:eastAsia="Arial" w:hAnsi="Arial"/>
                <w:sz w:val="16"/>
                <w:szCs w:val="16"/>
                <w:i w:val="1"/>
                <w:iCs w:val="1"/>
                <w:color w:val="auto"/>
                <w:w w:val="97"/>
              </w:rPr>
              <w:t>customers for the</w:t>
            </w:r>
          </w:p>
        </w:tc>
        <w:tc>
          <w:tcPr>
            <w:tcW w:w="3600" w:type="dxa"/>
            <w:vAlign w:val="bottom"/>
          </w:tcPr>
          <w:p>
            <w:pPr>
              <w:ind w:left="60"/>
              <w:spacing w:after="0"/>
              <w:rPr>
                <w:sz w:val="20"/>
                <w:szCs w:val="20"/>
                <w:color w:val="auto"/>
              </w:rPr>
            </w:pPr>
            <w:r>
              <w:rPr>
                <w:rFonts w:ascii="Arial" w:cs="Arial" w:eastAsia="Arial" w:hAnsi="Arial"/>
                <w:sz w:val="16"/>
                <w:szCs w:val="16"/>
                <w:color w:val="auto"/>
                <w:w w:val="89"/>
              </w:rPr>
              <w:t xml:space="preserve">possible. ADI is focused on creating an </w:t>
            </w:r>
            <w:r>
              <w:rPr>
                <w:rFonts w:ascii="Arial" w:cs="Arial" w:eastAsia="Arial" w:hAnsi="Arial"/>
                <w:sz w:val="16"/>
                <w:szCs w:val="16"/>
                <w:b w:val="1"/>
                <w:bCs w:val="1"/>
                <w:color w:val="auto"/>
                <w:w w:val="89"/>
              </w:rPr>
              <w:t>agile, evolving</w:t>
            </w:r>
          </w:p>
        </w:tc>
        <w:tc>
          <w:tcPr>
            <w:tcW w:w="3680" w:type="dxa"/>
            <w:vAlign w:val="bottom"/>
          </w:tcPr>
          <w:p>
            <w:pPr>
              <w:ind w:left="60"/>
              <w:spacing w:after="0"/>
              <w:rPr>
                <w:sz w:val="20"/>
                <w:szCs w:val="20"/>
                <w:color w:val="auto"/>
              </w:rPr>
            </w:pPr>
            <w:r>
              <w:rPr>
                <w:rFonts w:ascii="Arial" w:cs="Arial" w:eastAsia="Arial" w:hAnsi="Arial"/>
                <w:sz w:val="16"/>
                <w:szCs w:val="16"/>
                <w:color w:val="auto"/>
              </w:rPr>
              <w:t>starting early in their careers and at every stage</w:t>
            </w:r>
          </w:p>
        </w:tc>
      </w:tr>
      <w:tr>
        <w:trPr>
          <w:trHeight w:val="199"/>
        </w:trPr>
        <w:tc>
          <w:tcPr>
            <w:tcW w:w="120" w:type="dxa"/>
            <w:vAlign w:val="bottom"/>
          </w:tcPr>
          <w:p>
            <w:pPr>
              <w:spacing w:after="0"/>
              <w:rPr>
                <w:sz w:val="17"/>
                <w:szCs w:val="17"/>
                <w:color w:val="auto"/>
              </w:rPr>
            </w:pPr>
          </w:p>
        </w:tc>
        <w:tc>
          <w:tcPr>
            <w:tcW w:w="1580" w:type="dxa"/>
            <w:vAlign w:val="bottom"/>
            <w:shd w:val="clear" w:color="auto" w:fill="CCE0F1"/>
          </w:tcPr>
          <w:p>
            <w:pPr>
              <w:spacing w:after="0"/>
              <w:rPr>
                <w:sz w:val="17"/>
                <w:szCs w:val="17"/>
                <w:color w:val="auto"/>
              </w:rPr>
            </w:pPr>
          </w:p>
        </w:tc>
        <w:tc>
          <w:tcPr>
            <w:tcW w:w="1340" w:type="dxa"/>
            <w:vAlign w:val="bottom"/>
          </w:tcPr>
          <w:p>
            <w:pPr>
              <w:ind w:left="120"/>
              <w:spacing w:after="0"/>
              <w:rPr>
                <w:sz w:val="20"/>
                <w:szCs w:val="20"/>
                <w:color w:val="auto"/>
              </w:rPr>
            </w:pPr>
            <w:r>
              <w:rPr>
                <w:rFonts w:ascii="Arial" w:cs="Arial" w:eastAsia="Arial" w:hAnsi="Arial"/>
                <w:sz w:val="16"/>
                <w:szCs w:val="16"/>
                <w:i w:val="1"/>
                <w:iCs w:val="1"/>
                <w:color w:val="auto"/>
              </w:rPr>
              <w:t>future</w:t>
            </w:r>
          </w:p>
        </w:tc>
        <w:tc>
          <w:tcPr>
            <w:tcW w:w="3600" w:type="dxa"/>
            <w:vAlign w:val="bottom"/>
          </w:tcPr>
          <w:p>
            <w:pPr>
              <w:ind w:left="60"/>
              <w:spacing w:after="0"/>
              <w:rPr>
                <w:sz w:val="20"/>
                <w:szCs w:val="20"/>
                <w:color w:val="auto"/>
              </w:rPr>
            </w:pPr>
            <w:r>
              <w:rPr>
                <w:rFonts w:ascii="Arial" w:cs="Arial" w:eastAsia="Arial" w:hAnsi="Arial"/>
                <w:sz w:val="16"/>
                <w:szCs w:val="16"/>
                <w:b w:val="1"/>
                <w:bCs w:val="1"/>
                <w:color w:val="auto"/>
                <w:w w:val="93"/>
              </w:rPr>
              <w:t xml:space="preserve">view of the workforce of the future </w:t>
            </w:r>
            <w:r>
              <w:rPr>
                <w:rFonts w:ascii="Arial" w:cs="Arial" w:eastAsia="Arial" w:hAnsi="Arial"/>
                <w:sz w:val="16"/>
                <w:szCs w:val="16"/>
                <w:color w:val="auto"/>
                <w:w w:val="93"/>
              </w:rPr>
              <w:t>by developing a</w:t>
            </w:r>
          </w:p>
        </w:tc>
        <w:tc>
          <w:tcPr>
            <w:tcW w:w="3680" w:type="dxa"/>
            <w:vAlign w:val="bottom"/>
          </w:tcPr>
          <w:p>
            <w:pPr>
              <w:ind w:left="60"/>
              <w:spacing w:after="0"/>
              <w:rPr>
                <w:sz w:val="20"/>
                <w:szCs w:val="20"/>
                <w:color w:val="auto"/>
              </w:rPr>
            </w:pPr>
            <w:r>
              <w:rPr>
                <w:rFonts w:ascii="Arial" w:cs="Arial" w:eastAsia="Arial" w:hAnsi="Arial"/>
                <w:sz w:val="16"/>
                <w:szCs w:val="16"/>
                <w:color w:val="auto"/>
                <w:w w:val="89"/>
              </w:rPr>
              <w:t>thereafter, preparing them for long, distinguished careers</w:t>
            </w:r>
          </w:p>
        </w:tc>
      </w:tr>
      <w:tr>
        <w:trPr>
          <w:trHeight w:val="195"/>
        </w:trPr>
        <w:tc>
          <w:tcPr>
            <w:tcW w:w="120" w:type="dxa"/>
            <w:vAlign w:val="bottom"/>
          </w:tcPr>
          <w:p>
            <w:pPr>
              <w:spacing w:after="0"/>
              <w:rPr>
                <w:sz w:val="16"/>
                <w:szCs w:val="16"/>
                <w:color w:val="auto"/>
              </w:rPr>
            </w:pPr>
          </w:p>
        </w:tc>
        <w:tc>
          <w:tcPr>
            <w:tcW w:w="1580" w:type="dxa"/>
            <w:vAlign w:val="bottom"/>
            <w:shd w:val="clear" w:color="auto" w:fill="CCE0F1"/>
          </w:tcPr>
          <w:p>
            <w:pPr>
              <w:spacing w:after="0"/>
              <w:rPr>
                <w:sz w:val="16"/>
                <w:szCs w:val="16"/>
                <w:color w:val="auto"/>
              </w:rPr>
            </w:pPr>
          </w:p>
        </w:tc>
        <w:tc>
          <w:tcPr>
            <w:tcW w:w="1340" w:type="dxa"/>
            <w:vAlign w:val="bottom"/>
          </w:tcPr>
          <w:p>
            <w:pPr>
              <w:spacing w:after="0"/>
              <w:rPr>
                <w:sz w:val="16"/>
                <w:szCs w:val="16"/>
                <w:color w:val="auto"/>
              </w:rPr>
            </w:pPr>
          </w:p>
        </w:tc>
        <w:tc>
          <w:tcPr>
            <w:tcW w:w="3600" w:type="dxa"/>
            <w:vAlign w:val="bottom"/>
          </w:tcPr>
          <w:p>
            <w:pPr>
              <w:ind w:left="60"/>
              <w:spacing w:after="0"/>
              <w:rPr>
                <w:sz w:val="20"/>
                <w:szCs w:val="20"/>
                <w:color w:val="auto"/>
              </w:rPr>
            </w:pPr>
            <w:r>
              <w:rPr>
                <w:rFonts w:ascii="Arial" w:cs="Arial" w:eastAsia="Arial" w:hAnsi="Arial"/>
                <w:sz w:val="16"/>
                <w:szCs w:val="16"/>
                <w:color w:val="auto"/>
                <w:w w:val="97"/>
              </w:rPr>
              <w:t>more complete understanding of the types of skills,</w:t>
            </w:r>
          </w:p>
        </w:tc>
        <w:tc>
          <w:tcPr>
            <w:tcW w:w="3680" w:type="dxa"/>
            <w:vAlign w:val="bottom"/>
          </w:tcPr>
          <w:p>
            <w:pPr>
              <w:ind w:left="60"/>
              <w:spacing w:after="0"/>
              <w:rPr>
                <w:sz w:val="20"/>
                <w:szCs w:val="20"/>
                <w:color w:val="auto"/>
              </w:rPr>
            </w:pPr>
            <w:r>
              <w:rPr>
                <w:rFonts w:ascii="Arial" w:cs="Arial" w:eastAsia="Arial" w:hAnsi="Arial"/>
                <w:sz w:val="16"/>
                <w:szCs w:val="16"/>
                <w:color w:val="auto"/>
              </w:rPr>
              <w:t>at ADI.</w:t>
            </w:r>
          </w:p>
        </w:tc>
      </w:tr>
      <w:tr>
        <w:trPr>
          <w:trHeight w:val="199"/>
        </w:trPr>
        <w:tc>
          <w:tcPr>
            <w:tcW w:w="120" w:type="dxa"/>
            <w:vAlign w:val="bottom"/>
          </w:tcPr>
          <w:p>
            <w:pPr>
              <w:spacing w:after="0"/>
              <w:rPr>
                <w:sz w:val="17"/>
                <w:szCs w:val="17"/>
                <w:color w:val="auto"/>
              </w:rPr>
            </w:pPr>
          </w:p>
        </w:tc>
        <w:tc>
          <w:tcPr>
            <w:tcW w:w="1580" w:type="dxa"/>
            <w:vAlign w:val="bottom"/>
            <w:shd w:val="clear" w:color="auto" w:fill="CCE0F1"/>
          </w:tcPr>
          <w:p>
            <w:pPr>
              <w:spacing w:after="0"/>
              <w:rPr>
                <w:sz w:val="17"/>
                <w:szCs w:val="17"/>
                <w:color w:val="auto"/>
              </w:rPr>
            </w:pPr>
          </w:p>
        </w:tc>
        <w:tc>
          <w:tcPr>
            <w:tcW w:w="1340" w:type="dxa"/>
            <w:vAlign w:val="bottom"/>
          </w:tcPr>
          <w:p>
            <w:pPr>
              <w:spacing w:after="0"/>
              <w:rPr>
                <w:sz w:val="17"/>
                <w:szCs w:val="17"/>
                <w:color w:val="auto"/>
              </w:rPr>
            </w:pPr>
          </w:p>
        </w:tc>
        <w:tc>
          <w:tcPr>
            <w:tcW w:w="3600" w:type="dxa"/>
            <w:vAlign w:val="bottom"/>
          </w:tcPr>
          <w:p>
            <w:pPr>
              <w:ind w:left="60"/>
              <w:spacing w:after="0"/>
              <w:rPr>
                <w:sz w:val="20"/>
                <w:szCs w:val="20"/>
                <w:color w:val="auto"/>
              </w:rPr>
            </w:pPr>
            <w:r>
              <w:rPr>
                <w:rFonts w:ascii="Arial" w:cs="Arial" w:eastAsia="Arial" w:hAnsi="Arial"/>
                <w:sz w:val="16"/>
                <w:szCs w:val="16"/>
                <w:color w:val="auto"/>
                <w:w w:val="93"/>
              </w:rPr>
              <w:t>location, and working environment employees prefer.</w:t>
            </w:r>
          </w:p>
        </w:tc>
        <w:tc>
          <w:tcPr>
            <w:tcW w:w="3680" w:type="dxa"/>
            <w:vAlign w:val="bottom"/>
          </w:tcPr>
          <w:p>
            <w:pPr>
              <w:spacing w:after="0"/>
              <w:rPr>
                <w:sz w:val="17"/>
                <w:szCs w:val="17"/>
                <w:color w:val="auto"/>
              </w:rPr>
            </w:pPr>
          </w:p>
        </w:tc>
      </w:tr>
      <w:tr>
        <w:trPr>
          <w:trHeight w:val="84"/>
        </w:trPr>
        <w:tc>
          <w:tcPr>
            <w:tcW w:w="120" w:type="dxa"/>
            <w:vAlign w:val="bottom"/>
            <w:tcBorders>
              <w:bottom w:val="single" w:sz="8" w:color="0066BA"/>
            </w:tcBorders>
          </w:tcPr>
          <w:p>
            <w:pPr>
              <w:spacing w:after="0"/>
              <w:rPr>
                <w:sz w:val="7"/>
                <w:szCs w:val="7"/>
                <w:color w:val="auto"/>
              </w:rPr>
            </w:pPr>
          </w:p>
        </w:tc>
        <w:tc>
          <w:tcPr>
            <w:tcW w:w="1580" w:type="dxa"/>
            <w:vAlign w:val="bottom"/>
            <w:tcBorders>
              <w:bottom w:val="single" w:sz="8" w:color="0066BA"/>
            </w:tcBorders>
            <w:shd w:val="clear" w:color="auto" w:fill="CCE0F1"/>
          </w:tcPr>
          <w:p>
            <w:pPr>
              <w:spacing w:after="0"/>
              <w:rPr>
                <w:sz w:val="7"/>
                <w:szCs w:val="7"/>
                <w:color w:val="auto"/>
              </w:rPr>
            </w:pPr>
          </w:p>
        </w:tc>
        <w:tc>
          <w:tcPr>
            <w:tcW w:w="1340" w:type="dxa"/>
            <w:vAlign w:val="bottom"/>
            <w:tcBorders>
              <w:bottom w:val="single" w:sz="8" w:color="0066BA"/>
            </w:tcBorders>
          </w:tcPr>
          <w:p>
            <w:pPr>
              <w:spacing w:after="0"/>
              <w:rPr>
                <w:sz w:val="7"/>
                <w:szCs w:val="7"/>
                <w:color w:val="auto"/>
              </w:rPr>
            </w:pPr>
          </w:p>
        </w:tc>
        <w:tc>
          <w:tcPr>
            <w:tcW w:w="3600" w:type="dxa"/>
            <w:vAlign w:val="bottom"/>
            <w:tcBorders>
              <w:bottom w:val="single" w:sz="8" w:color="0066BA"/>
            </w:tcBorders>
          </w:tcPr>
          <w:p>
            <w:pPr>
              <w:spacing w:after="0"/>
              <w:rPr>
                <w:sz w:val="7"/>
                <w:szCs w:val="7"/>
                <w:color w:val="auto"/>
              </w:rPr>
            </w:pPr>
          </w:p>
        </w:tc>
        <w:tc>
          <w:tcPr>
            <w:tcW w:w="3680" w:type="dxa"/>
            <w:vAlign w:val="bottom"/>
            <w:tcBorders>
              <w:bottom w:val="single" w:sz="8" w:color="0066BA"/>
            </w:tcBorders>
          </w:tcPr>
          <w:p>
            <w:pPr>
              <w:spacing w:after="0"/>
              <w:rPr>
                <w:sz w:val="7"/>
                <w:szCs w:val="7"/>
                <w:color w:val="auto"/>
              </w:rPr>
            </w:pPr>
          </w:p>
        </w:tc>
      </w:tr>
    </w:tbl>
    <w:p>
      <w:pPr>
        <w:spacing w:after="0" w:line="145" w:lineRule="exact"/>
        <w:rPr>
          <w:sz w:val="20"/>
          <w:szCs w:val="20"/>
          <w:color w:val="auto"/>
        </w:rPr>
      </w:pPr>
    </w:p>
    <w:p>
      <w:pPr>
        <w:sectPr>
          <w:pgSz w:w="11900" w:h="16838" w:orient="portrait"/>
          <w:cols w:equalWidth="0" w:num="2">
            <w:col w:w="620" w:space="0"/>
            <w:col w:w="10320"/>
          </w:cols>
          <w:pgMar w:left="320" w:top="447" w:right="639" w:bottom="1011" w:gutter="0" w:footer="0" w:header="0"/>
          <w:type w:val="continuous"/>
        </w:sectPr>
      </w:pPr>
    </w:p>
    <w:p>
      <w:pPr>
        <w:ind w:left="320"/>
        <w:spacing w:after="0"/>
        <w:rPr>
          <w:sz w:val="20"/>
          <w:szCs w:val="20"/>
          <w:color w:val="auto"/>
        </w:rPr>
      </w:pPr>
      <w:r>
        <w:rPr>
          <w:rFonts w:ascii="Arial" w:cs="Arial" w:eastAsia="Arial" w:hAnsi="Arial"/>
          <w:sz w:val="14"/>
          <w:szCs w:val="14"/>
          <w:color w:val="auto"/>
        </w:rPr>
        <w:t>A-3</w:t>
      </w:r>
    </w:p>
    <w:p>
      <w:pPr>
        <w:sectPr>
          <w:pgSz w:w="11900" w:h="16838" w:orient="portrait"/>
          <w:cols w:equalWidth="0" w:num="1">
            <w:col w:w="10940"/>
          </w:cols>
          <w:pgMar w:left="320" w:top="447" w:right="639" w:bottom="1011" w:gutter="0" w:footer="0" w:header="0"/>
          <w:type w:val="continuous"/>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20" w:right="120"/>
        <w:spacing w:after="0" w:line="295" w:lineRule="auto"/>
        <w:rPr>
          <w:sz w:val="20"/>
          <w:szCs w:val="20"/>
          <w:color w:val="auto"/>
        </w:rPr>
      </w:pPr>
      <w:r>
        <w:rPr>
          <w:rFonts w:ascii="Arial" w:cs="Arial" w:eastAsia="Arial" w:hAnsi="Arial"/>
          <w:sz w:val="16"/>
          <w:szCs w:val="16"/>
          <w:color w:val="auto"/>
        </w:rPr>
        <w:t>We know that amazing talent drives our success as a company. That’s why we aim to be the destination for the world’s best analog engineering talent. We invest in our people, so they can engineer solutions that sense the world around us and make it better. ADI is proud to foster an inclusive workplace where all voices and diverse backgrounds can contribute, thrive and produce better outcomes for our employees and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196850</wp:posOffset>
            </wp:positionV>
            <wp:extent cx="1304925" cy="7931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4925" cy="793115"/>
                    </a:xfrm>
                    <a:prstGeom prst="rect">
                      <a:avLst/>
                    </a:prstGeom>
                    <a:noFill/>
                  </pic:spPr>
                </pic:pic>
              </a:graphicData>
            </a:graphic>
          </wp:anchor>
        </w:drawing>
        <w:drawing>
          <wp:anchor simplePos="0" relativeHeight="251657728" behindDoc="1" locked="0" layoutInCell="0" allowOverlap="1">
            <wp:simplePos x="0" y="0"/>
            <wp:positionH relativeFrom="column">
              <wp:posOffset>3612515</wp:posOffset>
            </wp:positionH>
            <wp:positionV relativeFrom="paragraph">
              <wp:posOffset>196850</wp:posOffset>
            </wp:positionV>
            <wp:extent cx="1304925" cy="7931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4925" cy="793115"/>
                    </a:xfrm>
                    <a:prstGeom prst="rect">
                      <a:avLst/>
                    </a:prstGeom>
                    <a:noFill/>
                  </pic:spPr>
                </pic:pic>
              </a:graphicData>
            </a:graphic>
          </wp:anchor>
        </w:drawing>
      </w:r>
    </w:p>
    <w:p>
      <w:pPr>
        <w:spacing w:after="0" w:line="290" w:lineRule="exact"/>
        <w:rPr>
          <w:sz w:val="20"/>
          <w:szCs w:val="20"/>
          <w:color w:val="auto"/>
        </w:rPr>
      </w:pPr>
    </w:p>
    <w:tbl>
      <w:tblPr>
        <w:tblLayout w:type="fixed"/>
        <w:tblInd w:w="320" w:type="dxa"/>
        <w:tblCellMar>
          <w:top w:w="0" w:type="dxa"/>
          <w:left w:w="0" w:type="dxa"/>
          <w:bottom w:w="0" w:type="dxa"/>
          <w:right w:w="0" w:type="dxa"/>
        </w:tblCellMar>
      </w:tblPr>
      <w:tr>
        <w:trPr>
          <w:trHeight w:val="683"/>
        </w:trPr>
        <w:tc>
          <w:tcPr>
            <w:tcW w:w="5100" w:type="dxa"/>
            <w:vAlign w:val="bottom"/>
            <w:shd w:val="clear" w:color="auto" w:fill="CCE0F1"/>
          </w:tcPr>
          <w:p>
            <w:pPr>
              <w:ind w:left="2380"/>
              <w:spacing w:after="0"/>
              <w:rPr>
                <w:sz w:val="20"/>
                <w:szCs w:val="20"/>
                <w:color w:val="auto"/>
              </w:rPr>
            </w:pPr>
            <w:r>
              <w:rPr>
                <w:rFonts w:ascii="Arial" w:cs="Arial" w:eastAsia="Arial" w:hAnsi="Arial"/>
                <w:sz w:val="33"/>
                <w:szCs w:val="33"/>
                <w:color w:val="0066BA"/>
              </w:rPr>
              <w:t>~11,000</w:t>
            </w:r>
          </w:p>
        </w:tc>
        <w:tc>
          <w:tcPr>
            <w:tcW w:w="340" w:type="dxa"/>
            <w:vAlign w:val="bottom"/>
          </w:tcPr>
          <w:p>
            <w:pPr>
              <w:spacing w:after="0"/>
              <w:rPr>
                <w:sz w:val="24"/>
                <w:szCs w:val="24"/>
                <w:color w:val="auto"/>
              </w:rPr>
            </w:pPr>
          </w:p>
        </w:tc>
        <w:tc>
          <w:tcPr>
            <w:tcW w:w="5180" w:type="dxa"/>
            <w:vAlign w:val="bottom"/>
            <w:shd w:val="clear" w:color="auto" w:fill="CCE0F1"/>
          </w:tcPr>
          <w:p>
            <w:pPr>
              <w:ind w:left="2280"/>
              <w:spacing w:after="0"/>
              <w:rPr>
                <w:sz w:val="20"/>
                <w:szCs w:val="20"/>
                <w:color w:val="auto"/>
              </w:rPr>
            </w:pPr>
            <w:r>
              <w:rPr>
                <w:rFonts w:ascii="Arial" w:cs="Arial" w:eastAsia="Arial" w:hAnsi="Arial"/>
                <w:sz w:val="33"/>
                <w:szCs w:val="33"/>
                <w:color w:val="0066BA"/>
              </w:rPr>
              <w:t>~4,700</w:t>
            </w:r>
          </w:p>
        </w:tc>
      </w:tr>
      <w:tr>
        <w:trPr>
          <w:trHeight w:val="270"/>
        </w:trPr>
        <w:tc>
          <w:tcPr>
            <w:tcW w:w="5100" w:type="dxa"/>
            <w:vAlign w:val="bottom"/>
            <w:shd w:val="clear" w:color="auto" w:fill="CCE0F1"/>
          </w:tcPr>
          <w:p>
            <w:pPr>
              <w:ind w:left="2380"/>
              <w:spacing w:after="0"/>
              <w:rPr>
                <w:sz w:val="20"/>
                <w:szCs w:val="20"/>
                <w:color w:val="auto"/>
              </w:rPr>
            </w:pPr>
            <w:r>
              <w:rPr>
                <w:rFonts w:ascii="Arial" w:cs="Arial" w:eastAsia="Arial" w:hAnsi="Arial"/>
                <w:sz w:val="19"/>
                <w:szCs w:val="19"/>
                <w:color w:val="auto"/>
              </w:rPr>
              <w:t>Engineers Worldwide</w:t>
            </w:r>
          </w:p>
        </w:tc>
        <w:tc>
          <w:tcPr>
            <w:tcW w:w="340" w:type="dxa"/>
            <w:vAlign w:val="bottom"/>
          </w:tcPr>
          <w:p>
            <w:pPr>
              <w:spacing w:after="0"/>
              <w:rPr>
                <w:sz w:val="23"/>
                <w:szCs w:val="23"/>
                <w:color w:val="auto"/>
              </w:rPr>
            </w:pPr>
          </w:p>
        </w:tc>
        <w:tc>
          <w:tcPr>
            <w:tcW w:w="5180" w:type="dxa"/>
            <w:vAlign w:val="bottom"/>
            <w:shd w:val="clear" w:color="auto" w:fill="CCE0F1"/>
          </w:tcPr>
          <w:p>
            <w:pPr>
              <w:ind w:left="2280"/>
              <w:spacing w:after="0"/>
              <w:rPr>
                <w:sz w:val="20"/>
                <w:szCs w:val="20"/>
                <w:color w:val="auto"/>
              </w:rPr>
            </w:pPr>
            <w:r>
              <w:rPr>
                <w:rFonts w:ascii="Arial" w:cs="Arial" w:eastAsia="Arial" w:hAnsi="Arial"/>
                <w:sz w:val="19"/>
                <w:szCs w:val="19"/>
                <w:color w:val="auto"/>
              </w:rPr>
              <w:t>U.S. Patents</w:t>
            </w:r>
          </w:p>
        </w:tc>
      </w:tr>
      <w:tr>
        <w:trPr>
          <w:trHeight w:val="295"/>
        </w:trPr>
        <w:tc>
          <w:tcPr>
            <w:tcW w:w="5100" w:type="dxa"/>
            <w:vAlign w:val="bottom"/>
            <w:shd w:val="clear" w:color="auto" w:fill="CCE0F1"/>
          </w:tcPr>
          <w:p>
            <w:pPr>
              <w:spacing w:after="0"/>
              <w:rPr>
                <w:sz w:val="24"/>
                <w:szCs w:val="24"/>
                <w:color w:val="auto"/>
              </w:rPr>
            </w:pPr>
          </w:p>
        </w:tc>
        <w:tc>
          <w:tcPr>
            <w:tcW w:w="340" w:type="dxa"/>
            <w:vAlign w:val="bottom"/>
          </w:tcPr>
          <w:p>
            <w:pPr>
              <w:spacing w:after="0"/>
              <w:rPr>
                <w:sz w:val="24"/>
                <w:szCs w:val="24"/>
                <w:color w:val="auto"/>
              </w:rPr>
            </w:pPr>
          </w:p>
        </w:tc>
        <w:tc>
          <w:tcPr>
            <w:tcW w:w="5180" w:type="dxa"/>
            <w:vAlign w:val="bottom"/>
            <w:shd w:val="clear" w:color="auto" w:fill="CCE0F1"/>
          </w:tcPr>
          <w:p>
            <w:pPr>
              <w:spacing w:after="0"/>
              <w:rPr>
                <w:sz w:val="24"/>
                <w:szCs w:val="24"/>
                <w:color w:val="auto"/>
              </w:rPr>
            </w:pPr>
          </w:p>
        </w:tc>
      </w:tr>
      <w:tr>
        <w:trPr>
          <w:trHeight w:val="208"/>
        </w:trPr>
        <w:tc>
          <w:tcPr>
            <w:tcW w:w="5100" w:type="dxa"/>
            <w:vAlign w:val="bottom"/>
          </w:tcPr>
          <w:p>
            <w:pPr>
              <w:spacing w:after="0"/>
              <w:rPr>
                <w:sz w:val="18"/>
                <w:szCs w:val="18"/>
                <w:color w:val="auto"/>
              </w:rPr>
            </w:pPr>
          </w:p>
        </w:tc>
        <w:tc>
          <w:tcPr>
            <w:tcW w:w="5520" w:type="dxa"/>
            <w:vAlign w:val="bottom"/>
            <w:gridSpan w:val="2"/>
          </w:tcPr>
          <w:p>
            <w:pPr>
              <w:spacing w:after="0"/>
              <w:rPr>
                <w:sz w:val="18"/>
                <w:szCs w:val="18"/>
                <w:color w:val="auto"/>
              </w:rPr>
            </w:pPr>
          </w:p>
        </w:tc>
      </w:tr>
      <w:tr>
        <w:trPr>
          <w:trHeight w:val="579"/>
        </w:trPr>
        <w:tc>
          <w:tcPr>
            <w:tcW w:w="5100" w:type="dxa"/>
            <w:vAlign w:val="bottom"/>
            <w:shd w:val="clear" w:color="auto" w:fill="CCE0F1"/>
          </w:tcPr>
          <w:p>
            <w:pPr>
              <w:ind w:left="2380"/>
              <w:spacing w:after="0"/>
              <w:rPr>
                <w:sz w:val="20"/>
                <w:szCs w:val="20"/>
                <w:color w:val="auto"/>
              </w:rPr>
            </w:pPr>
            <w:r>
              <w:rPr>
                <w:rFonts w:ascii="Arial" w:cs="Arial" w:eastAsia="Arial" w:hAnsi="Arial"/>
                <w:sz w:val="33"/>
                <w:szCs w:val="33"/>
                <w:color w:val="0066BA"/>
              </w:rPr>
              <w:t>$ 1.3B</w:t>
            </w:r>
          </w:p>
        </w:tc>
        <w:tc>
          <w:tcPr>
            <w:tcW w:w="340" w:type="dxa"/>
            <w:vAlign w:val="bottom"/>
          </w:tcPr>
          <w:p>
            <w:pPr>
              <w:spacing w:after="0"/>
              <w:rPr>
                <w:sz w:val="24"/>
                <w:szCs w:val="24"/>
                <w:color w:val="auto"/>
              </w:rPr>
            </w:pPr>
          </w:p>
        </w:tc>
        <w:tc>
          <w:tcPr>
            <w:tcW w:w="5180" w:type="dxa"/>
            <w:vAlign w:val="bottom"/>
            <w:shd w:val="clear" w:color="auto" w:fill="CCE0F1"/>
          </w:tcPr>
          <w:p>
            <w:pPr>
              <w:ind w:left="2280"/>
              <w:spacing w:after="0"/>
              <w:rPr>
                <w:sz w:val="20"/>
                <w:szCs w:val="20"/>
                <w:color w:val="auto"/>
              </w:rPr>
            </w:pPr>
            <w:r>
              <w:rPr>
                <w:rFonts w:ascii="Arial" w:cs="Arial" w:eastAsia="Arial" w:hAnsi="Arial"/>
                <w:sz w:val="33"/>
                <w:szCs w:val="33"/>
                <w:color w:val="0066BA"/>
              </w:rPr>
              <w:t>93%</w:t>
            </w:r>
          </w:p>
        </w:tc>
      </w:tr>
      <w:tr>
        <w:trPr>
          <w:trHeight w:val="250"/>
        </w:trPr>
        <w:tc>
          <w:tcPr>
            <w:tcW w:w="5100" w:type="dxa"/>
            <w:vAlign w:val="bottom"/>
            <w:shd w:val="clear" w:color="auto" w:fill="CCE0F1"/>
          </w:tcPr>
          <w:p>
            <w:pPr>
              <w:ind w:left="2380"/>
              <w:spacing w:after="0"/>
              <w:rPr>
                <w:sz w:val="20"/>
                <w:szCs w:val="20"/>
                <w:color w:val="auto"/>
              </w:rPr>
            </w:pPr>
            <w:r>
              <w:rPr>
                <w:rFonts w:ascii="Arial" w:cs="Arial" w:eastAsia="Arial" w:hAnsi="Arial"/>
                <w:sz w:val="19"/>
                <w:szCs w:val="19"/>
                <w:color w:val="auto"/>
              </w:rPr>
              <w:t>R&amp;D Investment</w:t>
            </w:r>
          </w:p>
        </w:tc>
        <w:tc>
          <w:tcPr>
            <w:tcW w:w="340" w:type="dxa"/>
            <w:vAlign w:val="bottom"/>
          </w:tcPr>
          <w:p>
            <w:pPr>
              <w:spacing w:after="0"/>
              <w:rPr>
                <w:sz w:val="21"/>
                <w:szCs w:val="21"/>
                <w:color w:val="auto"/>
              </w:rPr>
            </w:pPr>
          </w:p>
        </w:tc>
        <w:tc>
          <w:tcPr>
            <w:tcW w:w="5180" w:type="dxa"/>
            <w:vAlign w:val="bottom"/>
            <w:shd w:val="clear" w:color="auto" w:fill="CCE0F1"/>
          </w:tcPr>
          <w:p>
            <w:pPr>
              <w:ind w:left="2280"/>
              <w:spacing w:after="0"/>
              <w:rPr>
                <w:sz w:val="20"/>
                <w:szCs w:val="20"/>
                <w:color w:val="auto"/>
              </w:rPr>
            </w:pPr>
            <w:r>
              <w:rPr>
                <w:rFonts w:ascii="Arial" w:cs="Arial" w:eastAsia="Arial" w:hAnsi="Arial"/>
                <w:sz w:val="19"/>
                <w:szCs w:val="19"/>
                <w:color w:val="auto"/>
              </w:rPr>
              <w:t>Employee Retention</w:t>
            </w:r>
          </w:p>
        </w:tc>
      </w:tr>
      <w:tr>
        <w:trPr>
          <w:trHeight w:val="229"/>
        </w:trPr>
        <w:tc>
          <w:tcPr>
            <w:tcW w:w="5100" w:type="dxa"/>
            <w:vAlign w:val="bottom"/>
            <w:shd w:val="clear" w:color="auto" w:fill="CCE0F1"/>
          </w:tcPr>
          <w:p>
            <w:pPr>
              <w:ind w:left="2380"/>
              <w:spacing w:after="0"/>
              <w:rPr>
                <w:sz w:val="20"/>
                <w:szCs w:val="20"/>
                <w:color w:val="auto"/>
              </w:rPr>
            </w:pPr>
            <w:r>
              <w:rPr>
                <w:rFonts w:ascii="Arial" w:cs="Arial" w:eastAsia="Arial" w:hAnsi="Arial"/>
                <w:sz w:val="19"/>
                <w:szCs w:val="19"/>
                <w:color w:val="auto"/>
              </w:rPr>
              <w:t>in FY’21</w:t>
            </w:r>
          </w:p>
        </w:tc>
        <w:tc>
          <w:tcPr>
            <w:tcW w:w="340" w:type="dxa"/>
            <w:vAlign w:val="bottom"/>
          </w:tcPr>
          <w:p>
            <w:pPr>
              <w:spacing w:after="0"/>
              <w:rPr>
                <w:sz w:val="19"/>
                <w:szCs w:val="19"/>
                <w:color w:val="auto"/>
              </w:rPr>
            </w:pPr>
          </w:p>
        </w:tc>
        <w:tc>
          <w:tcPr>
            <w:tcW w:w="5180" w:type="dxa"/>
            <w:vAlign w:val="bottom"/>
            <w:shd w:val="clear" w:color="auto" w:fill="CCE0F1"/>
          </w:tcPr>
          <w:p>
            <w:pPr>
              <w:ind w:left="2280"/>
              <w:spacing w:after="0"/>
              <w:rPr>
                <w:sz w:val="20"/>
                <w:szCs w:val="20"/>
                <w:color w:val="auto"/>
              </w:rPr>
            </w:pPr>
            <w:r>
              <w:rPr>
                <w:rFonts w:ascii="Arial" w:cs="Arial" w:eastAsia="Arial" w:hAnsi="Arial"/>
                <w:sz w:val="19"/>
                <w:szCs w:val="19"/>
                <w:color w:val="auto"/>
              </w:rPr>
              <w:t>in FY’21</w:t>
            </w:r>
          </w:p>
        </w:tc>
      </w:tr>
      <w:tr>
        <w:trPr>
          <w:trHeight w:val="191"/>
        </w:trPr>
        <w:tc>
          <w:tcPr>
            <w:tcW w:w="5100" w:type="dxa"/>
            <w:vAlign w:val="bottom"/>
            <w:shd w:val="clear" w:color="auto" w:fill="CCE0F1"/>
          </w:tcPr>
          <w:p>
            <w:pPr>
              <w:spacing w:after="0"/>
              <w:rPr>
                <w:sz w:val="16"/>
                <w:szCs w:val="16"/>
                <w:color w:val="auto"/>
              </w:rPr>
            </w:pPr>
          </w:p>
        </w:tc>
        <w:tc>
          <w:tcPr>
            <w:tcW w:w="340" w:type="dxa"/>
            <w:vAlign w:val="bottom"/>
          </w:tcPr>
          <w:p>
            <w:pPr>
              <w:spacing w:after="0"/>
              <w:rPr>
                <w:sz w:val="16"/>
                <w:szCs w:val="16"/>
                <w:color w:val="auto"/>
              </w:rPr>
            </w:pPr>
          </w:p>
        </w:tc>
        <w:tc>
          <w:tcPr>
            <w:tcW w:w="5180" w:type="dxa"/>
            <w:vAlign w:val="bottom"/>
            <w:shd w:val="clear" w:color="auto" w:fill="CCE0F1"/>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-792480</wp:posOffset>
            </wp:positionV>
            <wp:extent cx="1304925" cy="7931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4925" cy="793115"/>
                    </a:xfrm>
                    <a:prstGeom prst="rect">
                      <a:avLst/>
                    </a:prstGeom>
                    <a:noFill/>
                  </pic:spPr>
                </pic:pic>
              </a:graphicData>
            </a:graphic>
          </wp:anchor>
        </w:drawing>
        <w:drawing>
          <wp:anchor simplePos="0" relativeHeight="251657728" behindDoc="1" locked="0" layoutInCell="0" allowOverlap="1">
            <wp:simplePos x="0" y="0"/>
            <wp:positionH relativeFrom="column">
              <wp:posOffset>3612515</wp:posOffset>
            </wp:positionH>
            <wp:positionV relativeFrom="paragraph">
              <wp:posOffset>-792480</wp:posOffset>
            </wp:positionV>
            <wp:extent cx="1304925" cy="7931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04925" cy="79311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SPOTLIGHT: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-137160</wp:posOffset>
            </wp:positionV>
            <wp:extent cx="6740525" cy="148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40525" cy="148590"/>
                    </a:xfrm>
                    <a:prstGeom prst="rect">
                      <a:avLst/>
                    </a:prstGeom>
                    <a:noFill/>
                  </pic:spPr>
                </pic:pic>
              </a:graphicData>
            </a:graphic>
          </wp:anchor>
        </w:drawing>
      </w:r>
    </w:p>
    <w:p>
      <w:pPr>
        <w:spacing w:after="0" w:line="285"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0066BA"/>
        </w:rPr>
        <w:t>Analog Devices Fellows</w:t>
      </w:r>
    </w:p>
    <w:p>
      <w:pPr>
        <w:spacing w:after="0" w:line="124" w:lineRule="exact"/>
        <w:rPr>
          <w:sz w:val="20"/>
          <w:szCs w:val="20"/>
          <w:color w:val="auto"/>
        </w:rPr>
      </w:pPr>
    </w:p>
    <w:p>
      <w:pPr>
        <w:ind w:left="320" w:right="500"/>
        <w:spacing w:after="0" w:line="270" w:lineRule="auto"/>
        <w:rPr>
          <w:sz w:val="20"/>
          <w:szCs w:val="20"/>
          <w:color w:val="auto"/>
        </w:rPr>
      </w:pPr>
      <w:r>
        <w:rPr>
          <w:rFonts w:ascii="Arial" w:cs="Arial" w:eastAsia="Arial" w:hAnsi="Arial"/>
          <w:sz w:val="17"/>
          <w:szCs w:val="17"/>
          <w:color w:val="auto"/>
        </w:rPr>
        <w:t>ADI Fellow is a distinguished technical position given to engineers who contribute significantly to the company’s success through exceptional innovation, leadership and an unparalleled ability to unite and mentor others. In addition to their business and innovation impact, Fellows serve as company ambassadors and are recognized as industry leaders in their fields of expertise.</w:t>
      </w:r>
    </w:p>
    <w:p>
      <w:pPr>
        <w:sectPr>
          <w:pgSz w:w="11900" w:h="16838" w:orient="portrait"/>
          <w:cols w:equalWidth="0" w:num="1">
            <w:col w:w="10940"/>
          </w:cols>
          <w:pgMar w:left="320" w:top="447" w:right="639" w:bottom="1440" w:gutter="0" w:footer="0" w:header="0"/>
        </w:sectPr>
      </w:pPr>
    </w:p>
    <w:p>
      <w:pPr>
        <w:spacing w:after="0" w:line="203" w:lineRule="exact"/>
        <w:rPr>
          <w:sz w:val="20"/>
          <w:szCs w:val="20"/>
          <w:color w:val="auto"/>
        </w:rPr>
      </w:pPr>
    </w:p>
    <w:p>
      <w:pPr>
        <w:ind w:left="320"/>
        <w:spacing w:after="0" w:line="246" w:lineRule="auto"/>
        <w:rPr>
          <w:sz w:val="20"/>
          <w:szCs w:val="20"/>
          <w:color w:val="auto"/>
        </w:rPr>
      </w:pPr>
      <w:r>
        <w:rPr>
          <w:rFonts w:ascii="Arial" w:cs="Arial" w:eastAsia="Arial" w:hAnsi="Arial"/>
          <w:sz w:val="28"/>
          <w:szCs w:val="28"/>
          <w:i w:val="1"/>
          <w:iCs w:val="1"/>
          <w:color w:val="0066BA"/>
        </w:rPr>
        <w:t>“ADI challenges you to push the bounds of what’s possible, presenting tremendous opportunity to innovate for the future. Our culture is defined by diversity of perspective, background and interests enabling us to deliver solutions for our customer’s most complex problems.”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220345</wp:posOffset>
            </wp:positionV>
            <wp:extent cx="586740" cy="586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6740" cy="586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60"/>
        <w:spacing w:after="0" w:line="257" w:lineRule="auto"/>
        <w:rPr>
          <w:sz w:val="20"/>
          <w:szCs w:val="20"/>
          <w:color w:val="auto"/>
        </w:rPr>
      </w:pPr>
      <w:r>
        <w:rPr>
          <w:rFonts w:ascii="Arial" w:cs="Arial" w:eastAsia="Arial" w:hAnsi="Arial"/>
          <w:sz w:val="27"/>
          <w:szCs w:val="27"/>
          <w:i w:val="1"/>
          <w:iCs w:val="1"/>
          <w:color w:val="0066BA"/>
        </w:rPr>
        <w:t>“I’m inspired by the ADI culture, and more specifically, our talented colleagues who are deeply committed to collaboration. It’s a dream environment for an engineer to work in, with state-of-the-art technologies, world-leading products and knowing that I’m having the opportunity to innovate and really make an impact.”</w:t>
      </w:r>
    </w:p>
    <w:p>
      <w:pPr>
        <w:spacing w:after="0" w:line="200" w:lineRule="exact"/>
        <w:rPr>
          <w:sz w:val="20"/>
          <w:szCs w:val="20"/>
          <w:color w:val="auto"/>
        </w:rPr>
      </w:pPr>
    </w:p>
    <w:p>
      <w:pPr>
        <w:sectPr>
          <w:pgSz w:w="11900" w:h="16838" w:orient="portrait"/>
          <w:cols w:equalWidth="0" w:num="2">
            <w:col w:w="5280" w:space="460"/>
            <w:col w:w="5200"/>
          </w:cols>
          <w:pgMar w:left="320" w:top="447" w:right="639"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ind w:left="6920"/>
        <w:spacing w:after="0"/>
        <w:rPr>
          <w:sz w:val="20"/>
          <w:szCs w:val="20"/>
          <w:color w:val="auto"/>
        </w:rPr>
      </w:pPr>
      <w:r>
        <w:rPr>
          <w:rFonts w:ascii="Arial" w:cs="Arial" w:eastAsia="Arial" w:hAnsi="Arial"/>
          <w:sz w:val="17"/>
          <w:szCs w:val="17"/>
          <w:color w:val="0066BA"/>
        </w:rPr>
        <w:t>KHIEM NGUYEN</w:t>
      </w:r>
    </w:p>
    <w:p>
      <w:pPr>
        <w:ind w:left="1480"/>
        <w:spacing w:after="0" w:line="181" w:lineRule="auto"/>
        <w:tabs>
          <w:tab w:leader="none" w:pos="6900" w:val="left"/>
        </w:tabs>
        <w:rPr>
          <w:sz w:val="20"/>
          <w:szCs w:val="20"/>
          <w:color w:val="auto"/>
        </w:rPr>
      </w:pPr>
      <w:r>
        <w:rPr>
          <w:rFonts w:ascii="Arial" w:cs="Arial" w:eastAsia="Arial" w:hAnsi="Arial"/>
          <w:sz w:val="17"/>
          <w:szCs w:val="17"/>
          <w:color w:val="0066BA"/>
        </w:rPr>
        <w:t>SUSAN FEINDT</w:t>
      </w:r>
      <w:r>
        <w:rPr>
          <w:sz w:val="20"/>
          <w:szCs w:val="20"/>
          <w:color w:val="auto"/>
        </w:rPr>
        <w:tab/>
      </w:r>
      <w:r>
        <w:rPr>
          <w:rFonts w:ascii="Arial" w:cs="Arial" w:eastAsia="Arial" w:hAnsi="Arial"/>
          <w:sz w:val="24"/>
          <w:szCs w:val="24"/>
          <w:color w:val="auto"/>
          <w:vertAlign w:val="subscript"/>
        </w:rPr>
        <w:t>ADI Fellow</w:t>
      </w:r>
    </w:p>
    <w:p>
      <w:pPr>
        <w:ind w:left="1480"/>
        <w:spacing w:after="0"/>
        <w:rPr>
          <w:sz w:val="20"/>
          <w:szCs w:val="20"/>
          <w:color w:val="auto"/>
        </w:rPr>
      </w:pPr>
      <w:r>
        <w:rPr>
          <w:rFonts w:ascii="Arial" w:cs="Arial" w:eastAsia="Arial" w:hAnsi="Arial"/>
          <w:sz w:val="17"/>
          <w:szCs w:val="17"/>
          <w:color w:val="auto"/>
        </w:rPr>
        <w:t>ADI Fellow</w:t>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A-4</w:t>
      </w:r>
    </w:p>
    <w:p>
      <w:pPr>
        <w:sectPr>
          <w:pgSz w:w="11900" w:h="16838" w:orient="portrait"/>
          <w:cols w:equalWidth="0" w:num="1">
            <w:col w:w="10940"/>
          </w:cols>
          <w:pgMar w:left="320" w:top="447" w:right="639" w:bottom="1440" w:gutter="0" w:footer="0" w:header="0"/>
          <w:type w:val="continuous"/>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696595</wp:posOffset>
            </wp:positionV>
            <wp:extent cx="6740525" cy="4959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40525" cy="49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-122555</wp:posOffset>
            </wp:positionV>
            <wp:extent cx="1404620" cy="396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04620" cy="39624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7"/>
          <w:szCs w:val="17"/>
          <w:color w:val="auto"/>
        </w:rPr>
        <w:t>One Analog Way</w:t>
      </w:r>
    </w:p>
    <w:p>
      <w:pPr>
        <w:jc w:val="right"/>
        <w:spacing w:after="0"/>
        <w:rPr>
          <w:sz w:val="20"/>
          <w:szCs w:val="20"/>
          <w:color w:val="auto"/>
        </w:rPr>
      </w:pPr>
      <w:r>
        <w:rPr>
          <w:rFonts w:ascii="Arial" w:cs="Arial" w:eastAsia="Arial" w:hAnsi="Arial"/>
          <w:sz w:val="17"/>
          <w:szCs w:val="17"/>
          <w:color w:val="auto"/>
        </w:rPr>
        <w:t>Wilmington, MA 01887</w:t>
      </w:r>
    </w:p>
    <w:p>
      <w:pPr>
        <w:spacing w:after="0" w:line="246" w:lineRule="exact"/>
        <w:rPr>
          <w:sz w:val="20"/>
          <w:szCs w:val="20"/>
          <w:color w:val="auto"/>
        </w:rPr>
      </w:pPr>
    </w:p>
    <w:p>
      <w:pPr>
        <w:ind w:left="320"/>
        <w:spacing w:after="0"/>
        <w:rPr>
          <w:sz w:val="20"/>
          <w:szCs w:val="20"/>
          <w:color w:val="auto"/>
        </w:rPr>
      </w:pPr>
      <w:r>
        <w:rPr>
          <w:rFonts w:ascii="Arial" w:cs="Arial" w:eastAsia="Arial" w:hAnsi="Arial"/>
          <w:sz w:val="49"/>
          <w:szCs w:val="49"/>
          <w:color w:val="auto"/>
        </w:rPr>
        <w:t>NOTICE OF 2022</w:t>
      </w:r>
    </w:p>
    <w:p>
      <w:pPr>
        <w:ind w:left="320"/>
        <w:spacing w:after="0"/>
        <w:rPr>
          <w:sz w:val="20"/>
          <w:szCs w:val="20"/>
          <w:color w:val="auto"/>
        </w:rPr>
      </w:pPr>
      <w:r>
        <w:rPr>
          <w:rFonts w:ascii="Arial" w:cs="Arial" w:eastAsia="Arial" w:hAnsi="Arial"/>
          <w:sz w:val="49"/>
          <w:szCs w:val="49"/>
          <w:color w:val="auto"/>
        </w:rPr>
        <w:t>ANNUAL MEETING OF SHAREHOLDERS</w:t>
      </w:r>
    </w:p>
    <w:p>
      <w:pPr>
        <w:spacing w:after="0" w:line="371" w:lineRule="exact"/>
        <w:rPr>
          <w:sz w:val="20"/>
          <w:szCs w:val="20"/>
          <w:color w:val="auto"/>
        </w:rPr>
      </w:pPr>
    </w:p>
    <w:p>
      <w:pPr>
        <w:ind w:left="320"/>
        <w:spacing w:after="0"/>
        <w:rPr>
          <w:sz w:val="20"/>
          <w:szCs w:val="20"/>
          <w:color w:val="auto"/>
        </w:rPr>
      </w:pPr>
      <w:r>
        <w:rPr>
          <w:rFonts w:ascii="Arial" w:cs="Arial" w:eastAsia="Arial" w:hAnsi="Arial"/>
          <w:sz w:val="28"/>
          <w:szCs w:val="28"/>
          <w:b w:val="1"/>
          <w:bCs w:val="1"/>
          <w:color w:val="0066BA"/>
        </w:rPr>
        <w:t>2022 Annual Meeting of Shareholders</w:t>
      </w:r>
    </w:p>
    <w:p>
      <w:pPr>
        <w:spacing w:after="0" w:line="164" w:lineRule="exact"/>
        <w:rPr>
          <w:sz w:val="20"/>
          <w:szCs w:val="20"/>
          <w:color w:val="auto"/>
        </w:rPr>
      </w:pPr>
    </w:p>
    <w:tbl>
      <w:tblPr>
        <w:tblLayout w:type="fixed"/>
        <w:tblInd w:w="320" w:type="dxa"/>
        <w:tblCellMar>
          <w:top w:w="0" w:type="dxa"/>
          <w:left w:w="0" w:type="dxa"/>
          <w:bottom w:w="0" w:type="dxa"/>
          <w:right w:w="0" w:type="dxa"/>
        </w:tblCellMar>
      </w:tblPr>
      <w:tr>
        <w:trPr>
          <w:trHeight w:val="209"/>
        </w:trPr>
        <w:tc>
          <w:tcPr>
            <w:tcW w:w="2560" w:type="dxa"/>
            <w:vAlign w:val="bottom"/>
            <w:tcBorders>
              <w:top w:val="single" w:sz="8" w:color="0066BA"/>
            </w:tcBorders>
          </w:tcPr>
          <w:p>
            <w:pPr>
              <w:ind w:left="60"/>
              <w:spacing w:after="0"/>
              <w:rPr>
                <w:sz w:val="20"/>
                <w:szCs w:val="20"/>
                <w:color w:val="auto"/>
              </w:rPr>
            </w:pPr>
            <w:r>
              <w:rPr>
                <w:rFonts w:ascii="Arial" w:cs="Arial" w:eastAsia="Arial" w:hAnsi="Arial"/>
                <w:sz w:val="17"/>
                <w:szCs w:val="17"/>
                <w:color w:val="0066BA"/>
              </w:rPr>
              <w:t>Date and Time:</w:t>
            </w:r>
          </w:p>
        </w:tc>
        <w:tc>
          <w:tcPr>
            <w:tcW w:w="3200" w:type="dxa"/>
            <w:vAlign w:val="bottom"/>
            <w:tcBorders>
              <w:top w:val="single" w:sz="8" w:color="0066BA"/>
            </w:tcBorders>
          </w:tcPr>
          <w:p>
            <w:pPr>
              <w:ind w:left="600"/>
              <w:spacing w:after="0"/>
              <w:rPr>
                <w:sz w:val="20"/>
                <w:szCs w:val="20"/>
                <w:color w:val="auto"/>
              </w:rPr>
            </w:pPr>
            <w:r>
              <w:rPr>
                <w:rFonts w:ascii="Arial" w:cs="Arial" w:eastAsia="Arial" w:hAnsi="Arial"/>
                <w:sz w:val="17"/>
                <w:szCs w:val="17"/>
                <w:color w:val="0066BA"/>
              </w:rPr>
              <w:t>Place:</w:t>
            </w:r>
          </w:p>
        </w:tc>
        <w:tc>
          <w:tcPr>
            <w:tcW w:w="4860" w:type="dxa"/>
            <w:vAlign w:val="bottom"/>
            <w:tcBorders>
              <w:top w:val="single" w:sz="8" w:color="0066BA"/>
            </w:tcBorders>
          </w:tcPr>
          <w:p>
            <w:pPr>
              <w:ind w:left="1260"/>
              <w:spacing w:after="0"/>
              <w:rPr>
                <w:sz w:val="20"/>
                <w:szCs w:val="20"/>
                <w:color w:val="auto"/>
              </w:rPr>
            </w:pPr>
            <w:r>
              <w:rPr>
                <w:rFonts w:ascii="Arial" w:cs="Arial" w:eastAsia="Arial" w:hAnsi="Arial"/>
                <w:sz w:val="17"/>
                <w:szCs w:val="17"/>
                <w:color w:val="0066BA"/>
              </w:rPr>
              <w:t>Record Date:</w:t>
            </w:r>
          </w:p>
        </w:tc>
      </w:tr>
      <w:tr>
        <w:trPr>
          <w:trHeight w:val="208"/>
        </w:trPr>
        <w:tc>
          <w:tcPr>
            <w:tcW w:w="2560" w:type="dxa"/>
            <w:vAlign w:val="bottom"/>
          </w:tcPr>
          <w:p>
            <w:pPr>
              <w:ind w:left="60"/>
              <w:spacing w:after="0"/>
              <w:rPr>
                <w:sz w:val="20"/>
                <w:szCs w:val="20"/>
                <w:color w:val="auto"/>
              </w:rPr>
            </w:pPr>
            <w:r>
              <w:rPr>
                <w:rFonts w:ascii="Arial" w:cs="Arial" w:eastAsia="Arial" w:hAnsi="Arial"/>
                <w:sz w:val="17"/>
                <w:szCs w:val="17"/>
                <w:color w:val="auto"/>
              </w:rPr>
              <w:t>Wednesday, March 9, 2022</w:t>
            </w:r>
          </w:p>
        </w:tc>
        <w:tc>
          <w:tcPr>
            <w:tcW w:w="3200" w:type="dxa"/>
            <w:vAlign w:val="bottom"/>
          </w:tcPr>
          <w:p>
            <w:pPr>
              <w:ind w:left="600"/>
              <w:spacing w:after="0"/>
              <w:rPr>
                <w:sz w:val="20"/>
                <w:szCs w:val="20"/>
                <w:color w:val="auto"/>
              </w:rPr>
            </w:pPr>
            <w:r>
              <w:rPr>
                <w:rFonts w:ascii="Arial" w:cs="Arial" w:eastAsia="Arial" w:hAnsi="Arial"/>
                <w:sz w:val="17"/>
                <w:szCs w:val="17"/>
                <w:color w:val="auto"/>
              </w:rPr>
              <w:t>125 Summer Street</w:t>
            </w:r>
          </w:p>
        </w:tc>
        <w:tc>
          <w:tcPr>
            <w:tcW w:w="4860" w:type="dxa"/>
            <w:vAlign w:val="bottom"/>
          </w:tcPr>
          <w:p>
            <w:pPr>
              <w:ind w:left="1260"/>
              <w:spacing w:after="0"/>
              <w:rPr>
                <w:sz w:val="20"/>
                <w:szCs w:val="20"/>
                <w:color w:val="auto"/>
              </w:rPr>
            </w:pPr>
            <w:r>
              <w:rPr>
                <w:rFonts w:ascii="Arial" w:cs="Arial" w:eastAsia="Arial" w:hAnsi="Arial"/>
                <w:sz w:val="17"/>
                <w:szCs w:val="17"/>
                <w:color w:val="auto"/>
              </w:rPr>
              <w:t>Monday, January 3, 2022</w:t>
            </w:r>
          </w:p>
        </w:tc>
      </w:tr>
      <w:tr>
        <w:trPr>
          <w:trHeight w:val="221"/>
        </w:trPr>
        <w:tc>
          <w:tcPr>
            <w:tcW w:w="2560" w:type="dxa"/>
            <w:vAlign w:val="bottom"/>
          </w:tcPr>
          <w:p>
            <w:pPr>
              <w:ind w:left="60"/>
              <w:spacing w:after="0"/>
              <w:rPr>
                <w:sz w:val="20"/>
                <w:szCs w:val="20"/>
                <w:color w:val="auto"/>
              </w:rPr>
            </w:pPr>
            <w:r>
              <w:rPr>
                <w:rFonts w:ascii="Arial" w:cs="Arial" w:eastAsia="Arial" w:hAnsi="Arial"/>
                <w:sz w:val="17"/>
                <w:szCs w:val="17"/>
                <w:color w:val="auto"/>
              </w:rPr>
              <w:t>9:00 a.m. local time</w:t>
            </w:r>
          </w:p>
        </w:tc>
        <w:tc>
          <w:tcPr>
            <w:tcW w:w="3200" w:type="dxa"/>
            <w:vAlign w:val="bottom"/>
          </w:tcPr>
          <w:p>
            <w:pPr>
              <w:ind w:left="600"/>
              <w:spacing w:after="0"/>
              <w:rPr>
                <w:sz w:val="20"/>
                <w:szCs w:val="20"/>
                <w:color w:val="auto"/>
              </w:rPr>
            </w:pPr>
            <w:r>
              <w:rPr>
                <w:rFonts w:ascii="Arial" w:cs="Arial" w:eastAsia="Arial" w:hAnsi="Arial"/>
                <w:sz w:val="17"/>
                <w:szCs w:val="17"/>
                <w:color w:val="auto"/>
              </w:rPr>
              <w:t>Boston, MA 02110</w:t>
            </w:r>
          </w:p>
        </w:tc>
        <w:tc>
          <w:tcPr>
            <w:tcW w:w="4860" w:type="dxa"/>
            <w:vAlign w:val="bottom"/>
          </w:tcPr>
          <w:p>
            <w:pPr>
              <w:spacing w:after="0"/>
              <w:rPr>
                <w:sz w:val="19"/>
                <w:szCs w:val="19"/>
                <w:color w:val="auto"/>
              </w:rPr>
            </w:pPr>
          </w:p>
        </w:tc>
      </w:tr>
    </w:tbl>
    <w:p>
      <w:pPr>
        <w:spacing w:after="0" w:line="15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Items of Business</w:t>
      </w:r>
    </w:p>
    <w:p>
      <w:pPr>
        <w:spacing w:after="0" w:line="114" w:lineRule="exact"/>
        <w:rPr>
          <w:sz w:val="20"/>
          <w:szCs w:val="20"/>
          <w:color w:val="auto"/>
        </w:rPr>
      </w:pPr>
    </w:p>
    <w:p>
      <w:pPr>
        <w:ind w:left="320" w:right="560"/>
        <w:spacing w:after="0" w:line="263" w:lineRule="auto"/>
        <w:rPr>
          <w:sz w:val="20"/>
          <w:szCs w:val="20"/>
          <w:color w:val="auto"/>
        </w:rPr>
      </w:pPr>
      <w:r>
        <w:rPr>
          <w:rFonts w:ascii="Arial" w:cs="Arial" w:eastAsia="Arial" w:hAnsi="Arial"/>
          <w:sz w:val="17"/>
          <w:szCs w:val="17"/>
          <w:color w:val="auto"/>
        </w:rPr>
        <w:t>The 2022 Annual Meeting of Shareholders of Analog Devices, Inc., or Annual Meeting, will be held at our offices located at 125 Summer Street, Boston,</w:t>
      </w:r>
    </w:p>
    <w:p>
      <w:pPr>
        <w:ind w:left="320" w:right="520"/>
        <w:spacing w:after="0" w:line="271" w:lineRule="auto"/>
        <w:rPr>
          <w:sz w:val="20"/>
          <w:szCs w:val="20"/>
          <w:color w:val="auto"/>
        </w:rPr>
      </w:pPr>
      <w:r>
        <w:rPr>
          <w:rFonts w:ascii="Arial" w:cs="Arial" w:eastAsia="Arial" w:hAnsi="Arial"/>
          <w:sz w:val="17"/>
          <w:szCs w:val="17"/>
          <w:color w:val="auto"/>
        </w:rPr>
        <w:t xml:space="preserve">Massachusetts 02110, on </w:t>
      </w:r>
      <w:r>
        <w:rPr>
          <w:rFonts w:ascii="Arial" w:cs="Arial" w:eastAsia="Arial" w:hAnsi="Arial"/>
          <w:sz w:val="17"/>
          <w:szCs w:val="17"/>
          <w:color w:val="0066BA"/>
        </w:rPr>
        <w:t>Wednesday, March 9, 2022 at 9:00 a.m. local time.</w:t>
      </w:r>
      <w:r>
        <w:rPr>
          <w:rFonts w:ascii="Arial" w:cs="Arial" w:eastAsia="Arial" w:hAnsi="Arial"/>
          <w:sz w:val="17"/>
          <w:szCs w:val="17"/>
          <w:color w:val="auto"/>
        </w:rPr>
        <w:t xml:space="preserve"> At the meeting, shareholders will consider and vote on the following matters:</w:t>
      </w:r>
    </w:p>
    <w:p>
      <w:pPr>
        <w:spacing w:after="0" w:line="171" w:lineRule="exact"/>
        <w:rPr>
          <w:sz w:val="20"/>
          <w:szCs w:val="20"/>
          <w:color w:val="auto"/>
        </w:rPr>
      </w:pPr>
    </w:p>
    <w:p>
      <w:pPr>
        <w:ind w:left="520" w:right="560" w:hanging="204"/>
        <w:spacing w:after="0" w:line="286" w:lineRule="auto"/>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elect the 12 director nominees named in this proxy statement to our Board of Directors, each to serve for a term expiring at the next annual meeting of shareholders;</w:t>
      </w:r>
    </w:p>
    <w:p>
      <w:pPr>
        <w:spacing w:after="0" w:line="15" w:lineRule="exact"/>
        <w:rPr>
          <w:rFonts w:ascii="Arial" w:cs="Arial" w:eastAsia="Arial" w:hAnsi="Arial"/>
          <w:sz w:val="17"/>
          <w:szCs w:val="17"/>
          <w:color w:val="auto"/>
        </w:rPr>
      </w:pPr>
    </w:p>
    <w:p>
      <w:pPr>
        <w:ind w:left="520" w:right="20" w:hanging="204"/>
        <w:spacing w:after="0" w:line="286" w:lineRule="auto"/>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approve, by a non-binding “say on pay” vote, the compensation of our named executive officers, as described in the Compensation Discussion and Analysis, executive compensation tables and accompanying narrative disclosures in this proxy statement;</w:t>
      </w:r>
    </w:p>
    <w:p>
      <w:pPr>
        <w:spacing w:after="0" w:line="15" w:lineRule="exact"/>
        <w:rPr>
          <w:rFonts w:ascii="Arial" w:cs="Arial" w:eastAsia="Arial" w:hAnsi="Arial"/>
          <w:sz w:val="17"/>
          <w:szCs w:val="17"/>
          <w:color w:val="auto"/>
        </w:rPr>
      </w:pPr>
    </w:p>
    <w:p>
      <w:pPr>
        <w:ind w:left="520" w:hanging="204"/>
        <w:spacing w:after="0"/>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approve the Analog Devices, Inc. 2022 Employee Stock Purchase Plan; and</w:t>
      </w:r>
    </w:p>
    <w:p>
      <w:pPr>
        <w:spacing w:after="0" w:line="77" w:lineRule="exact"/>
        <w:rPr>
          <w:rFonts w:ascii="Arial" w:cs="Arial" w:eastAsia="Arial" w:hAnsi="Arial"/>
          <w:sz w:val="17"/>
          <w:szCs w:val="17"/>
          <w:color w:val="auto"/>
        </w:rPr>
      </w:pPr>
    </w:p>
    <w:p>
      <w:pPr>
        <w:ind w:left="520" w:hanging="204"/>
        <w:spacing w:after="0"/>
        <w:tabs>
          <w:tab w:leader="none" w:pos="5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ratify the selection of Ernst &amp; Young LLP as our independent registered public accounting firm for the fiscal year ending October 29, 2022.</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shareholders will also act on any other business that may properly come before the meeting.</w:t>
      </w:r>
    </w:p>
    <w:p>
      <w:pPr>
        <w:spacing w:after="0" w:line="117" w:lineRule="exact"/>
        <w:rPr>
          <w:sz w:val="20"/>
          <w:szCs w:val="20"/>
          <w:color w:val="auto"/>
        </w:rPr>
      </w:pPr>
    </w:p>
    <w:p>
      <w:pPr>
        <w:ind w:left="320" w:right="20"/>
        <w:spacing w:after="0" w:line="270" w:lineRule="auto"/>
        <w:rPr>
          <w:sz w:val="20"/>
          <w:szCs w:val="20"/>
          <w:color w:val="auto"/>
        </w:rPr>
      </w:pPr>
      <w:r>
        <w:rPr>
          <w:rFonts w:ascii="Arial" w:cs="Arial" w:eastAsia="Arial" w:hAnsi="Arial"/>
          <w:sz w:val="17"/>
          <w:szCs w:val="17"/>
          <w:color w:val="auto"/>
        </w:rPr>
        <w:t>The Board recommends that you vote “FOR” each director nominee included in Proposal 1 and “FOR” each of the other proposals. The full text of these proposals is set forth in this proxy statement. Registered shareholders of the Company at the close of business on the record date are eligible to vote at the meeting.</w:t>
      </w:r>
    </w:p>
    <w:p>
      <w:pPr>
        <w:spacing w:after="0" w:line="69" w:lineRule="exact"/>
        <w:rPr>
          <w:sz w:val="20"/>
          <w:szCs w:val="20"/>
          <w:color w:val="auto"/>
        </w:rPr>
      </w:pPr>
    </w:p>
    <w:p>
      <w:pPr>
        <w:ind w:left="320" w:right="460"/>
        <w:spacing w:after="0" w:line="286" w:lineRule="auto"/>
        <w:rPr>
          <w:sz w:val="20"/>
          <w:szCs w:val="20"/>
          <w:color w:val="auto"/>
        </w:rPr>
      </w:pPr>
      <w:r>
        <w:rPr>
          <w:rFonts w:ascii="Arial" w:cs="Arial" w:eastAsia="Arial" w:hAnsi="Arial"/>
          <w:sz w:val="17"/>
          <w:szCs w:val="17"/>
          <w:color w:val="auto"/>
        </w:rPr>
        <w:t>Please note that we are furnishing proxy materials and access to our proxy statement to our shareholders via our website instead of mailing printed copies to each of our shareholders. By doing so, we save costs and reduce our impact on the environment.</w:t>
      </w:r>
    </w:p>
    <w:p>
      <w:pPr>
        <w:spacing w:after="0" w:line="54" w:lineRule="exact"/>
        <w:rPr>
          <w:sz w:val="20"/>
          <w:szCs w:val="20"/>
          <w:color w:val="auto"/>
        </w:rPr>
      </w:pPr>
    </w:p>
    <w:p>
      <w:pPr>
        <w:ind w:left="320" w:right="180"/>
        <w:spacing w:after="0" w:line="283" w:lineRule="auto"/>
        <w:rPr>
          <w:sz w:val="20"/>
          <w:szCs w:val="20"/>
          <w:color w:val="auto"/>
        </w:rPr>
      </w:pPr>
      <w:r>
        <w:rPr>
          <w:rFonts w:ascii="Arial" w:cs="Arial" w:eastAsia="Arial" w:hAnsi="Arial"/>
          <w:sz w:val="16"/>
          <w:szCs w:val="16"/>
          <w:color w:val="auto"/>
        </w:rPr>
        <w:t>Beginning on January 21, 2022, we will mail to our shareholders a Notice of Internet Availability of Proxy Materials, or Notice, which contains instructions on how to access our proxy materials and vote online. The Notice also contains instructions on how each of our shareholders can receive a paper copy of our proxy materials, including this proxy statement, our 2021 Annual Report and a form of proxy card or voting instruction form. All shareholders who do not receive the Notice, including shareholders who have previously requested to receive paper copies of proxy materials, will receive a paper copy of the proxy materials by mail unless they have previously requested delivery of proxy materials electronically.</w:t>
      </w:r>
    </w:p>
    <w:p>
      <w:pPr>
        <w:spacing w:after="0" w:line="6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Shareholders of record at the close of business on the record date of January 3, 2022 are entitled to vote at the meeting.</w:t>
      </w:r>
    </w:p>
    <w:p>
      <w:pPr>
        <w:spacing w:after="0" w:line="117" w:lineRule="exact"/>
        <w:rPr>
          <w:sz w:val="20"/>
          <w:szCs w:val="20"/>
          <w:color w:val="auto"/>
        </w:rPr>
      </w:pPr>
    </w:p>
    <w:p>
      <w:pPr>
        <w:ind w:left="320" w:right="480"/>
        <w:spacing w:after="0" w:line="286" w:lineRule="auto"/>
        <w:rPr>
          <w:sz w:val="20"/>
          <w:szCs w:val="20"/>
          <w:color w:val="auto"/>
        </w:rPr>
      </w:pPr>
      <w:r>
        <w:rPr>
          <w:rFonts w:ascii="Arial" w:cs="Arial" w:eastAsia="Arial" w:hAnsi="Arial"/>
          <w:sz w:val="17"/>
          <w:szCs w:val="17"/>
          <w:color w:val="auto"/>
        </w:rPr>
        <w:t>Your vote is important no matter how many shares you own, and we encourage you to vote promptly whether or not you plan to attend the Annual Meeting.</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90170</wp:posOffset>
            </wp:positionV>
            <wp:extent cx="1536700" cy="908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3670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600"/>
        <w:spacing w:after="0"/>
        <w:rPr>
          <w:sz w:val="20"/>
          <w:szCs w:val="20"/>
          <w:color w:val="auto"/>
        </w:rPr>
      </w:pPr>
      <w:r>
        <w:rPr>
          <w:rFonts w:ascii="Arial" w:cs="Arial" w:eastAsia="Arial" w:hAnsi="Arial"/>
          <w:sz w:val="17"/>
          <w:szCs w:val="17"/>
          <w:color w:val="0066BA"/>
        </w:rPr>
        <w:t>JANENE ASGEIRSSON</w:t>
      </w:r>
    </w:p>
    <w:p>
      <w:pPr>
        <w:spacing w:after="0" w:line="25"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Chief Legal Officer, Chief Risk Officer and Corporate Secretary</w:t>
      </w:r>
    </w:p>
    <w:p>
      <w:pPr>
        <w:spacing w:after="0" w:line="13"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January 21, 2022</w:t>
      </w:r>
    </w:p>
    <w:p>
      <w:pPr>
        <w:spacing w:after="0" w:line="233" w:lineRule="exact"/>
        <w:rPr>
          <w:sz w:val="20"/>
          <w:szCs w:val="20"/>
          <w:color w:val="auto"/>
        </w:rPr>
      </w:pPr>
    </w:p>
    <w:p>
      <w:pPr>
        <w:jc w:val="both"/>
        <w:ind w:left="1180" w:right="40"/>
        <w:spacing w:after="0" w:line="247" w:lineRule="auto"/>
        <w:rPr>
          <w:sz w:val="20"/>
          <w:szCs w:val="20"/>
          <w:color w:val="auto"/>
        </w:rPr>
      </w:pPr>
      <w:r>
        <w:rPr>
          <w:rFonts w:ascii="Arial" w:cs="Arial" w:eastAsia="Arial" w:hAnsi="Arial"/>
          <w:sz w:val="21"/>
          <w:szCs w:val="21"/>
          <w:b w:val="1"/>
          <w:bCs w:val="1"/>
          <w:color w:val="auto"/>
        </w:rPr>
        <w:t xml:space="preserve">Important Notice Regarding the Availability of Proxy Materials for the Annual Meeting of Shareholders to be Held on March 9, 2022: This proxy statement and the 2021 Annual Report are available for viewing, printing and downloading at </w:t>
      </w:r>
      <w:r>
        <w:rPr>
          <w:rFonts w:ascii="Arial" w:cs="Arial" w:eastAsia="Arial" w:hAnsi="Arial"/>
          <w:sz w:val="21"/>
          <w:szCs w:val="21"/>
          <w:b w:val="1"/>
          <w:bCs w:val="1"/>
          <w:color w:val="0066BA"/>
        </w:rPr>
        <w:t>www.analog.com/AnnualMeeting</w:t>
      </w:r>
      <w:r>
        <w:rPr>
          <w:rFonts w:ascii="Arial" w:cs="Arial" w:eastAsia="Arial" w:hAnsi="Arial"/>
          <w:sz w:val="21"/>
          <w:szCs w:val="2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-455295</wp:posOffset>
            </wp:positionV>
            <wp:extent cx="387985" cy="396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985" cy="396240"/>
                    </a:xfrm>
                    <a:prstGeom prst="rect">
                      <a:avLst/>
                    </a:prstGeom>
                    <a:noFill/>
                  </pic:spPr>
                </pic:pic>
              </a:graphicData>
            </a:graphic>
          </wp:anchor>
        </w:drawing>
      </w:r>
    </w:p>
    <w:p>
      <w:pPr>
        <w:sectPr>
          <w:pgSz w:w="11900" w:h="16838" w:orient="portrait"/>
          <w:cols w:equalWidth="0" w:num="1">
            <w:col w:w="10940"/>
          </w:cols>
          <w:pgMar w:left="320" w:top="447" w:right="639" w:bottom="282" w:gutter="0" w:footer="0" w:header="0"/>
        </w:sectPr>
      </w:pPr>
    </w:p>
    <w:p>
      <w:pPr>
        <w:spacing w:after="0" w:line="12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A-5</w:t>
      </w:r>
    </w:p>
    <w:p>
      <w:pPr>
        <w:sectPr>
          <w:pgSz w:w="11900" w:h="16838" w:orient="portrait"/>
          <w:cols w:equalWidth="0" w:num="1">
            <w:col w:w="10940"/>
          </w:cols>
          <w:pgMar w:left="320" w:top="447" w:right="639" w:bottom="282" w:gutter="0" w:footer="0" w:header="0"/>
          <w:type w:val="continuous"/>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33333"/>
        </w:rPr>
        <w:t>How to vote: Your vote is important</w:t>
      </w:r>
    </w:p>
    <w:p>
      <w:pPr>
        <w:spacing w:after="0" w:line="214"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0066BA"/>
        </w:rPr>
        <w:t>PLEASE VOTE BY FOLLOWING THE INSTRUCTIONS ON YOUR PROXY CARD OR VOTING INSTRUCTION FORM</w:t>
      </w:r>
    </w:p>
    <w:p>
      <w:pPr>
        <w:sectPr>
          <w:pgSz w:w="11900" w:h="16838" w:orient="portrait"/>
          <w:cols w:equalWidth="0" w:num="1">
            <w:col w:w="10940"/>
          </w:cols>
          <w:pgMar w:left="320" w:top="447" w:right="639" w:bottom="1440" w:gutter="0" w:footer="0" w:header="0"/>
        </w:sectPr>
      </w:pPr>
    </w:p>
    <w:p>
      <w:pPr>
        <w:spacing w:after="0" w:line="11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0066BA"/>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-111760</wp:posOffset>
            </wp:positionV>
            <wp:extent cx="297180" cy="288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7180" cy="288925"/>
                    </a:xfrm>
                    <a:prstGeom prst="rect">
                      <a:avLst/>
                    </a:prstGeom>
                    <a:noFill/>
                  </pic:spPr>
                </pic:pic>
              </a:graphicData>
            </a:graphic>
          </wp:anchor>
        </w:drawing>
      </w:r>
    </w:p>
    <w:p>
      <w:pPr>
        <w:spacing w:after="0" w:line="11" w:lineRule="exact"/>
        <w:rPr>
          <w:sz w:val="20"/>
          <w:szCs w:val="20"/>
          <w:color w:val="auto"/>
        </w:rPr>
      </w:pPr>
    </w:p>
    <w:p>
      <w:pPr>
        <w:ind w:left="1180" w:right="260"/>
        <w:spacing w:after="0" w:line="306" w:lineRule="auto"/>
        <w:rPr>
          <w:sz w:val="20"/>
          <w:szCs w:val="20"/>
          <w:color w:val="auto"/>
        </w:rPr>
      </w:pPr>
      <w:r>
        <w:rPr>
          <w:rFonts w:ascii="Arial" w:cs="Arial" w:eastAsia="Arial" w:hAnsi="Arial"/>
          <w:sz w:val="15"/>
          <w:szCs w:val="15"/>
          <w:color w:val="auto"/>
        </w:rPr>
        <w:t xml:space="preserve">Go to </w:t>
      </w:r>
      <w:r>
        <w:rPr>
          <w:rFonts w:ascii="Arial" w:cs="Arial" w:eastAsia="Arial" w:hAnsi="Arial"/>
          <w:sz w:val="15"/>
          <w:szCs w:val="15"/>
          <w:color w:val="0066BA"/>
        </w:rPr>
        <w:t>www.proxyvote.com</w:t>
      </w:r>
      <w:r>
        <w:rPr>
          <w:rFonts w:ascii="Arial" w:cs="Arial" w:eastAsia="Arial" w:hAnsi="Arial"/>
          <w:sz w:val="15"/>
          <w:szCs w:val="15"/>
          <w:color w:val="auto"/>
        </w:rPr>
        <w:t xml:space="preserve"> You will need the 16-digit control number that appears on your proxy card or the Notice.</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700"/>
        <w:spacing w:after="0" w:line="265" w:lineRule="auto"/>
        <w:rPr>
          <w:sz w:val="20"/>
          <w:szCs w:val="20"/>
          <w:color w:val="auto"/>
        </w:rPr>
      </w:pPr>
      <w:r>
        <w:rPr>
          <w:rFonts w:ascii="Arial" w:cs="Arial" w:eastAsia="Arial" w:hAnsi="Arial"/>
          <w:sz w:val="17"/>
          <w:szCs w:val="17"/>
          <w:b w:val="1"/>
          <w:bCs w:val="1"/>
          <w:color w:val="0066BA"/>
        </w:rPr>
        <w:t xml:space="preserve">Vote by Telephone </w:t>
      </w:r>
      <w:r>
        <w:rPr>
          <w:rFonts w:ascii="Arial" w:cs="Arial" w:eastAsia="Arial" w:hAnsi="Arial"/>
          <w:sz w:val="17"/>
          <w:szCs w:val="17"/>
          <w:color w:val="000000"/>
        </w:rPr>
        <w:t xml:space="preserve">Call </w:t>
      </w:r>
      <w:r>
        <w:rPr>
          <w:rFonts w:ascii="Arial" w:cs="Arial" w:eastAsia="Arial" w:hAnsi="Arial"/>
          <w:sz w:val="17"/>
          <w:szCs w:val="17"/>
          <w:color w:val="0066BA"/>
        </w:rPr>
        <w:t>1-800-690-6903</w:t>
      </w:r>
      <w:r>
        <w:rPr>
          <w:rFonts w:ascii="Arial" w:cs="Arial" w:eastAsia="Arial" w:hAnsi="Arial"/>
          <w:sz w:val="17"/>
          <w:szCs w:val="17"/>
          <w:color w:val="000000"/>
        </w:rPr>
        <w:t xml:space="preserve"> You will need the 16-digit control number that appears on your proxy card or the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-673100</wp:posOffset>
            </wp:positionV>
            <wp:extent cx="189865" cy="305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9865" cy="3054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0066BA"/>
        </w:rPr>
        <w:t>Vote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-111760</wp:posOffset>
            </wp:positionV>
            <wp:extent cx="239395" cy="2063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9395" cy="206375"/>
                    </a:xfrm>
                    <a:prstGeom prst="rect">
                      <a:avLst/>
                    </a:prstGeom>
                    <a:noFill/>
                  </pic:spPr>
                </pic:pic>
              </a:graphicData>
            </a:graphic>
          </wp:anchor>
        </w:drawing>
      </w:r>
    </w:p>
    <w:p>
      <w:pPr>
        <w:spacing w:after="0" w:line="11" w:lineRule="exact"/>
        <w:rPr>
          <w:sz w:val="20"/>
          <w:szCs w:val="20"/>
          <w:color w:val="auto"/>
        </w:rPr>
      </w:pPr>
    </w:p>
    <w:p>
      <w:pPr>
        <w:ind w:right="420"/>
        <w:spacing w:after="0" w:line="282" w:lineRule="auto"/>
        <w:rPr>
          <w:sz w:val="20"/>
          <w:szCs w:val="20"/>
          <w:color w:val="auto"/>
        </w:rPr>
      </w:pPr>
      <w:r>
        <w:rPr>
          <w:rFonts w:ascii="Arial" w:cs="Arial" w:eastAsia="Arial" w:hAnsi="Arial"/>
          <w:sz w:val="16"/>
          <w:szCs w:val="16"/>
          <w:color w:val="auto"/>
        </w:rPr>
        <w:t>Mark, sign, date, and mail your proxy card or your voting instruction form. No postage is required if mailed in the United States.</w:t>
      </w:r>
    </w:p>
    <w:p>
      <w:pPr>
        <w:spacing w:after="0" w:line="214" w:lineRule="exact"/>
        <w:rPr>
          <w:sz w:val="20"/>
          <w:szCs w:val="20"/>
          <w:color w:val="auto"/>
        </w:rPr>
      </w:pPr>
    </w:p>
    <w:p>
      <w:pPr>
        <w:sectPr>
          <w:pgSz w:w="11900" w:h="16838" w:orient="portrait"/>
          <w:cols w:equalWidth="0" w:num="3">
            <w:col w:w="3600" w:space="720"/>
            <w:col w:w="2860" w:space="720"/>
            <w:col w:w="3040"/>
          </w:cols>
          <w:pgMar w:left="320" w:top="447" w:right="639" w:bottom="1440" w:gutter="0" w:footer="0" w:header="0"/>
          <w:type w:val="continuous"/>
        </w:sectPr>
      </w:pPr>
    </w:p>
    <w:p>
      <w:pPr>
        <w:spacing w:after="0" w:line="90"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0066BA"/>
        </w:rPr>
        <w:t>DURING THE ANNUAL MEETING</w:t>
      </w:r>
    </w:p>
    <w:p>
      <w:pPr>
        <w:spacing w:after="0" w:line="122"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For details on voting your shares during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-115570</wp:posOffset>
            </wp:positionV>
            <wp:extent cx="280670" cy="3219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0670" cy="321945"/>
                    </a:xfrm>
                    <a:prstGeom prst="rect">
                      <a:avLst/>
                    </a:prstGeom>
                    <a:noFill/>
                  </pic:spPr>
                </pic:pic>
              </a:graphicData>
            </a:graphic>
          </wp:anchor>
        </w:drawing>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see “Q&amp;A About Annual Meeting and Voting” on page 77.</w:t>
      </w:r>
    </w:p>
    <w:p>
      <w:pPr>
        <w:spacing w:after="0" w:line="208" w:lineRule="exact"/>
        <w:rPr>
          <w:sz w:val="20"/>
          <w:szCs w:val="20"/>
          <w:color w:val="auto"/>
        </w:rPr>
      </w:pPr>
    </w:p>
    <w:p>
      <w:pPr>
        <w:ind w:left="480" w:right="240"/>
        <w:spacing w:after="0" w:line="286" w:lineRule="auto"/>
        <w:rPr>
          <w:sz w:val="20"/>
          <w:szCs w:val="20"/>
          <w:color w:val="auto"/>
        </w:rPr>
      </w:pPr>
      <w:r>
        <w:rPr>
          <w:rFonts w:ascii="Arial" w:cs="Arial" w:eastAsia="Arial" w:hAnsi="Arial"/>
          <w:sz w:val="17"/>
          <w:szCs w:val="17"/>
          <w:color w:val="auto"/>
        </w:rPr>
        <w:t>Web links throughout this document are provided for convenience only, and the content on the referenced websites does not constitute a part of this proxy statement.</w:t>
      </w:r>
    </w:p>
    <w:p>
      <w:pPr>
        <w:spacing w:after="0" w:line="54" w:lineRule="exact"/>
        <w:rPr>
          <w:sz w:val="20"/>
          <w:szCs w:val="20"/>
          <w:color w:val="auto"/>
        </w:rPr>
      </w:pPr>
    </w:p>
    <w:p>
      <w:pPr>
        <w:ind w:left="480" w:right="700"/>
        <w:spacing w:after="0" w:line="286" w:lineRule="auto"/>
        <w:rPr>
          <w:sz w:val="20"/>
          <w:szCs w:val="20"/>
          <w:color w:val="auto"/>
        </w:rPr>
      </w:pPr>
      <w:r>
        <w:rPr>
          <w:rFonts w:ascii="Arial" w:cs="Arial" w:eastAsia="Arial" w:hAnsi="Arial"/>
          <w:sz w:val="17"/>
          <w:szCs w:val="17"/>
          <w:color w:val="auto"/>
        </w:rPr>
        <w:t>The sum and/or computation of individual numerical amounts or percentages disclosed in this proxy statement may not equal the total due to rounding.</w:t>
      </w:r>
    </w:p>
    <w:p>
      <w:pPr>
        <w:spacing w:after="0" w:line="242"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33333"/>
        </w:rPr>
        <w:t>Forward-Looking Statements</w:t>
      </w:r>
    </w:p>
    <w:p>
      <w:pPr>
        <w:spacing w:after="0" w:line="229" w:lineRule="exact"/>
        <w:rPr>
          <w:sz w:val="20"/>
          <w:szCs w:val="20"/>
          <w:color w:val="auto"/>
        </w:rPr>
      </w:pPr>
    </w:p>
    <w:p>
      <w:pPr>
        <w:ind w:left="480" w:right="200"/>
        <w:spacing w:after="0" w:line="294" w:lineRule="auto"/>
        <w:rPr>
          <w:sz w:val="20"/>
          <w:szCs w:val="20"/>
          <w:color w:val="auto"/>
        </w:rPr>
      </w:pPr>
      <w:r>
        <w:rPr>
          <w:rFonts w:ascii="Arial" w:cs="Arial" w:eastAsia="Arial" w:hAnsi="Arial"/>
          <w:sz w:val="15"/>
          <w:szCs w:val="15"/>
          <w:color w:val="auto"/>
        </w:rPr>
        <w:t>This proxy statement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 our future financial performance; our anticipated growth and trends in our businesses; our future liquidity, capital needs and capital expenditures; the impact of the COVID-19 pandemic on our business, financial condition and results of operations; our future market position and expected competitive changes in the marketplace for our products; our ability to pay dividends or repurchase stock; our ability to service our outstanding debt; our expected tax rate; the effect of changes in or the application of new or revised tax laws, expected cost savings; the effect of new accounting pronouncements; our ability to successfully integrate acquired businesses and technologies, including the acquired business, operations and employees of Maxim Integrated Products, Inc.;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 Item 1A. “Risk Factors” and elsewhere in our most recent Annual Report on Form 10-K. Therefore, actual results may differ materially and adversely from those expressed in any forward-looking statements. We undertake no obligation to revise or update any forward-looking statements, including to reflect events or circumstances occurring after the date of the filing of this proxy statement, except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A-6</w:t>
      </w:r>
    </w:p>
    <w:p>
      <w:pPr>
        <w:sectPr>
          <w:pgSz w:w="11900" w:h="16838" w:orient="portrait"/>
          <w:cols w:equalWidth="0" w:num="1">
            <w:col w:w="10940"/>
          </w:cols>
          <w:pgMar w:left="320" w:top="447" w:right="639" w:bottom="1440" w:gutter="0" w:footer="0" w:header="0"/>
          <w:type w:val="continuous"/>
        </w:sectPr>
      </w:pPr>
    </w:p>
    <w:bookmarkStart w:id="9" w:name="page10"/>
    <w:bookmarkEnd w:id="9"/>
    <w:p>
      <w:pPr>
        <w:spacing w:after="0"/>
        <w:rPr>
          <w:rFonts w:ascii="Arial" w:cs="Arial" w:eastAsia="Arial" w:hAnsi="Arial"/>
          <w:sz w:val="17"/>
          <w:szCs w:val="17"/>
          <w:b w:val="1"/>
          <w:bCs w:val="1"/>
          <w:u w:val="single" w:color="auto"/>
          <w:color w:val="0000EE"/>
        </w:rPr>
      </w:pPr>
      <w:hyperlink w:anchor="page10">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jc w:val="center"/>
        <w:ind w:left="340"/>
        <w:spacing w:after="0"/>
        <w:rPr>
          <w:sz w:val="20"/>
          <w:szCs w:val="20"/>
          <w:color w:val="auto"/>
        </w:rPr>
      </w:pPr>
      <w:r>
        <w:rPr>
          <w:rFonts w:ascii="Arial" w:cs="Arial" w:eastAsia="Arial" w:hAnsi="Arial"/>
          <w:sz w:val="45"/>
          <w:szCs w:val="45"/>
          <w:color w:val="auto"/>
        </w:rPr>
        <w:t>TABLE OF CONTENTS</w:t>
      </w:r>
    </w:p>
    <w:p>
      <w:pPr>
        <w:spacing w:after="0" w:line="200" w:lineRule="exact"/>
        <w:rPr>
          <w:sz w:val="20"/>
          <w:szCs w:val="20"/>
          <w:color w:val="auto"/>
        </w:rPr>
      </w:pPr>
    </w:p>
    <w:p>
      <w:pPr>
        <w:spacing w:after="0" w:line="201" w:lineRule="exact"/>
        <w:rPr>
          <w:sz w:val="20"/>
          <w:szCs w:val="20"/>
          <w:color w:val="auto"/>
        </w:rPr>
      </w:pPr>
    </w:p>
    <w:tbl>
      <w:tblPr>
        <w:tblLayout w:type="fixed"/>
        <w:tblInd w:w="480" w:type="dxa"/>
        <w:tblCellMar>
          <w:top w:w="0" w:type="dxa"/>
          <w:left w:w="0" w:type="dxa"/>
          <w:bottom w:w="0" w:type="dxa"/>
          <w:right w:w="0" w:type="dxa"/>
        </w:tblCellMar>
      </w:tblPr>
      <w:tr>
        <w:trPr>
          <w:trHeight w:val="221"/>
        </w:trPr>
        <w:tc>
          <w:tcPr>
            <w:tcW w:w="4340" w:type="dxa"/>
            <w:vAlign w:val="bottom"/>
            <w:gridSpan w:val="25"/>
          </w:tcPr>
          <w:p>
            <w:pPr>
              <w:spacing w:after="0"/>
              <w:rPr>
                <w:sz w:val="20"/>
                <w:szCs w:val="20"/>
                <w:color w:val="auto"/>
              </w:rPr>
            </w:pPr>
            <w:r>
              <w:rPr>
                <w:rFonts w:ascii="Arial" w:cs="Arial" w:eastAsia="Arial" w:hAnsi="Arial"/>
                <w:sz w:val="17"/>
                <w:szCs w:val="17"/>
                <w:color w:val="0066BA"/>
              </w:rPr>
              <w:t>Notice of 2022 Annual Meeting of Shareholders</w:t>
            </w:r>
          </w:p>
        </w:tc>
        <w:tc>
          <w:tcPr>
            <w:tcW w:w="540" w:type="dxa"/>
            <w:vAlign w:val="bottom"/>
          </w:tcPr>
          <w:p>
            <w:pPr>
              <w:spacing w:after="0"/>
              <w:rPr>
                <w:sz w:val="19"/>
                <w:szCs w:val="19"/>
                <w:color w:val="auto"/>
              </w:rPr>
            </w:pPr>
          </w:p>
        </w:tc>
      </w:tr>
      <w:tr>
        <w:trPr>
          <w:trHeight w:val="338"/>
        </w:trPr>
        <w:tc>
          <w:tcPr>
            <w:tcW w:w="1140" w:type="dxa"/>
            <w:vAlign w:val="bottom"/>
            <w:tcBorders>
              <w:bottom w:val="single" w:sz="8" w:color="0000EE"/>
            </w:tcBorders>
            <w:gridSpan w:val="3"/>
          </w:tcPr>
          <w:p>
            <w:pPr>
              <w:spacing w:after="0"/>
              <w:rPr>
                <w:rFonts w:ascii="Arial" w:cs="Arial" w:eastAsia="Arial" w:hAnsi="Arial"/>
                <w:sz w:val="17"/>
                <w:szCs w:val="17"/>
                <w:color w:val="0000EE"/>
                <w:w w:val="92"/>
              </w:rPr>
            </w:pPr>
            <w:hyperlink w:anchor="page11">
              <w:r>
                <w:rPr>
                  <w:rFonts w:ascii="Arial" w:cs="Arial" w:eastAsia="Arial" w:hAnsi="Arial"/>
                  <w:sz w:val="17"/>
                  <w:szCs w:val="17"/>
                  <w:color w:val="0000EE"/>
                  <w:w w:val="92"/>
                </w:rPr>
                <w:t>Proxy Summary</w:t>
              </w:r>
            </w:hyperlink>
          </w:p>
        </w:tc>
        <w:tc>
          <w:tcPr>
            <w:tcW w:w="3200" w:type="dxa"/>
            <w:vAlign w:val="bottom"/>
            <w:gridSpan w:val="22"/>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40"/>
        </w:trPr>
        <w:tc>
          <w:tcPr>
            <w:tcW w:w="2460" w:type="dxa"/>
            <w:vAlign w:val="bottom"/>
            <w:tcBorders>
              <w:bottom w:val="single" w:sz="8" w:color="0000EE"/>
            </w:tcBorders>
            <w:gridSpan w:val="11"/>
          </w:tcPr>
          <w:p>
            <w:pPr>
              <w:spacing w:after="0"/>
              <w:rPr>
                <w:rFonts w:ascii="Arial" w:cs="Arial" w:eastAsia="Arial" w:hAnsi="Arial"/>
                <w:sz w:val="17"/>
                <w:szCs w:val="17"/>
                <w:color w:val="0000EE"/>
                <w:w w:val="93"/>
              </w:rPr>
            </w:pPr>
            <w:hyperlink w:anchor="page22">
              <w:r>
                <w:rPr>
                  <w:rFonts w:ascii="Arial" w:cs="Arial" w:eastAsia="Arial" w:hAnsi="Arial"/>
                  <w:sz w:val="17"/>
                  <w:szCs w:val="17"/>
                  <w:color w:val="0000EE"/>
                  <w:w w:val="93"/>
                </w:rPr>
                <w:t>Proposal 1 — Election of Directors</w:t>
              </w:r>
            </w:hyperlink>
          </w:p>
        </w:tc>
        <w:tc>
          <w:tcPr>
            <w:tcW w:w="1880" w:type="dxa"/>
            <w:vAlign w:val="bottom"/>
            <w:gridSpan w:val="14"/>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40"/>
        </w:trPr>
        <w:tc>
          <w:tcPr>
            <w:tcW w:w="1580" w:type="dxa"/>
            <w:vAlign w:val="bottom"/>
            <w:tcBorders>
              <w:bottom w:val="single" w:sz="8" w:color="0000EE"/>
            </w:tcBorders>
            <w:gridSpan w:val="6"/>
          </w:tcPr>
          <w:p>
            <w:pPr>
              <w:spacing w:after="0"/>
              <w:rPr>
                <w:rFonts w:ascii="Arial" w:cs="Arial" w:eastAsia="Arial" w:hAnsi="Arial"/>
                <w:sz w:val="17"/>
                <w:szCs w:val="17"/>
                <w:color w:val="0000EE"/>
                <w:w w:val="90"/>
              </w:rPr>
            </w:pPr>
            <w:hyperlink w:anchor="page30">
              <w:r>
                <w:rPr>
                  <w:rFonts w:ascii="Arial" w:cs="Arial" w:eastAsia="Arial" w:hAnsi="Arial"/>
                  <w:sz w:val="17"/>
                  <w:szCs w:val="17"/>
                  <w:color w:val="0000EE"/>
                  <w:w w:val="90"/>
                </w:rPr>
                <w:t>Corporate Governance</w:t>
              </w:r>
            </w:hyperlink>
          </w:p>
        </w:tc>
        <w:tc>
          <w:tcPr>
            <w:tcW w:w="2760" w:type="dxa"/>
            <w:vAlign w:val="bottom"/>
            <w:gridSpan w:val="19"/>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40"/>
        </w:trPr>
        <w:tc>
          <w:tcPr>
            <w:tcW w:w="200" w:type="dxa"/>
            <w:vAlign w:val="bottom"/>
          </w:tcPr>
          <w:p>
            <w:pPr>
              <w:spacing w:after="0"/>
              <w:rPr>
                <w:sz w:val="20"/>
                <w:szCs w:val="20"/>
                <w:color w:val="auto"/>
              </w:rPr>
            </w:pPr>
          </w:p>
        </w:tc>
        <w:tc>
          <w:tcPr>
            <w:tcW w:w="1880" w:type="dxa"/>
            <w:vAlign w:val="bottom"/>
            <w:tcBorders>
              <w:bottom w:val="single" w:sz="8" w:color="0000EE"/>
            </w:tcBorders>
            <w:gridSpan w:val="7"/>
          </w:tcPr>
          <w:p>
            <w:pPr>
              <w:spacing w:after="0"/>
              <w:rPr>
                <w:rFonts w:ascii="Arial" w:cs="Arial" w:eastAsia="Arial" w:hAnsi="Arial"/>
                <w:sz w:val="17"/>
                <w:szCs w:val="17"/>
                <w:color w:val="0000EE"/>
                <w:w w:val="93"/>
              </w:rPr>
            </w:pPr>
            <w:hyperlink w:anchor="page30">
              <w:r>
                <w:rPr>
                  <w:rFonts w:ascii="Arial" w:cs="Arial" w:eastAsia="Arial" w:hAnsi="Arial"/>
                  <w:sz w:val="17"/>
                  <w:szCs w:val="17"/>
                  <w:color w:val="0000EE"/>
                  <w:w w:val="93"/>
                </w:rPr>
                <w:t>Board Policies &amp; Practices</w:t>
              </w:r>
            </w:hyperlink>
          </w:p>
        </w:tc>
        <w:tc>
          <w:tcPr>
            <w:tcW w:w="2260" w:type="dxa"/>
            <w:vAlign w:val="bottom"/>
            <w:gridSpan w:val="17"/>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40"/>
        </w:trPr>
        <w:tc>
          <w:tcPr>
            <w:tcW w:w="200" w:type="dxa"/>
            <w:vAlign w:val="bottom"/>
          </w:tcPr>
          <w:p>
            <w:pPr>
              <w:spacing w:after="0"/>
              <w:rPr>
                <w:sz w:val="20"/>
                <w:szCs w:val="20"/>
                <w:color w:val="auto"/>
              </w:rPr>
            </w:pPr>
          </w:p>
        </w:tc>
        <w:tc>
          <w:tcPr>
            <w:tcW w:w="4140" w:type="dxa"/>
            <w:vAlign w:val="bottom"/>
            <w:gridSpan w:val="24"/>
          </w:tcPr>
          <w:p>
            <w:pPr>
              <w:spacing w:after="0"/>
              <w:rPr>
                <w:rFonts w:ascii="Arial" w:cs="Arial" w:eastAsia="Arial" w:hAnsi="Arial"/>
                <w:sz w:val="17"/>
                <w:szCs w:val="17"/>
                <w:color w:val="0000EE"/>
              </w:rPr>
            </w:pPr>
            <w:hyperlink w:anchor="page31">
              <w:r>
                <w:rPr>
                  <w:rFonts w:ascii="Arial" w:cs="Arial" w:eastAsia="Arial" w:hAnsi="Arial"/>
                  <w:sz w:val="17"/>
                  <w:szCs w:val="17"/>
                  <w:color w:val="0000EE"/>
                </w:rPr>
                <w:t>Board of Directors Leadership Structure</w:t>
              </w:r>
            </w:hyperlink>
          </w:p>
        </w:tc>
        <w:tc>
          <w:tcPr>
            <w:tcW w:w="5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
        </w:trPr>
        <w:tc>
          <w:tcPr>
            <w:tcW w:w="2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40"/>
        </w:trPr>
        <w:tc>
          <w:tcPr>
            <w:tcW w:w="200" w:type="dxa"/>
            <w:vAlign w:val="bottom"/>
          </w:tcPr>
          <w:p>
            <w:pPr>
              <w:spacing w:after="0"/>
              <w:rPr>
                <w:sz w:val="20"/>
                <w:szCs w:val="20"/>
                <w:color w:val="auto"/>
              </w:rPr>
            </w:pPr>
          </w:p>
        </w:tc>
        <w:tc>
          <w:tcPr>
            <w:tcW w:w="3180" w:type="dxa"/>
            <w:vAlign w:val="bottom"/>
            <w:tcBorders>
              <w:bottom w:val="single" w:sz="8" w:color="0000EE"/>
            </w:tcBorders>
            <w:gridSpan w:val="18"/>
          </w:tcPr>
          <w:p>
            <w:pPr>
              <w:spacing w:after="0"/>
              <w:rPr>
                <w:rFonts w:ascii="Arial" w:cs="Arial" w:eastAsia="Arial" w:hAnsi="Arial"/>
                <w:sz w:val="17"/>
                <w:szCs w:val="17"/>
                <w:color w:val="0000EE"/>
                <w:w w:val="93"/>
              </w:rPr>
            </w:pPr>
            <w:hyperlink w:anchor="page31">
              <w:r>
                <w:rPr>
                  <w:rFonts w:ascii="Arial" w:cs="Arial" w:eastAsia="Arial" w:hAnsi="Arial"/>
                  <w:sz w:val="17"/>
                  <w:szCs w:val="17"/>
                  <w:color w:val="0000EE"/>
                  <w:w w:val="93"/>
                </w:rPr>
                <w:t>Board of Directors Meetings and Committees</w:t>
              </w:r>
            </w:hyperlink>
          </w:p>
        </w:tc>
        <w:tc>
          <w:tcPr>
            <w:tcW w:w="960" w:type="dxa"/>
            <w:vAlign w:val="bottom"/>
            <w:gridSpan w:val="6"/>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40"/>
        </w:trPr>
        <w:tc>
          <w:tcPr>
            <w:tcW w:w="200" w:type="dxa"/>
            <w:vAlign w:val="bottom"/>
          </w:tcPr>
          <w:p>
            <w:pPr>
              <w:spacing w:after="0"/>
              <w:rPr>
                <w:sz w:val="20"/>
                <w:szCs w:val="20"/>
                <w:color w:val="auto"/>
              </w:rPr>
            </w:pPr>
          </w:p>
        </w:tc>
        <w:tc>
          <w:tcPr>
            <w:tcW w:w="4140" w:type="dxa"/>
            <w:vAlign w:val="bottom"/>
            <w:gridSpan w:val="24"/>
          </w:tcPr>
          <w:p>
            <w:pPr>
              <w:spacing w:after="0"/>
              <w:rPr>
                <w:rFonts w:ascii="Arial" w:cs="Arial" w:eastAsia="Arial" w:hAnsi="Arial"/>
                <w:sz w:val="17"/>
                <w:szCs w:val="17"/>
                <w:color w:val="0000EE"/>
              </w:rPr>
            </w:pPr>
            <w:hyperlink w:anchor="page34">
              <w:r>
                <w:rPr>
                  <w:rFonts w:ascii="Arial" w:cs="Arial" w:eastAsia="Arial" w:hAnsi="Arial"/>
                  <w:sz w:val="17"/>
                  <w:szCs w:val="17"/>
                  <w:color w:val="0000EE"/>
                </w:rPr>
                <w:t>Determination of Independence</w:t>
              </w:r>
            </w:hyperlink>
          </w:p>
        </w:tc>
        <w:tc>
          <w:tcPr>
            <w:tcW w:w="54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40"/>
        </w:trPr>
        <w:tc>
          <w:tcPr>
            <w:tcW w:w="200" w:type="dxa"/>
            <w:vAlign w:val="bottom"/>
          </w:tcPr>
          <w:p>
            <w:pPr>
              <w:spacing w:after="0"/>
              <w:rPr>
                <w:sz w:val="20"/>
                <w:szCs w:val="20"/>
                <w:color w:val="auto"/>
              </w:rPr>
            </w:pPr>
          </w:p>
        </w:tc>
        <w:tc>
          <w:tcPr>
            <w:tcW w:w="1340" w:type="dxa"/>
            <w:vAlign w:val="bottom"/>
            <w:tcBorders>
              <w:top w:val="single" w:sz="8" w:color="0000EE"/>
              <w:bottom w:val="single" w:sz="8" w:color="0000EE"/>
            </w:tcBorders>
            <w:gridSpan w:val="4"/>
          </w:tcPr>
          <w:p>
            <w:pPr>
              <w:spacing w:after="0"/>
              <w:rPr>
                <w:rFonts w:ascii="Arial" w:cs="Arial" w:eastAsia="Arial" w:hAnsi="Arial"/>
                <w:sz w:val="17"/>
                <w:szCs w:val="17"/>
                <w:color w:val="0000EE"/>
                <w:w w:val="93"/>
              </w:rPr>
            </w:pPr>
            <w:hyperlink w:anchor="page35">
              <w:r>
                <w:rPr>
                  <w:rFonts w:ascii="Arial" w:cs="Arial" w:eastAsia="Arial" w:hAnsi="Arial"/>
                  <w:sz w:val="17"/>
                  <w:szCs w:val="17"/>
                  <w:color w:val="0000EE"/>
                  <w:w w:val="93"/>
                </w:rPr>
                <w:t>Director Nominees</w:t>
              </w:r>
            </w:hyperlink>
          </w:p>
        </w:tc>
        <w:tc>
          <w:tcPr>
            <w:tcW w:w="860" w:type="dxa"/>
            <w:vAlign w:val="bottom"/>
            <w:tcBorders>
              <w:top w:val="single" w:sz="8" w:color="0000EE"/>
            </w:tcBorders>
            <w:gridSpan w:val="5"/>
          </w:tcPr>
          <w:p>
            <w:pPr>
              <w:spacing w:after="0"/>
              <w:rPr>
                <w:sz w:val="20"/>
                <w:szCs w:val="20"/>
                <w:color w:val="auto"/>
              </w:rPr>
            </w:pPr>
          </w:p>
        </w:tc>
        <w:tc>
          <w:tcPr>
            <w:tcW w:w="1940" w:type="dxa"/>
            <w:vAlign w:val="bottom"/>
            <w:gridSpan w:val="15"/>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40"/>
        </w:trPr>
        <w:tc>
          <w:tcPr>
            <w:tcW w:w="200" w:type="dxa"/>
            <w:vAlign w:val="bottom"/>
          </w:tcPr>
          <w:p>
            <w:pPr>
              <w:spacing w:after="0"/>
              <w:rPr>
                <w:sz w:val="20"/>
                <w:szCs w:val="20"/>
                <w:color w:val="auto"/>
              </w:rPr>
            </w:pPr>
          </w:p>
        </w:tc>
        <w:tc>
          <w:tcPr>
            <w:tcW w:w="2820" w:type="dxa"/>
            <w:vAlign w:val="bottom"/>
            <w:tcBorders>
              <w:bottom w:val="single" w:sz="8" w:color="0000EE"/>
            </w:tcBorders>
            <w:gridSpan w:val="15"/>
          </w:tcPr>
          <w:p>
            <w:pPr>
              <w:spacing w:after="0"/>
              <w:rPr>
                <w:rFonts w:ascii="Arial" w:cs="Arial" w:eastAsia="Arial" w:hAnsi="Arial"/>
                <w:sz w:val="17"/>
                <w:szCs w:val="17"/>
                <w:color w:val="0000EE"/>
                <w:w w:val="92"/>
              </w:rPr>
            </w:pPr>
            <w:hyperlink w:anchor="page35">
              <w:r>
                <w:rPr>
                  <w:rFonts w:ascii="Arial" w:cs="Arial" w:eastAsia="Arial" w:hAnsi="Arial"/>
                  <w:sz w:val="17"/>
                  <w:szCs w:val="17"/>
                  <w:color w:val="0000EE"/>
                  <w:w w:val="92"/>
                </w:rPr>
                <w:t>Communications from Shareholders and</w:t>
              </w:r>
            </w:hyperlink>
          </w:p>
        </w:tc>
        <w:tc>
          <w:tcPr>
            <w:tcW w:w="1320" w:type="dxa"/>
            <w:vAlign w:val="bottom"/>
            <w:gridSpan w:val="9"/>
          </w:tcPr>
          <w:p>
            <w:pPr>
              <w:spacing w:after="0"/>
              <w:rPr>
                <w:sz w:val="20"/>
                <w:szCs w:val="20"/>
                <w:color w:val="auto"/>
              </w:rPr>
            </w:pPr>
          </w:p>
        </w:tc>
        <w:tc>
          <w:tcPr>
            <w:tcW w:w="540" w:type="dxa"/>
            <w:vAlign w:val="bottom"/>
          </w:tcPr>
          <w:p>
            <w:pPr>
              <w:spacing w:after="0"/>
              <w:rPr>
                <w:sz w:val="20"/>
                <w:szCs w:val="20"/>
                <w:color w:val="auto"/>
              </w:rPr>
            </w:pPr>
          </w:p>
        </w:tc>
      </w:tr>
      <w:tr>
        <w:trPr>
          <w:trHeight w:val="188"/>
        </w:trPr>
        <w:tc>
          <w:tcPr>
            <w:tcW w:w="200" w:type="dxa"/>
            <w:vAlign w:val="bottom"/>
          </w:tcPr>
          <w:p>
            <w:pPr>
              <w:spacing w:after="0"/>
              <w:rPr>
                <w:sz w:val="16"/>
                <w:szCs w:val="16"/>
                <w:color w:val="auto"/>
              </w:rPr>
            </w:pPr>
          </w:p>
        </w:tc>
        <w:tc>
          <w:tcPr>
            <w:tcW w:w="4140" w:type="dxa"/>
            <w:vAlign w:val="bottom"/>
            <w:gridSpan w:val="24"/>
          </w:tcPr>
          <w:p>
            <w:pPr>
              <w:spacing w:after="0" w:line="189" w:lineRule="exact"/>
              <w:rPr>
                <w:rFonts w:ascii="Arial" w:cs="Arial" w:eastAsia="Arial" w:hAnsi="Arial"/>
                <w:sz w:val="17"/>
                <w:szCs w:val="17"/>
                <w:color w:val="0000EE"/>
              </w:rPr>
            </w:pPr>
            <w:hyperlink w:anchor="page35">
              <w:r>
                <w:rPr>
                  <w:rFonts w:ascii="Arial" w:cs="Arial" w:eastAsia="Arial" w:hAnsi="Arial"/>
                  <w:sz w:val="17"/>
                  <w:szCs w:val="17"/>
                  <w:color w:val="0000EE"/>
                </w:rPr>
                <w:t>Other Interested Parties</w:t>
              </w:r>
            </w:hyperlink>
          </w:p>
        </w:tc>
        <w:tc>
          <w:tcPr>
            <w:tcW w:w="540" w:type="dxa"/>
            <w:vAlign w:val="bottom"/>
          </w:tcPr>
          <w:p>
            <w:pPr>
              <w:jc w:val="right"/>
              <w:spacing w:after="0" w:line="189" w:lineRule="exact"/>
              <w:rPr>
                <w:sz w:val="20"/>
                <w:szCs w:val="20"/>
                <w:color w:val="auto"/>
              </w:rPr>
            </w:pPr>
            <w:r>
              <w:rPr>
                <w:rFonts w:ascii="Arial" w:cs="Arial" w:eastAsia="Arial" w:hAnsi="Arial"/>
                <w:sz w:val="17"/>
                <w:szCs w:val="17"/>
                <w:color w:val="auto"/>
              </w:rPr>
              <w:t>24</w:t>
            </w:r>
          </w:p>
        </w:tc>
      </w:tr>
      <w:tr>
        <w:trPr>
          <w:trHeight w:val="20"/>
        </w:trPr>
        <w:tc>
          <w:tcPr>
            <w:tcW w:w="2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40"/>
        </w:trPr>
        <w:tc>
          <w:tcPr>
            <w:tcW w:w="200" w:type="dxa"/>
            <w:vAlign w:val="bottom"/>
          </w:tcPr>
          <w:p>
            <w:pPr>
              <w:spacing w:after="0"/>
              <w:rPr>
                <w:sz w:val="20"/>
                <w:szCs w:val="20"/>
                <w:color w:val="auto"/>
              </w:rPr>
            </w:pPr>
          </w:p>
        </w:tc>
        <w:tc>
          <w:tcPr>
            <w:tcW w:w="3320" w:type="dxa"/>
            <w:vAlign w:val="bottom"/>
            <w:tcBorders>
              <w:bottom w:val="single" w:sz="8" w:color="0000EE"/>
            </w:tcBorders>
            <w:gridSpan w:val="20"/>
          </w:tcPr>
          <w:p>
            <w:pPr>
              <w:spacing w:after="0"/>
              <w:rPr>
                <w:rFonts w:ascii="Arial" w:cs="Arial" w:eastAsia="Arial" w:hAnsi="Arial"/>
                <w:sz w:val="17"/>
                <w:szCs w:val="17"/>
                <w:color w:val="0000EE"/>
                <w:w w:val="94"/>
              </w:rPr>
            </w:pPr>
            <w:hyperlink w:anchor="page36">
              <w:r>
                <w:rPr>
                  <w:rFonts w:ascii="Arial" w:cs="Arial" w:eastAsia="Arial" w:hAnsi="Arial"/>
                  <w:sz w:val="17"/>
                  <w:szCs w:val="17"/>
                  <w:color w:val="0000EE"/>
                  <w:w w:val="94"/>
                </w:rPr>
                <w:t>The Board of Directors’ Role in Risk Oversight</w:t>
              </w:r>
            </w:hyperlink>
          </w:p>
        </w:tc>
        <w:tc>
          <w:tcPr>
            <w:tcW w:w="820" w:type="dxa"/>
            <w:vAlign w:val="bottom"/>
            <w:gridSpan w:val="4"/>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40"/>
        </w:trPr>
        <w:tc>
          <w:tcPr>
            <w:tcW w:w="200" w:type="dxa"/>
            <w:vAlign w:val="bottom"/>
          </w:tcPr>
          <w:p>
            <w:pPr>
              <w:spacing w:after="0"/>
              <w:rPr>
                <w:sz w:val="20"/>
                <w:szCs w:val="20"/>
                <w:color w:val="auto"/>
              </w:rPr>
            </w:pPr>
          </w:p>
        </w:tc>
        <w:tc>
          <w:tcPr>
            <w:tcW w:w="2460" w:type="dxa"/>
            <w:vAlign w:val="bottom"/>
            <w:tcBorders>
              <w:bottom w:val="single" w:sz="8" w:color="0000EE"/>
            </w:tcBorders>
            <w:gridSpan w:val="11"/>
          </w:tcPr>
          <w:p>
            <w:pPr>
              <w:spacing w:after="0"/>
              <w:rPr>
                <w:rFonts w:ascii="Arial" w:cs="Arial" w:eastAsia="Arial" w:hAnsi="Arial"/>
                <w:sz w:val="17"/>
                <w:szCs w:val="17"/>
                <w:color w:val="0000EE"/>
                <w:w w:val="91"/>
              </w:rPr>
            </w:pPr>
            <w:hyperlink w:anchor="page36">
              <w:r>
                <w:rPr>
                  <w:rFonts w:ascii="Arial" w:cs="Arial" w:eastAsia="Arial" w:hAnsi="Arial"/>
                  <w:sz w:val="17"/>
                  <w:szCs w:val="17"/>
                  <w:color w:val="0000EE"/>
                  <w:w w:val="91"/>
                </w:rPr>
                <w:t>Engagement with our Shareholders</w:t>
              </w:r>
            </w:hyperlink>
          </w:p>
        </w:tc>
        <w:tc>
          <w:tcPr>
            <w:tcW w:w="1680" w:type="dxa"/>
            <w:vAlign w:val="bottom"/>
            <w:gridSpan w:val="13"/>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40"/>
        </w:trPr>
        <w:tc>
          <w:tcPr>
            <w:tcW w:w="200" w:type="dxa"/>
            <w:vAlign w:val="bottom"/>
          </w:tcPr>
          <w:p>
            <w:pPr>
              <w:spacing w:after="0"/>
              <w:rPr>
                <w:sz w:val="20"/>
                <w:szCs w:val="20"/>
                <w:color w:val="auto"/>
              </w:rPr>
            </w:pPr>
          </w:p>
        </w:tc>
        <w:tc>
          <w:tcPr>
            <w:tcW w:w="4140" w:type="dxa"/>
            <w:vAlign w:val="bottom"/>
            <w:gridSpan w:val="24"/>
          </w:tcPr>
          <w:p>
            <w:pPr>
              <w:spacing w:after="0"/>
              <w:rPr>
                <w:rFonts w:ascii="Arial" w:cs="Arial" w:eastAsia="Arial" w:hAnsi="Arial"/>
                <w:sz w:val="17"/>
                <w:szCs w:val="17"/>
                <w:color w:val="0000EE"/>
              </w:rPr>
            </w:pPr>
            <w:hyperlink w:anchor="page37">
              <w:r>
                <w:rPr>
                  <w:rFonts w:ascii="Arial" w:cs="Arial" w:eastAsia="Arial" w:hAnsi="Arial"/>
                  <w:sz w:val="17"/>
                  <w:szCs w:val="17"/>
                  <w:color w:val="0000EE"/>
                </w:rPr>
                <w:t>Corporate Responsibility Highlights</w:t>
              </w:r>
            </w:hyperlink>
          </w:p>
        </w:tc>
        <w:tc>
          <w:tcPr>
            <w:tcW w:w="54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40"/>
        </w:trPr>
        <w:tc>
          <w:tcPr>
            <w:tcW w:w="200" w:type="dxa"/>
            <w:vAlign w:val="bottom"/>
          </w:tcPr>
          <w:p>
            <w:pPr>
              <w:spacing w:after="0"/>
              <w:rPr>
                <w:sz w:val="20"/>
                <w:szCs w:val="20"/>
                <w:color w:val="auto"/>
              </w:rPr>
            </w:pPr>
          </w:p>
        </w:tc>
        <w:tc>
          <w:tcPr>
            <w:tcW w:w="1640" w:type="dxa"/>
            <w:vAlign w:val="bottom"/>
            <w:tcBorders>
              <w:top w:val="single" w:sz="8" w:color="0000EE"/>
              <w:bottom w:val="single" w:sz="8" w:color="0000EE"/>
            </w:tcBorders>
            <w:gridSpan w:val="6"/>
          </w:tcPr>
          <w:p>
            <w:pPr>
              <w:spacing w:after="0"/>
              <w:rPr>
                <w:rFonts w:ascii="Arial" w:cs="Arial" w:eastAsia="Arial" w:hAnsi="Arial"/>
                <w:sz w:val="17"/>
                <w:szCs w:val="17"/>
                <w:color w:val="0000EE"/>
                <w:w w:val="93"/>
              </w:rPr>
            </w:pPr>
            <w:hyperlink w:anchor="page39">
              <w:r>
                <w:rPr>
                  <w:rFonts w:ascii="Arial" w:cs="Arial" w:eastAsia="Arial" w:hAnsi="Arial"/>
                  <w:sz w:val="17"/>
                  <w:szCs w:val="17"/>
                  <w:color w:val="0000EE"/>
                  <w:w w:val="93"/>
                </w:rPr>
                <w:t>Director Compensation</w:t>
              </w:r>
            </w:hyperlink>
          </w:p>
        </w:tc>
        <w:tc>
          <w:tcPr>
            <w:tcW w:w="880" w:type="dxa"/>
            <w:vAlign w:val="bottom"/>
            <w:tcBorders>
              <w:top w:val="single" w:sz="8" w:color="0000EE"/>
            </w:tcBorders>
            <w:gridSpan w:val="6"/>
          </w:tcPr>
          <w:p>
            <w:pPr>
              <w:spacing w:after="0"/>
              <w:rPr>
                <w:sz w:val="20"/>
                <w:szCs w:val="20"/>
                <w:color w:val="auto"/>
              </w:rPr>
            </w:pPr>
          </w:p>
        </w:tc>
        <w:tc>
          <w:tcPr>
            <w:tcW w:w="1620" w:type="dxa"/>
            <w:vAlign w:val="bottom"/>
            <w:gridSpan w:val="12"/>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40"/>
        </w:trPr>
        <w:tc>
          <w:tcPr>
            <w:tcW w:w="200" w:type="dxa"/>
            <w:vAlign w:val="bottom"/>
          </w:tcPr>
          <w:p>
            <w:pPr>
              <w:spacing w:after="0"/>
              <w:rPr>
                <w:sz w:val="20"/>
                <w:szCs w:val="20"/>
                <w:color w:val="auto"/>
              </w:rPr>
            </w:pPr>
          </w:p>
        </w:tc>
        <w:tc>
          <w:tcPr>
            <w:tcW w:w="3300" w:type="dxa"/>
            <w:vAlign w:val="bottom"/>
            <w:tcBorders>
              <w:bottom w:val="single" w:sz="8" w:color="0000EE"/>
            </w:tcBorders>
            <w:gridSpan w:val="19"/>
          </w:tcPr>
          <w:p>
            <w:pPr>
              <w:spacing w:after="0"/>
              <w:rPr>
                <w:rFonts w:ascii="Arial" w:cs="Arial" w:eastAsia="Arial" w:hAnsi="Arial"/>
                <w:sz w:val="17"/>
                <w:szCs w:val="17"/>
                <w:color w:val="0000EE"/>
                <w:w w:val="91"/>
              </w:rPr>
            </w:pPr>
            <w:hyperlink w:anchor="page41">
              <w:r>
                <w:rPr>
                  <w:rFonts w:ascii="Arial" w:cs="Arial" w:eastAsia="Arial" w:hAnsi="Arial"/>
                  <w:sz w:val="17"/>
                  <w:szCs w:val="17"/>
                  <w:color w:val="0000EE"/>
                  <w:w w:val="91"/>
                </w:rPr>
                <w:t>Certain Relationships and Related Transactions</w:t>
              </w:r>
            </w:hyperlink>
          </w:p>
        </w:tc>
        <w:tc>
          <w:tcPr>
            <w:tcW w:w="840" w:type="dxa"/>
            <w:vAlign w:val="bottom"/>
            <w:gridSpan w:val="5"/>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40"/>
        </w:trPr>
        <w:tc>
          <w:tcPr>
            <w:tcW w:w="4340" w:type="dxa"/>
            <w:vAlign w:val="bottom"/>
            <w:gridSpan w:val="25"/>
          </w:tcPr>
          <w:p>
            <w:pPr>
              <w:spacing w:after="0"/>
              <w:rPr>
                <w:rFonts w:ascii="Arial" w:cs="Arial" w:eastAsia="Arial" w:hAnsi="Arial"/>
                <w:sz w:val="17"/>
                <w:szCs w:val="17"/>
                <w:color w:val="0000EE"/>
              </w:rPr>
            </w:pPr>
            <w:hyperlink w:anchor="page43">
              <w:r>
                <w:rPr>
                  <w:rFonts w:ascii="Arial" w:cs="Arial" w:eastAsia="Arial" w:hAnsi="Arial"/>
                  <w:sz w:val="17"/>
                  <w:szCs w:val="17"/>
                  <w:color w:val="0000EE"/>
                </w:rPr>
                <w:t>Proposal 2 — Advisory Vote on the Compensation of our</w:t>
              </w:r>
            </w:hyperlink>
          </w:p>
        </w:tc>
        <w:tc>
          <w:tcPr>
            <w:tcW w:w="540" w:type="dxa"/>
            <w:vAlign w:val="bottom"/>
          </w:tcPr>
          <w:p>
            <w:pPr>
              <w:spacing w:after="0"/>
              <w:rPr>
                <w:sz w:val="20"/>
                <w:szCs w:val="20"/>
                <w:color w:val="auto"/>
              </w:rPr>
            </w:pPr>
          </w:p>
        </w:tc>
      </w:tr>
      <w:tr>
        <w:trPr>
          <w:trHeight w:val="188"/>
        </w:trPr>
        <w:tc>
          <w:tcPr>
            <w:tcW w:w="3980" w:type="dxa"/>
            <w:vAlign w:val="bottom"/>
            <w:tcBorders>
              <w:top w:val="single" w:sz="8" w:color="0000EE"/>
            </w:tcBorders>
            <w:gridSpan w:val="24"/>
          </w:tcPr>
          <w:p>
            <w:pPr>
              <w:spacing w:after="0" w:line="189" w:lineRule="exact"/>
              <w:rPr>
                <w:rFonts w:ascii="Arial" w:cs="Arial" w:eastAsia="Arial" w:hAnsi="Arial"/>
                <w:sz w:val="17"/>
                <w:szCs w:val="17"/>
                <w:color w:val="0000EE"/>
              </w:rPr>
            </w:pPr>
            <w:hyperlink w:anchor="page43">
              <w:r>
                <w:rPr>
                  <w:rFonts w:ascii="Arial" w:cs="Arial" w:eastAsia="Arial" w:hAnsi="Arial"/>
                  <w:sz w:val="17"/>
                  <w:szCs w:val="17"/>
                  <w:color w:val="0000EE"/>
                </w:rPr>
                <w:t>Named Executive Officers</w:t>
              </w:r>
            </w:hyperlink>
          </w:p>
        </w:tc>
        <w:tc>
          <w:tcPr>
            <w:tcW w:w="360" w:type="dxa"/>
            <w:vAlign w:val="bottom"/>
          </w:tcPr>
          <w:p>
            <w:pPr>
              <w:spacing w:after="0"/>
              <w:rPr>
                <w:sz w:val="16"/>
                <w:szCs w:val="16"/>
                <w:color w:val="auto"/>
              </w:rPr>
            </w:pPr>
          </w:p>
        </w:tc>
        <w:tc>
          <w:tcPr>
            <w:tcW w:w="540" w:type="dxa"/>
            <w:vAlign w:val="bottom"/>
          </w:tcPr>
          <w:p>
            <w:pPr>
              <w:jc w:val="right"/>
              <w:spacing w:after="0" w:line="189" w:lineRule="exact"/>
              <w:rPr>
                <w:sz w:val="20"/>
                <w:szCs w:val="20"/>
                <w:color w:val="auto"/>
              </w:rPr>
            </w:pPr>
            <w:r>
              <w:rPr>
                <w:rFonts w:ascii="Arial" w:cs="Arial" w:eastAsia="Arial" w:hAnsi="Arial"/>
                <w:sz w:val="17"/>
                <w:szCs w:val="17"/>
                <w:color w:val="auto"/>
              </w:rPr>
              <w:t>32</w:t>
            </w:r>
          </w:p>
        </w:tc>
      </w:tr>
      <w:tr>
        <w:trPr>
          <w:trHeight w:val="20"/>
        </w:trPr>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40"/>
        </w:trPr>
        <w:tc>
          <w:tcPr>
            <w:tcW w:w="3040" w:type="dxa"/>
            <w:vAlign w:val="bottom"/>
            <w:tcBorders>
              <w:bottom w:val="single" w:sz="8" w:color="0000EE"/>
            </w:tcBorders>
            <w:gridSpan w:val="17"/>
          </w:tcPr>
          <w:p>
            <w:pPr>
              <w:spacing w:after="0"/>
              <w:rPr>
                <w:rFonts w:ascii="Arial" w:cs="Arial" w:eastAsia="Arial" w:hAnsi="Arial"/>
                <w:sz w:val="17"/>
                <w:szCs w:val="17"/>
                <w:color w:val="0000EE"/>
                <w:w w:val="92"/>
              </w:rPr>
            </w:pPr>
            <w:hyperlink w:anchor="page44">
              <w:r>
                <w:rPr>
                  <w:rFonts w:ascii="Arial" w:cs="Arial" w:eastAsia="Arial" w:hAnsi="Arial"/>
                  <w:sz w:val="17"/>
                  <w:szCs w:val="17"/>
                  <w:color w:val="0000EE"/>
                  <w:w w:val="92"/>
                </w:rPr>
                <w:t>Information about Executive Compensation</w:t>
              </w:r>
            </w:hyperlink>
          </w:p>
        </w:tc>
        <w:tc>
          <w:tcPr>
            <w:tcW w:w="1300" w:type="dxa"/>
            <w:vAlign w:val="bottom"/>
            <w:gridSpan w:val="8"/>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40"/>
        </w:trPr>
        <w:tc>
          <w:tcPr>
            <w:tcW w:w="200" w:type="dxa"/>
            <w:vAlign w:val="bottom"/>
          </w:tcPr>
          <w:p>
            <w:pPr>
              <w:spacing w:after="0"/>
              <w:rPr>
                <w:sz w:val="20"/>
                <w:szCs w:val="20"/>
                <w:color w:val="auto"/>
              </w:rPr>
            </w:pPr>
          </w:p>
        </w:tc>
        <w:tc>
          <w:tcPr>
            <w:tcW w:w="2800" w:type="dxa"/>
            <w:vAlign w:val="bottom"/>
            <w:tcBorders>
              <w:bottom w:val="single" w:sz="8" w:color="0000EE"/>
            </w:tcBorders>
            <w:gridSpan w:val="14"/>
          </w:tcPr>
          <w:p>
            <w:pPr>
              <w:spacing w:after="0"/>
              <w:rPr>
                <w:rFonts w:ascii="Arial" w:cs="Arial" w:eastAsia="Arial" w:hAnsi="Arial"/>
                <w:sz w:val="17"/>
                <w:szCs w:val="17"/>
                <w:color w:val="0000EE"/>
                <w:w w:val="92"/>
              </w:rPr>
            </w:pPr>
            <w:hyperlink w:anchor="page44">
              <w:r>
                <w:rPr>
                  <w:rFonts w:ascii="Arial" w:cs="Arial" w:eastAsia="Arial" w:hAnsi="Arial"/>
                  <w:sz w:val="17"/>
                  <w:szCs w:val="17"/>
                  <w:color w:val="0000EE"/>
                  <w:w w:val="92"/>
                </w:rPr>
                <w:t>Compensation Discussion and Analysis</w:t>
              </w:r>
            </w:hyperlink>
          </w:p>
        </w:tc>
        <w:tc>
          <w:tcPr>
            <w:tcW w:w="1340" w:type="dxa"/>
            <w:vAlign w:val="bottom"/>
            <w:gridSpan w:val="10"/>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40"/>
        </w:trPr>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0" w:type="dxa"/>
            <w:vAlign w:val="bottom"/>
            <w:gridSpan w:val="23"/>
          </w:tcPr>
          <w:p>
            <w:pPr>
              <w:spacing w:after="0"/>
              <w:rPr>
                <w:rFonts w:ascii="Arial" w:cs="Arial" w:eastAsia="Arial" w:hAnsi="Arial"/>
                <w:sz w:val="17"/>
                <w:szCs w:val="17"/>
                <w:color w:val="0000EE"/>
              </w:rPr>
            </w:pPr>
            <w:hyperlink w:anchor="page45">
              <w:r>
                <w:rPr>
                  <w:rFonts w:ascii="Arial" w:cs="Arial" w:eastAsia="Arial" w:hAnsi="Arial"/>
                  <w:sz w:val="17"/>
                  <w:szCs w:val="17"/>
                  <w:color w:val="0000EE"/>
                </w:rPr>
                <w:t>Fiscal 2020 Financial Results and Shareholder</w:t>
              </w:r>
            </w:hyperlink>
          </w:p>
        </w:tc>
        <w:tc>
          <w:tcPr>
            <w:tcW w:w="540" w:type="dxa"/>
            <w:vAlign w:val="bottom"/>
          </w:tcPr>
          <w:p>
            <w:pPr>
              <w:spacing w:after="0"/>
              <w:rPr>
                <w:sz w:val="20"/>
                <w:szCs w:val="20"/>
                <w:color w:val="auto"/>
              </w:rPr>
            </w:pPr>
          </w:p>
        </w:tc>
      </w:tr>
      <w:tr>
        <w:trPr>
          <w:trHeight w:val="188"/>
        </w:trPr>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20" w:type="dxa"/>
            <w:vAlign w:val="bottom"/>
            <w:tcBorders>
              <w:top w:val="single" w:sz="8" w:color="0000EE"/>
            </w:tcBorders>
            <w:gridSpan w:val="20"/>
          </w:tcPr>
          <w:p>
            <w:pPr>
              <w:spacing w:after="0" w:line="189" w:lineRule="exact"/>
              <w:rPr>
                <w:rFonts w:ascii="Arial" w:cs="Arial" w:eastAsia="Arial" w:hAnsi="Arial"/>
                <w:sz w:val="17"/>
                <w:szCs w:val="17"/>
                <w:color w:val="0000EE"/>
              </w:rPr>
            </w:pPr>
            <w:hyperlink w:anchor="page45">
              <w:r>
                <w:rPr>
                  <w:rFonts w:ascii="Arial" w:cs="Arial" w:eastAsia="Arial" w:hAnsi="Arial"/>
                  <w:sz w:val="17"/>
                  <w:szCs w:val="17"/>
                  <w:color w:val="0000EE"/>
                </w:rPr>
                <w:t>Value Creation</w:t>
              </w:r>
            </w:hyperlink>
          </w:p>
        </w:tc>
        <w:tc>
          <w:tcPr>
            <w:tcW w:w="780" w:type="dxa"/>
            <w:vAlign w:val="bottom"/>
            <w:gridSpan w:val="3"/>
          </w:tcPr>
          <w:p>
            <w:pPr>
              <w:spacing w:after="0"/>
              <w:rPr>
                <w:sz w:val="16"/>
                <w:szCs w:val="16"/>
                <w:color w:val="auto"/>
              </w:rPr>
            </w:pPr>
          </w:p>
        </w:tc>
        <w:tc>
          <w:tcPr>
            <w:tcW w:w="540" w:type="dxa"/>
            <w:vAlign w:val="bottom"/>
          </w:tcPr>
          <w:p>
            <w:pPr>
              <w:jc w:val="right"/>
              <w:spacing w:after="0" w:line="189" w:lineRule="exact"/>
              <w:rPr>
                <w:sz w:val="20"/>
                <w:szCs w:val="20"/>
                <w:color w:val="auto"/>
              </w:rPr>
            </w:pPr>
            <w:r>
              <w:rPr>
                <w:rFonts w:ascii="Arial" w:cs="Arial" w:eastAsia="Arial" w:hAnsi="Arial"/>
                <w:sz w:val="17"/>
                <w:szCs w:val="17"/>
                <w:color w:val="auto"/>
              </w:rPr>
              <w:t>34</w:t>
            </w:r>
          </w:p>
        </w:tc>
      </w:tr>
      <w:tr>
        <w:trPr>
          <w:trHeight w:val="20"/>
        </w:trPr>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40"/>
        </w:trPr>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0" w:type="dxa"/>
            <w:vAlign w:val="bottom"/>
            <w:gridSpan w:val="23"/>
          </w:tcPr>
          <w:p>
            <w:pPr>
              <w:spacing w:after="0"/>
              <w:rPr>
                <w:rFonts w:ascii="Arial" w:cs="Arial" w:eastAsia="Arial" w:hAnsi="Arial"/>
                <w:sz w:val="17"/>
                <w:szCs w:val="17"/>
                <w:color w:val="0000EE"/>
              </w:rPr>
            </w:pPr>
            <w:hyperlink w:anchor="page46">
              <w:r>
                <w:rPr>
                  <w:rFonts w:ascii="Arial" w:cs="Arial" w:eastAsia="Arial" w:hAnsi="Arial"/>
                  <w:sz w:val="17"/>
                  <w:szCs w:val="17"/>
                  <w:color w:val="0000EE"/>
                </w:rPr>
                <w:t>Pay and Governance Best Practices</w:t>
              </w:r>
            </w:hyperlink>
          </w:p>
        </w:tc>
        <w:tc>
          <w:tcPr>
            <w:tcW w:w="54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0"/>
        </w:trPr>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gridSpan w:val="7"/>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40"/>
        </w:trPr>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00" w:type="dxa"/>
            <w:vAlign w:val="bottom"/>
            <w:tcBorders>
              <w:bottom w:val="single" w:sz="8" w:color="0000EE"/>
            </w:tcBorders>
            <w:gridSpan w:val="21"/>
          </w:tcPr>
          <w:p>
            <w:pPr>
              <w:spacing w:after="0"/>
              <w:rPr>
                <w:rFonts w:ascii="Arial" w:cs="Arial" w:eastAsia="Arial" w:hAnsi="Arial"/>
                <w:sz w:val="17"/>
                <w:szCs w:val="17"/>
                <w:color w:val="0000EE"/>
                <w:w w:val="92"/>
              </w:rPr>
            </w:pPr>
            <w:hyperlink w:anchor="page49">
              <w:r>
                <w:rPr>
                  <w:rFonts w:ascii="Arial" w:cs="Arial" w:eastAsia="Arial" w:hAnsi="Arial"/>
                  <w:sz w:val="17"/>
                  <w:szCs w:val="17"/>
                  <w:color w:val="0000EE"/>
                  <w:w w:val="92"/>
                </w:rPr>
                <w:t>Factors Considered in Determining Fiscal 2020</w:t>
              </w:r>
            </w:hyperlink>
          </w:p>
        </w:tc>
        <w:tc>
          <w:tcPr>
            <w:tcW w:w="700" w:type="dxa"/>
            <w:vAlign w:val="bottom"/>
            <w:gridSpan w:val="2"/>
          </w:tcPr>
          <w:p>
            <w:pPr>
              <w:spacing w:after="0"/>
              <w:rPr>
                <w:sz w:val="20"/>
                <w:szCs w:val="20"/>
                <w:color w:val="auto"/>
              </w:rPr>
            </w:pPr>
          </w:p>
        </w:tc>
        <w:tc>
          <w:tcPr>
            <w:tcW w:w="540" w:type="dxa"/>
            <w:vAlign w:val="bottom"/>
          </w:tcPr>
          <w:p>
            <w:pPr>
              <w:spacing w:after="0"/>
              <w:rPr>
                <w:sz w:val="20"/>
                <w:szCs w:val="20"/>
                <w:color w:val="auto"/>
              </w:rPr>
            </w:pPr>
          </w:p>
        </w:tc>
      </w:tr>
      <w:tr>
        <w:trPr>
          <w:trHeight w:val="188"/>
        </w:trPr>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tcBorders>
              <w:bottom w:val="single" w:sz="8" w:color="0000EE"/>
            </w:tcBorders>
            <w:gridSpan w:val="7"/>
          </w:tcPr>
          <w:p>
            <w:pPr>
              <w:spacing w:after="0" w:line="189" w:lineRule="exact"/>
              <w:rPr>
                <w:rFonts w:ascii="Arial" w:cs="Arial" w:eastAsia="Arial" w:hAnsi="Arial"/>
                <w:sz w:val="17"/>
                <w:szCs w:val="17"/>
                <w:color w:val="0000EE"/>
                <w:w w:val="91"/>
              </w:rPr>
            </w:pPr>
            <w:hyperlink w:anchor="page49">
              <w:r>
                <w:rPr>
                  <w:rFonts w:ascii="Arial" w:cs="Arial" w:eastAsia="Arial" w:hAnsi="Arial"/>
                  <w:sz w:val="17"/>
                  <w:szCs w:val="17"/>
                  <w:color w:val="0000EE"/>
                  <w:w w:val="91"/>
                </w:rPr>
                <w:t>Target Compensation Levels</w:t>
              </w:r>
            </w:hyperlink>
          </w:p>
        </w:tc>
        <w:tc>
          <w:tcPr>
            <w:tcW w:w="2000" w:type="dxa"/>
            <w:vAlign w:val="bottom"/>
            <w:gridSpan w:val="16"/>
          </w:tcPr>
          <w:p>
            <w:pPr>
              <w:spacing w:after="0"/>
              <w:rPr>
                <w:sz w:val="16"/>
                <w:szCs w:val="16"/>
                <w:color w:val="auto"/>
              </w:rPr>
            </w:pPr>
          </w:p>
        </w:tc>
        <w:tc>
          <w:tcPr>
            <w:tcW w:w="540" w:type="dxa"/>
            <w:vAlign w:val="bottom"/>
          </w:tcPr>
          <w:p>
            <w:pPr>
              <w:jc w:val="right"/>
              <w:spacing w:after="0" w:line="189" w:lineRule="exact"/>
              <w:rPr>
                <w:sz w:val="20"/>
                <w:szCs w:val="20"/>
                <w:color w:val="auto"/>
              </w:rPr>
            </w:pPr>
            <w:r>
              <w:rPr>
                <w:rFonts w:ascii="Arial" w:cs="Arial" w:eastAsia="Arial" w:hAnsi="Arial"/>
                <w:sz w:val="17"/>
                <w:szCs w:val="17"/>
                <w:color w:val="auto"/>
              </w:rPr>
              <w:t>38</w:t>
            </w:r>
          </w:p>
        </w:tc>
      </w:tr>
      <w:tr>
        <w:trPr>
          <w:trHeight w:val="240"/>
        </w:trPr>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tcBorders>
              <w:bottom w:val="single" w:sz="8" w:color="0000EE"/>
            </w:tcBorders>
            <w:gridSpan w:val="16"/>
          </w:tcPr>
          <w:p>
            <w:pPr>
              <w:spacing w:after="0"/>
              <w:rPr>
                <w:rFonts w:ascii="Arial" w:cs="Arial" w:eastAsia="Arial" w:hAnsi="Arial"/>
                <w:sz w:val="17"/>
                <w:szCs w:val="17"/>
                <w:color w:val="0000EE"/>
                <w:w w:val="92"/>
              </w:rPr>
            </w:pPr>
            <w:hyperlink w:anchor="page50">
              <w:r>
                <w:rPr>
                  <w:rFonts w:ascii="Arial" w:cs="Arial" w:eastAsia="Arial" w:hAnsi="Arial"/>
                  <w:sz w:val="17"/>
                  <w:szCs w:val="17"/>
                  <w:color w:val="0000EE"/>
                  <w:w w:val="92"/>
                </w:rPr>
                <w:t>Components of Executive Compensation</w:t>
              </w:r>
            </w:hyperlink>
          </w:p>
        </w:tc>
        <w:tc>
          <w:tcPr>
            <w:tcW w:w="1140" w:type="dxa"/>
            <w:vAlign w:val="bottom"/>
            <w:gridSpan w:val="7"/>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40"/>
        </w:trPr>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tcBorders>
              <w:bottom w:val="single" w:sz="8" w:color="0000EE"/>
            </w:tcBorders>
            <w:gridSpan w:val="13"/>
          </w:tcPr>
          <w:p>
            <w:pPr>
              <w:spacing w:after="0"/>
              <w:rPr>
                <w:rFonts w:ascii="Arial" w:cs="Arial" w:eastAsia="Arial" w:hAnsi="Arial"/>
                <w:sz w:val="17"/>
                <w:szCs w:val="17"/>
                <w:color w:val="0000EE"/>
                <w:w w:val="90"/>
              </w:rPr>
            </w:pPr>
            <w:hyperlink w:anchor="page58">
              <w:r>
                <w:rPr>
                  <w:rFonts w:ascii="Arial" w:cs="Arial" w:eastAsia="Arial" w:hAnsi="Arial"/>
                  <w:sz w:val="17"/>
                  <w:szCs w:val="17"/>
                  <w:color w:val="0000EE"/>
                  <w:w w:val="90"/>
                </w:rPr>
                <w:t>Compensation Processes and Policies</w:t>
              </w:r>
            </w:hyperlink>
          </w:p>
        </w:tc>
        <w:tc>
          <w:tcPr>
            <w:tcW w:w="1340" w:type="dxa"/>
            <w:vAlign w:val="bottom"/>
            <w:gridSpan w:val="10"/>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00" w:type="dxa"/>
            <w:vAlign w:val="bottom"/>
          </w:tcPr>
          <w:p>
            <w:pPr>
              <w:spacing w:after="0"/>
              <w:rPr>
                <w:sz w:val="16"/>
                <w:szCs w:val="16"/>
                <w:color w:val="auto"/>
              </w:rPr>
            </w:pPr>
          </w:p>
        </w:tc>
        <w:tc>
          <w:tcPr>
            <w:tcW w:w="4460" w:type="dxa"/>
            <w:vAlign w:val="bottom"/>
            <w:gridSpan w:val="29"/>
          </w:tcPr>
          <w:p>
            <w:pPr>
              <w:spacing w:after="0"/>
              <w:rPr>
                <w:rFonts w:ascii="Arial" w:cs="Arial" w:eastAsia="Arial" w:hAnsi="Arial"/>
                <w:sz w:val="17"/>
                <w:szCs w:val="17"/>
                <w:color w:val="0000EE"/>
              </w:rPr>
            </w:pPr>
            <w:hyperlink w:anchor="page61">
              <w:r>
                <w:rPr>
                  <w:rFonts w:ascii="Arial" w:cs="Arial" w:eastAsia="Arial" w:hAnsi="Arial"/>
                  <w:sz w:val="17"/>
                  <w:szCs w:val="17"/>
                  <w:color w:val="0000EE"/>
                </w:rPr>
                <w:t>Summary Compensation Table</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0"/>
        </w:trPr>
        <w:tc>
          <w:tcPr>
            <w:tcW w:w="2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40"/>
        </w:trPr>
        <w:tc>
          <w:tcPr>
            <w:tcW w:w="200" w:type="dxa"/>
            <w:vAlign w:val="bottom"/>
          </w:tcPr>
          <w:p>
            <w:pPr>
              <w:spacing w:after="0"/>
              <w:rPr>
                <w:sz w:val="20"/>
                <w:szCs w:val="20"/>
                <w:color w:val="auto"/>
              </w:rPr>
            </w:pPr>
          </w:p>
        </w:tc>
        <w:tc>
          <w:tcPr>
            <w:tcW w:w="3080" w:type="dxa"/>
            <w:vAlign w:val="bottom"/>
            <w:tcBorders>
              <w:bottom w:val="single" w:sz="8" w:color="0000EE"/>
            </w:tcBorders>
            <w:gridSpan w:val="17"/>
          </w:tcPr>
          <w:p>
            <w:pPr>
              <w:spacing w:after="0"/>
              <w:rPr>
                <w:rFonts w:ascii="Arial" w:cs="Arial" w:eastAsia="Arial" w:hAnsi="Arial"/>
                <w:sz w:val="17"/>
                <w:szCs w:val="17"/>
                <w:color w:val="0000EE"/>
                <w:w w:val="91"/>
              </w:rPr>
            </w:pPr>
            <w:hyperlink w:anchor="page66">
              <w:r>
                <w:rPr>
                  <w:rFonts w:ascii="Arial" w:cs="Arial" w:eastAsia="Arial" w:hAnsi="Arial"/>
                  <w:sz w:val="17"/>
                  <w:szCs w:val="17"/>
                  <w:color w:val="0000EE"/>
                  <w:w w:val="91"/>
                </w:rPr>
                <w:t>Grants of Plan-Based Awards in Fiscal 2020</w:t>
              </w:r>
            </w:hyperlink>
          </w:p>
        </w:tc>
        <w:tc>
          <w:tcPr>
            <w:tcW w:w="1380" w:type="dxa"/>
            <w:vAlign w:val="bottom"/>
            <w:gridSpan w:val="12"/>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40"/>
        </w:trPr>
        <w:tc>
          <w:tcPr>
            <w:tcW w:w="200" w:type="dxa"/>
            <w:vAlign w:val="bottom"/>
          </w:tcPr>
          <w:p>
            <w:pPr>
              <w:spacing w:after="0"/>
              <w:rPr>
                <w:sz w:val="20"/>
                <w:szCs w:val="20"/>
                <w:color w:val="auto"/>
              </w:rPr>
            </w:pPr>
          </w:p>
        </w:tc>
        <w:tc>
          <w:tcPr>
            <w:tcW w:w="3640" w:type="dxa"/>
            <w:vAlign w:val="bottom"/>
            <w:tcBorders>
              <w:bottom w:val="single" w:sz="8" w:color="0000EE"/>
            </w:tcBorders>
            <w:gridSpan w:val="23"/>
          </w:tcPr>
          <w:p>
            <w:pPr>
              <w:spacing w:after="0"/>
              <w:rPr>
                <w:rFonts w:ascii="Arial" w:cs="Arial" w:eastAsia="Arial" w:hAnsi="Arial"/>
                <w:sz w:val="17"/>
                <w:szCs w:val="17"/>
                <w:color w:val="0000EE"/>
                <w:w w:val="92"/>
              </w:rPr>
            </w:pPr>
            <w:hyperlink w:anchor="page69">
              <w:r>
                <w:rPr>
                  <w:rFonts w:ascii="Arial" w:cs="Arial" w:eastAsia="Arial" w:hAnsi="Arial"/>
                  <w:sz w:val="17"/>
                  <w:szCs w:val="17"/>
                  <w:color w:val="0000EE"/>
                  <w:w w:val="92"/>
                </w:rPr>
                <w:t>Outstanding Equity Awards at Fiscal Year-End 2020</w:t>
              </w:r>
            </w:hyperlink>
          </w:p>
        </w:tc>
        <w:tc>
          <w:tcPr>
            <w:tcW w:w="820" w:type="dxa"/>
            <w:vAlign w:val="bottom"/>
            <w:gridSpan w:val="6"/>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40"/>
        </w:trPr>
        <w:tc>
          <w:tcPr>
            <w:tcW w:w="200" w:type="dxa"/>
            <w:vAlign w:val="bottom"/>
          </w:tcPr>
          <w:p>
            <w:pPr>
              <w:spacing w:after="0"/>
              <w:rPr>
                <w:sz w:val="20"/>
                <w:szCs w:val="20"/>
                <w:color w:val="auto"/>
              </w:rPr>
            </w:pPr>
          </w:p>
        </w:tc>
        <w:tc>
          <w:tcPr>
            <w:tcW w:w="4460" w:type="dxa"/>
            <w:vAlign w:val="bottom"/>
            <w:gridSpan w:val="29"/>
          </w:tcPr>
          <w:p>
            <w:pPr>
              <w:spacing w:after="0"/>
              <w:rPr>
                <w:rFonts w:ascii="Arial" w:cs="Arial" w:eastAsia="Arial" w:hAnsi="Arial"/>
                <w:sz w:val="17"/>
                <w:szCs w:val="17"/>
                <w:color w:val="0000EE"/>
              </w:rPr>
            </w:pPr>
            <w:hyperlink w:anchor="page70">
              <w:r>
                <w:rPr>
                  <w:rFonts w:ascii="Arial" w:cs="Arial" w:eastAsia="Arial" w:hAnsi="Arial"/>
                  <w:sz w:val="17"/>
                  <w:szCs w:val="17"/>
                  <w:color w:val="0000EE"/>
                </w:rPr>
                <w:t>Option Exercises and Stock Vested During Fiscal 2020</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40"/>
        </w:trPr>
        <w:tc>
          <w:tcPr>
            <w:tcW w:w="200" w:type="dxa"/>
            <w:vAlign w:val="bottom"/>
          </w:tcPr>
          <w:p>
            <w:pPr>
              <w:spacing w:after="0"/>
              <w:rPr>
                <w:sz w:val="20"/>
                <w:szCs w:val="20"/>
                <w:color w:val="auto"/>
              </w:rPr>
            </w:pPr>
          </w:p>
        </w:tc>
        <w:tc>
          <w:tcPr>
            <w:tcW w:w="3800" w:type="dxa"/>
            <w:vAlign w:val="bottom"/>
            <w:tcBorders>
              <w:top w:val="single" w:sz="8" w:color="0000EE"/>
            </w:tcBorders>
            <w:gridSpan w:val="25"/>
          </w:tcPr>
          <w:p>
            <w:pPr>
              <w:spacing w:after="0"/>
              <w:rPr>
                <w:rFonts w:ascii="Arial" w:cs="Arial" w:eastAsia="Arial" w:hAnsi="Arial"/>
                <w:sz w:val="17"/>
                <w:szCs w:val="17"/>
                <w:color w:val="0000EE"/>
              </w:rPr>
            </w:pPr>
            <w:hyperlink w:anchor="page71">
              <w:r>
                <w:rPr>
                  <w:rFonts w:ascii="Arial" w:cs="Arial" w:eastAsia="Arial" w:hAnsi="Arial"/>
                  <w:sz w:val="17"/>
                  <w:szCs w:val="17"/>
                  <w:color w:val="0000EE"/>
                </w:rPr>
                <w:t>Non-Qualified Deferred Compensation Plan</w:t>
              </w:r>
            </w:hyperlink>
          </w:p>
        </w:tc>
        <w:tc>
          <w:tcPr>
            <w:tcW w:w="660" w:type="dxa"/>
            <w:vAlign w:val="bottom"/>
            <w:gridSpan w:val="4"/>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40"/>
        </w:trPr>
        <w:tc>
          <w:tcPr>
            <w:tcW w:w="200" w:type="dxa"/>
            <w:vAlign w:val="bottom"/>
          </w:tcPr>
          <w:p>
            <w:pPr>
              <w:spacing w:after="0"/>
              <w:rPr>
                <w:sz w:val="20"/>
                <w:szCs w:val="20"/>
                <w:color w:val="auto"/>
              </w:rPr>
            </w:pPr>
          </w:p>
        </w:tc>
        <w:tc>
          <w:tcPr>
            <w:tcW w:w="3060" w:type="dxa"/>
            <w:vAlign w:val="bottom"/>
            <w:tcBorders>
              <w:top w:val="single" w:sz="8" w:color="0000EE"/>
            </w:tcBorders>
            <w:gridSpan w:val="16"/>
          </w:tcPr>
          <w:p>
            <w:pPr>
              <w:spacing w:after="0"/>
              <w:rPr>
                <w:rFonts w:ascii="Arial" w:cs="Arial" w:eastAsia="Arial" w:hAnsi="Arial"/>
                <w:sz w:val="17"/>
                <w:szCs w:val="17"/>
                <w:color w:val="0000EE"/>
              </w:rPr>
            </w:pPr>
            <w:hyperlink w:anchor="page72">
              <w:r>
                <w:rPr>
                  <w:rFonts w:ascii="Arial" w:cs="Arial" w:eastAsia="Arial" w:hAnsi="Arial"/>
                  <w:sz w:val="17"/>
                  <w:szCs w:val="17"/>
                  <w:color w:val="0000EE"/>
                </w:rPr>
                <w:t>Change in Control Benefits</w:t>
              </w:r>
            </w:hyperlink>
          </w:p>
        </w:tc>
        <w:tc>
          <w:tcPr>
            <w:tcW w:w="1400" w:type="dxa"/>
            <w:vAlign w:val="bottom"/>
            <w:gridSpan w:val="13"/>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40"/>
        </w:trPr>
        <w:tc>
          <w:tcPr>
            <w:tcW w:w="200" w:type="dxa"/>
            <w:vAlign w:val="bottom"/>
          </w:tcPr>
          <w:p>
            <w:pPr>
              <w:spacing w:after="0"/>
              <w:rPr>
                <w:sz w:val="20"/>
                <w:szCs w:val="20"/>
                <w:color w:val="auto"/>
              </w:rPr>
            </w:pPr>
          </w:p>
        </w:tc>
        <w:tc>
          <w:tcPr>
            <w:tcW w:w="1900" w:type="dxa"/>
            <w:vAlign w:val="bottom"/>
            <w:tcBorders>
              <w:top w:val="single" w:sz="8" w:color="0000EE"/>
            </w:tcBorders>
            <w:gridSpan w:val="8"/>
          </w:tcPr>
          <w:p>
            <w:pPr>
              <w:spacing w:after="0"/>
              <w:rPr>
                <w:rFonts w:ascii="Arial" w:cs="Arial" w:eastAsia="Arial" w:hAnsi="Arial"/>
                <w:sz w:val="17"/>
                <w:szCs w:val="17"/>
                <w:color w:val="0000EE"/>
              </w:rPr>
            </w:pPr>
            <w:hyperlink w:anchor="page74">
              <w:r>
                <w:rPr>
                  <w:rFonts w:ascii="Arial" w:cs="Arial" w:eastAsia="Arial" w:hAnsi="Arial"/>
                  <w:sz w:val="17"/>
                  <w:szCs w:val="17"/>
                  <w:color w:val="0000EE"/>
                </w:rPr>
                <w:t>CEO Pay Ratio</w:t>
              </w:r>
            </w:hyperlink>
          </w:p>
        </w:tc>
        <w:tc>
          <w:tcPr>
            <w:tcW w:w="2560" w:type="dxa"/>
            <w:vAlign w:val="bottom"/>
            <w:gridSpan w:val="21"/>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0"/>
        </w:trPr>
        <w:tc>
          <w:tcPr>
            <w:tcW w:w="2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40"/>
        </w:trPr>
        <w:tc>
          <w:tcPr>
            <w:tcW w:w="200" w:type="dxa"/>
            <w:vAlign w:val="bottom"/>
          </w:tcPr>
          <w:p>
            <w:pPr>
              <w:spacing w:after="0"/>
              <w:rPr>
                <w:sz w:val="20"/>
                <w:szCs w:val="20"/>
                <w:color w:val="auto"/>
              </w:rPr>
            </w:pPr>
          </w:p>
        </w:tc>
        <w:tc>
          <w:tcPr>
            <w:tcW w:w="2460" w:type="dxa"/>
            <w:vAlign w:val="bottom"/>
            <w:tcBorders>
              <w:bottom w:val="single" w:sz="8" w:color="0000EE"/>
            </w:tcBorders>
            <w:gridSpan w:val="12"/>
          </w:tcPr>
          <w:p>
            <w:pPr>
              <w:spacing w:after="0"/>
              <w:rPr>
                <w:rFonts w:ascii="Arial" w:cs="Arial" w:eastAsia="Arial" w:hAnsi="Arial"/>
                <w:sz w:val="17"/>
                <w:szCs w:val="17"/>
                <w:color w:val="0000EE"/>
                <w:w w:val="93"/>
              </w:rPr>
            </w:pPr>
            <w:hyperlink w:anchor="page75">
              <w:r>
                <w:rPr>
                  <w:rFonts w:ascii="Arial" w:cs="Arial" w:eastAsia="Arial" w:hAnsi="Arial"/>
                  <w:sz w:val="17"/>
                  <w:szCs w:val="17"/>
                  <w:color w:val="0000EE"/>
                  <w:w w:val="93"/>
                </w:rPr>
                <w:t>Equity Award Program Description</w:t>
              </w:r>
            </w:hyperlink>
          </w:p>
        </w:tc>
        <w:tc>
          <w:tcPr>
            <w:tcW w:w="2000" w:type="dxa"/>
            <w:vAlign w:val="bottom"/>
            <w:gridSpan w:val="17"/>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40"/>
        </w:trPr>
        <w:tc>
          <w:tcPr>
            <w:tcW w:w="200" w:type="dxa"/>
            <w:vAlign w:val="bottom"/>
          </w:tcPr>
          <w:p>
            <w:pPr>
              <w:spacing w:after="0"/>
              <w:rPr>
                <w:sz w:val="20"/>
                <w:szCs w:val="20"/>
                <w:color w:val="auto"/>
              </w:rPr>
            </w:pPr>
          </w:p>
        </w:tc>
        <w:tc>
          <w:tcPr>
            <w:tcW w:w="4460" w:type="dxa"/>
            <w:vAlign w:val="bottom"/>
            <w:gridSpan w:val="29"/>
          </w:tcPr>
          <w:p>
            <w:pPr>
              <w:spacing w:after="0"/>
              <w:rPr>
                <w:rFonts w:ascii="Arial" w:cs="Arial" w:eastAsia="Arial" w:hAnsi="Arial"/>
                <w:sz w:val="17"/>
                <w:szCs w:val="17"/>
                <w:color w:val="0000EE"/>
              </w:rPr>
            </w:pPr>
            <w:hyperlink w:anchor="page76">
              <w:r>
                <w:rPr>
                  <w:rFonts w:ascii="Arial" w:cs="Arial" w:eastAsia="Arial" w:hAnsi="Arial"/>
                  <w:sz w:val="17"/>
                  <w:szCs w:val="17"/>
                  <w:color w:val="0000EE"/>
                </w:rPr>
                <w:t>Securities Authorized for Issuance Under</w:t>
              </w:r>
            </w:hyperlink>
          </w:p>
        </w:tc>
        <w:tc>
          <w:tcPr>
            <w:tcW w:w="320" w:type="dxa"/>
            <w:vAlign w:val="bottom"/>
          </w:tcPr>
          <w:p>
            <w:pPr>
              <w:spacing w:after="0"/>
              <w:rPr>
                <w:sz w:val="20"/>
                <w:szCs w:val="20"/>
                <w:color w:val="auto"/>
              </w:rPr>
            </w:pPr>
          </w:p>
        </w:tc>
      </w:tr>
      <w:tr>
        <w:trPr>
          <w:trHeight w:val="188"/>
        </w:trPr>
        <w:tc>
          <w:tcPr>
            <w:tcW w:w="200" w:type="dxa"/>
            <w:vAlign w:val="bottom"/>
          </w:tcPr>
          <w:p>
            <w:pPr>
              <w:spacing w:after="0"/>
              <w:rPr>
                <w:sz w:val="16"/>
                <w:szCs w:val="16"/>
                <w:color w:val="auto"/>
              </w:rPr>
            </w:pPr>
          </w:p>
        </w:tc>
        <w:tc>
          <w:tcPr>
            <w:tcW w:w="2860" w:type="dxa"/>
            <w:vAlign w:val="bottom"/>
            <w:tcBorders>
              <w:top w:val="single" w:sz="8" w:color="0000EE"/>
            </w:tcBorders>
            <w:gridSpan w:val="14"/>
          </w:tcPr>
          <w:p>
            <w:pPr>
              <w:spacing w:after="0" w:line="189" w:lineRule="exact"/>
              <w:rPr>
                <w:rFonts w:ascii="Arial" w:cs="Arial" w:eastAsia="Arial" w:hAnsi="Arial"/>
                <w:sz w:val="17"/>
                <w:szCs w:val="17"/>
                <w:color w:val="0000EE"/>
              </w:rPr>
            </w:pPr>
            <w:hyperlink w:anchor="page76">
              <w:r>
                <w:rPr>
                  <w:rFonts w:ascii="Arial" w:cs="Arial" w:eastAsia="Arial" w:hAnsi="Arial"/>
                  <w:sz w:val="17"/>
                  <w:szCs w:val="17"/>
                  <w:color w:val="0000EE"/>
                </w:rPr>
                <w:t>Equity Compensation Plans</w:t>
              </w:r>
            </w:hyperlink>
          </w:p>
        </w:tc>
        <w:tc>
          <w:tcPr>
            <w:tcW w:w="1600" w:type="dxa"/>
            <w:vAlign w:val="bottom"/>
            <w:gridSpan w:val="15"/>
          </w:tcPr>
          <w:p>
            <w:pPr>
              <w:spacing w:after="0"/>
              <w:rPr>
                <w:sz w:val="16"/>
                <w:szCs w:val="16"/>
                <w:color w:val="auto"/>
              </w:rPr>
            </w:pPr>
          </w:p>
        </w:tc>
        <w:tc>
          <w:tcPr>
            <w:tcW w:w="320" w:type="dxa"/>
            <w:vAlign w:val="bottom"/>
          </w:tcPr>
          <w:p>
            <w:pPr>
              <w:jc w:val="right"/>
              <w:spacing w:after="0" w:line="189" w:lineRule="exact"/>
              <w:rPr>
                <w:sz w:val="20"/>
                <w:szCs w:val="20"/>
                <w:color w:val="auto"/>
              </w:rPr>
            </w:pPr>
            <w:r>
              <w:rPr>
                <w:rFonts w:ascii="Arial" w:cs="Arial" w:eastAsia="Arial" w:hAnsi="Arial"/>
                <w:sz w:val="17"/>
                <w:szCs w:val="17"/>
                <w:color w:val="auto"/>
              </w:rPr>
              <w:t>65</w:t>
            </w:r>
          </w:p>
        </w:tc>
      </w:tr>
      <w:tr>
        <w:trPr>
          <w:trHeight w:val="20"/>
        </w:trPr>
        <w:tc>
          <w:tcPr>
            <w:tcW w:w="2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40"/>
        </w:trPr>
        <w:tc>
          <w:tcPr>
            <w:tcW w:w="200" w:type="dxa"/>
            <w:vAlign w:val="bottom"/>
          </w:tcPr>
          <w:p>
            <w:pPr>
              <w:spacing w:after="0"/>
              <w:rPr>
                <w:sz w:val="20"/>
                <w:szCs w:val="20"/>
                <w:color w:val="auto"/>
              </w:rPr>
            </w:pPr>
          </w:p>
        </w:tc>
        <w:tc>
          <w:tcPr>
            <w:tcW w:w="4460" w:type="dxa"/>
            <w:vAlign w:val="bottom"/>
            <w:gridSpan w:val="29"/>
          </w:tcPr>
          <w:p>
            <w:pPr>
              <w:spacing w:after="0"/>
              <w:rPr>
                <w:rFonts w:ascii="Arial" w:cs="Arial" w:eastAsia="Arial" w:hAnsi="Arial"/>
                <w:sz w:val="17"/>
                <w:szCs w:val="17"/>
                <w:color w:val="0000EE"/>
                <w:w w:val="96"/>
              </w:rPr>
            </w:pPr>
            <w:hyperlink w:anchor="page77">
              <w:r>
                <w:rPr>
                  <w:rFonts w:ascii="Arial" w:cs="Arial" w:eastAsia="Arial" w:hAnsi="Arial"/>
                  <w:sz w:val="17"/>
                  <w:szCs w:val="17"/>
                  <w:color w:val="0000EE"/>
                  <w:w w:val="96"/>
                </w:rPr>
                <w:t>Compensation Committee Interlocks and Insider Participation</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40"/>
        </w:trPr>
        <w:tc>
          <w:tcPr>
            <w:tcW w:w="200" w:type="dxa"/>
            <w:vAlign w:val="bottom"/>
          </w:tcPr>
          <w:p>
            <w:pPr>
              <w:spacing w:after="0"/>
              <w:rPr>
                <w:sz w:val="20"/>
                <w:szCs w:val="20"/>
                <w:color w:val="auto"/>
              </w:rPr>
            </w:pPr>
          </w:p>
        </w:tc>
        <w:tc>
          <w:tcPr>
            <w:tcW w:w="2320" w:type="dxa"/>
            <w:vAlign w:val="bottom"/>
            <w:tcBorders>
              <w:top w:val="single" w:sz="8" w:color="0000EE"/>
              <w:bottom w:val="single" w:sz="8" w:color="0000EE"/>
            </w:tcBorders>
            <w:gridSpan w:val="11"/>
          </w:tcPr>
          <w:p>
            <w:pPr>
              <w:spacing w:after="0"/>
              <w:rPr>
                <w:rFonts w:ascii="Arial" w:cs="Arial" w:eastAsia="Arial" w:hAnsi="Arial"/>
                <w:sz w:val="17"/>
                <w:szCs w:val="17"/>
                <w:color w:val="0000EE"/>
                <w:w w:val="90"/>
              </w:rPr>
            </w:pPr>
            <w:hyperlink w:anchor="page77">
              <w:r>
                <w:rPr>
                  <w:rFonts w:ascii="Arial" w:cs="Arial" w:eastAsia="Arial" w:hAnsi="Arial"/>
                  <w:sz w:val="17"/>
                  <w:szCs w:val="17"/>
                  <w:color w:val="0000EE"/>
                  <w:w w:val="90"/>
                </w:rPr>
                <w:t>Compensation Committee Report</w:t>
              </w:r>
            </w:hyperlink>
          </w:p>
        </w:tc>
        <w:tc>
          <w:tcPr>
            <w:tcW w:w="1980" w:type="dxa"/>
            <w:vAlign w:val="bottom"/>
            <w:tcBorders>
              <w:top w:val="single" w:sz="8" w:color="0000EE"/>
            </w:tcBorders>
            <w:gridSpan w:val="17"/>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40"/>
        </w:trPr>
        <w:tc>
          <w:tcPr>
            <w:tcW w:w="3600" w:type="dxa"/>
            <w:vAlign w:val="bottom"/>
            <w:tcBorders>
              <w:bottom w:val="single" w:sz="8" w:color="0000EE"/>
            </w:tcBorders>
            <w:gridSpan w:val="22"/>
          </w:tcPr>
          <w:p>
            <w:pPr>
              <w:spacing w:after="0"/>
              <w:rPr>
                <w:rFonts w:ascii="Arial" w:cs="Arial" w:eastAsia="Arial" w:hAnsi="Arial"/>
                <w:sz w:val="17"/>
                <w:szCs w:val="17"/>
                <w:color w:val="0000EE"/>
                <w:w w:val="93"/>
              </w:rPr>
            </w:pPr>
            <w:hyperlink w:anchor="page78">
              <w:r>
                <w:rPr>
                  <w:rFonts w:ascii="Arial" w:cs="Arial" w:eastAsia="Arial" w:hAnsi="Arial"/>
                  <w:sz w:val="17"/>
                  <w:szCs w:val="17"/>
                  <w:color w:val="0000EE"/>
                  <w:w w:val="93"/>
                </w:rPr>
                <w:t>Proposal 3 — Approval of the Analog Devices, Inc.</w:t>
              </w:r>
            </w:hyperlink>
          </w:p>
        </w:tc>
        <w:tc>
          <w:tcPr>
            <w:tcW w:w="1060" w:type="dxa"/>
            <w:vAlign w:val="bottom"/>
            <w:gridSpan w:val="8"/>
          </w:tcPr>
          <w:p>
            <w:pPr>
              <w:spacing w:after="0"/>
              <w:rPr>
                <w:sz w:val="20"/>
                <w:szCs w:val="20"/>
                <w:color w:val="auto"/>
              </w:rPr>
            </w:pPr>
          </w:p>
        </w:tc>
        <w:tc>
          <w:tcPr>
            <w:tcW w:w="320" w:type="dxa"/>
            <w:vAlign w:val="bottom"/>
          </w:tcPr>
          <w:p>
            <w:pPr>
              <w:spacing w:after="0"/>
              <w:rPr>
                <w:sz w:val="20"/>
                <w:szCs w:val="20"/>
                <w:color w:val="auto"/>
              </w:rPr>
            </w:pPr>
          </w:p>
        </w:tc>
      </w:tr>
      <w:tr>
        <w:trPr>
          <w:trHeight w:val="188"/>
        </w:trPr>
        <w:tc>
          <w:tcPr>
            <w:tcW w:w="4660" w:type="dxa"/>
            <w:vAlign w:val="bottom"/>
            <w:gridSpan w:val="30"/>
          </w:tcPr>
          <w:p>
            <w:pPr>
              <w:spacing w:after="0" w:line="189" w:lineRule="exact"/>
              <w:rPr>
                <w:rFonts w:ascii="Arial" w:cs="Arial" w:eastAsia="Arial" w:hAnsi="Arial"/>
                <w:sz w:val="17"/>
                <w:szCs w:val="17"/>
                <w:color w:val="0000EE"/>
              </w:rPr>
            </w:pPr>
            <w:hyperlink w:anchor="page78">
              <w:r>
                <w:rPr>
                  <w:rFonts w:ascii="Arial" w:cs="Arial" w:eastAsia="Arial" w:hAnsi="Arial"/>
                  <w:sz w:val="17"/>
                  <w:szCs w:val="17"/>
                  <w:color w:val="0000EE"/>
                </w:rPr>
                <w:t>2022 Employee Stock Purchase Plan</w:t>
              </w:r>
            </w:hyperlink>
          </w:p>
        </w:tc>
        <w:tc>
          <w:tcPr>
            <w:tcW w:w="320" w:type="dxa"/>
            <w:vAlign w:val="bottom"/>
          </w:tcPr>
          <w:p>
            <w:pPr>
              <w:jc w:val="right"/>
              <w:spacing w:after="0" w:line="189" w:lineRule="exact"/>
              <w:rPr>
                <w:sz w:val="20"/>
                <w:szCs w:val="20"/>
                <w:color w:val="auto"/>
              </w:rPr>
            </w:pPr>
            <w:r>
              <w:rPr>
                <w:rFonts w:ascii="Arial" w:cs="Arial" w:eastAsia="Arial" w:hAnsi="Arial"/>
                <w:sz w:val="17"/>
                <w:szCs w:val="17"/>
                <w:color w:val="auto"/>
              </w:rPr>
              <w:t>67</w:t>
            </w: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40"/>
        </w:trPr>
        <w:tc>
          <w:tcPr>
            <w:tcW w:w="4660" w:type="dxa"/>
            <w:vAlign w:val="bottom"/>
            <w:gridSpan w:val="30"/>
          </w:tcPr>
          <w:p>
            <w:pPr>
              <w:spacing w:after="0"/>
              <w:rPr>
                <w:rFonts w:ascii="Arial" w:cs="Arial" w:eastAsia="Arial" w:hAnsi="Arial"/>
                <w:sz w:val="17"/>
                <w:szCs w:val="17"/>
                <w:color w:val="0000EE"/>
              </w:rPr>
            </w:pPr>
            <w:hyperlink w:anchor="page84">
              <w:r>
                <w:rPr>
                  <w:rFonts w:ascii="Arial" w:cs="Arial" w:eastAsia="Arial" w:hAnsi="Arial"/>
                  <w:sz w:val="17"/>
                  <w:szCs w:val="17"/>
                  <w:color w:val="0000EE"/>
                </w:rPr>
                <w:t>Proposal 4 — Ratification of Selection of</w:t>
              </w:r>
            </w:hyperlink>
          </w:p>
        </w:tc>
        <w:tc>
          <w:tcPr>
            <w:tcW w:w="320" w:type="dxa"/>
            <w:vAlign w:val="bottom"/>
          </w:tcPr>
          <w:p>
            <w:pPr>
              <w:spacing w:after="0"/>
              <w:rPr>
                <w:sz w:val="20"/>
                <w:szCs w:val="20"/>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8"/>
        </w:trPr>
        <w:tc>
          <w:tcPr>
            <w:tcW w:w="3360" w:type="dxa"/>
            <w:vAlign w:val="bottom"/>
            <w:tcBorders>
              <w:bottom w:val="single" w:sz="8" w:color="0000EE"/>
            </w:tcBorders>
            <w:gridSpan w:val="19"/>
          </w:tcPr>
          <w:p>
            <w:pPr>
              <w:spacing w:after="0" w:line="189" w:lineRule="exact"/>
              <w:rPr>
                <w:rFonts w:ascii="Arial" w:cs="Arial" w:eastAsia="Arial" w:hAnsi="Arial"/>
                <w:sz w:val="17"/>
                <w:szCs w:val="17"/>
                <w:color w:val="0000EE"/>
                <w:w w:val="92"/>
              </w:rPr>
            </w:pPr>
            <w:hyperlink w:anchor="page84">
              <w:r>
                <w:rPr>
                  <w:rFonts w:ascii="Arial" w:cs="Arial" w:eastAsia="Arial" w:hAnsi="Arial"/>
                  <w:sz w:val="17"/>
                  <w:szCs w:val="17"/>
                  <w:color w:val="0000EE"/>
                  <w:w w:val="92"/>
                </w:rPr>
                <w:t>Independent Registered Public Accounting Firm</w:t>
              </w:r>
            </w:hyperlink>
          </w:p>
        </w:tc>
        <w:tc>
          <w:tcPr>
            <w:tcW w:w="1300" w:type="dxa"/>
            <w:vAlign w:val="bottom"/>
            <w:gridSpan w:val="11"/>
          </w:tcPr>
          <w:p>
            <w:pPr>
              <w:spacing w:after="0"/>
              <w:rPr>
                <w:sz w:val="16"/>
                <w:szCs w:val="16"/>
                <w:color w:val="auto"/>
              </w:rPr>
            </w:pPr>
          </w:p>
        </w:tc>
        <w:tc>
          <w:tcPr>
            <w:tcW w:w="320" w:type="dxa"/>
            <w:vAlign w:val="bottom"/>
          </w:tcPr>
          <w:p>
            <w:pPr>
              <w:jc w:val="right"/>
              <w:spacing w:after="0" w:line="189" w:lineRule="exact"/>
              <w:rPr>
                <w:sz w:val="20"/>
                <w:szCs w:val="20"/>
                <w:color w:val="auto"/>
              </w:rPr>
            </w:pPr>
            <w:r>
              <w:rPr>
                <w:rFonts w:ascii="Arial" w:cs="Arial" w:eastAsia="Arial" w:hAnsi="Arial"/>
                <w:sz w:val="17"/>
                <w:szCs w:val="17"/>
                <w:color w:val="auto"/>
              </w:rPr>
              <w:t>73</w:t>
            </w:r>
          </w:p>
        </w:tc>
      </w:tr>
      <w:tr>
        <w:trPr>
          <w:trHeight w:val="240"/>
        </w:trPr>
        <w:tc>
          <w:tcPr>
            <w:tcW w:w="200" w:type="dxa"/>
            <w:vAlign w:val="bottom"/>
          </w:tcPr>
          <w:p>
            <w:pPr>
              <w:spacing w:after="0"/>
              <w:rPr>
                <w:sz w:val="20"/>
                <w:szCs w:val="20"/>
                <w:color w:val="auto"/>
              </w:rPr>
            </w:pPr>
          </w:p>
        </w:tc>
        <w:tc>
          <w:tcPr>
            <w:tcW w:w="4460" w:type="dxa"/>
            <w:vAlign w:val="bottom"/>
            <w:gridSpan w:val="29"/>
          </w:tcPr>
          <w:p>
            <w:pPr>
              <w:spacing w:after="0"/>
              <w:rPr>
                <w:rFonts w:ascii="Arial" w:cs="Arial" w:eastAsia="Arial" w:hAnsi="Arial"/>
                <w:sz w:val="17"/>
                <w:szCs w:val="17"/>
                <w:color w:val="0000EE"/>
              </w:rPr>
            </w:pPr>
            <w:hyperlink w:anchor="page85">
              <w:r>
                <w:rPr>
                  <w:rFonts w:ascii="Arial" w:cs="Arial" w:eastAsia="Arial" w:hAnsi="Arial"/>
                  <w:sz w:val="17"/>
                  <w:szCs w:val="17"/>
                  <w:color w:val="0000EE"/>
                </w:rPr>
                <w:t>Independent Registered Public Accounting Firm Fees</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0"/>
        </w:trPr>
        <w:tc>
          <w:tcPr>
            <w:tcW w:w="2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40"/>
        </w:trPr>
        <w:tc>
          <w:tcPr>
            <w:tcW w:w="200" w:type="dxa"/>
            <w:vAlign w:val="bottom"/>
          </w:tcPr>
          <w:p>
            <w:pPr>
              <w:spacing w:after="0"/>
              <w:rPr>
                <w:sz w:val="20"/>
                <w:szCs w:val="20"/>
                <w:color w:val="auto"/>
              </w:rPr>
            </w:pPr>
          </w:p>
        </w:tc>
        <w:tc>
          <w:tcPr>
            <w:tcW w:w="3920" w:type="dxa"/>
            <w:vAlign w:val="bottom"/>
            <w:tcBorders>
              <w:bottom w:val="single" w:sz="8" w:color="0000EE"/>
            </w:tcBorders>
            <w:gridSpan w:val="27"/>
          </w:tcPr>
          <w:p>
            <w:pPr>
              <w:spacing w:after="0"/>
              <w:rPr>
                <w:rFonts w:ascii="Arial" w:cs="Arial" w:eastAsia="Arial" w:hAnsi="Arial"/>
                <w:sz w:val="17"/>
                <w:szCs w:val="17"/>
                <w:color w:val="0000EE"/>
                <w:w w:val="93"/>
              </w:rPr>
            </w:pPr>
            <w:hyperlink w:anchor="page85">
              <w:r>
                <w:rPr>
                  <w:rFonts w:ascii="Arial" w:cs="Arial" w:eastAsia="Arial" w:hAnsi="Arial"/>
                  <w:sz w:val="17"/>
                  <w:szCs w:val="17"/>
                  <w:color w:val="0000EE"/>
                  <w:w w:val="93"/>
                </w:rPr>
                <w:t>Audit Committee’s Pre-Approval Policy and Procedures</w:t>
              </w:r>
            </w:hyperlink>
          </w:p>
        </w:tc>
        <w:tc>
          <w:tcPr>
            <w:tcW w:w="540" w:type="dxa"/>
            <w:vAlign w:val="bottom"/>
            <w:gridSpan w:val="2"/>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40"/>
        </w:trPr>
        <w:tc>
          <w:tcPr>
            <w:tcW w:w="200" w:type="dxa"/>
            <w:vAlign w:val="bottom"/>
          </w:tcPr>
          <w:p>
            <w:pPr>
              <w:spacing w:after="0"/>
              <w:rPr>
                <w:sz w:val="20"/>
                <w:szCs w:val="20"/>
                <w:color w:val="auto"/>
              </w:rPr>
            </w:pPr>
          </w:p>
        </w:tc>
        <w:tc>
          <w:tcPr>
            <w:tcW w:w="4460" w:type="dxa"/>
            <w:vAlign w:val="bottom"/>
            <w:gridSpan w:val="29"/>
          </w:tcPr>
          <w:p>
            <w:pPr>
              <w:spacing w:after="0"/>
              <w:rPr>
                <w:rFonts w:ascii="Arial" w:cs="Arial" w:eastAsia="Arial" w:hAnsi="Arial"/>
                <w:sz w:val="17"/>
                <w:szCs w:val="17"/>
                <w:color w:val="0000EE"/>
              </w:rPr>
            </w:pPr>
            <w:hyperlink w:anchor="page86">
              <w:r>
                <w:rPr>
                  <w:rFonts w:ascii="Arial" w:cs="Arial" w:eastAsia="Arial" w:hAnsi="Arial"/>
                  <w:sz w:val="17"/>
                  <w:szCs w:val="17"/>
                  <w:color w:val="0000EE"/>
                </w:rPr>
                <w:t>Audit Committee Report</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0"/>
        </w:trPr>
        <w:tc>
          <w:tcPr>
            <w:tcW w:w="2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40"/>
        </w:trPr>
        <w:tc>
          <w:tcPr>
            <w:tcW w:w="960" w:type="dxa"/>
            <w:vAlign w:val="bottom"/>
            <w:tcBorders>
              <w:bottom w:val="single" w:sz="8" w:color="0000EE"/>
            </w:tcBorders>
            <w:gridSpan w:val="4"/>
          </w:tcPr>
          <w:p>
            <w:pPr>
              <w:spacing w:after="0"/>
              <w:rPr>
                <w:rFonts w:ascii="Arial" w:cs="Arial" w:eastAsia="Arial" w:hAnsi="Arial"/>
                <w:sz w:val="17"/>
                <w:szCs w:val="17"/>
                <w:color w:val="0000EE"/>
                <w:w w:val="90"/>
              </w:rPr>
            </w:pPr>
            <w:hyperlink w:anchor="page87">
              <w:r>
                <w:rPr>
                  <w:rFonts w:ascii="Arial" w:cs="Arial" w:eastAsia="Arial" w:hAnsi="Arial"/>
                  <w:sz w:val="17"/>
                  <w:szCs w:val="17"/>
                  <w:color w:val="0000EE"/>
                  <w:w w:val="90"/>
                </w:rPr>
                <w:t>Other Matters</w:t>
              </w:r>
            </w:hyperlink>
          </w:p>
        </w:tc>
        <w:tc>
          <w:tcPr>
            <w:tcW w:w="3700" w:type="dxa"/>
            <w:vAlign w:val="bottom"/>
            <w:gridSpan w:val="26"/>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76</w:t>
            </w:r>
          </w:p>
        </w:tc>
      </w:tr>
      <w:tr>
        <w:trPr>
          <w:trHeight w:val="240"/>
        </w:trPr>
        <w:tc>
          <w:tcPr>
            <w:tcW w:w="4660" w:type="dxa"/>
            <w:vAlign w:val="bottom"/>
            <w:gridSpan w:val="30"/>
          </w:tcPr>
          <w:p>
            <w:pPr>
              <w:spacing w:after="0"/>
              <w:rPr>
                <w:rFonts w:ascii="Arial" w:cs="Arial" w:eastAsia="Arial" w:hAnsi="Arial"/>
                <w:sz w:val="17"/>
                <w:szCs w:val="17"/>
                <w:color w:val="0000EE"/>
              </w:rPr>
            </w:pPr>
            <w:hyperlink w:anchor="page88">
              <w:r>
                <w:rPr>
                  <w:rFonts w:ascii="Arial" w:cs="Arial" w:eastAsia="Arial" w:hAnsi="Arial"/>
                  <w:sz w:val="17"/>
                  <w:szCs w:val="17"/>
                  <w:color w:val="0000EE"/>
                </w:rPr>
                <w:t>Q&amp;A About Annual Meeting and Voting</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240"/>
        </w:trPr>
        <w:tc>
          <w:tcPr>
            <w:tcW w:w="2860" w:type="dxa"/>
            <w:vAlign w:val="bottom"/>
            <w:tcBorders>
              <w:top w:val="single" w:sz="8" w:color="0000EE"/>
            </w:tcBorders>
            <w:gridSpan w:val="14"/>
          </w:tcPr>
          <w:p>
            <w:pPr>
              <w:spacing w:after="0"/>
              <w:rPr>
                <w:rFonts w:ascii="Arial" w:cs="Arial" w:eastAsia="Arial" w:hAnsi="Arial"/>
                <w:sz w:val="17"/>
                <w:szCs w:val="17"/>
                <w:color w:val="0000EE"/>
              </w:rPr>
            </w:pPr>
            <w:hyperlink w:anchor="page92">
              <w:r>
                <w:rPr>
                  <w:rFonts w:ascii="Arial" w:cs="Arial" w:eastAsia="Arial" w:hAnsi="Arial"/>
                  <w:sz w:val="17"/>
                  <w:szCs w:val="17"/>
                  <w:color w:val="0000EE"/>
                </w:rPr>
                <w:t>Additional Information</w:t>
              </w:r>
            </w:hyperlink>
          </w:p>
        </w:tc>
        <w:tc>
          <w:tcPr>
            <w:tcW w:w="1800" w:type="dxa"/>
            <w:vAlign w:val="bottom"/>
            <w:gridSpan w:val="16"/>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20"/>
        </w:trPr>
        <w:tc>
          <w:tcPr>
            <w:tcW w:w="200" w:type="dxa"/>
            <w:vAlign w:val="bottom"/>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40"/>
        </w:trPr>
        <w:tc>
          <w:tcPr>
            <w:tcW w:w="200" w:type="dxa"/>
            <w:vAlign w:val="bottom"/>
          </w:tcPr>
          <w:p>
            <w:pPr>
              <w:spacing w:after="0"/>
              <w:rPr>
                <w:sz w:val="20"/>
                <w:szCs w:val="20"/>
                <w:color w:val="auto"/>
              </w:rPr>
            </w:pPr>
          </w:p>
        </w:tc>
        <w:tc>
          <w:tcPr>
            <w:tcW w:w="3040" w:type="dxa"/>
            <w:vAlign w:val="bottom"/>
            <w:tcBorders>
              <w:bottom w:val="single" w:sz="8" w:color="0000EE"/>
            </w:tcBorders>
            <w:gridSpan w:val="15"/>
          </w:tcPr>
          <w:p>
            <w:pPr>
              <w:spacing w:after="0"/>
              <w:rPr>
                <w:rFonts w:ascii="Arial" w:cs="Arial" w:eastAsia="Arial" w:hAnsi="Arial"/>
                <w:sz w:val="17"/>
                <w:szCs w:val="17"/>
                <w:color w:val="0000EE"/>
                <w:w w:val="94"/>
              </w:rPr>
            </w:pPr>
            <w:hyperlink w:anchor="page92">
              <w:r>
                <w:rPr>
                  <w:rFonts w:ascii="Arial" w:cs="Arial" w:eastAsia="Arial" w:hAnsi="Arial"/>
                  <w:sz w:val="17"/>
                  <w:szCs w:val="17"/>
                  <w:color w:val="0000EE"/>
                  <w:w w:val="94"/>
                </w:rPr>
                <w:t>Householding of Annual Meeting Materials</w:t>
              </w:r>
            </w:hyperlink>
          </w:p>
        </w:tc>
        <w:tc>
          <w:tcPr>
            <w:tcW w:w="1420" w:type="dxa"/>
            <w:vAlign w:val="bottom"/>
            <w:gridSpan w:val="14"/>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240"/>
        </w:trPr>
        <w:tc>
          <w:tcPr>
            <w:tcW w:w="200" w:type="dxa"/>
            <w:vAlign w:val="bottom"/>
          </w:tcPr>
          <w:p>
            <w:pPr>
              <w:spacing w:after="0"/>
              <w:rPr>
                <w:sz w:val="20"/>
                <w:szCs w:val="20"/>
                <w:color w:val="auto"/>
              </w:rPr>
            </w:pPr>
          </w:p>
        </w:tc>
        <w:tc>
          <w:tcPr>
            <w:tcW w:w="4460" w:type="dxa"/>
            <w:vAlign w:val="bottom"/>
            <w:gridSpan w:val="29"/>
          </w:tcPr>
          <w:p>
            <w:pPr>
              <w:spacing w:after="0"/>
              <w:rPr>
                <w:rFonts w:ascii="Arial" w:cs="Arial" w:eastAsia="Arial" w:hAnsi="Arial"/>
                <w:sz w:val="17"/>
                <w:szCs w:val="17"/>
                <w:color w:val="0000EE"/>
              </w:rPr>
            </w:pPr>
            <w:hyperlink w:anchor="page92">
              <w:r>
                <w:rPr>
                  <w:rFonts w:ascii="Arial" w:cs="Arial" w:eastAsia="Arial" w:hAnsi="Arial"/>
                  <w:sz w:val="17"/>
                  <w:szCs w:val="17"/>
                  <w:color w:val="0000EE"/>
                </w:rPr>
                <w:t>Security Ownership of Certain Beneficial Owners</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20"/>
        </w:trPr>
        <w:tc>
          <w:tcPr>
            <w:tcW w:w="20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960" w:type="dxa"/>
            <w:vAlign w:val="bottom"/>
            <w:tcBorders>
              <w:left w:val="single" w:sz="8" w:color="0000EE"/>
            </w:tcBorders>
            <w:gridSpan w:val="8"/>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40"/>
        </w:trPr>
        <w:tc>
          <w:tcPr>
            <w:tcW w:w="200" w:type="dxa"/>
            <w:vAlign w:val="bottom"/>
          </w:tcPr>
          <w:p>
            <w:pPr>
              <w:spacing w:after="0"/>
              <w:rPr>
                <w:sz w:val="20"/>
                <w:szCs w:val="20"/>
                <w:color w:val="auto"/>
              </w:rPr>
            </w:pPr>
          </w:p>
        </w:tc>
        <w:tc>
          <w:tcPr>
            <w:tcW w:w="3900" w:type="dxa"/>
            <w:vAlign w:val="bottom"/>
            <w:tcBorders>
              <w:bottom w:val="single" w:sz="8" w:color="0000EE"/>
            </w:tcBorders>
            <w:gridSpan w:val="26"/>
          </w:tcPr>
          <w:p>
            <w:pPr>
              <w:spacing w:after="0"/>
              <w:rPr>
                <w:rFonts w:ascii="Arial" w:cs="Arial" w:eastAsia="Arial" w:hAnsi="Arial"/>
                <w:sz w:val="17"/>
                <w:szCs w:val="17"/>
                <w:color w:val="0000EE"/>
                <w:w w:val="93"/>
              </w:rPr>
            </w:pPr>
            <w:hyperlink w:anchor="page93">
              <w:r>
                <w:rPr>
                  <w:rFonts w:ascii="Arial" w:cs="Arial" w:eastAsia="Arial" w:hAnsi="Arial"/>
                  <w:sz w:val="17"/>
                  <w:szCs w:val="17"/>
                  <w:color w:val="0000EE"/>
                  <w:w w:val="93"/>
                </w:rPr>
                <w:t>Security Ownership of Directors and Executive Officers</w:t>
              </w:r>
            </w:hyperlink>
          </w:p>
        </w:tc>
        <w:tc>
          <w:tcPr>
            <w:tcW w:w="560" w:type="dxa"/>
            <w:vAlign w:val="bottom"/>
            <w:gridSpan w:val="3"/>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240"/>
        </w:trPr>
        <w:tc>
          <w:tcPr>
            <w:tcW w:w="200" w:type="dxa"/>
            <w:vAlign w:val="bottom"/>
          </w:tcPr>
          <w:p>
            <w:pPr>
              <w:spacing w:after="0"/>
              <w:rPr>
                <w:sz w:val="20"/>
                <w:szCs w:val="20"/>
                <w:color w:val="auto"/>
              </w:rPr>
            </w:pPr>
          </w:p>
        </w:tc>
        <w:tc>
          <w:tcPr>
            <w:tcW w:w="4460" w:type="dxa"/>
            <w:vAlign w:val="bottom"/>
            <w:gridSpan w:val="29"/>
          </w:tcPr>
          <w:p>
            <w:pPr>
              <w:spacing w:after="0"/>
              <w:rPr>
                <w:rFonts w:ascii="Arial" w:cs="Arial" w:eastAsia="Arial" w:hAnsi="Arial"/>
                <w:sz w:val="17"/>
                <w:szCs w:val="17"/>
                <w:color w:val="0000EE"/>
              </w:rPr>
            </w:pPr>
            <w:hyperlink w:anchor="page94">
              <w:r>
                <w:rPr>
                  <w:rFonts w:ascii="Arial" w:cs="Arial" w:eastAsia="Arial" w:hAnsi="Arial"/>
                  <w:sz w:val="17"/>
                  <w:szCs w:val="17"/>
                  <w:color w:val="0000EE"/>
                </w:rPr>
                <w:t>Delinquent Section 16(a) Reports</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83</w:t>
            </w:r>
          </w:p>
        </w:tc>
      </w:tr>
      <w:tr>
        <w:trPr>
          <w:trHeight w:val="20"/>
        </w:trPr>
        <w:tc>
          <w:tcPr>
            <w:tcW w:w="200" w:type="dxa"/>
            <w:vAlign w:val="bottom"/>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40"/>
        </w:trPr>
        <w:tc>
          <w:tcPr>
            <w:tcW w:w="3540" w:type="dxa"/>
            <w:vAlign w:val="bottom"/>
            <w:tcBorders>
              <w:bottom w:val="single" w:sz="8" w:color="0000EE"/>
            </w:tcBorders>
            <w:gridSpan w:val="21"/>
          </w:tcPr>
          <w:p>
            <w:pPr>
              <w:spacing w:after="0"/>
              <w:rPr>
                <w:rFonts w:ascii="Arial" w:cs="Arial" w:eastAsia="Arial" w:hAnsi="Arial"/>
                <w:sz w:val="17"/>
                <w:szCs w:val="17"/>
                <w:color w:val="0000EE"/>
                <w:w w:val="94"/>
              </w:rPr>
            </w:pPr>
            <w:hyperlink w:anchor="page95">
              <w:r>
                <w:rPr>
                  <w:rFonts w:ascii="Arial" w:cs="Arial" w:eastAsia="Arial" w:hAnsi="Arial"/>
                  <w:sz w:val="17"/>
                  <w:szCs w:val="17"/>
                  <w:color w:val="0000EE"/>
                  <w:w w:val="94"/>
                </w:rPr>
                <w:t>Appendix A: Reconciliation of GAAP Measures to</w:t>
              </w:r>
            </w:hyperlink>
          </w:p>
        </w:tc>
        <w:tc>
          <w:tcPr>
            <w:tcW w:w="1120" w:type="dxa"/>
            <w:vAlign w:val="bottom"/>
            <w:gridSpan w:val="9"/>
          </w:tcPr>
          <w:p>
            <w:pPr>
              <w:spacing w:after="0"/>
              <w:rPr>
                <w:sz w:val="20"/>
                <w:szCs w:val="20"/>
                <w:color w:val="auto"/>
              </w:rPr>
            </w:pPr>
          </w:p>
        </w:tc>
        <w:tc>
          <w:tcPr>
            <w:tcW w:w="320" w:type="dxa"/>
            <w:vAlign w:val="bottom"/>
          </w:tcPr>
          <w:p>
            <w:pPr>
              <w:spacing w:after="0"/>
              <w:rPr>
                <w:sz w:val="20"/>
                <w:szCs w:val="20"/>
                <w:color w:val="auto"/>
              </w:rPr>
            </w:pPr>
          </w:p>
        </w:tc>
      </w:tr>
      <w:tr>
        <w:trPr>
          <w:trHeight w:val="188"/>
        </w:trPr>
        <w:tc>
          <w:tcPr>
            <w:tcW w:w="4660" w:type="dxa"/>
            <w:vAlign w:val="bottom"/>
            <w:gridSpan w:val="30"/>
          </w:tcPr>
          <w:p>
            <w:pPr>
              <w:spacing w:after="0" w:line="189" w:lineRule="exact"/>
              <w:rPr>
                <w:rFonts w:ascii="Arial" w:cs="Arial" w:eastAsia="Arial" w:hAnsi="Arial"/>
                <w:sz w:val="17"/>
                <w:szCs w:val="17"/>
                <w:color w:val="0000EE"/>
              </w:rPr>
            </w:pPr>
            <w:hyperlink w:anchor="page95">
              <w:r>
                <w:rPr>
                  <w:rFonts w:ascii="Arial" w:cs="Arial" w:eastAsia="Arial" w:hAnsi="Arial"/>
                  <w:sz w:val="17"/>
                  <w:szCs w:val="17"/>
                  <w:color w:val="0000EE"/>
                </w:rPr>
                <w:t>Non-GAAP Measures</w:t>
              </w:r>
            </w:hyperlink>
          </w:p>
        </w:tc>
        <w:tc>
          <w:tcPr>
            <w:tcW w:w="320" w:type="dxa"/>
            <w:vAlign w:val="bottom"/>
          </w:tcPr>
          <w:p>
            <w:pPr>
              <w:jc w:val="right"/>
              <w:spacing w:after="0" w:line="189" w:lineRule="exact"/>
              <w:rPr>
                <w:sz w:val="20"/>
                <w:szCs w:val="20"/>
                <w:color w:val="auto"/>
              </w:rPr>
            </w:pPr>
            <w:r>
              <w:rPr>
                <w:rFonts w:ascii="Arial" w:cs="Arial" w:eastAsia="Arial" w:hAnsi="Arial"/>
                <w:sz w:val="17"/>
                <w:szCs w:val="17"/>
                <w:color w:val="auto"/>
              </w:rPr>
              <w:t>84</w:t>
            </w:r>
          </w:p>
        </w:tc>
      </w:tr>
      <w:tr>
        <w:trPr>
          <w:trHeight w:val="20"/>
        </w:trPr>
        <w:tc>
          <w:tcPr>
            <w:tcW w:w="1520" w:type="dxa"/>
            <w:vAlign w:val="bottom"/>
            <w:gridSpan w:val="6"/>
            <w:shd w:val="clear" w:color="auto" w:fill="0000EE"/>
          </w:tcPr>
          <w:p>
            <w:pPr>
              <w:spacing w:after="0" w:line="20" w:lineRule="exact"/>
              <w:rPr>
                <w:sz w:val="1"/>
                <w:szCs w:val="1"/>
                <w:color w:val="auto"/>
              </w:rPr>
            </w:pPr>
          </w:p>
        </w:tc>
        <w:tc>
          <w:tcPr>
            <w:tcW w:w="1960" w:type="dxa"/>
            <w:vAlign w:val="bottom"/>
            <w:gridSpan w:val="14"/>
          </w:tcPr>
          <w:p>
            <w:pPr>
              <w:spacing w:after="0" w:line="20" w:lineRule="exact"/>
              <w:rPr>
                <w:sz w:val="1"/>
                <w:szCs w:val="1"/>
                <w:color w:val="auto"/>
              </w:rPr>
            </w:pPr>
          </w:p>
        </w:tc>
        <w:tc>
          <w:tcPr>
            <w:tcW w:w="1180" w:type="dxa"/>
            <w:vAlign w:val="bottom"/>
            <w:gridSpan w:val="1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40"/>
        </w:trPr>
        <w:tc>
          <w:tcPr>
            <w:tcW w:w="3480" w:type="dxa"/>
            <w:vAlign w:val="bottom"/>
            <w:tcBorders>
              <w:bottom w:val="single" w:sz="8" w:color="0000EE"/>
            </w:tcBorders>
            <w:gridSpan w:val="20"/>
          </w:tcPr>
          <w:p>
            <w:pPr>
              <w:spacing w:after="0"/>
              <w:rPr>
                <w:rFonts w:ascii="Arial" w:cs="Arial" w:eastAsia="Arial" w:hAnsi="Arial"/>
                <w:sz w:val="17"/>
                <w:szCs w:val="17"/>
                <w:color w:val="0000EE"/>
                <w:w w:val="91"/>
              </w:rPr>
            </w:pPr>
            <w:hyperlink w:anchor="page97">
              <w:r>
                <w:rPr>
                  <w:rFonts w:ascii="Arial" w:cs="Arial" w:eastAsia="Arial" w:hAnsi="Arial"/>
                  <w:sz w:val="17"/>
                  <w:szCs w:val="17"/>
                  <w:color w:val="0000EE"/>
                  <w:w w:val="91"/>
                </w:rPr>
                <w:t>Appendix B: 2022 Employee Stock Purchase Plan</w:t>
              </w:r>
            </w:hyperlink>
          </w:p>
        </w:tc>
        <w:tc>
          <w:tcPr>
            <w:tcW w:w="1180" w:type="dxa"/>
            <w:vAlign w:val="bottom"/>
            <w:gridSpan w:val="10"/>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-3654425</wp:posOffset>
            </wp:positionH>
            <wp:positionV relativeFrom="paragraph">
              <wp:posOffset>-5955665</wp:posOffset>
            </wp:positionV>
            <wp:extent cx="7179310"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9310" cy="37465"/>
                    </a:xfrm>
                    <a:prstGeom prst="rect">
                      <a:avLst/>
                    </a:prstGeom>
                    <a:noFill/>
                  </pic:spPr>
                </pic:pic>
              </a:graphicData>
            </a:graphic>
          </wp:anchor>
        </w:drawing>
        <w:drawing>
          <wp:anchor simplePos="0" relativeHeight="251657728" behindDoc="1" locked="0" layoutInCell="0" allowOverlap="1">
            <wp:simplePos x="0" y="0"/>
            <wp:positionH relativeFrom="column">
              <wp:posOffset>462915</wp:posOffset>
            </wp:positionH>
            <wp:positionV relativeFrom="paragraph">
              <wp:posOffset>-2237740</wp:posOffset>
            </wp:positionV>
            <wp:extent cx="234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4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380"/>
            <w:col w:w="4980"/>
          </w:cols>
          <w:pgMar w:left="320" w:top="447" w:right="859" w:bottom="1440" w:gutter="0" w:footer="0" w:header="0"/>
        </w:sectPr>
      </w:pPr>
    </w:p>
    <w:p>
      <w:pPr>
        <w:spacing w:after="0" w:line="287"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33333"/>
        </w:rPr>
        <w:t>Helpful Resources</w:t>
      </w:r>
    </w:p>
    <w:p>
      <w:pPr>
        <w:spacing w:after="0" w:line="216" w:lineRule="exact"/>
        <w:rPr>
          <w:sz w:val="20"/>
          <w:szCs w:val="20"/>
          <w:color w:val="auto"/>
        </w:rPr>
      </w:pPr>
    </w:p>
    <w:p>
      <w:pPr>
        <w:ind w:left="480"/>
        <w:spacing w:after="0"/>
        <w:rPr>
          <w:sz w:val="20"/>
          <w:szCs w:val="20"/>
          <w:color w:val="auto"/>
        </w:rPr>
      </w:pPr>
      <w:r>
        <w:rPr>
          <w:rFonts w:ascii="Arial" w:cs="Arial" w:eastAsia="Arial" w:hAnsi="Arial"/>
          <w:sz w:val="17"/>
          <w:szCs w:val="17"/>
          <w:color w:val="0066BA"/>
        </w:rPr>
        <w:t>Annual Meeting</w:t>
      </w:r>
    </w:p>
    <w:p>
      <w:pPr>
        <w:spacing w:after="0" w:line="2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Proxy Statement &amp; Annual Report:</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investor.analog.com/financial-info/annual-reports</w:t>
      </w:r>
    </w:p>
    <w:p>
      <w:pPr>
        <w:spacing w:after="0" w:line="10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Voting Your Proxy via the Internet Before the Annual Meeting:</w:t>
      </w:r>
    </w:p>
    <w:p>
      <w:pPr>
        <w:spacing w:after="0" w:line="3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www.proxyvote.com</w:t>
      </w:r>
    </w:p>
    <w:p>
      <w:pPr>
        <w:spacing w:after="0" w:line="104" w:lineRule="exact"/>
        <w:rPr>
          <w:sz w:val="20"/>
          <w:szCs w:val="20"/>
          <w:color w:val="auto"/>
        </w:rPr>
      </w:pPr>
    </w:p>
    <w:p>
      <w:pPr>
        <w:ind w:left="480"/>
        <w:spacing w:after="0"/>
        <w:rPr>
          <w:sz w:val="20"/>
          <w:szCs w:val="20"/>
          <w:color w:val="auto"/>
        </w:rPr>
      </w:pPr>
      <w:r>
        <w:rPr>
          <w:rFonts w:ascii="Arial" w:cs="Arial" w:eastAsia="Arial" w:hAnsi="Arial"/>
          <w:sz w:val="17"/>
          <w:szCs w:val="17"/>
          <w:color w:val="0066BA"/>
        </w:rPr>
        <w:t>Board of Directors</w:t>
      </w:r>
    </w:p>
    <w:p>
      <w:pPr>
        <w:spacing w:after="0" w:line="2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investor.analog.com/governance/board-of-directors</w:t>
      </w:r>
    </w:p>
    <w:p>
      <w:pPr>
        <w:spacing w:after="0" w:line="104" w:lineRule="exact"/>
        <w:rPr>
          <w:sz w:val="20"/>
          <w:szCs w:val="20"/>
          <w:color w:val="auto"/>
        </w:rPr>
      </w:pPr>
    </w:p>
    <w:p>
      <w:pPr>
        <w:ind w:left="480"/>
        <w:spacing w:after="0"/>
        <w:rPr>
          <w:sz w:val="20"/>
          <w:szCs w:val="20"/>
          <w:color w:val="auto"/>
        </w:rPr>
      </w:pPr>
      <w:r>
        <w:rPr>
          <w:rFonts w:ascii="Arial" w:cs="Arial" w:eastAsia="Arial" w:hAnsi="Arial"/>
          <w:sz w:val="17"/>
          <w:szCs w:val="17"/>
          <w:color w:val="0066BA"/>
        </w:rPr>
        <w:t>Investor Relations</w:t>
      </w:r>
    </w:p>
    <w:p>
      <w:pPr>
        <w:spacing w:after="0" w:line="2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investor.analog.com</w:t>
      </w:r>
    </w:p>
    <w:p>
      <w:pPr>
        <w:spacing w:after="0" w:line="104" w:lineRule="exact"/>
        <w:rPr>
          <w:sz w:val="20"/>
          <w:szCs w:val="20"/>
          <w:color w:val="auto"/>
        </w:rPr>
      </w:pPr>
    </w:p>
    <w:p>
      <w:pPr>
        <w:ind w:left="480"/>
        <w:spacing w:after="0"/>
        <w:rPr>
          <w:sz w:val="20"/>
          <w:szCs w:val="20"/>
          <w:color w:val="auto"/>
        </w:rPr>
      </w:pPr>
      <w:r>
        <w:rPr>
          <w:rFonts w:ascii="Arial" w:cs="Arial" w:eastAsia="Arial" w:hAnsi="Arial"/>
          <w:sz w:val="17"/>
          <w:szCs w:val="17"/>
          <w:color w:val="0066BA"/>
        </w:rPr>
        <w:t>Corporate Social Responsibility</w:t>
      </w:r>
    </w:p>
    <w:p>
      <w:pPr>
        <w:spacing w:after="0" w:line="2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analog.com/csr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color w:val="0066BA"/>
        </w:rPr>
        <w:t>Governance Documents</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https://investor.analog.com/governance/governance-documents.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Corporate governance documents and policies, including:</w:t>
      </w:r>
    </w:p>
    <w:p>
      <w:pPr>
        <w:spacing w:after="0" w:line="65" w:lineRule="exact"/>
        <w:rPr>
          <w:sz w:val="20"/>
          <w:szCs w:val="20"/>
          <w:color w:val="auto"/>
        </w:rPr>
      </w:pPr>
    </w:p>
    <w:p>
      <w:pPr>
        <w:ind w:left="220" w:hanging="213"/>
        <w:spacing w:after="0"/>
        <w:tabs>
          <w:tab w:leader="none" w:pos="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Corporate Governance Guidelines</w:t>
      </w:r>
    </w:p>
    <w:p>
      <w:pPr>
        <w:spacing w:after="0" w:line="77" w:lineRule="exact"/>
        <w:rPr>
          <w:rFonts w:ascii="Arial" w:cs="Arial" w:eastAsia="Arial" w:hAnsi="Arial"/>
          <w:sz w:val="17"/>
          <w:szCs w:val="17"/>
          <w:color w:val="auto"/>
        </w:rPr>
      </w:pPr>
    </w:p>
    <w:p>
      <w:pPr>
        <w:ind w:left="220" w:hanging="213"/>
        <w:spacing w:after="0"/>
        <w:tabs>
          <w:tab w:leader="none" w:pos="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Committee Charters</w:t>
      </w:r>
    </w:p>
    <w:p>
      <w:pPr>
        <w:spacing w:after="0" w:line="77" w:lineRule="exact"/>
        <w:rPr>
          <w:rFonts w:ascii="Arial" w:cs="Arial" w:eastAsia="Arial" w:hAnsi="Arial"/>
          <w:sz w:val="17"/>
          <w:szCs w:val="17"/>
          <w:color w:val="auto"/>
        </w:rPr>
      </w:pPr>
    </w:p>
    <w:p>
      <w:pPr>
        <w:ind w:left="220" w:hanging="213"/>
        <w:spacing w:after="0"/>
        <w:tabs>
          <w:tab w:leader="none" w:pos="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Code of Business Conduct and Ethics</w:t>
      </w:r>
    </w:p>
    <w:p>
      <w:pPr>
        <w:spacing w:after="0" w:line="77" w:lineRule="exact"/>
        <w:rPr>
          <w:rFonts w:ascii="Arial" w:cs="Arial" w:eastAsia="Arial" w:hAnsi="Arial"/>
          <w:sz w:val="17"/>
          <w:szCs w:val="17"/>
          <w:color w:val="auto"/>
        </w:rPr>
      </w:pPr>
    </w:p>
    <w:p>
      <w:pPr>
        <w:ind w:left="220" w:hanging="213"/>
        <w:spacing w:after="0"/>
        <w:tabs>
          <w:tab w:leader="none" w:pos="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Related Person Transaction Policy</w:t>
      </w:r>
    </w:p>
    <w:p>
      <w:pPr>
        <w:spacing w:after="0" w:line="77" w:lineRule="exact"/>
        <w:rPr>
          <w:rFonts w:ascii="Arial" w:cs="Arial" w:eastAsia="Arial" w:hAnsi="Arial"/>
          <w:sz w:val="17"/>
          <w:szCs w:val="17"/>
          <w:color w:val="auto"/>
        </w:rPr>
      </w:pPr>
    </w:p>
    <w:p>
      <w:pPr>
        <w:ind w:left="220" w:hanging="213"/>
        <w:spacing w:after="0"/>
        <w:tabs>
          <w:tab w:leader="none" w:pos="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Stock Option and Stock-Based Award Grant Date Policy</w:t>
      </w:r>
    </w:p>
    <w:p>
      <w:pPr>
        <w:spacing w:after="0" w:line="89" w:lineRule="exact"/>
        <w:rPr>
          <w:rFonts w:ascii="Arial" w:cs="Arial" w:eastAsia="Arial" w:hAnsi="Arial"/>
          <w:sz w:val="16"/>
          <w:szCs w:val="16"/>
          <w:color w:val="auto"/>
        </w:rPr>
      </w:pPr>
    </w:p>
    <w:p>
      <w:pPr>
        <w:ind w:left="220" w:hanging="213"/>
        <w:spacing w:after="0"/>
        <w:tabs>
          <w:tab w:leader="none" w:pos="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Code of Corporate Social Responsibility</w:t>
      </w:r>
    </w:p>
    <w:p>
      <w:pPr>
        <w:spacing w:after="0" w:line="77" w:lineRule="exact"/>
        <w:rPr>
          <w:rFonts w:ascii="Arial" w:cs="Arial" w:eastAsia="Arial" w:hAnsi="Arial"/>
          <w:sz w:val="17"/>
          <w:szCs w:val="17"/>
          <w:color w:val="auto"/>
        </w:rPr>
      </w:pPr>
    </w:p>
    <w:p>
      <w:pPr>
        <w:ind w:left="220" w:hanging="213"/>
        <w:spacing w:after="0"/>
        <w:tabs>
          <w:tab w:leader="none" w:pos="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Global Tax Policy</w:t>
      </w:r>
    </w:p>
    <w:p>
      <w:pPr>
        <w:spacing w:after="0" w:line="77" w:lineRule="exact"/>
        <w:rPr>
          <w:rFonts w:ascii="Arial" w:cs="Arial" w:eastAsia="Arial" w:hAnsi="Arial"/>
          <w:sz w:val="17"/>
          <w:szCs w:val="17"/>
          <w:color w:val="auto"/>
        </w:rPr>
      </w:pPr>
    </w:p>
    <w:p>
      <w:pPr>
        <w:ind w:left="220" w:hanging="213"/>
        <w:spacing w:after="0"/>
        <w:tabs>
          <w:tab w:leader="none" w:pos="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Political Contributions and Expenditures</w:t>
      </w:r>
    </w:p>
    <w:p>
      <w:pPr>
        <w:spacing w:after="0" w:line="200" w:lineRule="exact"/>
        <w:rPr>
          <w:sz w:val="20"/>
          <w:szCs w:val="20"/>
          <w:color w:val="auto"/>
        </w:rPr>
      </w:pPr>
    </w:p>
    <w:p>
      <w:pPr>
        <w:sectPr>
          <w:pgSz w:w="11900" w:h="16838" w:orient="portrait"/>
          <w:cols w:equalWidth="0" w:num="2">
            <w:col w:w="5000" w:space="720"/>
            <w:col w:w="5000"/>
          </w:cols>
          <w:pgMar w:left="320" w:top="447" w:right="859"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A-7</w:t>
      </w:r>
    </w:p>
    <w:p>
      <w:pPr>
        <w:sectPr>
          <w:pgSz w:w="11900" w:h="16838" w:orient="portrait"/>
          <w:cols w:equalWidth="0" w:num="1">
            <w:col w:w="10720"/>
          </w:cols>
          <w:pgMar w:left="320" w:top="447" w:right="859" w:bottom="1440" w:gutter="0" w:footer="0" w:header="0"/>
          <w:type w:val="continuous"/>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52" w:lineRule="exact"/>
        <w:rPr>
          <w:sz w:val="20"/>
          <w:szCs w:val="20"/>
          <w:color w:val="auto"/>
        </w:rPr>
      </w:pPr>
    </w:p>
    <w:p>
      <w:pPr>
        <w:ind w:left="320"/>
        <w:spacing w:after="0"/>
        <w:rPr>
          <w:sz w:val="20"/>
          <w:szCs w:val="20"/>
          <w:color w:val="auto"/>
        </w:rPr>
      </w:pPr>
      <w:r>
        <w:rPr>
          <w:rFonts w:ascii="Arial" w:cs="Arial" w:eastAsia="Arial" w:hAnsi="Arial"/>
          <w:sz w:val="55"/>
          <w:szCs w:val="55"/>
          <w:b w:val="1"/>
          <w:bCs w:val="1"/>
          <w:color w:val="0066BA"/>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110490</wp:posOffset>
            </wp:positionV>
            <wp:extent cx="264160" cy="264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4160" cy="264160"/>
                    </a:xfrm>
                    <a:prstGeom prst="rect">
                      <a:avLst/>
                    </a:prstGeom>
                    <a:noFill/>
                  </pic:spPr>
                </pic:pic>
              </a:graphicData>
            </a:graphic>
          </wp:anchor>
        </w:drawing>
      </w:r>
    </w:p>
    <w:p>
      <w:pPr>
        <w:spacing w:after="0" w:line="160" w:lineRule="exact"/>
        <w:rPr>
          <w:sz w:val="20"/>
          <w:szCs w:val="20"/>
          <w:color w:val="auto"/>
        </w:rPr>
      </w:pPr>
    </w:p>
    <w:p>
      <w:pPr>
        <w:ind w:left="980"/>
        <w:spacing w:after="0"/>
        <w:rPr>
          <w:sz w:val="20"/>
          <w:szCs w:val="20"/>
          <w:color w:val="auto"/>
        </w:rPr>
      </w:pPr>
      <w:r>
        <w:rPr>
          <w:rFonts w:ascii="Arial" w:cs="Arial" w:eastAsia="Arial" w:hAnsi="Arial"/>
          <w:sz w:val="45"/>
          <w:szCs w:val="45"/>
          <w:color w:val="auto"/>
        </w:rPr>
        <w:t>VOTING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146685</wp:posOffset>
            </wp:positionV>
            <wp:extent cx="6740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320" w:right="300"/>
        <w:spacing w:after="0" w:line="286" w:lineRule="auto"/>
        <w:rPr>
          <w:sz w:val="20"/>
          <w:szCs w:val="20"/>
          <w:color w:val="auto"/>
        </w:rPr>
      </w:pPr>
      <w:r>
        <w:rPr>
          <w:rFonts w:ascii="Arial" w:cs="Arial" w:eastAsia="Arial" w:hAnsi="Arial"/>
          <w:sz w:val="17"/>
          <w:szCs w:val="17"/>
          <w:color w:val="auto"/>
        </w:rPr>
        <w:t>This proxy summary provides an overview of select information in this proxy statement. We encourage you to read the entire proxy statement before voting. Shareholders will be asked to vote on the following matters at the Annual Meeting:</w:t>
      </w:r>
    </w:p>
    <w:p>
      <w:pPr>
        <w:spacing w:after="0" w:line="197"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300" w:type="dxa"/>
            <w:vAlign w:val="bottom"/>
            <w:shd w:val="clear" w:color="auto" w:fill="0066BA"/>
          </w:tcPr>
          <w:p>
            <w:pPr>
              <w:spacing w:after="0"/>
              <w:rPr>
                <w:sz w:val="18"/>
                <w:szCs w:val="18"/>
                <w:color w:val="auto"/>
              </w:rPr>
            </w:pPr>
          </w:p>
        </w:tc>
        <w:tc>
          <w:tcPr>
            <w:tcW w:w="340" w:type="dxa"/>
            <w:vAlign w:val="bottom"/>
            <w:shd w:val="clear" w:color="auto" w:fill="0066BA"/>
          </w:tcPr>
          <w:p>
            <w:pPr>
              <w:spacing w:after="0"/>
              <w:rPr>
                <w:sz w:val="18"/>
                <w:szCs w:val="18"/>
                <w:color w:val="auto"/>
              </w:rPr>
            </w:pPr>
          </w:p>
        </w:tc>
        <w:tc>
          <w:tcPr>
            <w:tcW w:w="300" w:type="dxa"/>
            <w:vAlign w:val="bottom"/>
            <w:shd w:val="clear" w:color="auto" w:fill="0066BA"/>
          </w:tcPr>
          <w:p>
            <w:pPr>
              <w:spacing w:after="0"/>
              <w:rPr>
                <w:sz w:val="18"/>
                <w:szCs w:val="18"/>
                <w:color w:val="auto"/>
              </w:rPr>
            </w:pPr>
          </w:p>
        </w:tc>
        <w:tc>
          <w:tcPr>
            <w:tcW w:w="120" w:type="dxa"/>
            <w:vAlign w:val="bottom"/>
            <w:shd w:val="clear" w:color="auto" w:fill="0066BA"/>
          </w:tcPr>
          <w:p>
            <w:pPr>
              <w:spacing w:after="0"/>
              <w:rPr>
                <w:sz w:val="18"/>
                <w:szCs w:val="18"/>
                <w:color w:val="auto"/>
              </w:rPr>
            </w:pPr>
          </w:p>
        </w:tc>
        <w:tc>
          <w:tcPr>
            <w:tcW w:w="6680" w:type="dxa"/>
            <w:vAlign w:val="bottom"/>
            <w:shd w:val="clear" w:color="auto" w:fill="0066BA"/>
          </w:tcPr>
          <w:p>
            <w:pPr>
              <w:spacing w:after="0"/>
              <w:rPr>
                <w:sz w:val="18"/>
                <w:szCs w:val="18"/>
                <w:color w:val="auto"/>
              </w:rPr>
            </w:pPr>
          </w:p>
        </w:tc>
        <w:tc>
          <w:tcPr>
            <w:tcW w:w="1940" w:type="dxa"/>
            <w:vAlign w:val="bottom"/>
            <w:tcBorders>
              <w:right w:val="single" w:sz="8" w:color="0066BA"/>
            </w:tcBorders>
            <w:gridSpan w:val="3"/>
            <w:shd w:val="clear" w:color="auto" w:fill="0066BA"/>
          </w:tcPr>
          <w:p>
            <w:pPr>
              <w:ind w:left="120"/>
              <w:spacing w:after="0"/>
              <w:rPr>
                <w:sz w:val="20"/>
                <w:szCs w:val="20"/>
                <w:color w:val="auto"/>
              </w:rPr>
            </w:pPr>
            <w:r>
              <w:rPr>
                <w:rFonts w:ascii="Arial" w:cs="Arial" w:eastAsia="Arial" w:hAnsi="Arial"/>
                <w:sz w:val="16"/>
                <w:szCs w:val="16"/>
                <w:b w:val="1"/>
                <w:bCs w:val="1"/>
                <w:color w:val="FFFFFF"/>
              </w:rPr>
              <w:t>Board</w:t>
            </w:r>
          </w:p>
        </w:tc>
        <w:tc>
          <w:tcPr>
            <w:tcW w:w="940" w:type="dxa"/>
            <w:vAlign w:val="bottom"/>
            <w:shd w:val="clear" w:color="auto" w:fill="0066BA"/>
          </w:tcPr>
          <w:p>
            <w:pPr>
              <w:ind w:left="80"/>
              <w:spacing w:after="0"/>
              <w:rPr>
                <w:sz w:val="20"/>
                <w:szCs w:val="20"/>
                <w:color w:val="auto"/>
              </w:rPr>
            </w:pPr>
            <w:r>
              <w:rPr>
                <w:rFonts w:ascii="Arial" w:cs="Arial" w:eastAsia="Arial" w:hAnsi="Arial"/>
                <w:sz w:val="16"/>
                <w:szCs w:val="16"/>
                <w:b w:val="1"/>
                <w:bCs w:val="1"/>
                <w:color w:val="FFFFFF"/>
              </w:rPr>
              <w:t>Where to</w:t>
            </w:r>
          </w:p>
        </w:tc>
        <w:tc>
          <w:tcPr>
            <w:tcW w:w="0" w:type="dxa"/>
            <w:vAlign w:val="bottom"/>
          </w:tcPr>
          <w:p>
            <w:pPr>
              <w:spacing w:after="0"/>
              <w:rPr>
                <w:sz w:val="1"/>
                <w:szCs w:val="1"/>
                <w:color w:val="auto"/>
              </w:rPr>
            </w:pPr>
          </w:p>
        </w:tc>
      </w:tr>
      <w:tr>
        <w:trPr>
          <w:trHeight w:val="222"/>
        </w:trPr>
        <w:tc>
          <w:tcPr>
            <w:tcW w:w="940" w:type="dxa"/>
            <w:vAlign w:val="bottom"/>
            <w:gridSpan w:val="3"/>
            <w:shd w:val="clear" w:color="auto" w:fill="0066BA"/>
          </w:tcPr>
          <w:p>
            <w:pPr>
              <w:ind w:left="60"/>
              <w:spacing w:after="0"/>
              <w:rPr>
                <w:sz w:val="20"/>
                <w:szCs w:val="20"/>
                <w:color w:val="auto"/>
              </w:rPr>
            </w:pPr>
            <w:r>
              <w:rPr>
                <w:rFonts w:ascii="Arial" w:cs="Arial" w:eastAsia="Arial" w:hAnsi="Arial"/>
                <w:sz w:val="16"/>
                <w:szCs w:val="16"/>
                <w:b w:val="1"/>
                <w:bCs w:val="1"/>
                <w:color w:val="FFFFFF"/>
              </w:rPr>
              <w:t>Proposal</w:t>
            </w:r>
          </w:p>
        </w:tc>
        <w:tc>
          <w:tcPr>
            <w:tcW w:w="120" w:type="dxa"/>
            <w:vAlign w:val="bottom"/>
            <w:shd w:val="clear" w:color="auto" w:fill="0066BA"/>
          </w:tcPr>
          <w:p>
            <w:pPr>
              <w:spacing w:after="0"/>
              <w:rPr>
                <w:sz w:val="19"/>
                <w:szCs w:val="19"/>
                <w:color w:val="auto"/>
              </w:rPr>
            </w:pPr>
          </w:p>
        </w:tc>
        <w:tc>
          <w:tcPr>
            <w:tcW w:w="6680" w:type="dxa"/>
            <w:vAlign w:val="bottom"/>
            <w:shd w:val="clear" w:color="auto" w:fill="0066BA"/>
          </w:tcPr>
          <w:p>
            <w:pPr>
              <w:ind w:left="60"/>
              <w:spacing w:after="0"/>
              <w:rPr>
                <w:sz w:val="20"/>
                <w:szCs w:val="20"/>
                <w:color w:val="auto"/>
              </w:rPr>
            </w:pPr>
            <w:r>
              <w:rPr>
                <w:rFonts w:ascii="Arial" w:cs="Arial" w:eastAsia="Arial" w:hAnsi="Arial"/>
                <w:sz w:val="16"/>
                <w:szCs w:val="16"/>
                <w:b w:val="1"/>
                <w:bCs w:val="1"/>
                <w:color w:val="FFFFFF"/>
              </w:rPr>
              <w:t>Items of Business</w:t>
            </w:r>
          </w:p>
        </w:tc>
        <w:tc>
          <w:tcPr>
            <w:tcW w:w="1940" w:type="dxa"/>
            <w:vAlign w:val="bottom"/>
            <w:tcBorders>
              <w:right w:val="single" w:sz="8" w:color="0066BA"/>
            </w:tcBorders>
            <w:gridSpan w:val="3"/>
            <w:shd w:val="clear" w:color="auto" w:fill="0066BA"/>
          </w:tcPr>
          <w:p>
            <w:pPr>
              <w:ind w:left="120"/>
              <w:spacing w:after="0"/>
              <w:rPr>
                <w:sz w:val="20"/>
                <w:szCs w:val="20"/>
                <w:color w:val="auto"/>
              </w:rPr>
            </w:pPr>
            <w:r>
              <w:rPr>
                <w:rFonts w:ascii="Arial" w:cs="Arial" w:eastAsia="Arial" w:hAnsi="Arial"/>
                <w:sz w:val="16"/>
                <w:szCs w:val="16"/>
                <w:b w:val="1"/>
                <w:bCs w:val="1"/>
                <w:color w:val="FFFFFF"/>
              </w:rPr>
              <w:t>Recommendation</w:t>
            </w:r>
          </w:p>
        </w:tc>
        <w:tc>
          <w:tcPr>
            <w:tcW w:w="940" w:type="dxa"/>
            <w:vAlign w:val="bottom"/>
            <w:shd w:val="clear" w:color="auto" w:fill="0066BA"/>
          </w:tcPr>
          <w:p>
            <w:pPr>
              <w:jc w:val="center"/>
              <w:spacing w:after="0"/>
              <w:rPr>
                <w:sz w:val="20"/>
                <w:szCs w:val="20"/>
                <w:color w:val="auto"/>
              </w:rPr>
            </w:pPr>
            <w:r>
              <w:rPr>
                <w:rFonts w:ascii="Arial" w:cs="Arial" w:eastAsia="Arial" w:hAnsi="Arial"/>
                <w:sz w:val="16"/>
                <w:szCs w:val="16"/>
                <w:b w:val="1"/>
                <w:bCs w:val="1"/>
                <w:color w:val="FFFFFF"/>
                <w:w w:val="88"/>
              </w:rPr>
              <w:t>Find Details</w:t>
            </w:r>
          </w:p>
        </w:tc>
        <w:tc>
          <w:tcPr>
            <w:tcW w:w="0" w:type="dxa"/>
            <w:vAlign w:val="bottom"/>
          </w:tcPr>
          <w:p>
            <w:pPr>
              <w:spacing w:after="0"/>
              <w:rPr>
                <w:sz w:val="1"/>
                <w:szCs w:val="1"/>
                <w:color w:val="auto"/>
              </w:rPr>
            </w:pPr>
          </w:p>
        </w:tc>
      </w:tr>
      <w:tr>
        <w:trPr>
          <w:trHeight w:val="78"/>
        </w:trPr>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shd w:val="clear" w:color="auto" w:fill="F2F2F2"/>
          </w:tcPr>
          <w:p>
            <w:pPr>
              <w:spacing w:after="0"/>
              <w:rPr>
                <w:sz w:val="6"/>
                <w:szCs w:val="6"/>
                <w:color w:val="auto"/>
              </w:rPr>
            </w:pPr>
          </w:p>
        </w:tc>
        <w:tc>
          <w:tcPr>
            <w:tcW w:w="6680" w:type="dxa"/>
            <w:vAlign w:val="bottom"/>
            <w:shd w:val="clear" w:color="auto" w:fill="F2F2F2"/>
          </w:tcPr>
          <w:p>
            <w:pPr>
              <w:spacing w:after="0"/>
              <w:rPr>
                <w:sz w:val="6"/>
                <w:szCs w:val="6"/>
                <w:color w:val="auto"/>
              </w:rPr>
            </w:pPr>
          </w:p>
        </w:tc>
        <w:tc>
          <w:tcPr>
            <w:tcW w:w="500" w:type="dxa"/>
            <w:vAlign w:val="bottom"/>
          </w:tcPr>
          <w:p>
            <w:pPr>
              <w:spacing w:after="0"/>
              <w:rPr>
                <w:sz w:val="6"/>
                <w:szCs w:val="6"/>
                <w:color w:val="auto"/>
              </w:rPr>
            </w:pPr>
          </w:p>
        </w:tc>
        <w:tc>
          <w:tcPr>
            <w:tcW w:w="940" w:type="dxa"/>
            <w:vAlign w:val="bottom"/>
          </w:tcPr>
          <w:p>
            <w:pPr>
              <w:spacing w:after="0"/>
              <w:rPr>
                <w:sz w:val="6"/>
                <w:szCs w:val="6"/>
                <w:color w:val="auto"/>
              </w:rPr>
            </w:pPr>
          </w:p>
        </w:tc>
        <w:tc>
          <w:tcPr>
            <w:tcW w:w="500" w:type="dxa"/>
            <w:vAlign w:val="bottom"/>
            <w:tcBorders>
              <w:right w:val="single" w:sz="8" w:color="F2F2F2"/>
            </w:tcBorders>
            <w:vMerge w:val="restart"/>
          </w:tcPr>
          <w:p>
            <w:pPr>
              <w:spacing w:after="0"/>
              <w:rPr>
                <w:sz w:val="6"/>
                <w:szCs w:val="6"/>
                <w:color w:val="auto"/>
              </w:rPr>
            </w:pPr>
          </w:p>
        </w:tc>
        <w:tc>
          <w:tcPr>
            <w:tcW w:w="940" w:type="dxa"/>
            <w:vAlign w:val="bottom"/>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30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shd w:val="clear" w:color="auto" w:fill="F2F2F2"/>
          </w:tcPr>
          <w:p>
            <w:pPr>
              <w:spacing w:after="0"/>
              <w:rPr>
                <w:sz w:val="5"/>
                <w:szCs w:val="5"/>
                <w:color w:val="auto"/>
              </w:rPr>
            </w:pPr>
          </w:p>
        </w:tc>
        <w:tc>
          <w:tcPr>
            <w:tcW w:w="6680" w:type="dxa"/>
            <w:vAlign w:val="bottom"/>
            <w:shd w:val="clear" w:color="auto" w:fill="F2F2F2"/>
          </w:tcPr>
          <w:p>
            <w:pPr>
              <w:spacing w:after="0"/>
              <w:rPr>
                <w:sz w:val="5"/>
                <w:szCs w:val="5"/>
                <w:color w:val="auto"/>
              </w:rPr>
            </w:pPr>
          </w:p>
        </w:tc>
        <w:tc>
          <w:tcPr>
            <w:tcW w:w="500" w:type="dxa"/>
            <w:vAlign w:val="bottom"/>
            <w:vMerge w:val="restart"/>
          </w:tcPr>
          <w:p>
            <w:pPr>
              <w:spacing w:after="0"/>
              <w:rPr>
                <w:sz w:val="5"/>
                <w:szCs w:val="5"/>
                <w:color w:val="auto"/>
              </w:rPr>
            </w:pPr>
          </w:p>
        </w:tc>
        <w:tc>
          <w:tcPr>
            <w:tcW w:w="940" w:type="dxa"/>
            <w:vAlign w:val="bottom"/>
            <w:vMerge w:val="restart"/>
            <w:shd w:val="clear" w:color="auto" w:fill="0066BA"/>
          </w:tcPr>
          <w:p>
            <w:pPr>
              <w:ind w:left="440"/>
              <w:spacing w:after="0" w:line="201" w:lineRule="exact"/>
              <w:rPr>
                <w:sz w:val="20"/>
                <w:szCs w:val="20"/>
                <w:color w:val="auto"/>
              </w:rPr>
            </w:pPr>
            <w:r>
              <w:rPr>
                <w:rFonts w:ascii="Arial" w:cs="Arial" w:eastAsia="Arial" w:hAnsi="Arial"/>
                <w:sz w:val="21"/>
                <w:szCs w:val="21"/>
                <w:color w:val="FFFFFF"/>
                <w:shd w:val="clear" w:color="auto" w:fill="0066BA"/>
              </w:rPr>
              <w:t>FOR</w:t>
            </w:r>
          </w:p>
        </w:tc>
        <w:tc>
          <w:tcPr>
            <w:tcW w:w="500" w:type="dxa"/>
            <w:vAlign w:val="bottom"/>
            <w:tcBorders>
              <w:right w:val="single" w:sz="8" w:color="F2F2F2"/>
            </w:tcBorders>
            <w:vMerge w:val="continue"/>
          </w:tcPr>
          <w:p>
            <w:pPr>
              <w:spacing w:after="0"/>
              <w:rPr>
                <w:sz w:val="5"/>
                <w:szCs w:val="5"/>
                <w:color w:val="auto"/>
              </w:rPr>
            </w:pPr>
          </w:p>
        </w:tc>
        <w:tc>
          <w:tcPr>
            <w:tcW w:w="940" w:type="dxa"/>
            <w:vAlign w:val="bottom"/>
            <w:vMerge w:val="restart"/>
            <w:shd w:val="clear" w:color="auto" w:fill="F2F2F2"/>
          </w:tcPr>
          <w:p>
            <w:pPr>
              <w:jc w:val="center"/>
              <w:spacing w:after="0"/>
              <w:rPr>
                <w:sz w:val="20"/>
                <w:szCs w:val="20"/>
                <w:color w:val="auto"/>
              </w:rPr>
            </w:pPr>
            <w:r>
              <w:rPr>
                <w:rFonts w:ascii="Arial" w:cs="Arial" w:eastAsia="Arial" w:hAnsi="Arial"/>
                <w:sz w:val="21"/>
                <w:szCs w:val="21"/>
                <w:color w:val="auto"/>
                <w:w w:val="93"/>
              </w:rPr>
              <w:t>11</w:t>
            </w:r>
          </w:p>
        </w:tc>
        <w:tc>
          <w:tcPr>
            <w:tcW w:w="0" w:type="dxa"/>
            <w:vAlign w:val="bottom"/>
          </w:tcPr>
          <w:p>
            <w:pPr>
              <w:spacing w:after="0"/>
              <w:rPr>
                <w:sz w:val="1"/>
                <w:szCs w:val="1"/>
                <w:color w:val="auto"/>
              </w:rPr>
            </w:pPr>
          </w:p>
        </w:tc>
      </w:tr>
      <w:tr>
        <w:trPr>
          <w:trHeight w:val="156"/>
        </w:trPr>
        <w:tc>
          <w:tcPr>
            <w:tcW w:w="300" w:type="dxa"/>
            <w:vAlign w:val="bottom"/>
            <w:vMerge w:val="continue"/>
          </w:tcPr>
          <w:p>
            <w:pPr>
              <w:spacing w:after="0"/>
              <w:rPr>
                <w:sz w:val="13"/>
                <w:szCs w:val="13"/>
                <w:color w:val="auto"/>
              </w:rPr>
            </w:pPr>
          </w:p>
        </w:tc>
        <w:tc>
          <w:tcPr>
            <w:tcW w:w="340" w:type="dxa"/>
            <w:vAlign w:val="bottom"/>
            <w:vMerge w:val="restart"/>
            <w:shd w:val="clear" w:color="auto" w:fill="0066BA"/>
          </w:tcPr>
          <w:p>
            <w:pPr>
              <w:jc w:val="right"/>
              <w:ind w:right="16"/>
              <w:spacing w:after="0" w:line="221" w:lineRule="exact"/>
              <w:rPr>
                <w:sz w:val="20"/>
                <w:szCs w:val="20"/>
                <w:color w:val="auto"/>
              </w:rPr>
            </w:pPr>
            <w:r>
              <w:rPr>
                <w:rFonts w:ascii="Arial" w:cs="Arial" w:eastAsia="Arial" w:hAnsi="Arial"/>
                <w:sz w:val="21"/>
                <w:szCs w:val="21"/>
                <w:color w:val="FFFFFF"/>
                <w:shd w:val="clear" w:color="auto" w:fill="0066BA"/>
              </w:rPr>
              <w:t>1</w:t>
            </w:r>
          </w:p>
        </w:tc>
        <w:tc>
          <w:tcPr>
            <w:tcW w:w="300" w:type="dxa"/>
            <w:vAlign w:val="bottom"/>
          </w:tcPr>
          <w:p>
            <w:pPr>
              <w:spacing w:after="0"/>
              <w:rPr>
                <w:sz w:val="13"/>
                <w:szCs w:val="13"/>
                <w:color w:val="auto"/>
              </w:rPr>
            </w:pPr>
          </w:p>
        </w:tc>
        <w:tc>
          <w:tcPr>
            <w:tcW w:w="120" w:type="dxa"/>
            <w:vAlign w:val="bottom"/>
            <w:shd w:val="clear" w:color="auto" w:fill="F2F2F2"/>
          </w:tcPr>
          <w:p>
            <w:pPr>
              <w:spacing w:after="0"/>
              <w:rPr>
                <w:sz w:val="13"/>
                <w:szCs w:val="13"/>
                <w:color w:val="auto"/>
              </w:rPr>
            </w:pPr>
          </w:p>
        </w:tc>
        <w:tc>
          <w:tcPr>
            <w:tcW w:w="6680" w:type="dxa"/>
            <w:vAlign w:val="bottom"/>
            <w:vMerge w:val="restart"/>
            <w:shd w:val="clear" w:color="auto" w:fill="F2F2F2"/>
          </w:tcPr>
          <w:p>
            <w:pPr>
              <w:spacing w:after="0"/>
              <w:rPr>
                <w:sz w:val="20"/>
                <w:szCs w:val="20"/>
                <w:color w:val="auto"/>
              </w:rPr>
            </w:pPr>
            <w:r>
              <w:rPr>
                <w:rFonts w:ascii="Arial" w:cs="Arial" w:eastAsia="Arial" w:hAnsi="Arial"/>
                <w:sz w:val="17"/>
                <w:szCs w:val="17"/>
                <w:color w:val="auto"/>
              </w:rPr>
              <w:t>Election of 12 directors</w:t>
            </w:r>
          </w:p>
        </w:tc>
        <w:tc>
          <w:tcPr>
            <w:tcW w:w="500" w:type="dxa"/>
            <w:vAlign w:val="bottom"/>
            <w:vMerge w:val="continue"/>
          </w:tcPr>
          <w:p>
            <w:pPr>
              <w:spacing w:after="0"/>
              <w:rPr>
                <w:sz w:val="13"/>
                <w:szCs w:val="13"/>
                <w:color w:val="auto"/>
              </w:rPr>
            </w:pPr>
          </w:p>
        </w:tc>
        <w:tc>
          <w:tcPr>
            <w:tcW w:w="940" w:type="dxa"/>
            <w:vAlign w:val="bottom"/>
            <w:vMerge w:val="continue"/>
            <w:shd w:val="clear" w:color="auto" w:fill="0066BA"/>
          </w:tcPr>
          <w:p>
            <w:pPr>
              <w:spacing w:after="0"/>
              <w:rPr>
                <w:sz w:val="13"/>
                <w:szCs w:val="13"/>
                <w:color w:val="auto"/>
              </w:rPr>
            </w:pPr>
          </w:p>
        </w:tc>
        <w:tc>
          <w:tcPr>
            <w:tcW w:w="500" w:type="dxa"/>
            <w:vAlign w:val="bottom"/>
            <w:tcBorders>
              <w:right w:val="single" w:sz="8" w:color="F2F2F2"/>
            </w:tcBorders>
            <w:vMerge w:val="continue"/>
          </w:tcPr>
          <w:p>
            <w:pPr>
              <w:spacing w:after="0"/>
              <w:rPr>
                <w:sz w:val="13"/>
                <w:szCs w:val="13"/>
                <w:color w:val="auto"/>
              </w:rPr>
            </w:pPr>
          </w:p>
        </w:tc>
        <w:tc>
          <w:tcPr>
            <w:tcW w:w="940" w:type="dxa"/>
            <w:vAlign w:val="bottom"/>
            <w:vMerge w:val="continue"/>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300" w:type="dxa"/>
            <w:vAlign w:val="bottom"/>
          </w:tcPr>
          <w:p>
            <w:pPr>
              <w:spacing w:after="0"/>
              <w:rPr>
                <w:sz w:val="5"/>
                <w:szCs w:val="5"/>
                <w:color w:val="auto"/>
              </w:rPr>
            </w:pPr>
          </w:p>
        </w:tc>
        <w:tc>
          <w:tcPr>
            <w:tcW w:w="340" w:type="dxa"/>
            <w:vAlign w:val="bottom"/>
            <w:vMerge w:val="continue"/>
            <w:shd w:val="clear" w:color="auto" w:fill="0066BA"/>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shd w:val="clear" w:color="auto" w:fill="F2F2F2"/>
          </w:tcPr>
          <w:p>
            <w:pPr>
              <w:spacing w:after="0"/>
              <w:rPr>
                <w:sz w:val="5"/>
                <w:szCs w:val="5"/>
                <w:color w:val="auto"/>
              </w:rPr>
            </w:pPr>
          </w:p>
        </w:tc>
        <w:tc>
          <w:tcPr>
            <w:tcW w:w="6680" w:type="dxa"/>
            <w:vAlign w:val="bottom"/>
            <w:vMerge w:val="continue"/>
            <w:shd w:val="clear" w:color="auto" w:fill="F2F2F2"/>
          </w:tcPr>
          <w:p>
            <w:pPr>
              <w:spacing w:after="0"/>
              <w:rPr>
                <w:sz w:val="5"/>
                <w:szCs w:val="5"/>
                <w:color w:val="auto"/>
              </w:rPr>
            </w:pPr>
          </w:p>
        </w:tc>
        <w:tc>
          <w:tcPr>
            <w:tcW w:w="1940" w:type="dxa"/>
            <w:vAlign w:val="bottom"/>
            <w:tcBorders>
              <w:right w:val="single" w:sz="8" w:color="F2F2F2"/>
            </w:tcBorders>
            <w:gridSpan w:val="3"/>
            <w:vMerge w:val="restart"/>
          </w:tcPr>
          <w:p>
            <w:pPr>
              <w:ind w:left="40"/>
              <w:spacing w:after="0"/>
              <w:rPr>
                <w:sz w:val="20"/>
                <w:szCs w:val="20"/>
                <w:color w:val="auto"/>
              </w:rPr>
            </w:pPr>
            <w:r>
              <w:rPr>
                <w:rFonts w:ascii="Arial" w:cs="Arial" w:eastAsia="Arial" w:hAnsi="Arial"/>
                <w:sz w:val="17"/>
                <w:szCs w:val="17"/>
                <w:color w:val="auto"/>
              </w:rPr>
              <w:t>each director nominee</w:t>
            </w:r>
          </w:p>
        </w:tc>
        <w:tc>
          <w:tcPr>
            <w:tcW w:w="940" w:type="dxa"/>
            <w:vAlign w:val="bottom"/>
            <w:vMerge w:val="continue"/>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F2F2F2"/>
            </w:tcBorders>
            <w:shd w:val="clear" w:color="auto" w:fill="F2F2F2"/>
          </w:tcPr>
          <w:p>
            <w:pPr>
              <w:spacing w:after="0"/>
              <w:rPr>
                <w:sz w:val="15"/>
                <w:szCs w:val="15"/>
                <w:color w:val="auto"/>
              </w:rPr>
            </w:pPr>
          </w:p>
        </w:tc>
        <w:tc>
          <w:tcPr>
            <w:tcW w:w="6680" w:type="dxa"/>
            <w:vAlign w:val="bottom"/>
            <w:tcBorders>
              <w:bottom w:val="single" w:sz="8" w:color="F2F2F2"/>
            </w:tcBorders>
            <w:shd w:val="clear" w:color="auto" w:fill="F2F2F2"/>
          </w:tcPr>
          <w:p>
            <w:pPr>
              <w:spacing w:after="0"/>
              <w:rPr>
                <w:sz w:val="15"/>
                <w:szCs w:val="15"/>
                <w:color w:val="auto"/>
              </w:rPr>
            </w:pPr>
          </w:p>
        </w:tc>
        <w:tc>
          <w:tcPr>
            <w:tcW w:w="1940" w:type="dxa"/>
            <w:vAlign w:val="bottom"/>
            <w:tcBorders>
              <w:right w:val="single" w:sz="8" w:color="F2F2F2"/>
            </w:tcBorders>
            <w:gridSpan w:val="3"/>
            <w:vMerge w:val="continue"/>
          </w:tcPr>
          <w:p>
            <w:pPr>
              <w:spacing w:after="0"/>
              <w:rPr>
                <w:sz w:val="15"/>
                <w:szCs w:val="15"/>
                <w:color w:val="auto"/>
              </w:rPr>
            </w:pPr>
          </w:p>
        </w:tc>
        <w:tc>
          <w:tcPr>
            <w:tcW w:w="940" w:type="dxa"/>
            <w:vAlign w:val="bottom"/>
            <w:tcBorders>
              <w:bottom w:val="single" w:sz="8" w:color="F2F2F2"/>
            </w:tcBorders>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300" w:type="dxa"/>
            <w:vAlign w:val="bottom"/>
            <w:tcBorders>
              <w:top w:val="single" w:sz="8" w:color="0066BA"/>
            </w:tcBorders>
          </w:tcPr>
          <w:p>
            <w:pPr>
              <w:spacing w:after="0"/>
              <w:rPr>
                <w:sz w:val="7"/>
                <w:szCs w:val="7"/>
                <w:color w:val="auto"/>
              </w:rPr>
            </w:pPr>
          </w:p>
        </w:tc>
        <w:tc>
          <w:tcPr>
            <w:tcW w:w="340" w:type="dxa"/>
            <w:vAlign w:val="bottom"/>
            <w:tcBorders>
              <w:top w:val="single" w:sz="8" w:color="0066BA"/>
            </w:tcBorders>
          </w:tcPr>
          <w:p>
            <w:pPr>
              <w:spacing w:after="0"/>
              <w:rPr>
                <w:sz w:val="7"/>
                <w:szCs w:val="7"/>
                <w:color w:val="auto"/>
              </w:rPr>
            </w:pPr>
          </w:p>
        </w:tc>
        <w:tc>
          <w:tcPr>
            <w:tcW w:w="300" w:type="dxa"/>
            <w:vAlign w:val="bottom"/>
            <w:tcBorders>
              <w:top w:val="single" w:sz="8" w:color="0066BA"/>
            </w:tcBorders>
          </w:tcPr>
          <w:p>
            <w:pPr>
              <w:spacing w:after="0"/>
              <w:rPr>
                <w:sz w:val="7"/>
                <w:szCs w:val="7"/>
                <w:color w:val="auto"/>
              </w:rPr>
            </w:pPr>
          </w:p>
        </w:tc>
        <w:tc>
          <w:tcPr>
            <w:tcW w:w="120" w:type="dxa"/>
            <w:vAlign w:val="bottom"/>
            <w:tcBorders>
              <w:top w:val="single" w:sz="8" w:color="0066BA"/>
            </w:tcBorders>
            <w:shd w:val="clear" w:color="auto" w:fill="F2F2F2"/>
          </w:tcPr>
          <w:p>
            <w:pPr>
              <w:spacing w:after="0"/>
              <w:rPr>
                <w:sz w:val="7"/>
                <w:szCs w:val="7"/>
                <w:color w:val="auto"/>
              </w:rPr>
            </w:pPr>
          </w:p>
        </w:tc>
        <w:tc>
          <w:tcPr>
            <w:tcW w:w="6680" w:type="dxa"/>
            <w:vAlign w:val="bottom"/>
            <w:tcBorders>
              <w:top w:val="single" w:sz="8" w:color="0066BA"/>
            </w:tcBorders>
            <w:vMerge w:val="restart"/>
            <w:shd w:val="clear" w:color="auto" w:fill="F2F2F2"/>
          </w:tcPr>
          <w:p>
            <w:pPr>
              <w:spacing w:after="0" w:line="189" w:lineRule="exact"/>
              <w:rPr>
                <w:sz w:val="20"/>
                <w:szCs w:val="20"/>
                <w:color w:val="auto"/>
              </w:rPr>
            </w:pPr>
            <w:r>
              <w:rPr>
                <w:rFonts w:ascii="Arial" w:cs="Arial" w:eastAsia="Arial" w:hAnsi="Arial"/>
                <w:sz w:val="17"/>
                <w:szCs w:val="17"/>
                <w:color w:val="auto"/>
              </w:rPr>
              <w:t>Advisory approval of the compensation of the company’s named</w:t>
            </w:r>
          </w:p>
        </w:tc>
        <w:tc>
          <w:tcPr>
            <w:tcW w:w="500" w:type="dxa"/>
            <w:vAlign w:val="bottom"/>
            <w:tcBorders>
              <w:top w:val="single" w:sz="8" w:color="0066BA"/>
            </w:tcBorders>
          </w:tcPr>
          <w:p>
            <w:pPr>
              <w:spacing w:after="0"/>
              <w:rPr>
                <w:sz w:val="7"/>
                <w:szCs w:val="7"/>
                <w:color w:val="auto"/>
              </w:rPr>
            </w:pPr>
          </w:p>
        </w:tc>
        <w:tc>
          <w:tcPr>
            <w:tcW w:w="940" w:type="dxa"/>
            <w:vAlign w:val="bottom"/>
            <w:tcBorders>
              <w:top w:val="single" w:sz="8" w:color="0066BA"/>
            </w:tcBorders>
          </w:tcPr>
          <w:p>
            <w:pPr>
              <w:spacing w:after="0"/>
              <w:rPr>
                <w:sz w:val="7"/>
                <w:szCs w:val="7"/>
                <w:color w:val="auto"/>
              </w:rPr>
            </w:pPr>
          </w:p>
        </w:tc>
        <w:tc>
          <w:tcPr>
            <w:tcW w:w="500" w:type="dxa"/>
            <w:vAlign w:val="bottom"/>
            <w:tcBorders>
              <w:top w:val="single" w:sz="8" w:color="0066BA"/>
              <w:right w:val="single" w:sz="8" w:color="F2F2F2"/>
            </w:tcBorders>
          </w:tcPr>
          <w:p>
            <w:pPr>
              <w:spacing w:after="0"/>
              <w:rPr>
                <w:sz w:val="7"/>
                <w:szCs w:val="7"/>
                <w:color w:val="auto"/>
              </w:rPr>
            </w:pPr>
          </w:p>
        </w:tc>
        <w:tc>
          <w:tcPr>
            <w:tcW w:w="940" w:type="dxa"/>
            <w:vAlign w:val="bottom"/>
            <w:tcBorders>
              <w:top w:val="single" w:sz="8" w:color="0066BA"/>
            </w:tcBorders>
            <w:vMerge w:val="restart"/>
            <w:shd w:val="clear" w:color="auto" w:fill="F2F2F2"/>
          </w:tcPr>
          <w:p>
            <w:pPr>
              <w:jc w:val="center"/>
              <w:spacing w:after="0"/>
              <w:rPr>
                <w:sz w:val="20"/>
                <w:szCs w:val="20"/>
                <w:color w:val="auto"/>
              </w:rPr>
            </w:pPr>
            <w:r>
              <w:rPr>
                <w:rFonts w:ascii="Arial" w:cs="Arial" w:eastAsia="Arial" w:hAnsi="Arial"/>
                <w:sz w:val="21"/>
                <w:szCs w:val="21"/>
                <w:color w:val="auto"/>
                <w:w w:val="93"/>
              </w:rPr>
              <w:t>32</w:t>
            </w:r>
          </w:p>
        </w:tc>
        <w:tc>
          <w:tcPr>
            <w:tcW w:w="0" w:type="dxa"/>
            <w:vAlign w:val="bottom"/>
          </w:tcPr>
          <w:p>
            <w:pPr>
              <w:spacing w:after="0"/>
              <w:rPr>
                <w:sz w:val="1"/>
                <w:szCs w:val="1"/>
                <w:color w:val="auto"/>
              </w:rPr>
            </w:pPr>
          </w:p>
        </w:tc>
      </w:tr>
      <w:tr>
        <w:trPr>
          <w:trHeight w:val="39"/>
        </w:trPr>
        <w:tc>
          <w:tcPr>
            <w:tcW w:w="300" w:type="dxa"/>
            <w:vAlign w:val="bottom"/>
          </w:tcPr>
          <w:p>
            <w:pPr>
              <w:spacing w:after="0"/>
              <w:rPr>
                <w:sz w:val="3"/>
                <w:szCs w:val="3"/>
                <w:color w:val="auto"/>
              </w:rPr>
            </w:pPr>
          </w:p>
        </w:tc>
        <w:tc>
          <w:tcPr>
            <w:tcW w:w="340" w:type="dxa"/>
            <w:vAlign w:val="bottom"/>
            <w:vMerge w:val="restart"/>
            <w:shd w:val="clear" w:color="auto" w:fill="0066BA"/>
          </w:tcPr>
          <w:p>
            <w:pPr>
              <w:jc w:val="right"/>
              <w:ind w:right="16"/>
              <w:spacing w:after="0" w:line="201" w:lineRule="exact"/>
              <w:rPr>
                <w:sz w:val="20"/>
                <w:szCs w:val="20"/>
                <w:color w:val="auto"/>
              </w:rPr>
            </w:pPr>
            <w:r>
              <w:rPr>
                <w:rFonts w:ascii="Arial" w:cs="Arial" w:eastAsia="Arial" w:hAnsi="Arial"/>
                <w:sz w:val="21"/>
                <w:szCs w:val="21"/>
                <w:color w:val="FFFFFF"/>
                <w:shd w:val="clear" w:color="auto" w:fill="0066BA"/>
              </w:rPr>
              <w:t>2</w:t>
            </w:r>
          </w:p>
        </w:tc>
        <w:tc>
          <w:tcPr>
            <w:tcW w:w="300" w:type="dxa"/>
            <w:vAlign w:val="bottom"/>
          </w:tcPr>
          <w:p>
            <w:pPr>
              <w:spacing w:after="0"/>
              <w:rPr>
                <w:sz w:val="3"/>
                <w:szCs w:val="3"/>
                <w:color w:val="auto"/>
              </w:rPr>
            </w:pPr>
          </w:p>
        </w:tc>
        <w:tc>
          <w:tcPr>
            <w:tcW w:w="120" w:type="dxa"/>
            <w:vAlign w:val="bottom"/>
            <w:shd w:val="clear" w:color="auto" w:fill="F2F2F2"/>
          </w:tcPr>
          <w:p>
            <w:pPr>
              <w:spacing w:after="0"/>
              <w:rPr>
                <w:sz w:val="3"/>
                <w:szCs w:val="3"/>
                <w:color w:val="auto"/>
              </w:rPr>
            </w:pPr>
          </w:p>
        </w:tc>
        <w:tc>
          <w:tcPr>
            <w:tcW w:w="6680" w:type="dxa"/>
            <w:vAlign w:val="bottom"/>
            <w:vMerge w:val="continue"/>
            <w:shd w:val="clear" w:color="auto" w:fill="F2F2F2"/>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500" w:type="dxa"/>
            <w:vAlign w:val="bottom"/>
            <w:tcBorders>
              <w:right w:val="single" w:sz="8" w:color="F2F2F2"/>
            </w:tcBorders>
          </w:tcPr>
          <w:p>
            <w:pPr>
              <w:spacing w:after="0"/>
              <w:rPr>
                <w:sz w:val="3"/>
                <w:szCs w:val="3"/>
                <w:color w:val="auto"/>
              </w:rPr>
            </w:pPr>
          </w:p>
        </w:tc>
        <w:tc>
          <w:tcPr>
            <w:tcW w:w="940" w:type="dxa"/>
            <w:vAlign w:val="bottom"/>
            <w:vMerge w:val="continue"/>
            <w:shd w:val="clear" w:color="auto" w:fill="F2F2F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6"/>
        </w:trPr>
        <w:tc>
          <w:tcPr>
            <w:tcW w:w="300" w:type="dxa"/>
            <w:vAlign w:val="bottom"/>
          </w:tcPr>
          <w:p>
            <w:pPr>
              <w:spacing w:after="0"/>
              <w:rPr>
                <w:sz w:val="5"/>
                <w:szCs w:val="5"/>
                <w:color w:val="auto"/>
              </w:rPr>
            </w:pPr>
          </w:p>
        </w:tc>
        <w:tc>
          <w:tcPr>
            <w:tcW w:w="340" w:type="dxa"/>
            <w:vAlign w:val="bottom"/>
            <w:vMerge w:val="continue"/>
            <w:shd w:val="clear" w:color="auto" w:fill="0066BA"/>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shd w:val="clear" w:color="auto" w:fill="F2F2F2"/>
          </w:tcPr>
          <w:p>
            <w:pPr>
              <w:spacing w:after="0"/>
              <w:rPr>
                <w:sz w:val="5"/>
                <w:szCs w:val="5"/>
                <w:color w:val="auto"/>
              </w:rPr>
            </w:pPr>
          </w:p>
        </w:tc>
        <w:tc>
          <w:tcPr>
            <w:tcW w:w="6680" w:type="dxa"/>
            <w:vAlign w:val="bottom"/>
            <w:vMerge w:val="continue"/>
            <w:shd w:val="clear" w:color="auto" w:fill="F2F2F2"/>
          </w:tcPr>
          <w:p>
            <w:pPr>
              <w:spacing w:after="0"/>
              <w:rPr>
                <w:sz w:val="5"/>
                <w:szCs w:val="5"/>
                <w:color w:val="auto"/>
              </w:rPr>
            </w:pPr>
          </w:p>
        </w:tc>
        <w:tc>
          <w:tcPr>
            <w:tcW w:w="500" w:type="dxa"/>
            <w:vAlign w:val="bottom"/>
          </w:tcPr>
          <w:p>
            <w:pPr>
              <w:spacing w:after="0"/>
              <w:rPr>
                <w:sz w:val="5"/>
                <w:szCs w:val="5"/>
                <w:color w:val="auto"/>
              </w:rPr>
            </w:pPr>
          </w:p>
        </w:tc>
        <w:tc>
          <w:tcPr>
            <w:tcW w:w="940" w:type="dxa"/>
            <w:vAlign w:val="bottom"/>
            <w:vMerge w:val="restart"/>
            <w:shd w:val="clear" w:color="auto" w:fill="0066BA"/>
          </w:tcPr>
          <w:p>
            <w:pPr>
              <w:ind w:left="440"/>
              <w:spacing w:after="0" w:line="201" w:lineRule="exact"/>
              <w:rPr>
                <w:sz w:val="20"/>
                <w:szCs w:val="20"/>
                <w:color w:val="auto"/>
              </w:rPr>
            </w:pPr>
            <w:r>
              <w:rPr>
                <w:rFonts w:ascii="Arial" w:cs="Arial" w:eastAsia="Arial" w:hAnsi="Arial"/>
                <w:sz w:val="21"/>
                <w:szCs w:val="21"/>
                <w:color w:val="FFFFFF"/>
                <w:shd w:val="clear" w:color="auto" w:fill="0066BA"/>
              </w:rPr>
              <w:t>FOR</w:t>
            </w:r>
          </w:p>
        </w:tc>
        <w:tc>
          <w:tcPr>
            <w:tcW w:w="500" w:type="dxa"/>
            <w:vAlign w:val="bottom"/>
            <w:tcBorders>
              <w:right w:val="single" w:sz="8" w:color="F2F2F2"/>
            </w:tcBorders>
          </w:tcPr>
          <w:p>
            <w:pPr>
              <w:spacing w:after="0"/>
              <w:rPr>
                <w:sz w:val="5"/>
                <w:szCs w:val="5"/>
                <w:color w:val="auto"/>
              </w:rPr>
            </w:pPr>
          </w:p>
        </w:tc>
        <w:tc>
          <w:tcPr>
            <w:tcW w:w="940" w:type="dxa"/>
            <w:vAlign w:val="bottom"/>
            <w:vMerge w:val="continue"/>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300" w:type="dxa"/>
            <w:vAlign w:val="bottom"/>
            <w:vMerge w:val="restart"/>
          </w:tcPr>
          <w:p>
            <w:pPr>
              <w:spacing w:after="0"/>
              <w:rPr>
                <w:sz w:val="10"/>
                <w:szCs w:val="10"/>
                <w:color w:val="auto"/>
              </w:rPr>
            </w:pPr>
          </w:p>
        </w:tc>
        <w:tc>
          <w:tcPr>
            <w:tcW w:w="340" w:type="dxa"/>
            <w:vAlign w:val="bottom"/>
            <w:vMerge w:val="continue"/>
            <w:shd w:val="clear" w:color="auto" w:fill="0066BA"/>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shd w:val="clear" w:color="auto" w:fill="F2F2F2"/>
          </w:tcPr>
          <w:p>
            <w:pPr>
              <w:spacing w:after="0"/>
              <w:rPr>
                <w:sz w:val="10"/>
                <w:szCs w:val="10"/>
                <w:color w:val="auto"/>
              </w:rPr>
            </w:pPr>
          </w:p>
        </w:tc>
        <w:tc>
          <w:tcPr>
            <w:tcW w:w="6680" w:type="dxa"/>
            <w:vAlign w:val="bottom"/>
            <w:vMerge w:val="restart"/>
            <w:shd w:val="clear" w:color="auto" w:fill="F2F2F2"/>
          </w:tcPr>
          <w:p>
            <w:pPr>
              <w:spacing w:after="0"/>
              <w:rPr>
                <w:sz w:val="20"/>
                <w:szCs w:val="20"/>
                <w:color w:val="auto"/>
              </w:rPr>
            </w:pPr>
            <w:r>
              <w:rPr>
                <w:rFonts w:ascii="Arial" w:cs="Arial" w:eastAsia="Arial" w:hAnsi="Arial"/>
                <w:sz w:val="17"/>
                <w:szCs w:val="17"/>
                <w:color w:val="auto"/>
              </w:rPr>
              <w:t>executive officers</w:t>
            </w:r>
          </w:p>
        </w:tc>
        <w:tc>
          <w:tcPr>
            <w:tcW w:w="500" w:type="dxa"/>
            <w:vAlign w:val="bottom"/>
          </w:tcPr>
          <w:p>
            <w:pPr>
              <w:spacing w:after="0"/>
              <w:rPr>
                <w:sz w:val="10"/>
                <w:szCs w:val="10"/>
                <w:color w:val="auto"/>
              </w:rPr>
            </w:pPr>
          </w:p>
        </w:tc>
        <w:tc>
          <w:tcPr>
            <w:tcW w:w="940" w:type="dxa"/>
            <w:vAlign w:val="bottom"/>
            <w:vMerge w:val="continue"/>
            <w:shd w:val="clear" w:color="auto" w:fill="0066BA"/>
          </w:tcPr>
          <w:p>
            <w:pPr>
              <w:spacing w:after="0"/>
              <w:rPr>
                <w:sz w:val="10"/>
                <w:szCs w:val="10"/>
                <w:color w:val="auto"/>
              </w:rPr>
            </w:pPr>
          </w:p>
        </w:tc>
        <w:tc>
          <w:tcPr>
            <w:tcW w:w="500" w:type="dxa"/>
            <w:vAlign w:val="bottom"/>
            <w:tcBorders>
              <w:right w:val="single" w:sz="8" w:color="F2F2F2"/>
            </w:tcBorders>
            <w:vMerge w:val="restart"/>
          </w:tcPr>
          <w:p>
            <w:pPr>
              <w:spacing w:after="0"/>
              <w:rPr>
                <w:sz w:val="10"/>
                <w:szCs w:val="10"/>
                <w:color w:val="auto"/>
              </w:rPr>
            </w:pPr>
          </w:p>
        </w:tc>
        <w:tc>
          <w:tcPr>
            <w:tcW w:w="940" w:type="dxa"/>
            <w:vAlign w:val="bottom"/>
            <w:vMerge w:val="continue"/>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30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shd w:val="clear" w:color="auto" w:fill="F2F2F2"/>
          </w:tcPr>
          <w:p>
            <w:pPr>
              <w:spacing w:after="0"/>
              <w:rPr>
                <w:sz w:val="3"/>
                <w:szCs w:val="3"/>
                <w:color w:val="auto"/>
              </w:rPr>
            </w:pPr>
          </w:p>
        </w:tc>
        <w:tc>
          <w:tcPr>
            <w:tcW w:w="6680" w:type="dxa"/>
            <w:vAlign w:val="bottom"/>
            <w:vMerge w:val="continue"/>
            <w:shd w:val="clear" w:color="auto" w:fill="F2F2F2"/>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vMerge w:val="continue"/>
            <w:shd w:val="clear" w:color="auto" w:fill="0066BA"/>
          </w:tcPr>
          <w:p>
            <w:pPr>
              <w:spacing w:after="0"/>
              <w:rPr>
                <w:sz w:val="3"/>
                <w:szCs w:val="3"/>
                <w:color w:val="auto"/>
              </w:rPr>
            </w:pPr>
          </w:p>
        </w:tc>
        <w:tc>
          <w:tcPr>
            <w:tcW w:w="500" w:type="dxa"/>
            <w:vAlign w:val="bottom"/>
            <w:tcBorders>
              <w:right w:val="single" w:sz="8" w:color="F2F2F2"/>
            </w:tcBorders>
            <w:vMerge w:val="continue"/>
          </w:tcPr>
          <w:p>
            <w:pPr>
              <w:spacing w:after="0"/>
              <w:rPr>
                <w:sz w:val="3"/>
                <w:szCs w:val="3"/>
                <w:color w:val="auto"/>
              </w:rPr>
            </w:pPr>
          </w:p>
        </w:tc>
        <w:tc>
          <w:tcPr>
            <w:tcW w:w="940" w:type="dxa"/>
            <w:vAlign w:val="bottom"/>
            <w:vMerge w:val="continue"/>
            <w:shd w:val="clear" w:color="auto" w:fill="F2F2F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1"/>
        </w:trPr>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Borders>
              <w:bottom w:val="single" w:sz="8" w:color="F2F2F2"/>
            </w:tcBorders>
            <w:shd w:val="clear" w:color="auto" w:fill="F2F2F2"/>
          </w:tcPr>
          <w:p>
            <w:pPr>
              <w:spacing w:after="0"/>
              <w:rPr>
                <w:sz w:val="7"/>
                <w:szCs w:val="7"/>
                <w:color w:val="auto"/>
              </w:rPr>
            </w:pPr>
          </w:p>
        </w:tc>
        <w:tc>
          <w:tcPr>
            <w:tcW w:w="6680" w:type="dxa"/>
            <w:vAlign w:val="bottom"/>
            <w:tcBorders>
              <w:bottom w:val="single" w:sz="8" w:color="F2F2F2"/>
            </w:tcBorders>
            <w:vMerge w:val="continue"/>
            <w:shd w:val="clear" w:color="auto" w:fill="F2F2F2"/>
          </w:tcPr>
          <w:p>
            <w:pPr>
              <w:spacing w:after="0"/>
              <w:rPr>
                <w:sz w:val="7"/>
                <w:szCs w:val="7"/>
                <w:color w:val="auto"/>
              </w:rPr>
            </w:pPr>
          </w:p>
        </w:tc>
        <w:tc>
          <w:tcPr>
            <w:tcW w:w="500" w:type="dxa"/>
            <w:vAlign w:val="bottom"/>
          </w:tcPr>
          <w:p>
            <w:pPr>
              <w:spacing w:after="0"/>
              <w:rPr>
                <w:sz w:val="7"/>
                <w:szCs w:val="7"/>
                <w:color w:val="auto"/>
              </w:rPr>
            </w:pPr>
          </w:p>
        </w:tc>
        <w:tc>
          <w:tcPr>
            <w:tcW w:w="940" w:type="dxa"/>
            <w:vAlign w:val="bottom"/>
          </w:tcPr>
          <w:p>
            <w:pPr>
              <w:spacing w:after="0"/>
              <w:rPr>
                <w:sz w:val="7"/>
                <w:szCs w:val="7"/>
                <w:color w:val="auto"/>
              </w:rPr>
            </w:pPr>
          </w:p>
        </w:tc>
        <w:tc>
          <w:tcPr>
            <w:tcW w:w="500" w:type="dxa"/>
            <w:vAlign w:val="bottom"/>
            <w:tcBorders>
              <w:right w:val="single" w:sz="8" w:color="F2F2F2"/>
            </w:tcBorders>
            <w:vMerge w:val="continue"/>
          </w:tcPr>
          <w:p>
            <w:pPr>
              <w:spacing w:after="0"/>
              <w:rPr>
                <w:sz w:val="7"/>
                <w:szCs w:val="7"/>
                <w:color w:val="auto"/>
              </w:rPr>
            </w:pPr>
          </w:p>
        </w:tc>
        <w:tc>
          <w:tcPr>
            <w:tcW w:w="940" w:type="dxa"/>
            <w:vAlign w:val="bottom"/>
            <w:tcBorders>
              <w:bottom w:val="single" w:sz="8" w:color="F2F2F2"/>
            </w:tcBorders>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300" w:type="dxa"/>
            <w:vAlign w:val="bottom"/>
            <w:tcBorders>
              <w:top w:val="single" w:sz="8" w:color="0066BA"/>
            </w:tcBorders>
          </w:tcPr>
          <w:p>
            <w:pPr>
              <w:spacing w:after="0"/>
              <w:rPr>
                <w:sz w:val="5"/>
                <w:szCs w:val="5"/>
                <w:color w:val="auto"/>
              </w:rPr>
            </w:pPr>
          </w:p>
        </w:tc>
        <w:tc>
          <w:tcPr>
            <w:tcW w:w="340" w:type="dxa"/>
            <w:vAlign w:val="bottom"/>
            <w:tcBorders>
              <w:top w:val="single" w:sz="8" w:color="0066BA"/>
            </w:tcBorders>
          </w:tcPr>
          <w:p>
            <w:pPr>
              <w:spacing w:after="0"/>
              <w:rPr>
                <w:sz w:val="5"/>
                <w:szCs w:val="5"/>
                <w:color w:val="auto"/>
              </w:rPr>
            </w:pPr>
          </w:p>
        </w:tc>
        <w:tc>
          <w:tcPr>
            <w:tcW w:w="300" w:type="dxa"/>
            <w:vAlign w:val="bottom"/>
            <w:tcBorders>
              <w:top w:val="single" w:sz="8" w:color="0066BA"/>
            </w:tcBorders>
          </w:tcPr>
          <w:p>
            <w:pPr>
              <w:spacing w:after="0"/>
              <w:rPr>
                <w:sz w:val="5"/>
                <w:szCs w:val="5"/>
                <w:color w:val="auto"/>
              </w:rPr>
            </w:pPr>
          </w:p>
        </w:tc>
        <w:tc>
          <w:tcPr>
            <w:tcW w:w="120" w:type="dxa"/>
            <w:vAlign w:val="bottom"/>
            <w:tcBorders>
              <w:top w:val="single" w:sz="8" w:color="0066BA"/>
            </w:tcBorders>
            <w:shd w:val="clear" w:color="auto" w:fill="F2F2F2"/>
          </w:tcPr>
          <w:p>
            <w:pPr>
              <w:spacing w:after="0"/>
              <w:rPr>
                <w:sz w:val="5"/>
                <w:szCs w:val="5"/>
                <w:color w:val="auto"/>
              </w:rPr>
            </w:pPr>
          </w:p>
        </w:tc>
        <w:tc>
          <w:tcPr>
            <w:tcW w:w="6680" w:type="dxa"/>
            <w:vAlign w:val="bottom"/>
            <w:tcBorders>
              <w:top w:val="single" w:sz="8" w:color="0066BA"/>
            </w:tcBorders>
            <w:shd w:val="clear" w:color="auto" w:fill="F2F2F2"/>
          </w:tcPr>
          <w:p>
            <w:pPr>
              <w:spacing w:after="0"/>
              <w:rPr>
                <w:sz w:val="5"/>
                <w:szCs w:val="5"/>
                <w:color w:val="auto"/>
              </w:rPr>
            </w:pPr>
          </w:p>
        </w:tc>
        <w:tc>
          <w:tcPr>
            <w:tcW w:w="500" w:type="dxa"/>
            <w:vAlign w:val="bottom"/>
            <w:tcBorders>
              <w:top w:val="single" w:sz="8" w:color="0066BA"/>
            </w:tcBorders>
          </w:tcPr>
          <w:p>
            <w:pPr>
              <w:spacing w:after="0"/>
              <w:rPr>
                <w:sz w:val="5"/>
                <w:szCs w:val="5"/>
                <w:color w:val="auto"/>
              </w:rPr>
            </w:pPr>
          </w:p>
        </w:tc>
        <w:tc>
          <w:tcPr>
            <w:tcW w:w="1440" w:type="dxa"/>
            <w:vAlign w:val="bottom"/>
            <w:tcBorders>
              <w:top w:val="single" w:sz="8" w:color="0066BA"/>
              <w:right w:val="single" w:sz="8" w:color="F2F2F2"/>
            </w:tcBorders>
            <w:gridSpan w:val="2"/>
          </w:tcPr>
          <w:p>
            <w:pPr>
              <w:spacing w:after="0"/>
              <w:rPr>
                <w:sz w:val="5"/>
                <w:szCs w:val="5"/>
                <w:color w:val="auto"/>
              </w:rPr>
            </w:pPr>
          </w:p>
        </w:tc>
        <w:tc>
          <w:tcPr>
            <w:tcW w:w="940" w:type="dxa"/>
            <w:vAlign w:val="bottom"/>
            <w:tcBorders>
              <w:top w:val="single" w:sz="8" w:color="0066BA"/>
            </w:tcBorders>
            <w:vMerge w:val="restart"/>
            <w:shd w:val="clear" w:color="auto" w:fill="F2F2F2"/>
          </w:tcPr>
          <w:p>
            <w:pPr>
              <w:jc w:val="center"/>
              <w:spacing w:after="0"/>
              <w:rPr>
                <w:sz w:val="20"/>
                <w:szCs w:val="20"/>
                <w:color w:val="auto"/>
              </w:rPr>
            </w:pPr>
            <w:r>
              <w:rPr>
                <w:rFonts w:ascii="Arial" w:cs="Arial" w:eastAsia="Arial" w:hAnsi="Arial"/>
                <w:sz w:val="21"/>
                <w:szCs w:val="21"/>
                <w:color w:val="auto"/>
                <w:w w:val="93"/>
              </w:rPr>
              <w:t>67</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340" w:type="dxa"/>
            <w:vAlign w:val="bottom"/>
            <w:shd w:val="clear" w:color="auto" w:fill="0066BA"/>
          </w:tcPr>
          <w:p>
            <w:pPr>
              <w:jc w:val="right"/>
              <w:ind w:right="16"/>
              <w:spacing w:after="0" w:line="221" w:lineRule="exact"/>
              <w:rPr>
                <w:sz w:val="20"/>
                <w:szCs w:val="20"/>
                <w:color w:val="auto"/>
              </w:rPr>
            </w:pPr>
            <w:r>
              <w:rPr>
                <w:rFonts w:ascii="Arial" w:cs="Arial" w:eastAsia="Arial" w:hAnsi="Arial"/>
                <w:sz w:val="21"/>
                <w:szCs w:val="21"/>
                <w:color w:val="FFFFFF"/>
                <w:shd w:val="clear" w:color="auto" w:fill="0066BA"/>
              </w:rPr>
              <w:t>3</w:t>
            </w:r>
          </w:p>
        </w:tc>
        <w:tc>
          <w:tcPr>
            <w:tcW w:w="300" w:type="dxa"/>
            <w:vAlign w:val="bottom"/>
          </w:tcPr>
          <w:p>
            <w:pPr>
              <w:spacing w:after="0"/>
              <w:rPr>
                <w:sz w:val="20"/>
                <w:szCs w:val="20"/>
                <w:color w:val="auto"/>
              </w:rPr>
            </w:pPr>
          </w:p>
        </w:tc>
        <w:tc>
          <w:tcPr>
            <w:tcW w:w="120" w:type="dxa"/>
            <w:vAlign w:val="bottom"/>
            <w:shd w:val="clear" w:color="auto" w:fill="F2F2F2"/>
          </w:tcPr>
          <w:p>
            <w:pPr>
              <w:spacing w:after="0"/>
              <w:rPr>
                <w:sz w:val="20"/>
                <w:szCs w:val="20"/>
                <w:color w:val="auto"/>
              </w:rPr>
            </w:pPr>
          </w:p>
        </w:tc>
        <w:tc>
          <w:tcPr>
            <w:tcW w:w="6680" w:type="dxa"/>
            <w:vAlign w:val="bottom"/>
            <w:shd w:val="clear" w:color="auto" w:fill="F2F2F2"/>
          </w:tcPr>
          <w:p>
            <w:pPr>
              <w:spacing w:after="0"/>
              <w:rPr>
                <w:sz w:val="20"/>
                <w:szCs w:val="20"/>
                <w:color w:val="auto"/>
              </w:rPr>
            </w:pPr>
            <w:r>
              <w:rPr>
                <w:rFonts w:ascii="Arial" w:cs="Arial" w:eastAsia="Arial" w:hAnsi="Arial"/>
                <w:sz w:val="17"/>
                <w:szCs w:val="17"/>
                <w:color w:val="auto"/>
              </w:rPr>
              <w:t>Approval of the Analog Devices, Inc. 2022 Employee Stock Purchase Plan</w:t>
            </w:r>
          </w:p>
        </w:tc>
        <w:tc>
          <w:tcPr>
            <w:tcW w:w="500" w:type="dxa"/>
            <w:vAlign w:val="bottom"/>
          </w:tcPr>
          <w:p>
            <w:pPr>
              <w:spacing w:after="0"/>
              <w:rPr>
                <w:sz w:val="20"/>
                <w:szCs w:val="20"/>
                <w:color w:val="auto"/>
              </w:rPr>
            </w:pPr>
          </w:p>
        </w:tc>
        <w:tc>
          <w:tcPr>
            <w:tcW w:w="940" w:type="dxa"/>
            <w:vAlign w:val="bottom"/>
            <w:shd w:val="clear" w:color="auto" w:fill="0066BA"/>
          </w:tcPr>
          <w:p>
            <w:pPr>
              <w:ind w:left="440"/>
              <w:spacing w:after="0" w:line="221" w:lineRule="exact"/>
              <w:rPr>
                <w:sz w:val="20"/>
                <w:szCs w:val="20"/>
                <w:color w:val="auto"/>
              </w:rPr>
            </w:pPr>
            <w:r>
              <w:rPr>
                <w:rFonts w:ascii="Arial" w:cs="Arial" w:eastAsia="Arial" w:hAnsi="Arial"/>
                <w:sz w:val="21"/>
                <w:szCs w:val="21"/>
                <w:color w:val="FFFFFF"/>
                <w:shd w:val="clear" w:color="auto" w:fill="0066BA"/>
              </w:rPr>
              <w:t>FOR</w:t>
            </w:r>
          </w:p>
        </w:tc>
        <w:tc>
          <w:tcPr>
            <w:tcW w:w="500" w:type="dxa"/>
            <w:vAlign w:val="bottom"/>
            <w:tcBorders>
              <w:right w:val="single" w:sz="8" w:color="F2F2F2"/>
            </w:tcBorders>
          </w:tcPr>
          <w:p>
            <w:pPr>
              <w:spacing w:after="0"/>
              <w:rPr>
                <w:sz w:val="20"/>
                <w:szCs w:val="20"/>
                <w:color w:val="auto"/>
              </w:rPr>
            </w:pPr>
          </w:p>
        </w:tc>
        <w:tc>
          <w:tcPr>
            <w:tcW w:w="940" w:type="dxa"/>
            <w:vAlign w:val="bottom"/>
            <w:vMerge w:val="continue"/>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78"/>
        </w:trPr>
        <w:tc>
          <w:tcPr>
            <w:tcW w:w="300" w:type="dxa"/>
            <w:vAlign w:val="bottom"/>
            <w:tcBorders>
              <w:bottom w:val="single" w:sz="8" w:color="0066BA"/>
            </w:tcBorders>
          </w:tcPr>
          <w:p>
            <w:pPr>
              <w:spacing w:after="0"/>
              <w:rPr>
                <w:sz w:val="6"/>
                <w:szCs w:val="6"/>
                <w:color w:val="auto"/>
              </w:rPr>
            </w:pPr>
          </w:p>
        </w:tc>
        <w:tc>
          <w:tcPr>
            <w:tcW w:w="340" w:type="dxa"/>
            <w:vAlign w:val="bottom"/>
            <w:tcBorders>
              <w:bottom w:val="single" w:sz="8" w:color="0066BA"/>
            </w:tcBorders>
          </w:tcPr>
          <w:p>
            <w:pPr>
              <w:spacing w:after="0"/>
              <w:rPr>
                <w:sz w:val="6"/>
                <w:szCs w:val="6"/>
                <w:color w:val="auto"/>
              </w:rPr>
            </w:pPr>
          </w:p>
        </w:tc>
        <w:tc>
          <w:tcPr>
            <w:tcW w:w="300" w:type="dxa"/>
            <w:vAlign w:val="bottom"/>
            <w:tcBorders>
              <w:bottom w:val="single" w:sz="8" w:color="0066BA"/>
            </w:tcBorders>
          </w:tcPr>
          <w:p>
            <w:pPr>
              <w:spacing w:after="0"/>
              <w:rPr>
                <w:sz w:val="6"/>
                <w:szCs w:val="6"/>
                <w:color w:val="auto"/>
              </w:rPr>
            </w:pPr>
          </w:p>
        </w:tc>
        <w:tc>
          <w:tcPr>
            <w:tcW w:w="120" w:type="dxa"/>
            <w:vAlign w:val="bottom"/>
            <w:tcBorders>
              <w:bottom w:val="single" w:sz="8" w:color="0066BA"/>
            </w:tcBorders>
            <w:shd w:val="clear" w:color="auto" w:fill="F2F2F2"/>
          </w:tcPr>
          <w:p>
            <w:pPr>
              <w:spacing w:after="0"/>
              <w:rPr>
                <w:sz w:val="6"/>
                <w:szCs w:val="6"/>
                <w:color w:val="auto"/>
              </w:rPr>
            </w:pPr>
          </w:p>
        </w:tc>
        <w:tc>
          <w:tcPr>
            <w:tcW w:w="6680" w:type="dxa"/>
            <w:vAlign w:val="bottom"/>
            <w:tcBorders>
              <w:bottom w:val="single" w:sz="8" w:color="0066BA"/>
            </w:tcBorders>
            <w:shd w:val="clear" w:color="auto" w:fill="F2F2F2"/>
          </w:tcPr>
          <w:p>
            <w:pPr>
              <w:spacing w:after="0"/>
              <w:rPr>
                <w:sz w:val="6"/>
                <w:szCs w:val="6"/>
                <w:color w:val="auto"/>
              </w:rPr>
            </w:pPr>
          </w:p>
        </w:tc>
        <w:tc>
          <w:tcPr>
            <w:tcW w:w="500" w:type="dxa"/>
            <w:vAlign w:val="bottom"/>
            <w:tcBorders>
              <w:bottom w:val="single" w:sz="8" w:color="0066BA"/>
            </w:tcBorders>
          </w:tcPr>
          <w:p>
            <w:pPr>
              <w:spacing w:after="0"/>
              <w:rPr>
                <w:sz w:val="6"/>
                <w:szCs w:val="6"/>
                <w:color w:val="auto"/>
              </w:rPr>
            </w:pPr>
          </w:p>
        </w:tc>
        <w:tc>
          <w:tcPr>
            <w:tcW w:w="940" w:type="dxa"/>
            <w:vAlign w:val="bottom"/>
            <w:tcBorders>
              <w:bottom w:val="single" w:sz="8" w:color="0066BA"/>
            </w:tcBorders>
          </w:tcPr>
          <w:p>
            <w:pPr>
              <w:spacing w:after="0"/>
              <w:rPr>
                <w:sz w:val="6"/>
                <w:szCs w:val="6"/>
                <w:color w:val="auto"/>
              </w:rPr>
            </w:pPr>
          </w:p>
        </w:tc>
        <w:tc>
          <w:tcPr>
            <w:tcW w:w="500" w:type="dxa"/>
            <w:vAlign w:val="bottom"/>
            <w:tcBorders>
              <w:bottom w:val="single" w:sz="8" w:color="0066BA"/>
              <w:right w:val="single" w:sz="8" w:color="F2F2F2"/>
            </w:tcBorders>
          </w:tcPr>
          <w:p>
            <w:pPr>
              <w:spacing w:after="0"/>
              <w:rPr>
                <w:sz w:val="6"/>
                <w:szCs w:val="6"/>
                <w:color w:val="auto"/>
              </w:rPr>
            </w:pPr>
          </w:p>
        </w:tc>
        <w:tc>
          <w:tcPr>
            <w:tcW w:w="940" w:type="dxa"/>
            <w:vAlign w:val="bottom"/>
            <w:tcBorders>
              <w:bottom w:val="single" w:sz="8" w:color="0066BA"/>
            </w:tcBorders>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shd w:val="clear" w:color="auto" w:fill="F2F2F2"/>
          </w:tcPr>
          <w:p>
            <w:pPr>
              <w:spacing w:after="0"/>
              <w:rPr>
                <w:sz w:val="7"/>
                <w:szCs w:val="7"/>
                <w:color w:val="auto"/>
              </w:rPr>
            </w:pPr>
          </w:p>
        </w:tc>
        <w:tc>
          <w:tcPr>
            <w:tcW w:w="6680" w:type="dxa"/>
            <w:vAlign w:val="bottom"/>
            <w:vMerge w:val="restart"/>
            <w:shd w:val="clear" w:color="auto" w:fill="F2F2F2"/>
          </w:tcPr>
          <w:p>
            <w:pPr>
              <w:spacing w:after="0" w:line="189" w:lineRule="exact"/>
              <w:rPr>
                <w:sz w:val="20"/>
                <w:szCs w:val="20"/>
                <w:color w:val="auto"/>
              </w:rPr>
            </w:pPr>
            <w:r>
              <w:rPr>
                <w:rFonts w:ascii="Arial" w:cs="Arial" w:eastAsia="Arial" w:hAnsi="Arial"/>
                <w:sz w:val="17"/>
                <w:szCs w:val="17"/>
                <w:color w:val="auto"/>
              </w:rPr>
              <w:t>Ratification of the selection of Ernst &amp; Young LLP as independent registered</w:t>
            </w:r>
          </w:p>
        </w:tc>
        <w:tc>
          <w:tcPr>
            <w:tcW w:w="500" w:type="dxa"/>
            <w:vAlign w:val="bottom"/>
          </w:tcPr>
          <w:p>
            <w:pPr>
              <w:spacing w:after="0"/>
              <w:rPr>
                <w:sz w:val="7"/>
                <w:szCs w:val="7"/>
                <w:color w:val="auto"/>
              </w:rPr>
            </w:pPr>
          </w:p>
        </w:tc>
        <w:tc>
          <w:tcPr>
            <w:tcW w:w="940" w:type="dxa"/>
            <w:vAlign w:val="bottom"/>
          </w:tcPr>
          <w:p>
            <w:pPr>
              <w:spacing w:after="0"/>
              <w:rPr>
                <w:sz w:val="7"/>
                <w:szCs w:val="7"/>
                <w:color w:val="auto"/>
              </w:rPr>
            </w:pPr>
          </w:p>
        </w:tc>
        <w:tc>
          <w:tcPr>
            <w:tcW w:w="500" w:type="dxa"/>
            <w:vAlign w:val="bottom"/>
            <w:tcBorders>
              <w:right w:val="single" w:sz="8" w:color="F2F2F2"/>
            </w:tcBorders>
          </w:tcPr>
          <w:p>
            <w:pPr>
              <w:spacing w:after="0"/>
              <w:rPr>
                <w:sz w:val="7"/>
                <w:szCs w:val="7"/>
                <w:color w:val="auto"/>
              </w:rPr>
            </w:pPr>
          </w:p>
        </w:tc>
        <w:tc>
          <w:tcPr>
            <w:tcW w:w="940" w:type="dxa"/>
            <w:vAlign w:val="bottom"/>
            <w:vMerge w:val="restart"/>
            <w:shd w:val="clear" w:color="auto" w:fill="F2F2F2"/>
          </w:tcPr>
          <w:p>
            <w:pPr>
              <w:jc w:val="center"/>
              <w:spacing w:after="0"/>
              <w:rPr>
                <w:sz w:val="20"/>
                <w:szCs w:val="20"/>
                <w:color w:val="auto"/>
              </w:rPr>
            </w:pPr>
            <w:r>
              <w:rPr>
                <w:rFonts w:ascii="Arial" w:cs="Arial" w:eastAsia="Arial" w:hAnsi="Arial"/>
                <w:sz w:val="21"/>
                <w:szCs w:val="21"/>
                <w:color w:val="auto"/>
                <w:w w:val="93"/>
              </w:rPr>
              <w:t>73</w:t>
            </w:r>
          </w:p>
        </w:tc>
        <w:tc>
          <w:tcPr>
            <w:tcW w:w="0" w:type="dxa"/>
            <w:vAlign w:val="bottom"/>
          </w:tcPr>
          <w:p>
            <w:pPr>
              <w:spacing w:after="0"/>
              <w:rPr>
                <w:sz w:val="1"/>
                <w:szCs w:val="1"/>
                <w:color w:val="auto"/>
              </w:rPr>
            </w:pPr>
          </w:p>
        </w:tc>
      </w:tr>
      <w:tr>
        <w:trPr>
          <w:trHeight w:val="105"/>
        </w:trPr>
        <w:tc>
          <w:tcPr>
            <w:tcW w:w="300" w:type="dxa"/>
            <w:vAlign w:val="bottom"/>
          </w:tcPr>
          <w:p>
            <w:pPr>
              <w:spacing w:after="0"/>
              <w:rPr>
                <w:sz w:val="9"/>
                <w:szCs w:val="9"/>
                <w:color w:val="auto"/>
              </w:rPr>
            </w:pPr>
          </w:p>
        </w:tc>
        <w:tc>
          <w:tcPr>
            <w:tcW w:w="340" w:type="dxa"/>
            <w:vAlign w:val="bottom"/>
            <w:vMerge w:val="restart"/>
            <w:shd w:val="clear" w:color="auto" w:fill="0066BA"/>
          </w:tcPr>
          <w:p>
            <w:pPr>
              <w:jc w:val="right"/>
              <w:ind w:right="16"/>
              <w:spacing w:after="0" w:line="221" w:lineRule="exact"/>
              <w:rPr>
                <w:sz w:val="20"/>
                <w:szCs w:val="20"/>
                <w:color w:val="auto"/>
              </w:rPr>
            </w:pPr>
            <w:r>
              <w:rPr>
                <w:rFonts w:ascii="Arial" w:cs="Arial" w:eastAsia="Arial" w:hAnsi="Arial"/>
                <w:sz w:val="21"/>
                <w:szCs w:val="21"/>
                <w:color w:val="FFFFFF"/>
                <w:shd w:val="clear" w:color="auto" w:fill="0066BA"/>
              </w:rPr>
              <w:t>4</w:t>
            </w:r>
          </w:p>
        </w:tc>
        <w:tc>
          <w:tcPr>
            <w:tcW w:w="300" w:type="dxa"/>
            <w:vAlign w:val="bottom"/>
          </w:tcPr>
          <w:p>
            <w:pPr>
              <w:spacing w:after="0"/>
              <w:rPr>
                <w:sz w:val="9"/>
                <w:szCs w:val="9"/>
                <w:color w:val="auto"/>
              </w:rPr>
            </w:pPr>
          </w:p>
        </w:tc>
        <w:tc>
          <w:tcPr>
            <w:tcW w:w="120" w:type="dxa"/>
            <w:vAlign w:val="bottom"/>
            <w:shd w:val="clear" w:color="auto" w:fill="F2F2F2"/>
          </w:tcPr>
          <w:p>
            <w:pPr>
              <w:spacing w:after="0"/>
              <w:rPr>
                <w:sz w:val="9"/>
                <w:szCs w:val="9"/>
                <w:color w:val="auto"/>
              </w:rPr>
            </w:pPr>
          </w:p>
        </w:tc>
        <w:tc>
          <w:tcPr>
            <w:tcW w:w="6680" w:type="dxa"/>
            <w:vAlign w:val="bottom"/>
            <w:vMerge w:val="continue"/>
            <w:shd w:val="clear" w:color="auto" w:fill="F2F2F2"/>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vMerge w:val="restart"/>
            <w:shd w:val="clear" w:color="auto" w:fill="0066BA"/>
          </w:tcPr>
          <w:p>
            <w:pPr>
              <w:ind w:left="440"/>
              <w:spacing w:after="0" w:line="221" w:lineRule="exact"/>
              <w:rPr>
                <w:sz w:val="20"/>
                <w:szCs w:val="20"/>
                <w:color w:val="auto"/>
              </w:rPr>
            </w:pPr>
            <w:r>
              <w:rPr>
                <w:rFonts w:ascii="Arial" w:cs="Arial" w:eastAsia="Arial" w:hAnsi="Arial"/>
                <w:sz w:val="21"/>
                <w:szCs w:val="21"/>
                <w:color w:val="FFFFFF"/>
                <w:shd w:val="clear" w:color="auto" w:fill="0066BA"/>
              </w:rPr>
              <w:t>FOR</w:t>
            </w:r>
          </w:p>
        </w:tc>
        <w:tc>
          <w:tcPr>
            <w:tcW w:w="500" w:type="dxa"/>
            <w:vAlign w:val="bottom"/>
            <w:tcBorders>
              <w:right w:val="single" w:sz="8" w:color="F2F2F2"/>
            </w:tcBorders>
          </w:tcPr>
          <w:p>
            <w:pPr>
              <w:spacing w:after="0"/>
              <w:rPr>
                <w:sz w:val="9"/>
                <w:szCs w:val="9"/>
                <w:color w:val="auto"/>
              </w:rPr>
            </w:pPr>
          </w:p>
        </w:tc>
        <w:tc>
          <w:tcPr>
            <w:tcW w:w="940" w:type="dxa"/>
            <w:vAlign w:val="bottom"/>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340" w:type="dxa"/>
            <w:vAlign w:val="bottom"/>
            <w:vMerge w:val="continue"/>
            <w:shd w:val="clear" w:color="auto" w:fill="0066BA"/>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6680" w:type="dxa"/>
            <w:vAlign w:val="bottom"/>
            <w:vMerge w:val="restart"/>
            <w:shd w:val="clear" w:color="auto" w:fill="F2F2F2"/>
          </w:tcPr>
          <w:p>
            <w:pPr>
              <w:spacing w:after="0"/>
              <w:rPr>
                <w:sz w:val="20"/>
                <w:szCs w:val="20"/>
                <w:color w:val="auto"/>
              </w:rPr>
            </w:pPr>
            <w:r>
              <w:rPr>
                <w:rFonts w:ascii="Arial" w:cs="Arial" w:eastAsia="Arial" w:hAnsi="Arial"/>
                <w:sz w:val="17"/>
                <w:szCs w:val="17"/>
                <w:color w:val="auto"/>
              </w:rPr>
              <w:t>public accounting firm for the company’s fiscal year ending October 29, 2022</w:t>
            </w:r>
          </w:p>
        </w:tc>
        <w:tc>
          <w:tcPr>
            <w:tcW w:w="500" w:type="dxa"/>
            <w:vAlign w:val="bottom"/>
          </w:tcPr>
          <w:p>
            <w:pPr>
              <w:spacing w:after="0"/>
              <w:rPr>
                <w:sz w:val="11"/>
                <w:szCs w:val="11"/>
                <w:color w:val="auto"/>
              </w:rPr>
            </w:pPr>
          </w:p>
        </w:tc>
        <w:tc>
          <w:tcPr>
            <w:tcW w:w="940" w:type="dxa"/>
            <w:vAlign w:val="bottom"/>
            <w:vMerge w:val="continue"/>
            <w:shd w:val="clear" w:color="auto" w:fill="0066BA"/>
          </w:tcPr>
          <w:p>
            <w:pPr>
              <w:spacing w:after="0"/>
              <w:rPr>
                <w:sz w:val="11"/>
                <w:szCs w:val="11"/>
                <w:color w:val="auto"/>
              </w:rPr>
            </w:pPr>
          </w:p>
        </w:tc>
        <w:tc>
          <w:tcPr>
            <w:tcW w:w="500" w:type="dxa"/>
            <w:vAlign w:val="bottom"/>
            <w:tcBorders>
              <w:right w:val="single" w:sz="8" w:color="F2F2F2"/>
            </w:tcBorders>
          </w:tcPr>
          <w:p>
            <w:pPr>
              <w:spacing w:after="0"/>
              <w:rPr>
                <w:sz w:val="11"/>
                <w:szCs w:val="11"/>
                <w:color w:val="auto"/>
              </w:rPr>
            </w:pPr>
          </w:p>
        </w:tc>
        <w:tc>
          <w:tcPr>
            <w:tcW w:w="940" w:type="dxa"/>
            <w:vAlign w:val="bottom"/>
            <w:vMerge w:val="continue"/>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F2F2F2"/>
            </w:tcBorders>
            <w:shd w:val="clear" w:color="auto" w:fill="F2F2F2"/>
          </w:tcPr>
          <w:p>
            <w:pPr>
              <w:spacing w:after="0"/>
              <w:rPr>
                <w:sz w:val="8"/>
                <w:szCs w:val="8"/>
                <w:color w:val="auto"/>
              </w:rPr>
            </w:pPr>
          </w:p>
        </w:tc>
        <w:tc>
          <w:tcPr>
            <w:tcW w:w="6680" w:type="dxa"/>
            <w:vAlign w:val="bottom"/>
            <w:tcBorders>
              <w:bottom w:val="single" w:sz="8" w:color="F2F2F2"/>
            </w:tcBorders>
            <w:vMerge w:val="continue"/>
            <w:shd w:val="clear" w:color="auto" w:fill="F2F2F2"/>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Borders>
              <w:right w:val="single" w:sz="8" w:color="F2F2F2"/>
            </w:tcBorders>
          </w:tcPr>
          <w:p>
            <w:pPr>
              <w:spacing w:after="0"/>
              <w:rPr>
                <w:sz w:val="8"/>
                <w:szCs w:val="8"/>
                <w:color w:val="auto"/>
              </w:rPr>
            </w:pPr>
          </w:p>
        </w:tc>
        <w:tc>
          <w:tcPr>
            <w:tcW w:w="940" w:type="dxa"/>
            <w:vAlign w:val="bottom"/>
            <w:tcBorders>
              <w:bottom w:val="single" w:sz="8" w:color="F2F2F2"/>
            </w:tcBorders>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66BA"/>
          </w:tcPr>
          <w:p>
            <w:pPr>
              <w:spacing w:after="0" w:line="20" w:lineRule="exact"/>
              <w:rPr>
                <w:sz w:val="1"/>
                <w:szCs w:val="1"/>
                <w:color w:val="auto"/>
              </w:rPr>
            </w:pPr>
          </w:p>
        </w:tc>
        <w:tc>
          <w:tcPr>
            <w:tcW w:w="340" w:type="dxa"/>
            <w:vAlign w:val="bottom"/>
            <w:shd w:val="clear" w:color="auto" w:fill="0066BA"/>
          </w:tcPr>
          <w:p>
            <w:pPr>
              <w:spacing w:after="0" w:line="20" w:lineRule="exact"/>
              <w:rPr>
                <w:sz w:val="1"/>
                <w:szCs w:val="1"/>
                <w:color w:val="auto"/>
              </w:rPr>
            </w:pPr>
          </w:p>
        </w:tc>
        <w:tc>
          <w:tcPr>
            <w:tcW w:w="300" w:type="dxa"/>
            <w:vAlign w:val="bottom"/>
            <w:shd w:val="clear" w:color="auto" w:fill="0066BA"/>
          </w:tcPr>
          <w:p>
            <w:pPr>
              <w:spacing w:after="0" w:line="20" w:lineRule="exact"/>
              <w:rPr>
                <w:sz w:val="1"/>
                <w:szCs w:val="1"/>
                <w:color w:val="auto"/>
              </w:rPr>
            </w:pPr>
          </w:p>
        </w:tc>
        <w:tc>
          <w:tcPr>
            <w:tcW w:w="120" w:type="dxa"/>
            <w:vAlign w:val="bottom"/>
            <w:shd w:val="clear" w:color="auto" w:fill="0066BA"/>
          </w:tcPr>
          <w:p>
            <w:pPr>
              <w:spacing w:after="0" w:line="20" w:lineRule="exact"/>
              <w:rPr>
                <w:sz w:val="1"/>
                <w:szCs w:val="1"/>
                <w:color w:val="auto"/>
              </w:rPr>
            </w:pPr>
          </w:p>
        </w:tc>
        <w:tc>
          <w:tcPr>
            <w:tcW w:w="6680" w:type="dxa"/>
            <w:vAlign w:val="bottom"/>
            <w:shd w:val="clear" w:color="auto" w:fill="0066BA"/>
          </w:tcPr>
          <w:p>
            <w:pPr>
              <w:spacing w:after="0" w:line="20" w:lineRule="exact"/>
              <w:rPr>
                <w:sz w:val="1"/>
                <w:szCs w:val="1"/>
                <w:color w:val="auto"/>
              </w:rPr>
            </w:pPr>
          </w:p>
        </w:tc>
        <w:tc>
          <w:tcPr>
            <w:tcW w:w="500" w:type="dxa"/>
            <w:vAlign w:val="bottom"/>
            <w:shd w:val="clear" w:color="auto" w:fill="0066BA"/>
          </w:tcPr>
          <w:p>
            <w:pPr>
              <w:spacing w:after="0" w:line="20" w:lineRule="exact"/>
              <w:rPr>
                <w:sz w:val="1"/>
                <w:szCs w:val="1"/>
                <w:color w:val="auto"/>
              </w:rPr>
            </w:pPr>
          </w:p>
        </w:tc>
        <w:tc>
          <w:tcPr>
            <w:tcW w:w="940" w:type="dxa"/>
            <w:vAlign w:val="bottom"/>
            <w:shd w:val="clear" w:color="auto" w:fill="0066BA"/>
          </w:tcPr>
          <w:p>
            <w:pPr>
              <w:spacing w:after="0" w:line="20" w:lineRule="exact"/>
              <w:rPr>
                <w:sz w:val="1"/>
                <w:szCs w:val="1"/>
                <w:color w:val="auto"/>
              </w:rPr>
            </w:pPr>
          </w:p>
        </w:tc>
        <w:tc>
          <w:tcPr>
            <w:tcW w:w="500" w:type="dxa"/>
            <w:vAlign w:val="bottom"/>
            <w:tcBorders>
              <w:right w:val="single" w:sz="8" w:color="0066BA"/>
            </w:tcBorders>
            <w:shd w:val="clear" w:color="auto" w:fill="0066BA"/>
          </w:tcPr>
          <w:p>
            <w:pPr>
              <w:spacing w:after="0" w:line="20" w:lineRule="exact"/>
              <w:rPr>
                <w:sz w:val="1"/>
                <w:szCs w:val="1"/>
                <w:color w:val="auto"/>
              </w:rPr>
            </w:pPr>
          </w:p>
        </w:tc>
        <w:tc>
          <w:tcPr>
            <w:tcW w:w="940" w:type="dxa"/>
            <w:vAlign w:val="bottom"/>
            <w:shd w:val="clear" w:color="auto" w:fill="0066B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148590</wp:posOffset>
            </wp:positionV>
            <wp:extent cx="6740525" cy="2146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40525" cy="214630"/>
                    </a:xfrm>
                    <a:prstGeom prst="rect">
                      <a:avLst/>
                    </a:prstGeom>
                    <a:noFill/>
                  </pic:spPr>
                </pic:pic>
              </a:graphicData>
            </a:graphic>
          </wp:anchor>
        </w:drawing>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9"/>
          <w:szCs w:val="19"/>
          <w:b w:val="1"/>
          <w:bCs w:val="1"/>
          <w:color w:val="auto"/>
        </w:rPr>
        <w:t>What’s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1216660</wp:posOffset>
            </wp:positionH>
            <wp:positionV relativeFrom="paragraph">
              <wp:posOffset>-120650</wp:posOffset>
            </wp:positionV>
            <wp:extent cx="5724525" cy="1733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24525" cy="173355"/>
                    </a:xfrm>
                    <a:prstGeom prst="rect">
                      <a:avLst/>
                    </a:prstGeom>
                    <a:noFill/>
                  </pic:spPr>
                </pic:pic>
              </a:graphicData>
            </a:graphic>
          </wp:anchor>
        </w:drawing>
      </w:r>
    </w:p>
    <w:p>
      <w:pPr>
        <w:spacing w:after="0" w:line="102" w:lineRule="exact"/>
        <w:rPr>
          <w:sz w:val="20"/>
          <w:szCs w:val="20"/>
          <w:color w:val="auto"/>
        </w:rPr>
      </w:pPr>
    </w:p>
    <w:p>
      <w:pPr>
        <w:jc w:val="both"/>
        <w:ind w:left="320" w:right="220"/>
        <w:spacing w:after="0" w:line="295" w:lineRule="auto"/>
        <w:rPr>
          <w:sz w:val="20"/>
          <w:szCs w:val="20"/>
          <w:color w:val="auto"/>
        </w:rPr>
      </w:pPr>
      <w:r>
        <w:rPr>
          <w:rFonts w:ascii="Arial" w:cs="Arial" w:eastAsia="Arial" w:hAnsi="Arial"/>
          <w:sz w:val="16"/>
          <w:szCs w:val="16"/>
          <w:color w:val="auto"/>
        </w:rPr>
        <w:t>We continually review our corporate strategy and governance practices to ensure that ADI is in a position to consistently deliver on its commitment to sustaining a culture of innovation, collaboration, solid performance, and fiduciary responsibility. We believe providing a broader understanding of our perspectives on these items will be beneficial to you as you consider this year’s voting matters. This year’s updated items include:</w:t>
      </w:r>
    </w:p>
    <w:p>
      <w:pPr>
        <w:spacing w:after="0" w:line="11" w:lineRule="exact"/>
        <w:rPr>
          <w:sz w:val="20"/>
          <w:szCs w:val="20"/>
          <w:color w:val="auto"/>
        </w:rPr>
      </w:pPr>
    </w:p>
    <w:p>
      <w:pPr>
        <w:ind w:left="840" w:hanging="524"/>
        <w:spacing w:after="0"/>
        <w:tabs>
          <w:tab w:leader="none" w:pos="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Completed the acquisition of Maxim Integrated Products, Inc., or Maxim Integrated, on August 26, 2021</w:t>
      </w:r>
    </w:p>
    <w:p>
      <w:pPr>
        <w:spacing w:after="0" w:line="77" w:lineRule="exact"/>
        <w:rPr>
          <w:rFonts w:ascii="Arial" w:cs="Arial" w:eastAsia="Arial" w:hAnsi="Arial"/>
          <w:sz w:val="17"/>
          <w:szCs w:val="17"/>
          <w:color w:val="auto"/>
        </w:rPr>
      </w:pPr>
    </w:p>
    <w:p>
      <w:pPr>
        <w:ind w:left="840" w:hanging="524"/>
        <w:spacing w:after="0"/>
        <w:tabs>
          <w:tab w:leader="none" w:pos="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Continued to enhance ESG disclosure, publishing second annual Corporate Responsibility Report and EEO-1 data</w:t>
      </w:r>
    </w:p>
    <w:p>
      <w:pPr>
        <w:spacing w:after="0" w:line="77" w:lineRule="exact"/>
        <w:rPr>
          <w:rFonts w:ascii="Arial" w:cs="Arial" w:eastAsia="Arial" w:hAnsi="Arial"/>
          <w:sz w:val="17"/>
          <w:szCs w:val="17"/>
          <w:color w:val="auto"/>
        </w:rPr>
      </w:pPr>
    </w:p>
    <w:p>
      <w:pPr>
        <w:ind w:left="840" w:right="100" w:hanging="524"/>
        <w:spacing w:after="0" w:line="286" w:lineRule="auto"/>
        <w:tabs>
          <w:tab w:leader="none" w:pos="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First U.S. technology company to deploy a sustainable finance instrument with an inaugural green bond issuance in fiscal 2020, followed by the issuance of a sustainability-linked revolving credit facility and a sustainability-linked bond offering in fiscal 2021</w:t>
      </w:r>
    </w:p>
    <w:p>
      <w:pPr>
        <w:spacing w:after="0" w:line="15" w:lineRule="exact"/>
        <w:rPr>
          <w:rFonts w:ascii="Arial" w:cs="Arial" w:eastAsia="Arial" w:hAnsi="Arial"/>
          <w:sz w:val="17"/>
          <w:szCs w:val="17"/>
          <w:color w:val="auto"/>
        </w:rPr>
      </w:pPr>
    </w:p>
    <w:p>
      <w:pPr>
        <w:ind w:left="840" w:right="60" w:hanging="524"/>
        <w:spacing w:after="0" w:line="286" w:lineRule="auto"/>
        <w:tabs>
          <w:tab w:leader="none" w:pos="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Strengthened ADI’s commitment to reducing carbon emissions by setting a new goal to reach carbon neutrality by 2030 and net zero greenhouse gas emissions by 2050 or sooner</w:t>
      </w:r>
    </w:p>
    <w:p>
      <w:pPr>
        <w:spacing w:after="0" w:line="15" w:lineRule="exact"/>
        <w:rPr>
          <w:rFonts w:ascii="Arial" w:cs="Arial" w:eastAsia="Arial" w:hAnsi="Arial"/>
          <w:sz w:val="17"/>
          <w:szCs w:val="17"/>
          <w:color w:val="auto"/>
        </w:rPr>
      </w:pPr>
    </w:p>
    <w:p>
      <w:pPr>
        <w:ind w:left="840" w:right="180" w:hanging="524"/>
        <w:spacing w:after="0" w:line="286" w:lineRule="auto"/>
        <w:tabs>
          <w:tab w:leader="none" w:pos="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Continued to connect our shareholders with key stakeholders within our company around topics of interest, including sustainability and human capital management reporting</w:t>
      </w:r>
    </w:p>
    <w:p>
      <w:pPr>
        <w:spacing w:after="0" w:line="15" w:lineRule="exact"/>
        <w:rPr>
          <w:rFonts w:ascii="Arial" w:cs="Arial" w:eastAsia="Arial" w:hAnsi="Arial"/>
          <w:sz w:val="17"/>
          <w:szCs w:val="17"/>
          <w:color w:val="auto"/>
        </w:rPr>
      </w:pPr>
    </w:p>
    <w:p>
      <w:pPr>
        <w:ind w:left="840" w:right="160" w:hanging="524"/>
        <w:spacing w:after="0" w:line="286" w:lineRule="auto"/>
        <w:tabs>
          <w:tab w:leader="none" w:pos="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Appointed ADI’s first Chief Risk Officer and continued to enhance risk oversight practices with quarterly cross-functional committee meetings and regular updates to the Board</w:t>
      </w:r>
    </w:p>
    <w:p>
      <w:pPr>
        <w:spacing w:after="0" w:line="15" w:lineRule="exact"/>
        <w:rPr>
          <w:rFonts w:ascii="Arial" w:cs="Arial" w:eastAsia="Arial" w:hAnsi="Arial"/>
          <w:sz w:val="17"/>
          <w:szCs w:val="17"/>
          <w:color w:val="auto"/>
        </w:rPr>
      </w:pPr>
    </w:p>
    <w:p>
      <w:pPr>
        <w:ind w:left="840" w:hanging="524"/>
        <w:spacing w:after="0"/>
        <w:tabs>
          <w:tab w:leader="none" w:pos="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Further diversified Board, with female directors now representing more than 30% of the Board</w:t>
      </w:r>
    </w:p>
    <w:p>
      <w:pPr>
        <w:spacing w:after="0" w:line="77" w:lineRule="exact"/>
        <w:rPr>
          <w:rFonts w:ascii="Arial" w:cs="Arial" w:eastAsia="Arial" w:hAnsi="Arial"/>
          <w:sz w:val="17"/>
          <w:szCs w:val="17"/>
          <w:color w:val="auto"/>
        </w:rPr>
      </w:pPr>
    </w:p>
    <w:p>
      <w:pPr>
        <w:ind w:left="840" w:hanging="524"/>
        <w:spacing w:after="0"/>
        <w:tabs>
          <w:tab w:leader="none" w:pos="8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Increased our stock ownership guidelines for the CEO from 2x to 5x and for all other executive officers from 1x to 3x</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26"/>
          <w:szCs w:val="26"/>
          <w:b w:val="1"/>
          <w:bCs w:val="1"/>
          <w:color w:val="333333"/>
        </w:rPr>
        <w:t>Governance Highlights</w:t>
      </w:r>
    </w:p>
    <w:p>
      <w:pPr>
        <w:spacing w:after="0" w:line="151" w:lineRule="exact"/>
        <w:rPr>
          <w:sz w:val="20"/>
          <w:szCs w:val="20"/>
          <w:color w:val="auto"/>
        </w:rPr>
      </w:pPr>
    </w:p>
    <w:tbl>
      <w:tblPr>
        <w:tblLayout w:type="fixed"/>
        <w:tblInd w:w="320" w:type="dxa"/>
        <w:tblCellMar>
          <w:top w:w="0" w:type="dxa"/>
          <w:left w:w="0" w:type="dxa"/>
          <w:bottom w:w="0" w:type="dxa"/>
          <w:right w:w="0" w:type="dxa"/>
        </w:tblCellMar>
      </w:tblPr>
      <w:tr>
        <w:trPr>
          <w:trHeight w:val="222"/>
        </w:trPr>
        <w:tc>
          <w:tcPr>
            <w:tcW w:w="532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Effective Board leadership, independent</w:t>
            </w:r>
          </w:p>
        </w:tc>
        <w:tc>
          <w:tcPr>
            <w:tcW w:w="420" w:type="dxa"/>
            <w:vAlign w:val="bottom"/>
            <w:shd w:val="clear" w:color="auto" w:fill="0066BA"/>
          </w:tcPr>
          <w:p>
            <w:pPr>
              <w:spacing w:after="0"/>
              <w:rPr>
                <w:sz w:val="19"/>
                <w:szCs w:val="19"/>
                <w:color w:val="auto"/>
              </w:rPr>
            </w:pPr>
          </w:p>
        </w:tc>
        <w:tc>
          <w:tcPr>
            <w:tcW w:w="4880" w:type="dxa"/>
            <w:vAlign w:val="bottom"/>
            <w:shd w:val="clear" w:color="auto" w:fill="0066BA"/>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20" w:type="dxa"/>
            <w:vAlign w:val="bottom"/>
            <w:tcBorders>
              <w:bottom w:val="single" w:sz="8" w:color="0066BA"/>
            </w:tcBorders>
            <w:shd w:val="clear" w:color="auto" w:fill="0066BA"/>
          </w:tcPr>
          <w:p>
            <w:pPr>
              <w:ind w:left="60"/>
              <w:spacing w:after="0"/>
              <w:rPr>
                <w:sz w:val="20"/>
                <w:szCs w:val="20"/>
                <w:color w:val="auto"/>
              </w:rPr>
            </w:pPr>
            <w:r>
              <w:rPr>
                <w:rFonts w:ascii="Arial" w:cs="Arial" w:eastAsia="Arial" w:hAnsi="Arial"/>
                <w:sz w:val="14"/>
                <w:szCs w:val="14"/>
                <w:b w:val="1"/>
                <w:bCs w:val="1"/>
                <w:color w:val="FFFFFF"/>
              </w:rPr>
              <w:t>oversight and strong corporate governance</w:t>
            </w:r>
          </w:p>
        </w:tc>
        <w:tc>
          <w:tcPr>
            <w:tcW w:w="5300" w:type="dxa"/>
            <w:vAlign w:val="bottom"/>
            <w:tcBorders>
              <w:bottom w:val="single" w:sz="8" w:color="0066BA"/>
            </w:tcBorders>
            <w:gridSpan w:val="2"/>
            <w:shd w:val="clear" w:color="auto" w:fill="0066BA"/>
          </w:tcPr>
          <w:p>
            <w:pPr>
              <w:ind w:left="180"/>
              <w:spacing w:after="0"/>
              <w:rPr>
                <w:sz w:val="20"/>
                <w:szCs w:val="20"/>
                <w:color w:val="auto"/>
              </w:rPr>
            </w:pPr>
            <w:r>
              <w:rPr>
                <w:rFonts w:ascii="Arial" w:cs="Arial" w:eastAsia="Arial" w:hAnsi="Arial"/>
                <w:sz w:val="14"/>
                <w:szCs w:val="14"/>
                <w:b w:val="1"/>
                <w:bCs w:val="1"/>
                <w:color w:val="FFFFFF"/>
              </w:rPr>
              <w:t>Shareholder rights and accountability</w:t>
            </w:r>
          </w:p>
        </w:tc>
        <w:tc>
          <w:tcPr>
            <w:tcW w:w="0" w:type="dxa"/>
            <w:vAlign w:val="bottom"/>
          </w:tcPr>
          <w:p>
            <w:pPr>
              <w:spacing w:after="0"/>
              <w:rPr>
                <w:sz w:val="1"/>
                <w:szCs w:val="1"/>
                <w:color w:val="auto"/>
              </w:rPr>
            </w:pPr>
          </w:p>
        </w:tc>
      </w:tr>
      <w:tr>
        <w:trPr>
          <w:trHeight w:val="254"/>
        </w:trPr>
        <w:tc>
          <w:tcPr>
            <w:tcW w:w="5320" w:type="dxa"/>
            <w:vAlign w:val="bottom"/>
          </w:tcPr>
          <w:p>
            <w:pPr>
              <w:ind w:left="440"/>
              <w:spacing w:after="0"/>
              <w:rPr>
                <w:sz w:val="20"/>
                <w:szCs w:val="20"/>
                <w:color w:val="auto"/>
              </w:rPr>
            </w:pPr>
            <w:r>
              <w:rPr>
                <w:rFonts w:ascii="Arial" w:cs="Arial" w:eastAsia="Arial" w:hAnsi="Arial"/>
                <w:sz w:val="16"/>
                <w:szCs w:val="16"/>
                <w:color w:val="auto"/>
              </w:rPr>
              <w:t>Majority of directors are independent</w:t>
            </w:r>
          </w:p>
        </w:tc>
        <w:tc>
          <w:tcPr>
            <w:tcW w:w="420" w:type="dxa"/>
            <w:vAlign w:val="bottom"/>
            <w:shd w:val="clear" w:color="auto" w:fill="EAEAEA"/>
          </w:tcPr>
          <w:p>
            <w:pPr>
              <w:spacing w:after="0"/>
              <w:rPr>
                <w:sz w:val="22"/>
                <w:szCs w:val="22"/>
                <w:color w:val="auto"/>
              </w:rPr>
            </w:pPr>
          </w:p>
        </w:tc>
        <w:tc>
          <w:tcPr>
            <w:tcW w:w="4880" w:type="dxa"/>
            <w:vAlign w:val="bottom"/>
            <w:shd w:val="clear" w:color="auto" w:fill="EAEAEA"/>
          </w:tcPr>
          <w:p>
            <w:pPr>
              <w:ind w:left="100"/>
              <w:spacing w:after="0"/>
              <w:rPr>
                <w:sz w:val="20"/>
                <w:szCs w:val="20"/>
                <w:color w:val="auto"/>
              </w:rPr>
            </w:pPr>
            <w:r>
              <w:rPr>
                <w:rFonts w:ascii="Arial" w:cs="Arial" w:eastAsia="Arial" w:hAnsi="Arial"/>
                <w:sz w:val="16"/>
                <w:szCs w:val="16"/>
                <w:color w:val="auto"/>
              </w:rPr>
              <w:t>Annual election of directors of a declassified Board</w:t>
            </w:r>
          </w:p>
        </w:tc>
        <w:tc>
          <w:tcPr>
            <w:tcW w:w="0" w:type="dxa"/>
            <w:vAlign w:val="bottom"/>
          </w:tcPr>
          <w:p>
            <w:pPr>
              <w:spacing w:after="0"/>
              <w:rPr>
                <w:sz w:val="1"/>
                <w:szCs w:val="1"/>
                <w:color w:val="auto"/>
              </w:rPr>
            </w:pPr>
          </w:p>
        </w:tc>
      </w:tr>
      <w:tr>
        <w:trPr>
          <w:trHeight w:val="71"/>
        </w:trPr>
        <w:tc>
          <w:tcPr>
            <w:tcW w:w="5320" w:type="dxa"/>
            <w:vAlign w:val="bottom"/>
            <w:tcBorders>
              <w:bottom w:val="single" w:sz="8" w:color="0066BA"/>
            </w:tcBorders>
          </w:tcPr>
          <w:p>
            <w:pPr>
              <w:spacing w:after="0"/>
              <w:rPr>
                <w:sz w:val="6"/>
                <w:szCs w:val="6"/>
                <w:color w:val="auto"/>
              </w:rPr>
            </w:pPr>
          </w:p>
        </w:tc>
        <w:tc>
          <w:tcPr>
            <w:tcW w:w="420" w:type="dxa"/>
            <w:vAlign w:val="bottom"/>
            <w:tcBorders>
              <w:bottom w:val="single" w:sz="8" w:color="0066BA"/>
            </w:tcBorders>
            <w:shd w:val="clear" w:color="auto" w:fill="EAEAEA"/>
          </w:tcPr>
          <w:p>
            <w:pPr>
              <w:spacing w:after="0"/>
              <w:rPr>
                <w:sz w:val="6"/>
                <w:szCs w:val="6"/>
                <w:color w:val="auto"/>
              </w:rPr>
            </w:pPr>
          </w:p>
        </w:tc>
        <w:tc>
          <w:tcPr>
            <w:tcW w:w="4880" w:type="dxa"/>
            <w:vAlign w:val="bottom"/>
            <w:tcBorders>
              <w:bottom w:val="single" w:sz="8" w:color="0066BA"/>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440"/>
              <w:spacing w:after="0"/>
              <w:rPr>
                <w:sz w:val="20"/>
                <w:szCs w:val="20"/>
                <w:color w:val="auto"/>
              </w:rPr>
            </w:pPr>
            <w:r>
              <w:rPr>
                <w:rFonts w:ascii="Arial" w:cs="Arial" w:eastAsia="Arial" w:hAnsi="Arial"/>
                <w:sz w:val="16"/>
                <w:szCs w:val="16"/>
                <w:color w:val="auto"/>
              </w:rPr>
              <w:t>Average tenure of independent directors standing for re-election is</w:t>
            </w:r>
          </w:p>
        </w:tc>
        <w:tc>
          <w:tcPr>
            <w:tcW w:w="420" w:type="dxa"/>
            <w:vAlign w:val="bottom"/>
            <w:shd w:val="clear" w:color="auto" w:fill="EAEAEA"/>
          </w:tcPr>
          <w:p>
            <w:pPr>
              <w:spacing w:after="0"/>
              <w:rPr>
                <w:sz w:val="20"/>
                <w:szCs w:val="20"/>
                <w:color w:val="auto"/>
              </w:rPr>
            </w:pPr>
          </w:p>
        </w:tc>
        <w:tc>
          <w:tcPr>
            <w:tcW w:w="4880" w:type="dxa"/>
            <w:vAlign w:val="bottom"/>
            <w:vMerge w:val="restart"/>
            <w:shd w:val="clear" w:color="auto" w:fill="EAEAEA"/>
          </w:tcPr>
          <w:p>
            <w:pPr>
              <w:ind w:left="100"/>
              <w:spacing w:after="0"/>
              <w:rPr>
                <w:sz w:val="20"/>
                <w:szCs w:val="20"/>
                <w:color w:val="auto"/>
              </w:rPr>
            </w:pPr>
            <w:r>
              <w:rPr>
                <w:rFonts w:ascii="Arial" w:cs="Arial" w:eastAsia="Arial" w:hAnsi="Arial"/>
                <w:sz w:val="16"/>
                <w:szCs w:val="16"/>
                <w:color w:val="auto"/>
              </w:rPr>
              <w:t>Majority voting for directors in uncontested director elections</w:t>
            </w:r>
          </w:p>
        </w:tc>
        <w:tc>
          <w:tcPr>
            <w:tcW w:w="0" w:type="dxa"/>
            <w:vAlign w:val="bottom"/>
          </w:tcPr>
          <w:p>
            <w:pPr>
              <w:spacing w:after="0"/>
              <w:rPr>
                <w:sz w:val="1"/>
                <w:szCs w:val="1"/>
                <w:color w:val="auto"/>
              </w:rPr>
            </w:pPr>
          </w:p>
        </w:tc>
      </w:tr>
      <w:tr>
        <w:trPr>
          <w:trHeight w:val="95"/>
        </w:trPr>
        <w:tc>
          <w:tcPr>
            <w:tcW w:w="5320" w:type="dxa"/>
            <w:vAlign w:val="bottom"/>
            <w:vMerge w:val="restart"/>
          </w:tcPr>
          <w:p>
            <w:pPr>
              <w:ind w:left="440"/>
              <w:spacing w:after="0"/>
              <w:rPr>
                <w:sz w:val="20"/>
                <w:szCs w:val="20"/>
                <w:color w:val="auto"/>
              </w:rPr>
            </w:pPr>
            <w:r>
              <w:rPr>
                <w:rFonts w:ascii="Arial" w:cs="Arial" w:eastAsia="Arial" w:hAnsi="Arial"/>
                <w:sz w:val="16"/>
                <w:szCs w:val="16"/>
                <w:color w:val="auto"/>
              </w:rPr>
              <w:t>approximately 6.7 years</w:t>
            </w:r>
          </w:p>
        </w:tc>
        <w:tc>
          <w:tcPr>
            <w:tcW w:w="420" w:type="dxa"/>
            <w:vAlign w:val="bottom"/>
            <w:shd w:val="clear" w:color="auto" w:fill="EAEAEA"/>
          </w:tcPr>
          <w:p>
            <w:pPr>
              <w:spacing w:after="0"/>
              <w:rPr>
                <w:sz w:val="8"/>
                <w:szCs w:val="8"/>
                <w:color w:val="auto"/>
              </w:rPr>
            </w:pPr>
          </w:p>
        </w:tc>
        <w:tc>
          <w:tcPr>
            <w:tcW w:w="4880" w:type="dxa"/>
            <w:vAlign w:val="bottom"/>
            <w:vMerge w:val="continue"/>
            <w:shd w:val="clear" w:color="auto" w:fill="EAEAEA"/>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5320" w:type="dxa"/>
            <w:vAlign w:val="bottom"/>
            <w:vMerge w:val="continue"/>
          </w:tcPr>
          <w:p>
            <w:pPr>
              <w:spacing w:after="0"/>
              <w:rPr>
                <w:sz w:val="9"/>
                <w:szCs w:val="9"/>
                <w:color w:val="auto"/>
              </w:rPr>
            </w:pPr>
          </w:p>
        </w:tc>
        <w:tc>
          <w:tcPr>
            <w:tcW w:w="420" w:type="dxa"/>
            <w:vAlign w:val="bottom"/>
            <w:shd w:val="clear" w:color="auto" w:fill="EAEAEA"/>
          </w:tcPr>
          <w:p>
            <w:pPr>
              <w:spacing w:after="0"/>
              <w:rPr>
                <w:sz w:val="9"/>
                <w:szCs w:val="9"/>
                <w:color w:val="auto"/>
              </w:rPr>
            </w:pPr>
          </w:p>
        </w:tc>
        <w:tc>
          <w:tcPr>
            <w:tcW w:w="4880" w:type="dxa"/>
            <w:vAlign w:val="bottom"/>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5320" w:type="dxa"/>
            <w:vAlign w:val="bottom"/>
            <w:tcBorders>
              <w:bottom w:val="single" w:sz="8" w:color="0066BA"/>
            </w:tcBorders>
          </w:tcPr>
          <w:p>
            <w:pPr>
              <w:spacing w:after="0"/>
              <w:rPr>
                <w:sz w:val="6"/>
                <w:szCs w:val="6"/>
                <w:color w:val="auto"/>
              </w:rPr>
            </w:pPr>
          </w:p>
        </w:tc>
        <w:tc>
          <w:tcPr>
            <w:tcW w:w="420" w:type="dxa"/>
            <w:vAlign w:val="bottom"/>
            <w:tcBorders>
              <w:bottom w:val="single" w:sz="8" w:color="0066BA"/>
            </w:tcBorders>
            <w:shd w:val="clear" w:color="auto" w:fill="EAEAEA"/>
          </w:tcPr>
          <w:p>
            <w:pPr>
              <w:spacing w:after="0"/>
              <w:rPr>
                <w:sz w:val="6"/>
                <w:szCs w:val="6"/>
                <w:color w:val="auto"/>
              </w:rPr>
            </w:pPr>
          </w:p>
        </w:tc>
        <w:tc>
          <w:tcPr>
            <w:tcW w:w="4880" w:type="dxa"/>
            <w:vAlign w:val="bottom"/>
            <w:tcBorders>
              <w:bottom w:val="single" w:sz="8" w:color="0066BA"/>
            </w:tcBorders>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5320" w:type="dxa"/>
            <w:vAlign w:val="bottom"/>
          </w:tcPr>
          <w:p>
            <w:pPr>
              <w:ind w:left="440"/>
              <w:spacing w:after="0"/>
              <w:rPr>
                <w:sz w:val="20"/>
                <w:szCs w:val="20"/>
                <w:color w:val="auto"/>
              </w:rPr>
            </w:pPr>
            <w:r>
              <w:rPr>
                <w:rFonts w:ascii="Arial" w:cs="Arial" w:eastAsia="Arial" w:hAnsi="Arial"/>
                <w:sz w:val="16"/>
                <w:szCs w:val="16"/>
                <w:color w:val="auto"/>
              </w:rPr>
              <w:t>Regular executive sessions of independent directors</w:t>
            </w:r>
          </w:p>
        </w:tc>
        <w:tc>
          <w:tcPr>
            <w:tcW w:w="420" w:type="dxa"/>
            <w:vAlign w:val="bottom"/>
            <w:shd w:val="clear" w:color="auto" w:fill="EAEAEA"/>
          </w:tcPr>
          <w:p>
            <w:pPr>
              <w:spacing w:after="0"/>
              <w:rPr>
                <w:sz w:val="20"/>
                <w:szCs w:val="20"/>
                <w:color w:val="auto"/>
              </w:rPr>
            </w:pPr>
          </w:p>
        </w:tc>
        <w:tc>
          <w:tcPr>
            <w:tcW w:w="4880" w:type="dxa"/>
            <w:vAlign w:val="bottom"/>
            <w:shd w:val="clear" w:color="auto" w:fill="EAEAEA"/>
          </w:tcPr>
          <w:p>
            <w:pPr>
              <w:ind w:left="100"/>
              <w:spacing w:after="0"/>
              <w:rPr>
                <w:sz w:val="20"/>
                <w:szCs w:val="20"/>
                <w:color w:val="auto"/>
              </w:rPr>
            </w:pPr>
            <w:r>
              <w:rPr>
                <w:rFonts w:ascii="Arial" w:cs="Arial" w:eastAsia="Arial" w:hAnsi="Arial"/>
                <w:sz w:val="16"/>
                <w:szCs w:val="16"/>
                <w:color w:val="auto"/>
              </w:rPr>
              <w:t>Proxy access bylaw</w:t>
            </w:r>
          </w:p>
        </w:tc>
        <w:tc>
          <w:tcPr>
            <w:tcW w:w="0" w:type="dxa"/>
            <w:vAlign w:val="bottom"/>
          </w:tcPr>
          <w:p>
            <w:pPr>
              <w:spacing w:after="0"/>
              <w:rPr>
                <w:sz w:val="1"/>
                <w:szCs w:val="1"/>
                <w:color w:val="auto"/>
              </w:rPr>
            </w:pPr>
          </w:p>
        </w:tc>
      </w:tr>
      <w:tr>
        <w:trPr>
          <w:trHeight w:val="116"/>
        </w:trPr>
        <w:tc>
          <w:tcPr>
            <w:tcW w:w="5320" w:type="dxa"/>
            <w:vAlign w:val="bottom"/>
            <w:tcBorders>
              <w:bottom w:val="single" w:sz="8" w:color="0066BA"/>
            </w:tcBorders>
          </w:tcPr>
          <w:p>
            <w:pPr>
              <w:spacing w:after="0"/>
              <w:rPr>
                <w:sz w:val="10"/>
                <w:szCs w:val="10"/>
                <w:color w:val="auto"/>
              </w:rPr>
            </w:pPr>
          </w:p>
        </w:tc>
        <w:tc>
          <w:tcPr>
            <w:tcW w:w="420" w:type="dxa"/>
            <w:vAlign w:val="bottom"/>
            <w:tcBorders>
              <w:bottom w:val="single" w:sz="8" w:color="0066BA"/>
            </w:tcBorders>
            <w:shd w:val="clear" w:color="auto" w:fill="EAEAEA"/>
          </w:tcPr>
          <w:p>
            <w:pPr>
              <w:spacing w:after="0"/>
              <w:rPr>
                <w:sz w:val="10"/>
                <w:szCs w:val="10"/>
                <w:color w:val="auto"/>
              </w:rPr>
            </w:pPr>
          </w:p>
        </w:tc>
        <w:tc>
          <w:tcPr>
            <w:tcW w:w="4880" w:type="dxa"/>
            <w:vAlign w:val="bottom"/>
            <w:tcBorders>
              <w:bottom w:val="single" w:sz="8" w:color="0066BA"/>
            </w:tcBorders>
            <w:shd w:val="clear" w:color="auto" w:fill="EAEAEA"/>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320" w:type="dxa"/>
            <w:vAlign w:val="bottom"/>
          </w:tcPr>
          <w:p>
            <w:pPr>
              <w:ind w:left="440"/>
              <w:spacing w:after="0" w:line="108" w:lineRule="exact"/>
              <w:rPr>
                <w:sz w:val="20"/>
                <w:szCs w:val="20"/>
                <w:color w:val="auto"/>
              </w:rPr>
            </w:pPr>
            <w:r>
              <w:rPr>
                <w:rFonts w:ascii="Arial" w:cs="Arial" w:eastAsia="Arial" w:hAnsi="Arial"/>
                <w:sz w:val="12"/>
                <w:szCs w:val="12"/>
                <w:color w:val="auto"/>
              </w:rPr>
              <w:t>Clawback policy for CEO and executive officers, including</w:t>
            </w:r>
          </w:p>
        </w:tc>
        <w:tc>
          <w:tcPr>
            <w:tcW w:w="420" w:type="dxa"/>
            <w:vAlign w:val="bottom"/>
          </w:tcPr>
          <w:p>
            <w:pPr>
              <w:spacing w:after="0"/>
              <w:rPr>
                <w:sz w:val="9"/>
                <w:szCs w:val="9"/>
                <w:color w:val="auto"/>
              </w:rPr>
            </w:pPr>
          </w:p>
        </w:tc>
        <w:tc>
          <w:tcPr>
            <w:tcW w:w="4880" w:type="dxa"/>
            <w:vAlign w:val="bottom"/>
            <w:tcBorders>
              <w:top w:val="single" w:sz="8" w:color="EAEAE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-778510</wp:posOffset>
            </wp:positionV>
            <wp:extent cx="66040" cy="577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040" cy="57785"/>
                    </a:xfrm>
                    <a:prstGeom prst="rect">
                      <a:avLst/>
                    </a:prstGeom>
                    <a:noFill/>
                  </pic:spPr>
                </pic:pic>
              </a:graphicData>
            </a:graphic>
          </wp:anchor>
        </w:drawing>
        <w:drawing>
          <wp:anchor simplePos="0" relativeHeight="251657728" behindDoc="1" locked="0" layoutInCell="0" allowOverlap="1">
            <wp:simplePos x="0" y="0"/>
            <wp:positionH relativeFrom="column">
              <wp:posOffset>3711575</wp:posOffset>
            </wp:positionH>
            <wp:positionV relativeFrom="paragraph">
              <wp:posOffset>-778510</wp:posOffset>
            </wp:positionV>
            <wp:extent cx="74295" cy="577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4295" cy="57785"/>
                    </a:xfrm>
                    <a:prstGeom prst="rect">
                      <a:avLst/>
                    </a:prstGeom>
                    <a:noFill/>
                  </pic:spPr>
                </pic:pic>
              </a:graphicData>
            </a:graphic>
          </wp:anchor>
        </w:drawing>
        <w:drawing>
          <wp:anchor simplePos="0" relativeHeight="251657728" behindDoc="1" locked="0" layoutInCell="0" allowOverlap="1">
            <wp:simplePos x="0" y="0"/>
            <wp:positionH relativeFrom="column">
              <wp:posOffset>250190</wp:posOffset>
            </wp:positionH>
            <wp:positionV relativeFrom="paragraph">
              <wp:posOffset>-514350</wp:posOffset>
            </wp:positionV>
            <wp:extent cx="66040" cy="577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040" cy="57785"/>
                    </a:xfrm>
                    <a:prstGeom prst="rect">
                      <a:avLst/>
                    </a:prstGeom>
                    <a:noFill/>
                  </pic:spPr>
                </pic:pic>
              </a:graphicData>
            </a:graphic>
          </wp:anchor>
        </w:drawing>
        <w:drawing>
          <wp:anchor simplePos="0" relativeHeight="251657728" behindDoc="1" locked="0" layoutInCell="0" allowOverlap="1">
            <wp:simplePos x="0" y="0"/>
            <wp:positionH relativeFrom="column">
              <wp:posOffset>3711575</wp:posOffset>
            </wp:positionH>
            <wp:positionV relativeFrom="paragraph">
              <wp:posOffset>-514350</wp:posOffset>
            </wp:positionV>
            <wp:extent cx="74295" cy="577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4295" cy="57785"/>
                    </a:xfrm>
                    <a:prstGeom prst="rect">
                      <a:avLst/>
                    </a:prstGeom>
                    <a:noFill/>
                  </pic:spPr>
                </pic:pic>
              </a:graphicData>
            </a:graphic>
          </wp:anchor>
        </w:drawing>
        <w:drawing>
          <wp:anchor simplePos="0" relativeHeight="251657728" behindDoc="1" locked="0" layoutInCell="0" allowOverlap="1">
            <wp:simplePos x="0" y="0"/>
            <wp:positionH relativeFrom="column">
              <wp:posOffset>250190</wp:posOffset>
            </wp:positionH>
            <wp:positionV relativeFrom="paragraph">
              <wp:posOffset>-241300</wp:posOffset>
            </wp:positionV>
            <wp:extent cx="66040" cy="577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040" cy="5778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-274320</wp:posOffset>
            </wp:positionV>
            <wp:extent cx="3362325" cy="8426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2325" cy="842645"/>
                    </a:xfrm>
                    <a:prstGeom prst="rect">
                      <a:avLst/>
                    </a:prstGeom>
                    <a:noFill/>
                  </pic:spPr>
                </pic:pic>
              </a:graphicData>
            </a:graphic>
          </wp:anchor>
        </w:drawing>
      </w:r>
    </w:p>
    <w:tbl>
      <w:tblPr>
        <w:tblLayout w:type="fixed"/>
        <w:tblInd w:w="320" w:type="dxa"/>
        <w:tblCellMar>
          <w:top w:w="0" w:type="dxa"/>
          <w:left w:w="0" w:type="dxa"/>
          <w:bottom w:w="0" w:type="dxa"/>
          <w:right w:w="0" w:type="dxa"/>
        </w:tblCellMar>
      </w:tblPr>
      <w:tr>
        <w:trPr>
          <w:trHeight w:val="199"/>
        </w:trPr>
        <w:tc>
          <w:tcPr>
            <w:tcW w:w="5740" w:type="dxa"/>
            <w:vAlign w:val="bottom"/>
            <w:gridSpan w:val="2"/>
            <w:vMerge w:val="restart"/>
          </w:tcPr>
          <w:p>
            <w:pPr>
              <w:ind w:left="440"/>
              <w:spacing w:after="0"/>
              <w:rPr>
                <w:sz w:val="20"/>
                <w:szCs w:val="20"/>
                <w:color w:val="auto"/>
              </w:rPr>
            </w:pPr>
            <w:r>
              <w:rPr>
                <w:rFonts w:ascii="Arial" w:cs="Arial" w:eastAsia="Arial" w:hAnsi="Arial"/>
                <w:sz w:val="16"/>
                <w:szCs w:val="16"/>
                <w:color w:val="auto"/>
              </w:rPr>
              <w:t>our named executive officers</w:t>
            </w:r>
          </w:p>
        </w:tc>
        <w:tc>
          <w:tcPr>
            <w:tcW w:w="4880" w:type="dxa"/>
            <w:vAlign w:val="bottom"/>
          </w:tcPr>
          <w:p>
            <w:pPr>
              <w:ind w:left="100"/>
              <w:spacing w:after="0"/>
              <w:rPr>
                <w:sz w:val="20"/>
                <w:szCs w:val="20"/>
                <w:color w:val="auto"/>
              </w:rPr>
            </w:pPr>
            <w:r>
              <w:rPr>
                <w:rFonts w:ascii="Arial" w:cs="Arial" w:eastAsia="Arial" w:hAnsi="Arial"/>
                <w:sz w:val="16"/>
                <w:szCs w:val="16"/>
                <w:color w:val="auto"/>
              </w:rPr>
              <w:t>Annual Board and Committee self-evaluations</w:t>
            </w:r>
          </w:p>
        </w:tc>
        <w:tc>
          <w:tcPr>
            <w:tcW w:w="0" w:type="dxa"/>
            <w:vAlign w:val="bottom"/>
          </w:tcPr>
          <w:p>
            <w:pPr>
              <w:spacing w:after="0"/>
              <w:rPr>
                <w:sz w:val="1"/>
                <w:szCs w:val="1"/>
                <w:color w:val="auto"/>
              </w:rPr>
            </w:pPr>
          </w:p>
        </w:tc>
      </w:tr>
      <w:tr>
        <w:trPr>
          <w:trHeight w:val="77"/>
        </w:trPr>
        <w:tc>
          <w:tcPr>
            <w:tcW w:w="5740" w:type="dxa"/>
            <w:vAlign w:val="bottom"/>
            <w:gridSpan w:val="2"/>
            <w:vMerge w:val="continue"/>
          </w:tcPr>
          <w:p>
            <w:pPr>
              <w:spacing w:after="0"/>
              <w:rPr>
                <w:sz w:val="6"/>
                <w:szCs w:val="6"/>
                <w:color w:val="auto"/>
              </w:rPr>
            </w:pPr>
          </w:p>
        </w:tc>
        <w:tc>
          <w:tcPr>
            <w:tcW w:w="4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5320" w:type="dxa"/>
            <w:vAlign w:val="bottom"/>
            <w:tcBorders>
              <w:bottom w:val="single" w:sz="8" w:color="0066BA"/>
            </w:tcBorders>
          </w:tcPr>
          <w:p>
            <w:pPr>
              <w:spacing w:after="0"/>
              <w:rPr>
                <w:sz w:val="7"/>
                <w:szCs w:val="7"/>
                <w:color w:val="auto"/>
              </w:rPr>
            </w:pPr>
          </w:p>
        </w:tc>
        <w:tc>
          <w:tcPr>
            <w:tcW w:w="420" w:type="dxa"/>
            <w:vAlign w:val="bottom"/>
            <w:tcBorders>
              <w:bottom w:val="single" w:sz="8" w:color="0066BA"/>
            </w:tcBorders>
          </w:tcPr>
          <w:p>
            <w:pPr>
              <w:spacing w:after="0"/>
              <w:rPr>
                <w:sz w:val="7"/>
                <w:szCs w:val="7"/>
                <w:color w:val="auto"/>
              </w:rPr>
            </w:pPr>
          </w:p>
        </w:tc>
        <w:tc>
          <w:tcPr>
            <w:tcW w:w="4880" w:type="dxa"/>
            <w:vAlign w:val="bottom"/>
            <w:tcBorders>
              <w:bottom w:val="single" w:sz="8" w:color="0066BA"/>
            </w:tcBorders>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5320" w:type="dxa"/>
            <w:vAlign w:val="bottom"/>
            <w:vMerge w:val="restart"/>
          </w:tcPr>
          <w:p>
            <w:pPr>
              <w:ind w:left="440"/>
              <w:spacing w:after="0"/>
              <w:rPr>
                <w:sz w:val="20"/>
                <w:szCs w:val="20"/>
                <w:color w:val="auto"/>
              </w:rPr>
            </w:pPr>
            <w:r>
              <w:rPr>
                <w:rFonts w:ascii="Arial" w:cs="Arial" w:eastAsia="Arial" w:hAnsi="Arial"/>
                <w:sz w:val="16"/>
                <w:szCs w:val="16"/>
                <w:color w:val="auto"/>
              </w:rPr>
              <w:t>Active Board engagement in managing talent and</w:t>
            </w:r>
          </w:p>
        </w:tc>
        <w:tc>
          <w:tcPr>
            <w:tcW w:w="420" w:type="dxa"/>
            <w:vAlign w:val="bottom"/>
          </w:tcPr>
          <w:p>
            <w:pPr>
              <w:spacing w:after="0"/>
              <w:rPr>
                <w:sz w:val="3"/>
                <w:szCs w:val="3"/>
                <w:color w:val="auto"/>
              </w:rPr>
            </w:pPr>
          </w:p>
        </w:tc>
        <w:tc>
          <w:tcPr>
            <w:tcW w:w="4880" w:type="dxa"/>
            <w:vAlign w:val="bottom"/>
            <w:vMerge w:val="restart"/>
            <w:shd w:val="clear" w:color="auto" w:fill="EAEAEA"/>
          </w:tcPr>
          <w:p>
            <w:pPr>
              <w:ind w:left="100"/>
              <w:spacing w:after="0"/>
              <w:rPr>
                <w:sz w:val="20"/>
                <w:szCs w:val="20"/>
                <w:color w:val="auto"/>
              </w:rPr>
            </w:pPr>
            <w:r>
              <w:rPr>
                <w:rFonts w:ascii="Arial" w:cs="Arial" w:eastAsia="Arial" w:hAnsi="Arial"/>
                <w:sz w:val="16"/>
                <w:szCs w:val="16"/>
                <w:color w:val="auto"/>
              </w:rPr>
              <w:t>No dual class of stock or controlling shareholder</w:t>
            </w:r>
          </w:p>
        </w:tc>
        <w:tc>
          <w:tcPr>
            <w:tcW w:w="0" w:type="dxa"/>
            <w:vAlign w:val="bottom"/>
          </w:tcPr>
          <w:p>
            <w:pPr>
              <w:spacing w:after="0"/>
              <w:rPr>
                <w:sz w:val="1"/>
                <w:szCs w:val="1"/>
                <w:color w:val="auto"/>
              </w:rPr>
            </w:pPr>
          </w:p>
        </w:tc>
      </w:tr>
      <w:tr>
        <w:trPr>
          <w:trHeight w:val="185"/>
        </w:trPr>
        <w:tc>
          <w:tcPr>
            <w:tcW w:w="5320" w:type="dxa"/>
            <w:vAlign w:val="bottom"/>
            <w:vMerge w:val="continue"/>
          </w:tcPr>
          <w:p>
            <w:pPr>
              <w:spacing w:after="0"/>
              <w:rPr>
                <w:sz w:val="16"/>
                <w:szCs w:val="16"/>
                <w:color w:val="auto"/>
              </w:rPr>
            </w:pPr>
          </w:p>
        </w:tc>
        <w:tc>
          <w:tcPr>
            <w:tcW w:w="420" w:type="dxa"/>
            <w:vAlign w:val="bottom"/>
            <w:shd w:val="clear" w:color="auto" w:fill="EAEAEA"/>
          </w:tcPr>
          <w:p>
            <w:pPr>
              <w:spacing w:after="0"/>
              <w:rPr>
                <w:sz w:val="16"/>
                <w:szCs w:val="16"/>
                <w:color w:val="auto"/>
              </w:rPr>
            </w:pPr>
          </w:p>
        </w:tc>
        <w:tc>
          <w:tcPr>
            <w:tcW w:w="4880" w:type="dxa"/>
            <w:vAlign w:val="bottom"/>
            <w:vMerge w:val="continue"/>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5320" w:type="dxa"/>
            <w:vAlign w:val="bottom"/>
            <w:vMerge w:val="restart"/>
          </w:tcPr>
          <w:p>
            <w:pPr>
              <w:ind w:left="440"/>
              <w:spacing w:after="0"/>
              <w:rPr>
                <w:sz w:val="20"/>
                <w:szCs w:val="20"/>
                <w:color w:val="auto"/>
              </w:rPr>
            </w:pPr>
            <w:r>
              <w:rPr>
                <w:rFonts w:ascii="Arial" w:cs="Arial" w:eastAsia="Arial" w:hAnsi="Arial"/>
                <w:sz w:val="16"/>
                <w:szCs w:val="16"/>
                <w:color w:val="auto"/>
              </w:rPr>
              <w:t>long-term succession planning for executives</w:t>
            </w:r>
          </w:p>
        </w:tc>
        <w:tc>
          <w:tcPr>
            <w:tcW w:w="420" w:type="dxa"/>
            <w:vAlign w:val="bottom"/>
            <w:shd w:val="clear" w:color="auto" w:fill="EAEAEA"/>
          </w:tcPr>
          <w:p>
            <w:pPr>
              <w:spacing w:after="0"/>
              <w:rPr>
                <w:sz w:val="9"/>
                <w:szCs w:val="9"/>
                <w:color w:val="auto"/>
              </w:rPr>
            </w:pPr>
          </w:p>
        </w:tc>
        <w:tc>
          <w:tcPr>
            <w:tcW w:w="4880" w:type="dxa"/>
            <w:vAlign w:val="bottom"/>
            <w:vMerge w:val="continue"/>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5320" w:type="dxa"/>
            <w:vAlign w:val="bottom"/>
            <w:vMerge w:val="continue"/>
          </w:tcPr>
          <w:p>
            <w:pPr>
              <w:spacing w:after="0"/>
              <w:rPr>
                <w:sz w:val="7"/>
                <w:szCs w:val="7"/>
                <w:color w:val="auto"/>
              </w:rPr>
            </w:pPr>
          </w:p>
        </w:tc>
        <w:tc>
          <w:tcPr>
            <w:tcW w:w="420" w:type="dxa"/>
            <w:vAlign w:val="bottom"/>
            <w:shd w:val="clear" w:color="auto" w:fill="EAEAEA"/>
          </w:tcPr>
          <w:p>
            <w:pPr>
              <w:spacing w:after="0"/>
              <w:rPr>
                <w:sz w:val="7"/>
                <w:szCs w:val="7"/>
                <w:color w:val="auto"/>
              </w:rPr>
            </w:pPr>
          </w:p>
        </w:tc>
        <w:tc>
          <w:tcPr>
            <w:tcW w:w="4880" w:type="dxa"/>
            <w:vAlign w:val="bottom"/>
            <w:shd w:val="clear" w:color="auto" w:fill="EAEAEA"/>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5320" w:type="dxa"/>
            <w:vAlign w:val="bottom"/>
            <w:tcBorders>
              <w:bottom w:val="single" w:sz="8" w:color="0066BA"/>
            </w:tcBorders>
          </w:tcPr>
          <w:p>
            <w:pPr>
              <w:spacing w:after="0"/>
              <w:rPr>
                <w:sz w:val="7"/>
                <w:szCs w:val="7"/>
                <w:color w:val="auto"/>
              </w:rPr>
            </w:pPr>
          </w:p>
        </w:tc>
        <w:tc>
          <w:tcPr>
            <w:tcW w:w="420" w:type="dxa"/>
            <w:vAlign w:val="bottom"/>
            <w:tcBorders>
              <w:bottom w:val="single" w:sz="8" w:color="0066BA"/>
            </w:tcBorders>
            <w:shd w:val="clear" w:color="auto" w:fill="EAEAEA"/>
          </w:tcPr>
          <w:p>
            <w:pPr>
              <w:spacing w:after="0"/>
              <w:rPr>
                <w:sz w:val="7"/>
                <w:szCs w:val="7"/>
                <w:color w:val="auto"/>
              </w:rPr>
            </w:pPr>
          </w:p>
        </w:tc>
        <w:tc>
          <w:tcPr>
            <w:tcW w:w="4880" w:type="dxa"/>
            <w:vAlign w:val="bottom"/>
            <w:tcBorders>
              <w:bottom w:val="single" w:sz="8" w:color="0066BA"/>
            </w:tcBorders>
            <w:shd w:val="clear" w:color="auto" w:fill="EAEAEA"/>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-544830</wp:posOffset>
            </wp:positionV>
            <wp:extent cx="66040" cy="577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040" cy="57785"/>
                    </a:xfrm>
                    <a:prstGeom prst="rect">
                      <a:avLst/>
                    </a:prstGeom>
                    <a:noFill/>
                  </pic:spPr>
                </pic:pic>
              </a:graphicData>
            </a:graphic>
          </wp:anchor>
        </w:drawing>
        <w:drawing>
          <wp:anchor simplePos="0" relativeHeight="251657728" behindDoc="1" locked="0" layoutInCell="0" allowOverlap="1">
            <wp:simplePos x="0" y="0"/>
            <wp:positionH relativeFrom="column">
              <wp:posOffset>250190</wp:posOffset>
            </wp:positionH>
            <wp:positionV relativeFrom="paragraph">
              <wp:posOffset>-205740</wp:posOffset>
            </wp:positionV>
            <wp:extent cx="66040" cy="577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040" cy="57785"/>
                    </a:xfrm>
                    <a:prstGeom prst="rect">
                      <a:avLst/>
                    </a:prstGeom>
                    <a:noFill/>
                  </pic:spPr>
                </pic:pic>
              </a:graphicData>
            </a:graphic>
          </wp:anchor>
        </w:drawing>
        <w:drawing>
          <wp:anchor simplePos="0" relativeHeight="251657728" behindDoc="1" locked="0" layoutInCell="0" allowOverlap="1">
            <wp:simplePos x="0" y="0"/>
            <wp:positionH relativeFrom="column">
              <wp:posOffset>6801485</wp:posOffset>
            </wp:positionH>
            <wp:positionV relativeFrom="paragraph">
              <wp:posOffset>90805</wp:posOffset>
            </wp:positionV>
            <wp:extent cx="140335" cy="925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0335" cy="925195"/>
                    </a:xfrm>
                    <a:prstGeom prst="rect">
                      <a:avLst/>
                    </a:prstGeom>
                    <a:noFill/>
                  </pic:spPr>
                </pic:pic>
              </a:graphicData>
            </a:graphic>
          </wp:anchor>
        </w:drawing>
      </w:r>
    </w:p>
    <w:p>
      <w:pPr>
        <w:sectPr>
          <w:pgSz w:w="11900" w:h="16838" w:orient="portrait"/>
          <w:cols w:equalWidth="0" w:num="1">
            <w:col w:w="10940"/>
          </w:cols>
          <w:pgMar w:left="320" w:top="447" w:right="639" w:bottom="7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084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940"/>
          </w:cols>
          <w:pgMar w:left="320" w:top="447" w:right="639" w:bottom="714" w:gutter="0" w:footer="0" w:header="0"/>
          <w:type w:val="continuous"/>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20"/>
        <w:spacing w:after="0"/>
        <w:rPr>
          <w:sz w:val="20"/>
          <w:szCs w:val="20"/>
          <w:color w:val="auto"/>
        </w:rPr>
      </w:pPr>
      <w:r>
        <w:rPr>
          <w:rFonts w:ascii="Arial" w:cs="Arial" w:eastAsia="Arial" w:hAnsi="Arial"/>
          <w:sz w:val="45"/>
          <w:szCs w:val="45"/>
          <w:color w:val="auto"/>
        </w:rPr>
        <w:t>ABOUT ADI</w:t>
      </w:r>
    </w:p>
    <w:p>
      <w:pPr>
        <w:spacing w:after="0" w:line="200" w:lineRule="exact"/>
        <w:rPr>
          <w:sz w:val="20"/>
          <w:szCs w:val="20"/>
          <w:color w:val="auto"/>
        </w:rPr>
      </w:pPr>
    </w:p>
    <w:p>
      <w:pPr>
        <w:spacing w:after="0" w:line="20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ADI is a leading global high-performance semiconductor company dedicated to solving the toughest engineering challenges.</w:t>
      </w:r>
    </w:p>
    <w:p>
      <w:pPr>
        <w:spacing w:after="0" w:line="117" w:lineRule="exact"/>
        <w:rPr>
          <w:sz w:val="20"/>
          <w:szCs w:val="20"/>
          <w:color w:val="auto"/>
        </w:rPr>
      </w:pPr>
    </w:p>
    <w:p>
      <w:pPr>
        <w:ind w:left="320"/>
        <w:spacing w:after="0" w:line="286" w:lineRule="auto"/>
        <w:rPr>
          <w:sz w:val="20"/>
          <w:szCs w:val="20"/>
          <w:color w:val="auto"/>
        </w:rPr>
      </w:pPr>
      <w:r>
        <w:rPr>
          <w:rFonts w:ascii="Arial" w:cs="Arial" w:eastAsia="Arial" w:hAnsi="Arial"/>
          <w:sz w:val="17"/>
          <w:szCs w:val="17"/>
          <w:color w:val="auto"/>
        </w:rPr>
        <w:t>As a premier edge processing company, we connect the physical and digital worlds, where data is born. Our technologies transform physical phenomena into digital intelligence that ignites human breakthroughs.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125095</wp:posOffset>
            </wp:positionV>
            <wp:extent cx="6740525" cy="1816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40525" cy="181610"/>
                    </a:xfrm>
                    <a:prstGeom prst="rect">
                      <a:avLst/>
                    </a:prstGeom>
                    <a:noFill/>
                  </pic:spPr>
                </pic:pic>
              </a:graphicData>
            </a:graphic>
          </wp:anchor>
        </w:drawing>
      </w:r>
    </w:p>
    <w:p>
      <w:pPr>
        <w:sectPr>
          <w:pgSz w:w="11900" w:h="16838" w:orient="portrait"/>
          <w:cols w:equalWidth="0" w:num="1">
            <w:col w:w="10900"/>
          </w:cols>
          <w:pgMar w:left="320" w:top="447" w:right="679" w:bottom="1440" w:gutter="0" w:footer="0" w:header="0"/>
        </w:sectPr>
      </w:pPr>
    </w:p>
    <w:p>
      <w:pPr>
        <w:spacing w:after="0" w:line="222"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ADI At a Glance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208915</wp:posOffset>
            </wp:positionV>
            <wp:extent cx="3230245" cy="1981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30245" cy="198120"/>
                    </a:xfrm>
                    <a:prstGeom prst="rect">
                      <a:avLst/>
                    </a:prstGeom>
                    <a:noFill/>
                  </pic:spPr>
                </pic:pic>
              </a:graphicData>
            </a:graphic>
          </wp:anchor>
        </w:drawing>
      </w:r>
    </w:p>
    <w:p>
      <w:pPr>
        <w:spacing w:after="0" w:line="399"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FFFFFF"/>
        </w:rPr>
        <w:t>Background</w:t>
      </w:r>
    </w:p>
    <w:p>
      <w:pPr>
        <w:spacing w:after="0" w:line="17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Founded: 1965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112395</wp:posOffset>
            </wp:positionV>
            <wp:extent cx="32302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30245" cy="8255"/>
                    </a:xfrm>
                    <a:prstGeom prst="rect">
                      <a:avLst/>
                    </a:prstGeom>
                    <a:noFill/>
                  </pic:spPr>
                </pic:pic>
              </a:graphicData>
            </a:graphic>
          </wp:anchor>
        </w:drawing>
      </w:r>
    </w:p>
    <w:p>
      <w:pPr>
        <w:spacing w:after="0" w:line="30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Headquarters: Wilmington,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112395</wp:posOffset>
            </wp:positionV>
            <wp:extent cx="32302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30245" cy="8255"/>
                    </a:xfrm>
                    <a:prstGeom prst="rect">
                      <a:avLst/>
                    </a:prstGeom>
                    <a:noFill/>
                  </pic:spPr>
                </pic:pic>
              </a:graphicData>
            </a:graphic>
          </wp:anchor>
        </w:drawing>
      </w:r>
    </w:p>
    <w:p>
      <w:pPr>
        <w:spacing w:after="0" w:line="30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Employees: ~24,700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112395</wp:posOffset>
            </wp:positionV>
            <wp:extent cx="32302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30245" cy="8255"/>
                    </a:xfrm>
                    <a:prstGeom prst="rect">
                      <a:avLst/>
                    </a:prstGeom>
                    <a:noFill/>
                  </pic:spPr>
                </pic:pic>
              </a:graphicData>
            </a:graphic>
          </wp:anchor>
        </w:drawing>
      </w:r>
    </w:p>
    <w:p>
      <w:pPr>
        <w:spacing w:after="0" w:line="30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Countries: 35</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Worldwide sales, field applications, engineers,</w:t>
      </w:r>
    </w:p>
    <w:p>
      <w:pPr>
        <w:spacing w:after="0" w:line="3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distribution, design and technical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109855</wp:posOffset>
            </wp:positionV>
            <wp:extent cx="32302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30245" cy="8255"/>
                    </a:xfrm>
                    <a:prstGeom prst="rect">
                      <a:avLst/>
                    </a:prstGeom>
                    <a:noFill/>
                  </pic:spPr>
                </pic:pic>
              </a:graphicData>
            </a:graphic>
          </wp:anchor>
        </w:drawing>
      </w:r>
    </w:p>
    <w:p>
      <w:pPr>
        <w:spacing w:after="0" w:line="29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Products: ~75,000 SKUs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112395</wp:posOffset>
            </wp:positionV>
            <wp:extent cx="32302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30245" cy="8255"/>
                    </a:xfrm>
                    <a:prstGeom prst="rect">
                      <a:avLst/>
                    </a:prstGeom>
                    <a:noFill/>
                  </pic:spPr>
                </pic:pic>
              </a:graphicData>
            </a:graphic>
          </wp:anchor>
        </w:drawing>
      </w:r>
    </w:p>
    <w:p>
      <w:pPr>
        <w:spacing w:after="0" w:line="30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Customers: 125,000+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112395</wp:posOffset>
            </wp:positionV>
            <wp:extent cx="32302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30245" cy="8255"/>
                    </a:xfrm>
                    <a:prstGeom prst="rect">
                      <a:avLst/>
                    </a:prstGeom>
                    <a:noFill/>
                  </pic:spPr>
                </pic:pic>
              </a:graphicData>
            </a:graphic>
          </wp:anchor>
        </w:drawing>
      </w:r>
    </w:p>
    <w:p>
      <w:pPr>
        <w:spacing w:after="0" w:line="30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Publicly Listed – NASDAQ: ADI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112395</wp:posOffset>
            </wp:positionV>
            <wp:extent cx="32302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30245" cy="8255"/>
                    </a:xfrm>
                    <a:prstGeom prst="rect">
                      <a:avLst/>
                    </a:prstGeom>
                    <a:noFill/>
                  </pic:spPr>
                </pic:pic>
              </a:graphicData>
            </a:graphic>
          </wp:anchor>
        </w:drawing>
      </w:r>
    </w:p>
    <w:p>
      <w:pPr>
        <w:spacing w:after="0" w:line="30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Design Centers: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112395</wp:posOffset>
            </wp:positionV>
            <wp:extent cx="32302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30245" cy="8255"/>
                    </a:xfrm>
                    <a:prstGeom prst="rect">
                      <a:avLst/>
                    </a:prstGeom>
                    <a:noFill/>
                  </pic:spPr>
                </pic:pic>
              </a:graphicData>
            </a:graphic>
          </wp:anchor>
        </w:drawing>
      </w:r>
    </w:p>
    <w:p>
      <w:pPr>
        <w:spacing w:after="0" w:line="30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Global Manufacturing:</w:t>
      </w:r>
    </w:p>
    <w:p>
      <w:pPr>
        <w:spacing w:after="0" w:line="12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United States (Massachusetts, Oregon, Washington)</w:t>
      </w:r>
    </w:p>
    <w:p>
      <w:pPr>
        <w:spacing w:after="0" w:line="5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Ireland | Philippines | Malaysia | Thailand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448945</wp:posOffset>
            </wp:positionV>
            <wp:extent cx="140335" cy="925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0335" cy="92519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109855</wp:posOffset>
            </wp:positionV>
            <wp:extent cx="32302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302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3"/>
          <w:szCs w:val="23"/>
          <w:b w:val="1"/>
          <w:bCs w:val="1"/>
          <w:color w:val="0066BA"/>
        </w:rPr>
        <w:t>Fiscal 2021 Revenue: $7.3B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-2240915</wp:posOffset>
            </wp:positionH>
            <wp:positionV relativeFrom="paragraph">
              <wp:posOffset>-499110</wp:posOffset>
            </wp:positionV>
            <wp:extent cx="5386070" cy="148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386070" cy="148590"/>
                    </a:xfrm>
                    <a:prstGeom prst="rect">
                      <a:avLst/>
                    </a:prstGeom>
                    <a:noFill/>
                  </pic:spPr>
                </pic:pic>
              </a:graphicData>
            </a:graphic>
          </wp:anchor>
        </w:drawing>
      </w:r>
    </w:p>
    <w:p>
      <w:pPr>
        <w:spacing w:after="0" w:line="124" w:lineRule="exact"/>
        <w:rPr>
          <w:sz w:val="20"/>
          <w:szCs w:val="20"/>
          <w:color w:val="auto"/>
        </w:rPr>
      </w:pPr>
    </w:p>
    <w:p>
      <w:pPr>
        <w:ind w:left="2040"/>
        <w:spacing w:after="0"/>
        <w:rPr>
          <w:sz w:val="20"/>
          <w:szCs w:val="20"/>
          <w:color w:val="auto"/>
        </w:rPr>
      </w:pPr>
      <w:r>
        <w:rPr>
          <w:rFonts w:ascii="Arial" w:cs="Arial" w:eastAsia="Arial" w:hAnsi="Arial"/>
          <w:sz w:val="17"/>
          <w:szCs w:val="17"/>
          <w:b w:val="1"/>
          <w:bCs w:val="1"/>
          <w:color w:val="0066BA"/>
        </w:rPr>
        <w:t>Industrial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-70485</wp:posOffset>
            </wp:positionV>
            <wp:extent cx="784860" cy="7848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84860" cy="784860"/>
                    </a:xfrm>
                    <a:prstGeom prst="rect">
                      <a:avLst/>
                    </a:prstGeom>
                    <a:noFill/>
                  </pic:spPr>
                </pic:pic>
              </a:graphicData>
            </a:graphic>
          </wp:anchor>
        </w:drawing>
      </w:r>
    </w:p>
    <w:p>
      <w:pPr>
        <w:spacing w:after="0" w:line="38"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Aerospace and Defense</w:t>
      </w:r>
    </w:p>
    <w:p>
      <w:pPr>
        <w:spacing w:after="0" w:line="25"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Energy</w:t>
      </w:r>
    </w:p>
    <w:p>
      <w:pPr>
        <w:spacing w:after="0" w:line="13"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Factory Automation</w:t>
      </w:r>
    </w:p>
    <w:p>
      <w:pPr>
        <w:spacing w:after="0" w:line="13"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Healthcare</w:t>
      </w:r>
    </w:p>
    <w:p>
      <w:pPr>
        <w:spacing w:after="0" w:line="13"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Instrumentation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132080</wp:posOffset>
            </wp:positionV>
            <wp:extent cx="784860" cy="7848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84860" cy="784860"/>
                    </a:xfrm>
                    <a:prstGeom prst="rect">
                      <a:avLst/>
                    </a:prstGeom>
                    <a:noFill/>
                  </pic:spPr>
                </pic:pic>
              </a:graphicData>
            </a:graphic>
          </wp:anchor>
        </w:drawing>
      </w:r>
    </w:p>
    <w:p>
      <w:pPr>
        <w:spacing w:after="0" w:line="287" w:lineRule="exact"/>
        <w:rPr>
          <w:sz w:val="20"/>
          <w:szCs w:val="20"/>
          <w:color w:val="auto"/>
        </w:rPr>
      </w:pPr>
    </w:p>
    <w:p>
      <w:pPr>
        <w:ind w:left="2040"/>
        <w:spacing w:after="0"/>
        <w:rPr>
          <w:sz w:val="20"/>
          <w:szCs w:val="20"/>
          <w:color w:val="auto"/>
        </w:rPr>
      </w:pPr>
      <w:r>
        <w:rPr>
          <w:rFonts w:ascii="Arial" w:cs="Arial" w:eastAsia="Arial" w:hAnsi="Arial"/>
          <w:sz w:val="17"/>
          <w:szCs w:val="17"/>
          <w:b w:val="1"/>
          <w:bCs w:val="1"/>
          <w:color w:val="0066BA"/>
        </w:rPr>
        <w:t>Automotive</w:t>
      </w:r>
    </w:p>
    <w:p>
      <w:pPr>
        <w:spacing w:after="0" w:line="58"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Electrification</w:t>
      </w:r>
    </w:p>
    <w:p>
      <w:pPr>
        <w:spacing w:after="0" w:line="25"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Infotainment</w:t>
      </w:r>
    </w:p>
    <w:p>
      <w:pPr>
        <w:spacing w:after="0" w:line="13"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Autonomous Mobility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288925</wp:posOffset>
            </wp:positionV>
            <wp:extent cx="784860" cy="7848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84860" cy="78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40"/>
        <w:spacing w:after="0"/>
        <w:rPr>
          <w:sz w:val="20"/>
          <w:szCs w:val="20"/>
          <w:color w:val="auto"/>
        </w:rPr>
      </w:pPr>
      <w:r>
        <w:rPr>
          <w:rFonts w:ascii="Arial" w:cs="Arial" w:eastAsia="Arial" w:hAnsi="Arial"/>
          <w:sz w:val="17"/>
          <w:szCs w:val="17"/>
          <w:b w:val="1"/>
          <w:bCs w:val="1"/>
          <w:color w:val="0066BA"/>
        </w:rPr>
        <w:t>Communications</w:t>
      </w:r>
    </w:p>
    <w:p>
      <w:pPr>
        <w:spacing w:after="0" w:line="58" w:lineRule="exact"/>
        <w:rPr>
          <w:sz w:val="20"/>
          <w:szCs w:val="20"/>
          <w:color w:val="auto"/>
        </w:rPr>
      </w:pPr>
    </w:p>
    <w:p>
      <w:pPr>
        <w:ind w:left="2040" w:right="1040"/>
        <w:spacing w:after="0" w:line="286" w:lineRule="auto"/>
        <w:rPr>
          <w:sz w:val="20"/>
          <w:szCs w:val="20"/>
          <w:color w:val="auto"/>
        </w:rPr>
      </w:pPr>
      <w:r>
        <w:rPr>
          <w:rFonts w:ascii="Arial" w:cs="Arial" w:eastAsia="Arial" w:hAnsi="Arial"/>
          <w:sz w:val="17"/>
          <w:szCs w:val="17"/>
          <w:color w:val="auto"/>
        </w:rPr>
        <w:t>Wired/Optical Networking Wireless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281940</wp:posOffset>
            </wp:positionV>
            <wp:extent cx="784860" cy="7848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84860" cy="78486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2040"/>
        <w:spacing w:after="0"/>
        <w:rPr>
          <w:sz w:val="20"/>
          <w:szCs w:val="20"/>
          <w:color w:val="auto"/>
        </w:rPr>
      </w:pPr>
      <w:r>
        <w:rPr>
          <w:rFonts w:ascii="Arial" w:cs="Arial" w:eastAsia="Arial" w:hAnsi="Arial"/>
          <w:sz w:val="17"/>
          <w:szCs w:val="17"/>
          <w:b w:val="1"/>
          <w:bCs w:val="1"/>
          <w:color w:val="0066BA"/>
        </w:rPr>
        <w:t>Consumer</w:t>
      </w:r>
    </w:p>
    <w:p>
      <w:pPr>
        <w:spacing w:after="0" w:line="58" w:lineRule="exact"/>
        <w:rPr>
          <w:sz w:val="20"/>
          <w:szCs w:val="20"/>
          <w:color w:val="auto"/>
        </w:rPr>
      </w:pPr>
    </w:p>
    <w:p>
      <w:pPr>
        <w:ind w:left="2040" w:right="780"/>
        <w:spacing w:after="0" w:line="270" w:lineRule="auto"/>
        <w:rPr>
          <w:sz w:val="20"/>
          <w:szCs w:val="20"/>
          <w:color w:val="auto"/>
        </w:rPr>
      </w:pPr>
      <w:r>
        <w:rPr>
          <w:rFonts w:ascii="Arial" w:cs="Arial" w:eastAsia="Arial" w:hAnsi="Arial"/>
          <w:sz w:val="17"/>
          <w:szCs w:val="17"/>
          <w:color w:val="auto"/>
        </w:rPr>
        <w:t>Hearable &amp; Wearable Devices High-End Audio &amp; Video Portables</w:t>
      </w:r>
    </w:p>
    <w:p>
      <w:pPr>
        <w:spacing w:after="0" w:line="200" w:lineRule="exact"/>
        <w:rPr>
          <w:sz w:val="20"/>
          <w:szCs w:val="20"/>
          <w:color w:val="auto"/>
        </w:rPr>
      </w:pPr>
    </w:p>
    <w:p>
      <w:pPr>
        <w:sectPr>
          <w:pgSz w:w="11900" w:h="16838" w:orient="portrait"/>
          <w:cols w:equalWidth="0" w:num="2">
            <w:col w:w="5260" w:space="720"/>
            <w:col w:w="4920"/>
          </w:cols>
          <w:pgMar w:left="320" w:top="447" w:right="6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900"/>
          </w:cols>
          <w:pgMar w:left="320" w:top="447" w:right="679" w:bottom="1440" w:gutter="0" w:footer="0" w:header="0"/>
          <w:type w:val="continuous"/>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0066BA"/>
        </w:rPr>
        <w:t>Our Strategy</w:t>
      </w:r>
    </w:p>
    <w:p>
      <w:pPr>
        <w:spacing w:after="0" w:line="124" w:lineRule="exact"/>
        <w:rPr>
          <w:sz w:val="20"/>
          <w:szCs w:val="20"/>
          <w:color w:val="auto"/>
        </w:rPr>
      </w:pPr>
    </w:p>
    <w:p>
      <w:pPr>
        <w:ind w:left="320" w:right="180"/>
        <w:spacing w:after="0" w:line="270" w:lineRule="auto"/>
        <w:rPr>
          <w:sz w:val="20"/>
          <w:szCs w:val="20"/>
          <w:color w:val="auto"/>
        </w:rPr>
      </w:pPr>
      <w:r>
        <w:rPr>
          <w:rFonts w:ascii="Arial" w:cs="Arial" w:eastAsia="Arial" w:hAnsi="Arial"/>
          <w:sz w:val="17"/>
          <w:szCs w:val="17"/>
          <w:color w:val="auto"/>
        </w:rPr>
        <w:t>Central to our strategy is our focus on challenges that our customers have across the most impactful application areas. By bringing together domain expertise with some of the world’s best technologies across hardware, software and AI, we make our customers’ solutions more accurate, efficient and intelligent — driving profitable growth.</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Fiscal 2021 represented a year of strategic progress for ADI as we continued to deliver strong results and progress against our three key priorities:</w:t>
      </w:r>
    </w:p>
    <w:p>
      <w:pPr>
        <w:spacing w:after="0" w:line="251" w:lineRule="exact"/>
        <w:rPr>
          <w:sz w:val="20"/>
          <w:szCs w:val="20"/>
          <w:color w:val="auto"/>
        </w:rPr>
      </w:pPr>
    </w:p>
    <w:tbl>
      <w:tblPr>
        <w:tblLayout w:type="fixed"/>
        <w:tblInd w:w="320" w:type="dxa"/>
        <w:tblCellMar>
          <w:top w:w="0" w:type="dxa"/>
          <w:left w:w="0" w:type="dxa"/>
          <w:bottom w:w="0" w:type="dxa"/>
          <w:right w:w="0" w:type="dxa"/>
        </w:tblCellMar>
      </w:tblPr>
      <w:tr>
        <w:trPr>
          <w:trHeight w:val="267"/>
        </w:trPr>
        <w:tc>
          <w:tcPr>
            <w:tcW w:w="1700" w:type="dxa"/>
            <w:vAlign w:val="bottom"/>
            <w:tcBorders>
              <w:top w:val="single" w:sz="8" w:color="0066BA"/>
            </w:tcBorders>
          </w:tcPr>
          <w:p>
            <w:pPr>
              <w:spacing w:after="0"/>
              <w:rPr>
                <w:sz w:val="23"/>
                <w:szCs w:val="23"/>
                <w:color w:val="auto"/>
              </w:rPr>
            </w:pPr>
          </w:p>
        </w:tc>
        <w:tc>
          <w:tcPr>
            <w:tcW w:w="120" w:type="dxa"/>
            <w:vAlign w:val="bottom"/>
            <w:tcBorders>
              <w:top w:val="single" w:sz="8" w:color="0066BA"/>
            </w:tcBorders>
            <w:shd w:val="clear" w:color="auto" w:fill="EAEAEA"/>
          </w:tcPr>
          <w:p>
            <w:pPr>
              <w:spacing w:after="0"/>
              <w:rPr>
                <w:sz w:val="23"/>
                <w:szCs w:val="23"/>
                <w:color w:val="auto"/>
              </w:rPr>
            </w:pPr>
          </w:p>
        </w:tc>
        <w:tc>
          <w:tcPr>
            <w:tcW w:w="80" w:type="dxa"/>
            <w:vAlign w:val="bottom"/>
            <w:tcBorders>
              <w:top w:val="single" w:sz="8" w:color="0066BA"/>
            </w:tcBorders>
            <w:shd w:val="clear" w:color="auto" w:fill="EAEAEA"/>
          </w:tcPr>
          <w:p>
            <w:pPr>
              <w:spacing w:after="0"/>
              <w:rPr>
                <w:sz w:val="20"/>
                <w:szCs w:val="20"/>
                <w:color w:val="auto"/>
              </w:rPr>
            </w:pPr>
            <w:r>
              <w:rPr>
                <w:rFonts w:ascii="Arial" w:cs="Arial" w:eastAsia="Arial" w:hAnsi="Arial"/>
                <w:sz w:val="16"/>
                <w:szCs w:val="16"/>
                <w:color w:val="auto"/>
              </w:rPr>
              <w:t>•</w:t>
            </w:r>
          </w:p>
        </w:tc>
        <w:tc>
          <w:tcPr>
            <w:tcW w:w="6600" w:type="dxa"/>
            <w:vAlign w:val="bottom"/>
            <w:tcBorders>
              <w:top w:val="single" w:sz="8" w:color="0066BA"/>
            </w:tcBorders>
            <w:gridSpan w:val="6"/>
            <w:shd w:val="clear" w:color="auto" w:fill="EAEAEA"/>
          </w:tcPr>
          <w:p>
            <w:pPr>
              <w:ind w:left="60"/>
              <w:spacing w:after="0"/>
              <w:rPr>
                <w:sz w:val="20"/>
                <w:szCs w:val="20"/>
                <w:color w:val="auto"/>
              </w:rPr>
            </w:pPr>
            <w:r>
              <w:rPr>
                <w:rFonts w:ascii="Arial" w:cs="Arial" w:eastAsia="Arial" w:hAnsi="Arial"/>
                <w:sz w:val="16"/>
                <w:szCs w:val="16"/>
                <w:color w:val="auto"/>
                <w:w w:val="92"/>
              </w:rPr>
              <w:t>Combined annual R&amp;D investment of $1.3B with 95% targeted on most attractive B2B opportunities</w:t>
            </w:r>
          </w:p>
        </w:tc>
        <w:tc>
          <w:tcPr>
            <w:tcW w:w="100" w:type="dxa"/>
            <w:vAlign w:val="bottom"/>
            <w:tcBorders>
              <w:top w:val="single" w:sz="8" w:color="0066BA"/>
            </w:tcBorders>
            <w:shd w:val="clear" w:color="auto" w:fill="EAEAEA"/>
          </w:tcPr>
          <w:p>
            <w:pPr>
              <w:spacing w:after="0"/>
              <w:rPr>
                <w:sz w:val="23"/>
                <w:szCs w:val="23"/>
                <w:color w:val="auto"/>
              </w:rPr>
            </w:pPr>
          </w:p>
        </w:tc>
        <w:tc>
          <w:tcPr>
            <w:tcW w:w="2020" w:type="dxa"/>
            <w:vAlign w:val="bottom"/>
            <w:tcBorders>
              <w:top w:val="single" w:sz="8" w:color="0066BA"/>
            </w:tcBorders>
            <w:shd w:val="clear" w:color="auto" w:fill="EAEAEA"/>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700" w:type="dxa"/>
            <w:vAlign w:val="bottom"/>
          </w:tcPr>
          <w:p>
            <w:pPr>
              <w:ind w:left="60"/>
              <w:spacing w:after="0"/>
              <w:rPr>
                <w:sz w:val="20"/>
                <w:szCs w:val="20"/>
                <w:color w:val="auto"/>
              </w:rPr>
            </w:pPr>
            <w:r>
              <w:rPr>
                <w:rFonts w:ascii="Arial" w:cs="Arial" w:eastAsia="Arial" w:hAnsi="Arial"/>
                <w:sz w:val="16"/>
                <w:szCs w:val="16"/>
                <w:color w:val="auto"/>
              </w:rPr>
              <w:t>Deploying</w:t>
            </w:r>
          </w:p>
        </w:tc>
        <w:tc>
          <w:tcPr>
            <w:tcW w:w="120" w:type="dxa"/>
            <w:vAlign w:val="bottom"/>
            <w:shd w:val="clear" w:color="auto" w:fill="EAEAEA"/>
          </w:tcPr>
          <w:p>
            <w:pPr>
              <w:spacing w:after="0"/>
              <w:rPr>
                <w:sz w:val="22"/>
                <w:szCs w:val="22"/>
                <w:color w:val="auto"/>
              </w:rPr>
            </w:pPr>
          </w:p>
        </w:tc>
        <w:tc>
          <w:tcPr>
            <w:tcW w:w="80" w:type="dxa"/>
            <w:vAlign w:val="bottom"/>
            <w:shd w:val="clear" w:color="auto" w:fill="EAEAEA"/>
          </w:tcPr>
          <w:p>
            <w:pPr>
              <w:spacing w:after="0"/>
              <w:rPr>
                <w:sz w:val="20"/>
                <w:szCs w:val="20"/>
                <w:color w:val="auto"/>
              </w:rPr>
            </w:pPr>
            <w:r>
              <w:rPr>
                <w:rFonts w:ascii="Arial" w:cs="Arial" w:eastAsia="Arial" w:hAnsi="Arial"/>
                <w:sz w:val="16"/>
                <w:szCs w:val="16"/>
                <w:color w:val="auto"/>
              </w:rPr>
              <w:t>•</w:t>
            </w:r>
          </w:p>
        </w:tc>
        <w:tc>
          <w:tcPr>
            <w:tcW w:w="8720" w:type="dxa"/>
            <w:vAlign w:val="bottom"/>
            <w:gridSpan w:val="8"/>
            <w:shd w:val="clear" w:color="auto" w:fill="EAEAEA"/>
          </w:tcPr>
          <w:p>
            <w:pPr>
              <w:ind w:left="60"/>
              <w:spacing w:after="0"/>
              <w:rPr>
                <w:sz w:val="20"/>
                <w:szCs w:val="20"/>
                <w:color w:val="auto"/>
              </w:rPr>
            </w:pPr>
            <w:r>
              <w:rPr>
                <w:rFonts w:ascii="Arial" w:cs="Arial" w:eastAsia="Arial" w:hAnsi="Arial"/>
                <w:sz w:val="16"/>
                <w:szCs w:val="16"/>
                <w:color w:val="auto"/>
                <w:w w:val="92"/>
              </w:rPr>
              <w:t>Extracting value from M&amp;A to enhance scale &amp; scope, creating destination for world’s best analog talent: Maxim Integrated in FY’21,</w:t>
            </w:r>
          </w:p>
        </w:tc>
        <w:tc>
          <w:tcPr>
            <w:tcW w:w="0" w:type="dxa"/>
            <w:vAlign w:val="bottom"/>
          </w:tcPr>
          <w:p>
            <w:pPr>
              <w:spacing w:after="0"/>
              <w:rPr>
                <w:sz w:val="1"/>
                <w:szCs w:val="1"/>
                <w:color w:val="auto"/>
              </w:rPr>
            </w:pPr>
          </w:p>
        </w:tc>
      </w:tr>
      <w:tr>
        <w:trPr>
          <w:trHeight w:val="195"/>
        </w:trPr>
        <w:tc>
          <w:tcPr>
            <w:tcW w:w="1700" w:type="dxa"/>
            <w:vAlign w:val="bottom"/>
          </w:tcPr>
          <w:p>
            <w:pPr>
              <w:ind w:left="60"/>
              <w:spacing w:after="0"/>
              <w:rPr>
                <w:sz w:val="20"/>
                <w:szCs w:val="20"/>
                <w:color w:val="auto"/>
              </w:rPr>
            </w:pPr>
            <w:r>
              <w:rPr>
                <w:rFonts w:ascii="Arial" w:cs="Arial" w:eastAsia="Arial" w:hAnsi="Arial"/>
                <w:sz w:val="16"/>
                <w:szCs w:val="16"/>
                <w:color w:val="auto"/>
              </w:rPr>
              <w:t>Capital</w:t>
            </w:r>
          </w:p>
        </w:tc>
        <w:tc>
          <w:tcPr>
            <w:tcW w:w="12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4480" w:type="dxa"/>
            <w:vAlign w:val="bottom"/>
            <w:gridSpan w:val="4"/>
            <w:shd w:val="clear" w:color="auto" w:fill="EAEAEA"/>
          </w:tcPr>
          <w:p>
            <w:pPr>
              <w:ind w:left="60"/>
              <w:spacing w:after="0"/>
              <w:rPr>
                <w:sz w:val="20"/>
                <w:szCs w:val="20"/>
                <w:color w:val="auto"/>
              </w:rPr>
            </w:pPr>
            <w:r>
              <w:rPr>
                <w:rFonts w:ascii="Arial" w:cs="Arial" w:eastAsia="Arial" w:hAnsi="Arial"/>
                <w:sz w:val="16"/>
                <w:szCs w:val="16"/>
                <w:color w:val="auto"/>
              </w:rPr>
              <w:t>Linear Technology in FY’17 &amp; Hittite in FY’14</w:t>
            </w:r>
          </w:p>
        </w:tc>
        <w:tc>
          <w:tcPr>
            <w:tcW w:w="100" w:type="dxa"/>
            <w:vAlign w:val="bottom"/>
            <w:shd w:val="clear" w:color="auto" w:fill="EAEAEA"/>
          </w:tcPr>
          <w:p>
            <w:pPr>
              <w:spacing w:after="0"/>
              <w:rPr>
                <w:sz w:val="16"/>
                <w:szCs w:val="16"/>
                <w:color w:val="auto"/>
              </w:rPr>
            </w:pPr>
          </w:p>
        </w:tc>
        <w:tc>
          <w:tcPr>
            <w:tcW w:w="202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202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700" w:type="dxa"/>
            <w:vAlign w:val="bottom"/>
          </w:tcPr>
          <w:p>
            <w:pPr>
              <w:ind w:left="60"/>
              <w:spacing w:after="0"/>
              <w:rPr>
                <w:sz w:val="20"/>
                <w:szCs w:val="20"/>
                <w:color w:val="auto"/>
              </w:rPr>
            </w:pPr>
            <w:r>
              <w:rPr>
                <w:rFonts w:ascii="Arial" w:cs="Arial" w:eastAsia="Arial" w:hAnsi="Arial"/>
                <w:sz w:val="16"/>
                <w:szCs w:val="16"/>
                <w:color w:val="auto"/>
              </w:rPr>
              <w:t>Efficiently</w:t>
            </w:r>
          </w:p>
        </w:tc>
        <w:tc>
          <w:tcPr>
            <w:tcW w:w="120" w:type="dxa"/>
            <w:vAlign w:val="bottom"/>
            <w:shd w:val="clear" w:color="auto" w:fill="EAEAEA"/>
          </w:tcPr>
          <w:p>
            <w:pPr>
              <w:spacing w:after="0"/>
              <w:rPr>
                <w:sz w:val="17"/>
                <w:szCs w:val="17"/>
                <w:color w:val="auto"/>
              </w:rPr>
            </w:pPr>
          </w:p>
        </w:tc>
        <w:tc>
          <w:tcPr>
            <w:tcW w:w="80" w:type="dxa"/>
            <w:vAlign w:val="bottom"/>
            <w:vMerge w:val="restart"/>
            <w:shd w:val="clear" w:color="auto" w:fill="EAEAEA"/>
          </w:tcPr>
          <w:p>
            <w:pPr>
              <w:spacing w:after="0"/>
              <w:rPr>
                <w:sz w:val="20"/>
                <w:szCs w:val="20"/>
                <w:color w:val="auto"/>
              </w:rPr>
            </w:pPr>
            <w:r>
              <w:rPr>
                <w:rFonts w:ascii="Arial" w:cs="Arial" w:eastAsia="Arial" w:hAnsi="Arial"/>
                <w:sz w:val="16"/>
                <w:szCs w:val="16"/>
                <w:color w:val="auto"/>
              </w:rPr>
              <w:t>•</w:t>
            </w:r>
          </w:p>
        </w:tc>
        <w:tc>
          <w:tcPr>
            <w:tcW w:w="8720" w:type="dxa"/>
            <w:vAlign w:val="bottom"/>
            <w:gridSpan w:val="8"/>
            <w:vMerge w:val="restart"/>
            <w:shd w:val="clear" w:color="auto" w:fill="EAEAEA"/>
          </w:tcPr>
          <w:p>
            <w:pPr>
              <w:ind w:left="60"/>
              <w:spacing w:after="0"/>
              <w:rPr>
                <w:sz w:val="20"/>
                <w:szCs w:val="20"/>
                <w:color w:val="auto"/>
              </w:rPr>
            </w:pPr>
            <w:r>
              <w:rPr>
                <w:rFonts w:ascii="Arial" w:cs="Arial" w:eastAsia="Arial" w:hAnsi="Arial"/>
                <w:sz w:val="16"/>
                <w:szCs w:val="16"/>
                <w:color w:val="auto"/>
                <w:w w:val="92"/>
              </w:rPr>
              <w:t>Updated our capital allocation priorities in September 2021 following the acquisition of Maxim Integrated, including targeting to return</w:t>
            </w:r>
          </w:p>
        </w:tc>
        <w:tc>
          <w:tcPr>
            <w:tcW w:w="0" w:type="dxa"/>
            <w:vAlign w:val="bottom"/>
          </w:tcPr>
          <w:p>
            <w:pPr>
              <w:spacing w:after="0"/>
              <w:rPr>
                <w:sz w:val="1"/>
                <w:szCs w:val="1"/>
                <w:color w:val="auto"/>
              </w:rPr>
            </w:pPr>
          </w:p>
        </w:tc>
      </w:tr>
      <w:tr>
        <w:trPr>
          <w:trHeight w:val="61"/>
        </w:trPr>
        <w:tc>
          <w:tcPr>
            <w:tcW w:w="1700" w:type="dxa"/>
            <w:vAlign w:val="bottom"/>
          </w:tcPr>
          <w:p>
            <w:pPr>
              <w:spacing w:after="0"/>
              <w:rPr>
                <w:sz w:val="5"/>
                <w:szCs w:val="5"/>
                <w:color w:val="auto"/>
              </w:rPr>
            </w:pPr>
          </w:p>
        </w:tc>
        <w:tc>
          <w:tcPr>
            <w:tcW w:w="120" w:type="dxa"/>
            <w:vAlign w:val="bottom"/>
            <w:shd w:val="clear" w:color="auto" w:fill="EAEAEA"/>
          </w:tcPr>
          <w:p>
            <w:pPr>
              <w:spacing w:after="0"/>
              <w:rPr>
                <w:sz w:val="5"/>
                <w:szCs w:val="5"/>
                <w:color w:val="auto"/>
              </w:rPr>
            </w:pPr>
          </w:p>
        </w:tc>
        <w:tc>
          <w:tcPr>
            <w:tcW w:w="80" w:type="dxa"/>
            <w:vAlign w:val="bottom"/>
            <w:vMerge w:val="continue"/>
            <w:shd w:val="clear" w:color="auto" w:fill="EAEAEA"/>
          </w:tcPr>
          <w:p>
            <w:pPr>
              <w:spacing w:after="0"/>
              <w:rPr>
                <w:sz w:val="5"/>
                <w:szCs w:val="5"/>
                <w:color w:val="auto"/>
              </w:rPr>
            </w:pPr>
          </w:p>
        </w:tc>
        <w:tc>
          <w:tcPr>
            <w:tcW w:w="8720" w:type="dxa"/>
            <w:vAlign w:val="bottom"/>
            <w:gridSpan w:val="8"/>
            <w:vMerge w:val="continue"/>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1700" w:type="dxa"/>
            <w:vAlign w:val="bottom"/>
          </w:tcPr>
          <w:p>
            <w:pPr>
              <w:spacing w:after="0"/>
              <w:rPr>
                <w:sz w:val="17"/>
                <w:szCs w:val="17"/>
                <w:color w:val="auto"/>
              </w:rPr>
            </w:pPr>
          </w:p>
        </w:tc>
        <w:tc>
          <w:tcPr>
            <w:tcW w:w="120" w:type="dxa"/>
            <w:vAlign w:val="bottom"/>
            <w:shd w:val="clear" w:color="auto" w:fill="EAEAEA"/>
          </w:tcPr>
          <w:p>
            <w:pPr>
              <w:spacing w:after="0"/>
              <w:rPr>
                <w:sz w:val="17"/>
                <w:szCs w:val="17"/>
                <w:color w:val="auto"/>
              </w:rPr>
            </w:pPr>
          </w:p>
        </w:tc>
        <w:tc>
          <w:tcPr>
            <w:tcW w:w="80" w:type="dxa"/>
            <w:vAlign w:val="bottom"/>
            <w:shd w:val="clear" w:color="auto" w:fill="EAEAEA"/>
          </w:tcPr>
          <w:p>
            <w:pPr>
              <w:spacing w:after="0"/>
              <w:rPr>
                <w:sz w:val="17"/>
                <w:szCs w:val="17"/>
                <w:color w:val="auto"/>
              </w:rPr>
            </w:pPr>
          </w:p>
        </w:tc>
        <w:tc>
          <w:tcPr>
            <w:tcW w:w="6600" w:type="dxa"/>
            <w:vAlign w:val="bottom"/>
            <w:gridSpan w:val="6"/>
            <w:shd w:val="clear" w:color="auto" w:fill="EAEAEA"/>
          </w:tcPr>
          <w:p>
            <w:pPr>
              <w:ind w:left="60"/>
              <w:spacing w:after="0"/>
              <w:rPr>
                <w:sz w:val="20"/>
                <w:szCs w:val="20"/>
                <w:color w:val="auto"/>
              </w:rPr>
            </w:pPr>
            <w:r>
              <w:rPr>
                <w:rFonts w:ascii="Arial" w:cs="Arial" w:eastAsia="Arial" w:hAnsi="Arial"/>
                <w:sz w:val="16"/>
                <w:szCs w:val="16"/>
                <w:color w:val="auto"/>
              </w:rPr>
              <w:t>100% of free cash flow via dividends &amp; buybacks with 7–15% dividend CAGR</w:t>
            </w:r>
          </w:p>
        </w:tc>
        <w:tc>
          <w:tcPr>
            <w:tcW w:w="100" w:type="dxa"/>
            <w:vAlign w:val="bottom"/>
            <w:shd w:val="clear" w:color="auto" w:fill="EAEAEA"/>
          </w:tcPr>
          <w:p>
            <w:pPr>
              <w:spacing w:after="0"/>
              <w:rPr>
                <w:sz w:val="17"/>
                <w:szCs w:val="17"/>
                <w:color w:val="auto"/>
              </w:rPr>
            </w:pPr>
          </w:p>
        </w:tc>
        <w:tc>
          <w:tcPr>
            <w:tcW w:w="202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1700" w:type="dxa"/>
            <w:vAlign w:val="bottom"/>
            <w:tcBorders>
              <w:bottom w:val="single" w:sz="8" w:color="0066BA"/>
            </w:tcBorders>
          </w:tcPr>
          <w:p>
            <w:pPr>
              <w:spacing w:after="0"/>
              <w:rPr>
                <w:sz w:val="7"/>
                <w:szCs w:val="7"/>
                <w:color w:val="auto"/>
              </w:rPr>
            </w:pPr>
          </w:p>
        </w:tc>
        <w:tc>
          <w:tcPr>
            <w:tcW w:w="120" w:type="dxa"/>
            <w:vAlign w:val="bottom"/>
            <w:tcBorders>
              <w:bottom w:val="single" w:sz="8" w:color="0066BA"/>
            </w:tcBorders>
            <w:shd w:val="clear" w:color="auto" w:fill="EAEAEA"/>
          </w:tcPr>
          <w:p>
            <w:pPr>
              <w:spacing w:after="0"/>
              <w:rPr>
                <w:sz w:val="7"/>
                <w:szCs w:val="7"/>
                <w:color w:val="auto"/>
              </w:rPr>
            </w:pPr>
          </w:p>
        </w:tc>
        <w:tc>
          <w:tcPr>
            <w:tcW w:w="80" w:type="dxa"/>
            <w:vAlign w:val="bottom"/>
            <w:tcBorders>
              <w:bottom w:val="single" w:sz="8" w:color="0066BA"/>
            </w:tcBorders>
            <w:shd w:val="clear" w:color="auto" w:fill="EAEAEA"/>
          </w:tcPr>
          <w:p>
            <w:pPr>
              <w:spacing w:after="0"/>
              <w:rPr>
                <w:sz w:val="7"/>
                <w:szCs w:val="7"/>
                <w:color w:val="auto"/>
              </w:rPr>
            </w:pPr>
          </w:p>
        </w:tc>
        <w:tc>
          <w:tcPr>
            <w:tcW w:w="120" w:type="dxa"/>
            <w:vAlign w:val="bottom"/>
            <w:tcBorders>
              <w:bottom w:val="single" w:sz="8" w:color="0066BA"/>
            </w:tcBorders>
            <w:shd w:val="clear" w:color="auto" w:fill="EAEAEA"/>
          </w:tcPr>
          <w:p>
            <w:pPr>
              <w:spacing w:after="0"/>
              <w:rPr>
                <w:sz w:val="7"/>
                <w:szCs w:val="7"/>
                <w:color w:val="auto"/>
              </w:rPr>
            </w:pPr>
          </w:p>
        </w:tc>
        <w:tc>
          <w:tcPr>
            <w:tcW w:w="2240" w:type="dxa"/>
            <w:vAlign w:val="bottom"/>
            <w:tcBorders>
              <w:bottom w:val="single" w:sz="8" w:color="0066BA"/>
            </w:tcBorders>
            <w:gridSpan w:val="2"/>
            <w:shd w:val="clear" w:color="auto" w:fill="EAEAEA"/>
          </w:tcPr>
          <w:p>
            <w:pPr>
              <w:spacing w:after="0"/>
              <w:rPr>
                <w:sz w:val="7"/>
                <w:szCs w:val="7"/>
                <w:color w:val="auto"/>
              </w:rPr>
            </w:pPr>
          </w:p>
        </w:tc>
        <w:tc>
          <w:tcPr>
            <w:tcW w:w="2120" w:type="dxa"/>
            <w:vAlign w:val="bottom"/>
            <w:tcBorders>
              <w:bottom w:val="single" w:sz="8" w:color="0066BA"/>
            </w:tcBorders>
            <w:shd w:val="clear" w:color="auto" w:fill="EAEAEA"/>
          </w:tcPr>
          <w:p>
            <w:pPr>
              <w:spacing w:after="0"/>
              <w:rPr>
                <w:sz w:val="7"/>
                <w:szCs w:val="7"/>
                <w:color w:val="auto"/>
              </w:rPr>
            </w:pPr>
          </w:p>
        </w:tc>
        <w:tc>
          <w:tcPr>
            <w:tcW w:w="100" w:type="dxa"/>
            <w:vAlign w:val="bottom"/>
            <w:tcBorders>
              <w:bottom w:val="single" w:sz="8" w:color="0066BA"/>
            </w:tcBorders>
            <w:shd w:val="clear" w:color="auto" w:fill="EAEAEA"/>
          </w:tcPr>
          <w:p>
            <w:pPr>
              <w:spacing w:after="0"/>
              <w:rPr>
                <w:sz w:val="7"/>
                <w:szCs w:val="7"/>
                <w:color w:val="auto"/>
              </w:rPr>
            </w:pPr>
          </w:p>
        </w:tc>
        <w:tc>
          <w:tcPr>
            <w:tcW w:w="2020" w:type="dxa"/>
            <w:vAlign w:val="bottom"/>
            <w:tcBorders>
              <w:bottom w:val="single" w:sz="8" w:color="0066BA"/>
            </w:tcBorders>
            <w:shd w:val="clear" w:color="auto" w:fill="EAEAEA"/>
          </w:tcPr>
          <w:p>
            <w:pPr>
              <w:spacing w:after="0"/>
              <w:rPr>
                <w:sz w:val="7"/>
                <w:szCs w:val="7"/>
                <w:color w:val="auto"/>
              </w:rPr>
            </w:pPr>
          </w:p>
        </w:tc>
        <w:tc>
          <w:tcPr>
            <w:tcW w:w="100" w:type="dxa"/>
            <w:vAlign w:val="bottom"/>
            <w:tcBorders>
              <w:bottom w:val="single" w:sz="8" w:color="0066BA"/>
            </w:tcBorders>
            <w:shd w:val="clear" w:color="auto" w:fill="EAEAEA"/>
          </w:tcPr>
          <w:p>
            <w:pPr>
              <w:spacing w:after="0"/>
              <w:rPr>
                <w:sz w:val="7"/>
                <w:szCs w:val="7"/>
                <w:color w:val="auto"/>
              </w:rPr>
            </w:pPr>
          </w:p>
        </w:tc>
        <w:tc>
          <w:tcPr>
            <w:tcW w:w="2020" w:type="dxa"/>
            <w:vAlign w:val="bottom"/>
            <w:tcBorders>
              <w:bottom w:val="single" w:sz="8" w:color="0066BA"/>
            </w:tcBorders>
            <w:shd w:val="clear" w:color="auto" w:fill="EAEAEA"/>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700" w:type="dxa"/>
            <w:vAlign w:val="bottom"/>
            <w:vMerge w:val="restart"/>
          </w:tcPr>
          <w:p>
            <w:pPr>
              <w:ind w:left="60"/>
              <w:spacing w:after="0"/>
              <w:rPr>
                <w:sz w:val="20"/>
                <w:szCs w:val="20"/>
                <w:color w:val="auto"/>
              </w:rPr>
            </w:pPr>
            <w:r>
              <w:rPr>
                <w:rFonts w:ascii="Arial" w:cs="Arial" w:eastAsia="Arial" w:hAnsi="Arial"/>
                <w:sz w:val="16"/>
                <w:szCs w:val="16"/>
                <w:color w:val="auto"/>
              </w:rPr>
              <w:t>Deepening</w:t>
            </w:r>
          </w:p>
        </w:tc>
        <w:tc>
          <w:tcPr>
            <w:tcW w:w="12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0"/>
                <w:szCs w:val="20"/>
                <w:color w:val="auto"/>
              </w:rPr>
            </w:pPr>
            <w:r>
              <w:rPr>
                <w:rFonts w:ascii="Arial" w:cs="Arial" w:eastAsia="Arial" w:hAnsi="Arial"/>
                <w:sz w:val="16"/>
                <w:szCs w:val="16"/>
                <w:color w:val="auto"/>
              </w:rPr>
              <w:t>•</w:t>
            </w:r>
          </w:p>
        </w:tc>
        <w:tc>
          <w:tcPr>
            <w:tcW w:w="4480" w:type="dxa"/>
            <w:vAlign w:val="bottom"/>
            <w:gridSpan w:val="4"/>
            <w:shd w:val="clear" w:color="auto" w:fill="EAEAEA"/>
          </w:tcPr>
          <w:p>
            <w:pPr>
              <w:ind w:left="60"/>
              <w:spacing w:after="0"/>
              <w:rPr>
                <w:sz w:val="20"/>
                <w:szCs w:val="20"/>
                <w:color w:val="auto"/>
              </w:rPr>
            </w:pPr>
            <w:r>
              <w:rPr>
                <w:rFonts w:ascii="Arial" w:cs="Arial" w:eastAsia="Arial" w:hAnsi="Arial"/>
                <w:sz w:val="16"/>
                <w:szCs w:val="16"/>
                <w:color w:val="auto"/>
                <w:w w:val="90"/>
              </w:rPr>
              <w:t>Partnering more deeply with customers to deliver complete solutions</w:t>
            </w:r>
          </w:p>
        </w:tc>
        <w:tc>
          <w:tcPr>
            <w:tcW w:w="100" w:type="dxa"/>
            <w:vAlign w:val="bottom"/>
            <w:shd w:val="clear" w:color="auto" w:fill="EAEAEA"/>
          </w:tcPr>
          <w:p>
            <w:pPr>
              <w:spacing w:after="0"/>
              <w:rPr>
                <w:sz w:val="21"/>
                <w:szCs w:val="21"/>
                <w:color w:val="auto"/>
              </w:rPr>
            </w:pPr>
          </w:p>
        </w:tc>
        <w:tc>
          <w:tcPr>
            <w:tcW w:w="202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202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1700" w:type="dxa"/>
            <w:vAlign w:val="bottom"/>
            <w:vMerge w:val="continue"/>
          </w:tcPr>
          <w:p>
            <w:pPr>
              <w:spacing w:after="0"/>
              <w:rPr>
                <w:sz w:val="13"/>
                <w:szCs w:val="13"/>
                <w:color w:val="auto"/>
              </w:rPr>
            </w:pPr>
          </w:p>
        </w:tc>
        <w:tc>
          <w:tcPr>
            <w:tcW w:w="120" w:type="dxa"/>
            <w:vAlign w:val="bottom"/>
            <w:shd w:val="clear" w:color="auto" w:fill="EAEAEA"/>
          </w:tcPr>
          <w:p>
            <w:pPr>
              <w:spacing w:after="0"/>
              <w:rPr>
                <w:sz w:val="13"/>
                <w:szCs w:val="13"/>
                <w:color w:val="auto"/>
              </w:rPr>
            </w:pPr>
          </w:p>
        </w:tc>
        <w:tc>
          <w:tcPr>
            <w:tcW w:w="80" w:type="dxa"/>
            <w:vAlign w:val="bottom"/>
            <w:vMerge w:val="restart"/>
            <w:shd w:val="clear" w:color="auto" w:fill="EAEAEA"/>
          </w:tcPr>
          <w:p>
            <w:pPr>
              <w:spacing w:after="0"/>
              <w:rPr>
                <w:sz w:val="20"/>
                <w:szCs w:val="20"/>
                <w:color w:val="auto"/>
              </w:rPr>
            </w:pPr>
            <w:r>
              <w:rPr>
                <w:rFonts w:ascii="Arial" w:cs="Arial" w:eastAsia="Arial" w:hAnsi="Arial"/>
                <w:sz w:val="16"/>
                <w:szCs w:val="16"/>
                <w:color w:val="auto"/>
              </w:rPr>
              <w:t>•</w:t>
            </w:r>
          </w:p>
        </w:tc>
        <w:tc>
          <w:tcPr>
            <w:tcW w:w="8720" w:type="dxa"/>
            <w:vAlign w:val="bottom"/>
            <w:gridSpan w:val="8"/>
            <w:vMerge w:val="restart"/>
            <w:shd w:val="clear" w:color="auto" w:fill="EAEAEA"/>
          </w:tcPr>
          <w:p>
            <w:pPr>
              <w:ind w:left="60"/>
              <w:spacing w:after="0"/>
              <w:rPr>
                <w:sz w:val="20"/>
                <w:szCs w:val="20"/>
                <w:color w:val="auto"/>
              </w:rPr>
            </w:pPr>
            <w:r>
              <w:rPr>
                <w:rFonts w:ascii="Arial" w:cs="Arial" w:eastAsia="Arial" w:hAnsi="Arial"/>
                <w:sz w:val="16"/>
                <w:szCs w:val="16"/>
                <w:color w:val="auto"/>
                <w:w w:val="88"/>
              </w:rPr>
              <w:t>Strengthening customer engagement: customers enhancing software focus, leaving more of the increasingly complex hardware challenges</w:t>
            </w:r>
          </w:p>
        </w:tc>
        <w:tc>
          <w:tcPr>
            <w:tcW w:w="0" w:type="dxa"/>
            <w:vAlign w:val="bottom"/>
          </w:tcPr>
          <w:p>
            <w:pPr>
              <w:spacing w:after="0"/>
              <w:rPr>
                <w:sz w:val="1"/>
                <w:szCs w:val="1"/>
                <w:color w:val="auto"/>
              </w:rPr>
            </w:pPr>
          </w:p>
        </w:tc>
      </w:tr>
      <w:tr>
        <w:trPr>
          <w:trHeight w:val="104"/>
        </w:trPr>
        <w:tc>
          <w:tcPr>
            <w:tcW w:w="1700" w:type="dxa"/>
            <w:vAlign w:val="bottom"/>
            <w:vMerge w:val="restart"/>
          </w:tcPr>
          <w:p>
            <w:pPr>
              <w:ind w:left="60"/>
              <w:spacing w:after="0"/>
              <w:rPr>
                <w:sz w:val="20"/>
                <w:szCs w:val="20"/>
                <w:color w:val="auto"/>
              </w:rPr>
            </w:pPr>
            <w:r>
              <w:rPr>
                <w:rFonts w:ascii="Arial" w:cs="Arial" w:eastAsia="Arial" w:hAnsi="Arial"/>
                <w:sz w:val="16"/>
                <w:szCs w:val="16"/>
                <w:color w:val="auto"/>
              </w:rPr>
              <w:t>Customer</w:t>
            </w:r>
          </w:p>
        </w:tc>
        <w:tc>
          <w:tcPr>
            <w:tcW w:w="120" w:type="dxa"/>
            <w:vAlign w:val="bottom"/>
            <w:shd w:val="clear" w:color="auto" w:fill="EAEAEA"/>
          </w:tcPr>
          <w:p>
            <w:pPr>
              <w:spacing w:after="0"/>
              <w:rPr>
                <w:sz w:val="9"/>
                <w:szCs w:val="9"/>
                <w:color w:val="auto"/>
              </w:rPr>
            </w:pPr>
          </w:p>
        </w:tc>
        <w:tc>
          <w:tcPr>
            <w:tcW w:w="80" w:type="dxa"/>
            <w:vAlign w:val="bottom"/>
            <w:vMerge w:val="continue"/>
            <w:shd w:val="clear" w:color="auto" w:fill="EAEAEA"/>
          </w:tcPr>
          <w:p>
            <w:pPr>
              <w:spacing w:after="0"/>
              <w:rPr>
                <w:sz w:val="9"/>
                <w:szCs w:val="9"/>
                <w:color w:val="auto"/>
              </w:rPr>
            </w:pPr>
          </w:p>
        </w:tc>
        <w:tc>
          <w:tcPr>
            <w:tcW w:w="8720" w:type="dxa"/>
            <w:vAlign w:val="bottom"/>
            <w:gridSpan w:val="8"/>
            <w:vMerge w:val="continue"/>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700" w:type="dxa"/>
            <w:vAlign w:val="bottom"/>
            <w:vMerge w:val="continue"/>
          </w:tcPr>
          <w:p>
            <w:pPr>
              <w:spacing w:after="0"/>
              <w:rPr>
                <w:sz w:val="7"/>
                <w:szCs w:val="7"/>
                <w:color w:val="auto"/>
              </w:rPr>
            </w:pPr>
          </w:p>
        </w:tc>
        <w:tc>
          <w:tcPr>
            <w:tcW w:w="120" w:type="dxa"/>
            <w:vAlign w:val="bottom"/>
            <w:shd w:val="clear" w:color="auto" w:fill="EAEAEA"/>
          </w:tcPr>
          <w:p>
            <w:pPr>
              <w:spacing w:after="0"/>
              <w:rPr>
                <w:sz w:val="7"/>
                <w:szCs w:val="7"/>
                <w:color w:val="auto"/>
              </w:rPr>
            </w:pPr>
          </w:p>
        </w:tc>
        <w:tc>
          <w:tcPr>
            <w:tcW w:w="80" w:type="dxa"/>
            <w:vAlign w:val="bottom"/>
            <w:shd w:val="clear" w:color="auto" w:fill="EAEAEA"/>
          </w:tcPr>
          <w:p>
            <w:pPr>
              <w:spacing w:after="0"/>
              <w:rPr>
                <w:sz w:val="7"/>
                <w:szCs w:val="7"/>
                <w:color w:val="auto"/>
              </w:rPr>
            </w:pPr>
          </w:p>
        </w:tc>
        <w:tc>
          <w:tcPr>
            <w:tcW w:w="2240" w:type="dxa"/>
            <w:vAlign w:val="bottom"/>
            <w:gridSpan w:val="2"/>
            <w:vMerge w:val="restart"/>
            <w:shd w:val="clear" w:color="auto" w:fill="EAEAEA"/>
          </w:tcPr>
          <w:p>
            <w:pPr>
              <w:ind w:left="60"/>
              <w:spacing w:after="0"/>
              <w:rPr>
                <w:sz w:val="20"/>
                <w:szCs w:val="20"/>
                <w:color w:val="auto"/>
              </w:rPr>
            </w:pPr>
            <w:r>
              <w:rPr>
                <w:rFonts w:ascii="Arial" w:cs="Arial" w:eastAsia="Arial" w:hAnsi="Arial"/>
                <w:sz w:val="16"/>
                <w:szCs w:val="16"/>
                <w:color w:val="auto"/>
              </w:rPr>
              <w:t>to ADI</w:t>
            </w:r>
          </w:p>
        </w:tc>
        <w:tc>
          <w:tcPr>
            <w:tcW w:w="120" w:type="dxa"/>
            <w:vAlign w:val="bottom"/>
            <w:shd w:val="clear" w:color="auto" w:fill="EAEAEA"/>
          </w:tcPr>
          <w:p>
            <w:pPr>
              <w:spacing w:after="0"/>
              <w:rPr>
                <w:sz w:val="7"/>
                <w:szCs w:val="7"/>
                <w:color w:val="auto"/>
              </w:rPr>
            </w:pPr>
          </w:p>
        </w:tc>
        <w:tc>
          <w:tcPr>
            <w:tcW w:w="2120" w:type="dxa"/>
            <w:vAlign w:val="bottom"/>
            <w:shd w:val="clear" w:color="auto" w:fill="EAEAEA"/>
          </w:tcPr>
          <w:p>
            <w:pPr>
              <w:spacing w:after="0"/>
              <w:rPr>
                <w:sz w:val="7"/>
                <w:szCs w:val="7"/>
                <w:color w:val="auto"/>
              </w:rPr>
            </w:pPr>
          </w:p>
        </w:tc>
        <w:tc>
          <w:tcPr>
            <w:tcW w:w="100" w:type="dxa"/>
            <w:vAlign w:val="bottom"/>
            <w:shd w:val="clear" w:color="auto" w:fill="EAEAEA"/>
          </w:tcPr>
          <w:p>
            <w:pPr>
              <w:spacing w:after="0"/>
              <w:rPr>
                <w:sz w:val="7"/>
                <w:szCs w:val="7"/>
                <w:color w:val="auto"/>
              </w:rPr>
            </w:pPr>
          </w:p>
        </w:tc>
        <w:tc>
          <w:tcPr>
            <w:tcW w:w="2020" w:type="dxa"/>
            <w:vAlign w:val="bottom"/>
            <w:shd w:val="clear" w:color="auto" w:fill="EAEAEA"/>
          </w:tcPr>
          <w:p>
            <w:pPr>
              <w:spacing w:after="0"/>
              <w:rPr>
                <w:sz w:val="7"/>
                <w:szCs w:val="7"/>
                <w:color w:val="auto"/>
              </w:rPr>
            </w:pPr>
          </w:p>
        </w:tc>
        <w:tc>
          <w:tcPr>
            <w:tcW w:w="100" w:type="dxa"/>
            <w:vAlign w:val="bottom"/>
            <w:shd w:val="clear" w:color="auto" w:fill="EAEAEA"/>
          </w:tcPr>
          <w:p>
            <w:pPr>
              <w:spacing w:after="0"/>
              <w:rPr>
                <w:sz w:val="7"/>
                <w:szCs w:val="7"/>
                <w:color w:val="auto"/>
              </w:rPr>
            </w:pPr>
          </w:p>
        </w:tc>
        <w:tc>
          <w:tcPr>
            <w:tcW w:w="2020" w:type="dxa"/>
            <w:vAlign w:val="bottom"/>
            <w:shd w:val="clear" w:color="auto" w:fill="EAEAEA"/>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700" w:type="dxa"/>
            <w:vAlign w:val="bottom"/>
            <w:vMerge w:val="restart"/>
          </w:tcPr>
          <w:p>
            <w:pPr>
              <w:ind w:left="60"/>
              <w:spacing w:after="0"/>
              <w:rPr>
                <w:sz w:val="20"/>
                <w:szCs w:val="20"/>
                <w:color w:val="auto"/>
              </w:rPr>
            </w:pPr>
            <w:r>
              <w:rPr>
                <w:rFonts w:ascii="Arial" w:cs="Arial" w:eastAsia="Arial" w:hAnsi="Arial"/>
                <w:sz w:val="16"/>
                <w:szCs w:val="16"/>
                <w:color w:val="auto"/>
              </w:rPr>
              <w:t>Centricity</w:t>
            </w:r>
          </w:p>
        </w:tc>
        <w:tc>
          <w:tcPr>
            <w:tcW w:w="120" w:type="dxa"/>
            <w:vAlign w:val="bottom"/>
            <w:shd w:val="clear" w:color="auto" w:fill="EAEAEA"/>
          </w:tcPr>
          <w:p>
            <w:pPr>
              <w:spacing w:after="0"/>
              <w:rPr>
                <w:sz w:val="9"/>
                <w:szCs w:val="9"/>
                <w:color w:val="auto"/>
              </w:rPr>
            </w:pPr>
          </w:p>
        </w:tc>
        <w:tc>
          <w:tcPr>
            <w:tcW w:w="80" w:type="dxa"/>
            <w:vAlign w:val="bottom"/>
            <w:shd w:val="clear" w:color="auto" w:fill="EAEAEA"/>
          </w:tcPr>
          <w:p>
            <w:pPr>
              <w:spacing w:after="0"/>
              <w:rPr>
                <w:sz w:val="9"/>
                <w:szCs w:val="9"/>
                <w:color w:val="auto"/>
              </w:rPr>
            </w:pPr>
          </w:p>
        </w:tc>
        <w:tc>
          <w:tcPr>
            <w:tcW w:w="2240" w:type="dxa"/>
            <w:vAlign w:val="bottom"/>
            <w:gridSpan w:val="2"/>
            <w:vMerge w:val="continue"/>
            <w:shd w:val="clear" w:color="auto" w:fill="EAEAEA"/>
          </w:tcPr>
          <w:p>
            <w:pPr>
              <w:spacing w:after="0"/>
              <w:rPr>
                <w:sz w:val="9"/>
                <w:szCs w:val="9"/>
                <w:color w:val="auto"/>
              </w:rPr>
            </w:pPr>
          </w:p>
        </w:tc>
        <w:tc>
          <w:tcPr>
            <w:tcW w:w="120" w:type="dxa"/>
            <w:vAlign w:val="bottom"/>
            <w:shd w:val="clear" w:color="auto" w:fill="EAEAEA"/>
          </w:tcPr>
          <w:p>
            <w:pPr>
              <w:spacing w:after="0"/>
              <w:rPr>
                <w:sz w:val="9"/>
                <w:szCs w:val="9"/>
                <w:color w:val="auto"/>
              </w:rPr>
            </w:pPr>
          </w:p>
        </w:tc>
        <w:tc>
          <w:tcPr>
            <w:tcW w:w="2120" w:type="dxa"/>
            <w:vAlign w:val="bottom"/>
            <w:shd w:val="clear" w:color="auto" w:fill="EAEAEA"/>
          </w:tcPr>
          <w:p>
            <w:pPr>
              <w:spacing w:after="0"/>
              <w:rPr>
                <w:sz w:val="9"/>
                <w:szCs w:val="9"/>
                <w:color w:val="auto"/>
              </w:rPr>
            </w:pPr>
          </w:p>
        </w:tc>
        <w:tc>
          <w:tcPr>
            <w:tcW w:w="100" w:type="dxa"/>
            <w:vAlign w:val="bottom"/>
            <w:shd w:val="clear" w:color="auto" w:fill="EAEAEA"/>
          </w:tcPr>
          <w:p>
            <w:pPr>
              <w:spacing w:after="0"/>
              <w:rPr>
                <w:sz w:val="9"/>
                <w:szCs w:val="9"/>
                <w:color w:val="auto"/>
              </w:rPr>
            </w:pPr>
          </w:p>
        </w:tc>
        <w:tc>
          <w:tcPr>
            <w:tcW w:w="2020" w:type="dxa"/>
            <w:vAlign w:val="bottom"/>
            <w:shd w:val="clear" w:color="auto" w:fill="EAEAEA"/>
          </w:tcPr>
          <w:p>
            <w:pPr>
              <w:spacing w:after="0"/>
              <w:rPr>
                <w:sz w:val="9"/>
                <w:szCs w:val="9"/>
                <w:color w:val="auto"/>
              </w:rPr>
            </w:pPr>
          </w:p>
        </w:tc>
        <w:tc>
          <w:tcPr>
            <w:tcW w:w="100" w:type="dxa"/>
            <w:vAlign w:val="bottom"/>
            <w:shd w:val="clear" w:color="auto" w:fill="EAEAEA"/>
          </w:tcPr>
          <w:p>
            <w:pPr>
              <w:spacing w:after="0"/>
              <w:rPr>
                <w:sz w:val="9"/>
                <w:szCs w:val="9"/>
                <w:color w:val="auto"/>
              </w:rPr>
            </w:pPr>
          </w:p>
        </w:tc>
        <w:tc>
          <w:tcPr>
            <w:tcW w:w="2020" w:type="dxa"/>
            <w:vAlign w:val="bottom"/>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700" w:type="dxa"/>
            <w:vAlign w:val="bottom"/>
            <w:vMerge w:val="continue"/>
          </w:tcPr>
          <w:p>
            <w:pPr>
              <w:spacing w:after="0"/>
              <w:rPr>
                <w:sz w:val="7"/>
                <w:szCs w:val="7"/>
                <w:color w:val="auto"/>
              </w:rPr>
            </w:pPr>
          </w:p>
        </w:tc>
        <w:tc>
          <w:tcPr>
            <w:tcW w:w="120" w:type="dxa"/>
            <w:vAlign w:val="bottom"/>
            <w:shd w:val="clear" w:color="auto" w:fill="EAEAEA"/>
          </w:tcPr>
          <w:p>
            <w:pPr>
              <w:spacing w:after="0"/>
              <w:rPr>
                <w:sz w:val="7"/>
                <w:szCs w:val="7"/>
                <w:color w:val="auto"/>
              </w:rPr>
            </w:pPr>
          </w:p>
        </w:tc>
        <w:tc>
          <w:tcPr>
            <w:tcW w:w="80" w:type="dxa"/>
            <w:vAlign w:val="bottom"/>
            <w:vMerge w:val="restart"/>
            <w:shd w:val="clear" w:color="auto" w:fill="EAEAEA"/>
          </w:tcPr>
          <w:p>
            <w:pPr>
              <w:spacing w:after="0"/>
              <w:rPr>
                <w:sz w:val="20"/>
                <w:szCs w:val="20"/>
                <w:color w:val="auto"/>
              </w:rPr>
            </w:pPr>
            <w:r>
              <w:rPr>
                <w:rFonts w:ascii="Arial" w:cs="Arial" w:eastAsia="Arial" w:hAnsi="Arial"/>
                <w:sz w:val="16"/>
                <w:szCs w:val="16"/>
                <w:color w:val="auto"/>
              </w:rPr>
              <w:t>•</w:t>
            </w:r>
          </w:p>
        </w:tc>
        <w:tc>
          <w:tcPr>
            <w:tcW w:w="8720" w:type="dxa"/>
            <w:vAlign w:val="bottom"/>
            <w:gridSpan w:val="8"/>
            <w:vMerge w:val="restart"/>
            <w:shd w:val="clear" w:color="auto" w:fill="EAEAEA"/>
          </w:tcPr>
          <w:p>
            <w:pPr>
              <w:ind w:left="60"/>
              <w:spacing w:after="0"/>
              <w:rPr>
                <w:sz w:val="20"/>
                <w:szCs w:val="20"/>
                <w:color w:val="auto"/>
              </w:rPr>
            </w:pPr>
            <w:r>
              <w:rPr>
                <w:rFonts w:ascii="Arial" w:cs="Arial" w:eastAsia="Arial" w:hAnsi="Arial"/>
                <w:sz w:val="16"/>
                <w:szCs w:val="16"/>
                <w:color w:val="auto"/>
                <w:w w:val="95"/>
              </w:rPr>
              <w:t>Accelerating innovation engine to develop cutting-edge technologies. Opportunity pipeline value achieved record levels in FY’21</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120" w:type="dxa"/>
            <w:vAlign w:val="bottom"/>
            <w:shd w:val="clear" w:color="auto" w:fill="EAEAEA"/>
          </w:tcPr>
          <w:p>
            <w:pPr>
              <w:spacing w:after="0"/>
              <w:rPr>
                <w:sz w:val="14"/>
                <w:szCs w:val="14"/>
                <w:color w:val="auto"/>
              </w:rPr>
            </w:pPr>
          </w:p>
        </w:tc>
        <w:tc>
          <w:tcPr>
            <w:tcW w:w="80" w:type="dxa"/>
            <w:vAlign w:val="bottom"/>
            <w:vMerge w:val="continue"/>
            <w:shd w:val="clear" w:color="auto" w:fill="EAEAEA"/>
          </w:tcPr>
          <w:p>
            <w:pPr>
              <w:spacing w:after="0"/>
              <w:rPr>
                <w:sz w:val="14"/>
                <w:szCs w:val="14"/>
                <w:color w:val="auto"/>
              </w:rPr>
            </w:pPr>
          </w:p>
        </w:tc>
        <w:tc>
          <w:tcPr>
            <w:tcW w:w="8720" w:type="dxa"/>
            <w:vAlign w:val="bottom"/>
            <w:gridSpan w:val="8"/>
            <w:vMerge w:val="continue"/>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1700" w:type="dxa"/>
            <w:vAlign w:val="bottom"/>
            <w:tcBorders>
              <w:bottom w:val="single" w:sz="8" w:color="0066BA"/>
            </w:tcBorders>
          </w:tcPr>
          <w:p>
            <w:pPr>
              <w:spacing w:after="0"/>
              <w:rPr>
                <w:sz w:val="7"/>
                <w:szCs w:val="7"/>
                <w:color w:val="auto"/>
              </w:rPr>
            </w:pPr>
          </w:p>
        </w:tc>
        <w:tc>
          <w:tcPr>
            <w:tcW w:w="120" w:type="dxa"/>
            <w:vAlign w:val="bottom"/>
            <w:tcBorders>
              <w:bottom w:val="single" w:sz="8" w:color="0066BA"/>
            </w:tcBorders>
            <w:shd w:val="clear" w:color="auto" w:fill="EAEAEA"/>
          </w:tcPr>
          <w:p>
            <w:pPr>
              <w:spacing w:after="0"/>
              <w:rPr>
                <w:sz w:val="7"/>
                <w:szCs w:val="7"/>
                <w:color w:val="auto"/>
              </w:rPr>
            </w:pPr>
          </w:p>
        </w:tc>
        <w:tc>
          <w:tcPr>
            <w:tcW w:w="80" w:type="dxa"/>
            <w:vAlign w:val="bottom"/>
            <w:tcBorders>
              <w:bottom w:val="single" w:sz="8" w:color="0066BA"/>
            </w:tcBorders>
            <w:shd w:val="clear" w:color="auto" w:fill="EAEAEA"/>
          </w:tcPr>
          <w:p>
            <w:pPr>
              <w:spacing w:after="0"/>
              <w:rPr>
                <w:sz w:val="7"/>
                <w:szCs w:val="7"/>
                <w:color w:val="auto"/>
              </w:rPr>
            </w:pPr>
          </w:p>
        </w:tc>
        <w:tc>
          <w:tcPr>
            <w:tcW w:w="120" w:type="dxa"/>
            <w:vAlign w:val="bottom"/>
            <w:tcBorders>
              <w:bottom w:val="single" w:sz="8" w:color="0066BA"/>
            </w:tcBorders>
            <w:shd w:val="clear" w:color="auto" w:fill="EAEAEA"/>
          </w:tcPr>
          <w:p>
            <w:pPr>
              <w:spacing w:after="0"/>
              <w:rPr>
                <w:sz w:val="7"/>
                <w:szCs w:val="7"/>
                <w:color w:val="auto"/>
              </w:rPr>
            </w:pPr>
          </w:p>
        </w:tc>
        <w:tc>
          <w:tcPr>
            <w:tcW w:w="2240" w:type="dxa"/>
            <w:vAlign w:val="bottom"/>
            <w:tcBorders>
              <w:bottom w:val="single" w:sz="8" w:color="0066BA"/>
            </w:tcBorders>
            <w:gridSpan w:val="2"/>
            <w:shd w:val="clear" w:color="auto" w:fill="EAEAEA"/>
          </w:tcPr>
          <w:p>
            <w:pPr>
              <w:spacing w:after="0"/>
              <w:rPr>
                <w:sz w:val="7"/>
                <w:szCs w:val="7"/>
                <w:color w:val="auto"/>
              </w:rPr>
            </w:pPr>
          </w:p>
        </w:tc>
        <w:tc>
          <w:tcPr>
            <w:tcW w:w="2120" w:type="dxa"/>
            <w:vAlign w:val="bottom"/>
            <w:tcBorders>
              <w:bottom w:val="single" w:sz="8" w:color="0066BA"/>
            </w:tcBorders>
            <w:shd w:val="clear" w:color="auto" w:fill="EAEAEA"/>
          </w:tcPr>
          <w:p>
            <w:pPr>
              <w:spacing w:after="0"/>
              <w:rPr>
                <w:sz w:val="7"/>
                <w:szCs w:val="7"/>
                <w:color w:val="auto"/>
              </w:rPr>
            </w:pPr>
          </w:p>
        </w:tc>
        <w:tc>
          <w:tcPr>
            <w:tcW w:w="100" w:type="dxa"/>
            <w:vAlign w:val="bottom"/>
            <w:tcBorders>
              <w:bottom w:val="single" w:sz="8" w:color="0066BA"/>
            </w:tcBorders>
            <w:shd w:val="clear" w:color="auto" w:fill="EAEAEA"/>
          </w:tcPr>
          <w:p>
            <w:pPr>
              <w:spacing w:after="0"/>
              <w:rPr>
                <w:sz w:val="7"/>
                <w:szCs w:val="7"/>
                <w:color w:val="auto"/>
              </w:rPr>
            </w:pPr>
          </w:p>
        </w:tc>
        <w:tc>
          <w:tcPr>
            <w:tcW w:w="2020" w:type="dxa"/>
            <w:vAlign w:val="bottom"/>
            <w:tcBorders>
              <w:bottom w:val="single" w:sz="8" w:color="0066BA"/>
            </w:tcBorders>
            <w:shd w:val="clear" w:color="auto" w:fill="EAEAEA"/>
          </w:tcPr>
          <w:p>
            <w:pPr>
              <w:spacing w:after="0"/>
              <w:rPr>
                <w:sz w:val="7"/>
                <w:szCs w:val="7"/>
                <w:color w:val="auto"/>
              </w:rPr>
            </w:pPr>
          </w:p>
        </w:tc>
        <w:tc>
          <w:tcPr>
            <w:tcW w:w="100" w:type="dxa"/>
            <w:vAlign w:val="bottom"/>
            <w:tcBorders>
              <w:bottom w:val="single" w:sz="8" w:color="0066BA"/>
            </w:tcBorders>
            <w:shd w:val="clear" w:color="auto" w:fill="EAEAEA"/>
          </w:tcPr>
          <w:p>
            <w:pPr>
              <w:spacing w:after="0"/>
              <w:rPr>
                <w:sz w:val="7"/>
                <w:szCs w:val="7"/>
                <w:color w:val="auto"/>
              </w:rPr>
            </w:pPr>
          </w:p>
        </w:tc>
        <w:tc>
          <w:tcPr>
            <w:tcW w:w="2020" w:type="dxa"/>
            <w:vAlign w:val="bottom"/>
            <w:tcBorders>
              <w:bottom w:val="single" w:sz="8" w:color="0066BA"/>
            </w:tcBorders>
            <w:shd w:val="clear" w:color="auto" w:fill="EAEAEA"/>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700" w:type="dxa"/>
            <w:vAlign w:val="bottom"/>
            <w:vMerge w:val="restart"/>
          </w:tcPr>
          <w:p>
            <w:pPr>
              <w:ind w:left="60"/>
              <w:spacing w:after="0"/>
              <w:rPr>
                <w:sz w:val="20"/>
                <w:szCs w:val="20"/>
                <w:color w:val="auto"/>
              </w:rPr>
            </w:pPr>
            <w:r>
              <w:rPr>
                <w:rFonts w:ascii="Arial" w:cs="Arial" w:eastAsia="Arial" w:hAnsi="Arial"/>
                <w:sz w:val="16"/>
                <w:szCs w:val="16"/>
                <w:color w:val="auto"/>
              </w:rPr>
              <w:t>Capitalizing</w:t>
            </w:r>
          </w:p>
        </w:tc>
        <w:tc>
          <w:tcPr>
            <w:tcW w:w="120" w:type="dxa"/>
            <w:vAlign w:val="bottom"/>
            <w:shd w:val="clear" w:color="auto" w:fill="EAEAEA"/>
          </w:tcPr>
          <w:p>
            <w:pPr>
              <w:spacing w:after="0"/>
              <w:rPr>
                <w:sz w:val="21"/>
                <w:szCs w:val="21"/>
                <w:color w:val="auto"/>
              </w:rPr>
            </w:pPr>
          </w:p>
        </w:tc>
        <w:tc>
          <w:tcPr>
            <w:tcW w:w="80" w:type="dxa"/>
            <w:vAlign w:val="bottom"/>
            <w:shd w:val="clear" w:color="auto" w:fill="EAEAEA"/>
          </w:tcPr>
          <w:p>
            <w:pPr>
              <w:spacing w:after="0"/>
              <w:rPr>
                <w:sz w:val="20"/>
                <w:szCs w:val="20"/>
                <w:color w:val="auto"/>
              </w:rPr>
            </w:pPr>
            <w:r>
              <w:rPr>
                <w:rFonts w:ascii="Arial" w:cs="Arial" w:eastAsia="Arial" w:hAnsi="Arial"/>
                <w:sz w:val="16"/>
                <w:szCs w:val="16"/>
                <w:color w:val="auto"/>
              </w:rPr>
              <w:t>•</w:t>
            </w:r>
          </w:p>
        </w:tc>
        <w:tc>
          <w:tcPr>
            <w:tcW w:w="4480" w:type="dxa"/>
            <w:vAlign w:val="bottom"/>
            <w:gridSpan w:val="4"/>
            <w:shd w:val="clear" w:color="auto" w:fill="EAEAEA"/>
          </w:tcPr>
          <w:p>
            <w:pPr>
              <w:ind w:left="60"/>
              <w:spacing w:after="0"/>
              <w:rPr>
                <w:sz w:val="20"/>
                <w:szCs w:val="20"/>
                <w:color w:val="auto"/>
              </w:rPr>
            </w:pPr>
            <w:r>
              <w:rPr>
                <w:rFonts w:ascii="Arial" w:cs="Arial" w:eastAsia="Arial" w:hAnsi="Arial"/>
                <w:sz w:val="16"/>
                <w:szCs w:val="16"/>
                <w:color w:val="auto"/>
              </w:rPr>
              <w:t>Automotive: Electrification, In-Cabin Digitalization</w:t>
            </w:r>
          </w:p>
        </w:tc>
        <w:tc>
          <w:tcPr>
            <w:tcW w:w="100" w:type="dxa"/>
            <w:vAlign w:val="bottom"/>
            <w:shd w:val="clear" w:color="auto" w:fill="EAEAEA"/>
          </w:tcPr>
          <w:p>
            <w:pPr>
              <w:spacing w:after="0"/>
              <w:rPr>
                <w:sz w:val="21"/>
                <w:szCs w:val="21"/>
                <w:color w:val="auto"/>
              </w:rPr>
            </w:pPr>
          </w:p>
        </w:tc>
        <w:tc>
          <w:tcPr>
            <w:tcW w:w="2020" w:type="dxa"/>
            <w:vAlign w:val="bottom"/>
            <w:shd w:val="clear" w:color="auto" w:fill="EAEAEA"/>
          </w:tcPr>
          <w:p>
            <w:pPr>
              <w:spacing w:after="0"/>
              <w:rPr>
                <w:sz w:val="21"/>
                <w:szCs w:val="21"/>
                <w:color w:val="auto"/>
              </w:rPr>
            </w:pPr>
          </w:p>
        </w:tc>
        <w:tc>
          <w:tcPr>
            <w:tcW w:w="100" w:type="dxa"/>
            <w:vAlign w:val="bottom"/>
            <w:shd w:val="clear" w:color="auto" w:fill="EAEAEA"/>
          </w:tcPr>
          <w:p>
            <w:pPr>
              <w:spacing w:after="0"/>
              <w:rPr>
                <w:sz w:val="21"/>
                <w:szCs w:val="21"/>
                <w:color w:val="auto"/>
              </w:rPr>
            </w:pPr>
          </w:p>
        </w:tc>
        <w:tc>
          <w:tcPr>
            <w:tcW w:w="2020" w:type="dxa"/>
            <w:vAlign w:val="bottom"/>
            <w:shd w:val="clear" w:color="auto" w:fill="EAEAEA"/>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700" w:type="dxa"/>
            <w:vAlign w:val="bottom"/>
            <w:vMerge w:val="continue"/>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80" w:type="dxa"/>
            <w:vAlign w:val="bottom"/>
            <w:vMerge w:val="restart"/>
            <w:shd w:val="clear" w:color="auto" w:fill="EAEAEA"/>
          </w:tcPr>
          <w:p>
            <w:pPr>
              <w:spacing w:after="0"/>
              <w:rPr>
                <w:sz w:val="20"/>
                <w:szCs w:val="20"/>
                <w:color w:val="auto"/>
              </w:rPr>
            </w:pPr>
            <w:r>
              <w:rPr>
                <w:rFonts w:ascii="Arial" w:cs="Arial" w:eastAsia="Arial" w:hAnsi="Arial"/>
                <w:sz w:val="16"/>
                <w:szCs w:val="16"/>
                <w:color w:val="auto"/>
              </w:rPr>
              <w:t>•</w:t>
            </w:r>
          </w:p>
        </w:tc>
        <w:tc>
          <w:tcPr>
            <w:tcW w:w="4480" w:type="dxa"/>
            <w:vAlign w:val="bottom"/>
            <w:gridSpan w:val="4"/>
            <w:vMerge w:val="restart"/>
            <w:shd w:val="clear" w:color="auto" w:fill="EAEAEA"/>
          </w:tcPr>
          <w:p>
            <w:pPr>
              <w:ind w:left="60"/>
              <w:spacing w:after="0"/>
              <w:rPr>
                <w:sz w:val="20"/>
                <w:szCs w:val="20"/>
                <w:color w:val="auto"/>
              </w:rPr>
            </w:pPr>
            <w:r>
              <w:rPr>
                <w:rFonts w:ascii="Arial" w:cs="Arial" w:eastAsia="Arial" w:hAnsi="Arial"/>
                <w:sz w:val="16"/>
                <w:szCs w:val="16"/>
                <w:color w:val="auto"/>
              </w:rPr>
              <w:t>Industrial: Industrial 4.0 IoT, Digital Health, Space</w:t>
            </w:r>
          </w:p>
        </w:tc>
        <w:tc>
          <w:tcPr>
            <w:tcW w:w="100" w:type="dxa"/>
            <w:vAlign w:val="bottom"/>
            <w:shd w:val="clear" w:color="auto" w:fill="EAEAEA"/>
          </w:tcPr>
          <w:p>
            <w:pPr>
              <w:spacing w:after="0"/>
              <w:rPr>
                <w:sz w:val="16"/>
                <w:szCs w:val="16"/>
                <w:color w:val="auto"/>
              </w:rPr>
            </w:pPr>
          </w:p>
        </w:tc>
        <w:tc>
          <w:tcPr>
            <w:tcW w:w="202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202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69"/>
        </w:trPr>
        <w:tc>
          <w:tcPr>
            <w:tcW w:w="1700" w:type="dxa"/>
            <w:vAlign w:val="bottom"/>
            <w:vMerge w:val="restart"/>
          </w:tcPr>
          <w:p>
            <w:pPr>
              <w:ind w:left="60"/>
              <w:spacing w:after="0"/>
              <w:rPr>
                <w:sz w:val="20"/>
                <w:szCs w:val="20"/>
                <w:color w:val="auto"/>
              </w:rPr>
            </w:pPr>
            <w:r>
              <w:rPr>
                <w:rFonts w:ascii="Arial" w:cs="Arial" w:eastAsia="Arial" w:hAnsi="Arial"/>
                <w:sz w:val="16"/>
                <w:szCs w:val="16"/>
                <w:color w:val="auto"/>
              </w:rPr>
              <w:t>on Secular</w:t>
            </w:r>
          </w:p>
        </w:tc>
        <w:tc>
          <w:tcPr>
            <w:tcW w:w="120" w:type="dxa"/>
            <w:vAlign w:val="bottom"/>
            <w:shd w:val="clear" w:color="auto" w:fill="EAEAEA"/>
          </w:tcPr>
          <w:p>
            <w:pPr>
              <w:spacing w:after="0"/>
              <w:rPr>
                <w:sz w:val="6"/>
                <w:szCs w:val="6"/>
                <w:color w:val="auto"/>
              </w:rPr>
            </w:pPr>
          </w:p>
        </w:tc>
        <w:tc>
          <w:tcPr>
            <w:tcW w:w="80" w:type="dxa"/>
            <w:vAlign w:val="bottom"/>
            <w:vMerge w:val="continue"/>
            <w:shd w:val="clear" w:color="auto" w:fill="EAEAEA"/>
          </w:tcPr>
          <w:p>
            <w:pPr>
              <w:spacing w:after="0"/>
              <w:rPr>
                <w:sz w:val="6"/>
                <w:szCs w:val="6"/>
                <w:color w:val="auto"/>
              </w:rPr>
            </w:pPr>
          </w:p>
        </w:tc>
        <w:tc>
          <w:tcPr>
            <w:tcW w:w="4480" w:type="dxa"/>
            <w:vAlign w:val="bottom"/>
            <w:gridSpan w:val="4"/>
            <w:vMerge w:val="continue"/>
            <w:shd w:val="clear" w:color="auto" w:fill="EAEAEA"/>
          </w:tcPr>
          <w:p>
            <w:pPr>
              <w:spacing w:after="0"/>
              <w:rPr>
                <w:sz w:val="6"/>
                <w:szCs w:val="6"/>
                <w:color w:val="auto"/>
              </w:rPr>
            </w:pPr>
          </w:p>
        </w:tc>
        <w:tc>
          <w:tcPr>
            <w:tcW w:w="100" w:type="dxa"/>
            <w:vAlign w:val="bottom"/>
            <w:shd w:val="clear" w:color="auto" w:fill="EAEAEA"/>
          </w:tcPr>
          <w:p>
            <w:pPr>
              <w:spacing w:after="0"/>
              <w:rPr>
                <w:sz w:val="6"/>
                <w:szCs w:val="6"/>
                <w:color w:val="auto"/>
              </w:rPr>
            </w:pPr>
          </w:p>
        </w:tc>
        <w:tc>
          <w:tcPr>
            <w:tcW w:w="2020" w:type="dxa"/>
            <w:vAlign w:val="bottom"/>
            <w:shd w:val="clear" w:color="auto" w:fill="EAEAEA"/>
          </w:tcPr>
          <w:p>
            <w:pPr>
              <w:spacing w:after="0"/>
              <w:rPr>
                <w:sz w:val="6"/>
                <w:szCs w:val="6"/>
                <w:color w:val="auto"/>
              </w:rPr>
            </w:pPr>
          </w:p>
        </w:tc>
        <w:tc>
          <w:tcPr>
            <w:tcW w:w="100" w:type="dxa"/>
            <w:vAlign w:val="bottom"/>
            <w:shd w:val="clear" w:color="auto" w:fill="EAEAEA"/>
          </w:tcPr>
          <w:p>
            <w:pPr>
              <w:spacing w:after="0"/>
              <w:rPr>
                <w:sz w:val="6"/>
                <w:szCs w:val="6"/>
                <w:color w:val="auto"/>
              </w:rPr>
            </w:pPr>
          </w:p>
        </w:tc>
        <w:tc>
          <w:tcPr>
            <w:tcW w:w="2020" w:type="dxa"/>
            <w:vAlign w:val="bottom"/>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700" w:type="dxa"/>
            <w:vAlign w:val="bottom"/>
            <w:vMerge w:val="continue"/>
          </w:tcPr>
          <w:p>
            <w:pPr>
              <w:spacing w:after="0"/>
              <w:rPr>
                <w:sz w:val="10"/>
                <w:szCs w:val="10"/>
                <w:color w:val="auto"/>
              </w:rPr>
            </w:pPr>
          </w:p>
        </w:tc>
        <w:tc>
          <w:tcPr>
            <w:tcW w:w="120" w:type="dxa"/>
            <w:vAlign w:val="bottom"/>
            <w:shd w:val="clear" w:color="auto" w:fill="EAEAEA"/>
          </w:tcPr>
          <w:p>
            <w:pPr>
              <w:spacing w:after="0"/>
              <w:rPr>
                <w:sz w:val="10"/>
                <w:szCs w:val="10"/>
                <w:color w:val="auto"/>
              </w:rPr>
            </w:pPr>
          </w:p>
        </w:tc>
        <w:tc>
          <w:tcPr>
            <w:tcW w:w="80" w:type="dxa"/>
            <w:vAlign w:val="bottom"/>
            <w:vMerge w:val="restart"/>
            <w:shd w:val="clear" w:color="auto" w:fill="EAEAEA"/>
          </w:tcPr>
          <w:p>
            <w:pPr>
              <w:spacing w:after="0"/>
              <w:rPr>
                <w:sz w:val="20"/>
                <w:szCs w:val="20"/>
                <w:color w:val="auto"/>
              </w:rPr>
            </w:pPr>
            <w:r>
              <w:rPr>
                <w:rFonts w:ascii="Arial" w:cs="Arial" w:eastAsia="Arial" w:hAnsi="Arial"/>
                <w:sz w:val="16"/>
                <w:szCs w:val="16"/>
                <w:color w:val="auto"/>
              </w:rPr>
              <w:t>•</w:t>
            </w:r>
          </w:p>
        </w:tc>
        <w:tc>
          <w:tcPr>
            <w:tcW w:w="4480" w:type="dxa"/>
            <w:vAlign w:val="bottom"/>
            <w:gridSpan w:val="4"/>
            <w:vMerge w:val="restart"/>
            <w:shd w:val="clear" w:color="auto" w:fill="EAEAEA"/>
          </w:tcPr>
          <w:p>
            <w:pPr>
              <w:ind w:left="60"/>
              <w:spacing w:after="0"/>
              <w:rPr>
                <w:sz w:val="20"/>
                <w:szCs w:val="20"/>
                <w:color w:val="auto"/>
              </w:rPr>
            </w:pPr>
            <w:r>
              <w:rPr>
                <w:rFonts w:ascii="Arial" w:cs="Arial" w:eastAsia="Arial" w:hAnsi="Arial"/>
                <w:sz w:val="16"/>
                <w:szCs w:val="16"/>
                <w:color w:val="auto"/>
              </w:rPr>
              <w:t>Communications: Next-Gen Wireless (5G), Data Center</w:t>
            </w:r>
          </w:p>
        </w:tc>
        <w:tc>
          <w:tcPr>
            <w:tcW w:w="100" w:type="dxa"/>
            <w:vAlign w:val="bottom"/>
            <w:shd w:val="clear" w:color="auto" w:fill="EAEAEA"/>
          </w:tcPr>
          <w:p>
            <w:pPr>
              <w:spacing w:after="0"/>
              <w:rPr>
                <w:sz w:val="10"/>
                <w:szCs w:val="10"/>
                <w:color w:val="auto"/>
              </w:rPr>
            </w:pPr>
          </w:p>
        </w:tc>
        <w:tc>
          <w:tcPr>
            <w:tcW w:w="2020" w:type="dxa"/>
            <w:vAlign w:val="bottom"/>
            <w:shd w:val="clear" w:color="auto" w:fill="EAEAEA"/>
          </w:tcPr>
          <w:p>
            <w:pPr>
              <w:spacing w:after="0"/>
              <w:rPr>
                <w:sz w:val="10"/>
                <w:szCs w:val="10"/>
                <w:color w:val="auto"/>
              </w:rPr>
            </w:pPr>
          </w:p>
        </w:tc>
        <w:tc>
          <w:tcPr>
            <w:tcW w:w="100" w:type="dxa"/>
            <w:vAlign w:val="bottom"/>
            <w:shd w:val="clear" w:color="auto" w:fill="EAEAEA"/>
          </w:tcPr>
          <w:p>
            <w:pPr>
              <w:spacing w:after="0"/>
              <w:rPr>
                <w:sz w:val="10"/>
                <w:szCs w:val="10"/>
                <w:color w:val="auto"/>
              </w:rPr>
            </w:pPr>
          </w:p>
        </w:tc>
        <w:tc>
          <w:tcPr>
            <w:tcW w:w="2020" w:type="dxa"/>
            <w:vAlign w:val="bottom"/>
            <w:shd w:val="clear" w:color="auto" w:fill="EAEAEA"/>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700" w:type="dxa"/>
            <w:vAlign w:val="bottom"/>
            <w:vMerge w:val="restart"/>
          </w:tcPr>
          <w:p>
            <w:pPr>
              <w:ind w:left="60"/>
              <w:spacing w:after="0"/>
              <w:rPr>
                <w:sz w:val="20"/>
                <w:szCs w:val="20"/>
                <w:color w:val="auto"/>
              </w:rPr>
            </w:pPr>
            <w:r>
              <w:rPr>
                <w:rFonts w:ascii="Arial" w:cs="Arial" w:eastAsia="Arial" w:hAnsi="Arial"/>
                <w:sz w:val="16"/>
                <w:szCs w:val="16"/>
                <w:color w:val="auto"/>
              </w:rPr>
              <w:t>Trends</w:t>
            </w:r>
          </w:p>
        </w:tc>
        <w:tc>
          <w:tcPr>
            <w:tcW w:w="120" w:type="dxa"/>
            <w:vAlign w:val="bottom"/>
            <w:shd w:val="clear" w:color="auto" w:fill="EAEAEA"/>
          </w:tcPr>
          <w:p>
            <w:pPr>
              <w:spacing w:after="0"/>
              <w:rPr>
                <w:sz w:val="11"/>
                <w:szCs w:val="11"/>
                <w:color w:val="auto"/>
              </w:rPr>
            </w:pPr>
          </w:p>
        </w:tc>
        <w:tc>
          <w:tcPr>
            <w:tcW w:w="80" w:type="dxa"/>
            <w:vAlign w:val="bottom"/>
            <w:vMerge w:val="continue"/>
            <w:shd w:val="clear" w:color="auto" w:fill="EAEAEA"/>
          </w:tcPr>
          <w:p>
            <w:pPr>
              <w:spacing w:after="0"/>
              <w:rPr>
                <w:sz w:val="11"/>
                <w:szCs w:val="11"/>
                <w:color w:val="auto"/>
              </w:rPr>
            </w:pPr>
          </w:p>
        </w:tc>
        <w:tc>
          <w:tcPr>
            <w:tcW w:w="4480" w:type="dxa"/>
            <w:vAlign w:val="bottom"/>
            <w:gridSpan w:val="4"/>
            <w:vMerge w:val="continue"/>
            <w:shd w:val="clear" w:color="auto" w:fill="EAEAEA"/>
          </w:tcPr>
          <w:p>
            <w:pPr>
              <w:spacing w:after="0"/>
              <w:rPr>
                <w:sz w:val="11"/>
                <w:szCs w:val="11"/>
                <w:color w:val="auto"/>
              </w:rPr>
            </w:pPr>
          </w:p>
        </w:tc>
        <w:tc>
          <w:tcPr>
            <w:tcW w:w="100" w:type="dxa"/>
            <w:vAlign w:val="bottom"/>
            <w:shd w:val="clear" w:color="auto" w:fill="EAEAEA"/>
          </w:tcPr>
          <w:p>
            <w:pPr>
              <w:spacing w:after="0"/>
              <w:rPr>
                <w:sz w:val="11"/>
                <w:szCs w:val="11"/>
                <w:color w:val="auto"/>
              </w:rPr>
            </w:pPr>
          </w:p>
        </w:tc>
        <w:tc>
          <w:tcPr>
            <w:tcW w:w="2020" w:type="dxa"/>
            <w:vAlign w:val="bottom"/>
            <w:shd w:val="clear" w:color="auto" w:fill="EAEAEA"/>
          </w:tcPr>
          <w:p>
            <w:pPr>
              <w:spacing w:after="0"/>
              <w:rPr>
                <w:sz w:val="11"/>
                <w:szCs w:val="11"/>
                <w:color w:val="auto"/>
              </w:rPr>
            </w:pPr>
          </w:p>
        </w:tc>
        <w:tc>
          <w:tcPr>
            <w:tcW w:w="100" w:type="dxa"/>
            <w:vAlign w:val="bottom"/>
            <w:shd w:val="clear" w:color="auto" w:fill="EAEAEA"/>
          </w:tcPr>
          <w:p>
            <w:pPr>
              <w:spacing w:after="0"/>
              <w:rPr>
                <w:sz w:val="11"/>
                <w:szCs w:val="11"/>
                <w:color w:val="auto"/>
              </w:rPr>
            </w:pPr>
          </w:p>
        </w:tc>
        <w:tc>
          <w:tcPr>
            <w:tcW w:w="2020" w:type="dxa"/>
            <w:vAlign w:val="bottom"/>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1700" w:type="dxa"/>
            <w:vAlign w:val="bottom"/>
            <w:vMerge w:val="continue"/>
          </w:tcPr>
          <w:p>
            <w:pPr>
              <w:spacing w:after="0"/>
              <w:rPr>
                <w:sz w:val="5"/>
                <w:szCs w:val="5"/>
                <w:color w:val="auto"/>
              </w:rPr>
            </w:pPr>
          </w:p>
        </w:tc>
        <w:tc>
          <w:tcPr>
            <w:tcW w:w="120" w:type="dxa"/>
            <w:vAlign w:val="bottom"/>
            <w:shd w:val="clear" w:color="auto" w:fill="EAEAEA"/>
          </w:tcPr>
          <w:p>
            <w:pPr>
              <w:spacing w:after="0"/>
              <w:rPr>
                <w:sz w:val="5"/>
                <w:szCs w:val="5"/>
                <w:color w:val="auto"/>
              </w:rPr>
            </w:pPr>
          </w:p>
        </w:tc>
        <w:tc>
          <w:tcPr>
            <w:tcW w:w="80" w:type="dxa"/>
            <w:vAlign w:val="bottom"/>
            <w:vMerge w:val="restart"/>
            <w:shd w:val="clear" w:color="auto" w:fill="EAEAEA"/>
          </w:tcPr>
          <w:p>
            <w:pPr>
              <w:spacing w:after="0"/>
              <w:rPr>
                <w:sz w:val="20"/>
                <w:szCs w:val="20"/>
                <w:color w:val="auto"/>
              </w:rPr>
            </w:pPr>
            <w:r>
              <w:rPr>
                <w:rFonts w:ascii="Arial" w:cs="Arial" w:eastAsia="Arial" w:hAnsi="Arial"/>
                <w:sz w:val="16"/>
                <w:szCs w:val="16"/>
                <w:color w:val="auto"/>
              </w:rPr>
              <w:t>•</w:t>
            </w:r>
          </w:p>
        </w:tc>
        <w:tc>
          <w:tcPr>
            <w:tcW w:w="2240" w:type="dxa"/>
            <w:vAlign w:val="bottom"/>
            <w:gridSpan w:val="2"/>
            <w:vMerge w:val="restart"/>
            <w:shd w:val="clear" w:color="auto" w:fill="EAEAEA"/>
          </w:tcPr>
          <w:p>
            <w:pPr>
              <w:ind w:left="60"/>
              <w:spacing w:after="0"/>
              <w:rPr>
                <w:sz w:val="20"/>
                <w:szCs w:val="20"/>
                <w:color w:val="auto"/>
              </w:rPr>
            </w:pPr>
            <w:r>
              <w:rPr>
                <w:rFonts w:ascii="Arial" w:cs="Arial" w:eastAsia="Arial" w:hAnsi="Arial"/>
                <w:sz w:val="16"/>
                <w:szCs w:val="16"/>
                <w:color w:val="auto"/>
              </w:rPr>
              <w:t>Consumer: Consumer IoT</w:t>
            </w:r>
          </w:p>
        </w:tc>
        <w:tc>
          <w:tcPr>
            <w:tcW w:w="120" w:type="dxa"/>
            <w:vAlign w:val="bottom"/>
            <w:shd w:val="clear" w:color="auto" w:fill="EAEAEA"/>
          </w:tcPr>
          <w:p>
            <w:pPr>
              <w:spacing w:after="0"/>
              <w:rPr>
                <w:sz w:val="5"/>
                <w:szCs w:val="5"/>
                <w:color w:val="auto"/>
              </w:rPr>
            </w:pPr>
          </w:p>
        </w:tc>
        <w:tc>
          <w:tcPr>
            <w:tcW w:w="2120" w:type="dxa"/>
            <w:vAlign w:val="bottom"/>
            <w:shd w:val="clear" w:color="auto" w:fill="EAEAEA"/>
          </w:tcPr>
          <w:p>
            <w:pPr>
              <w:spacing w:after="0"/>
              <w:rPr>
                <w:sz w:val="5"/>
                <w:szCs w:val="5"/>
                <w:color w:val="auto"/>
              </w:rPr>
            </w:pPr>
          </w:p>
        </w:tc>
        <w:tc>
          <w:tcPr>
            <w:tcW w:w="100" w:type="dxa"/>
            <w:vAlign w:val="bottom"/>
            <w:shd w:val="clear" w:color="auto" w:fill="EAEAEA"/>
          </w:tcPr>
          <w:p>
            <w:pPr>
              <w:spacing w:after="0"/>
              <w:rPr>
                <w:sz w:val="5"/>
                <w:szCs w:val="5"/>
                <w:color w:val="auto"/>
              </w:rPr>
            </w:pPr>
          </w:p>
        </w:tc>
        <w:tc>
          <w:tcPr>
            <w:tcW w:w="2020" w:type="dxa"/>
            <w:vAlign w:val="bottom"/>
            <w:shd w:val="clear" w:color="auto" w:fill="EAEAEA"/>
          </w:tcPr>
          <w:p>
            <w:pPr>
              <w:spacing w:after="0"/>
              <w:rPr>
                <w:sz w:val="5"/>
                <w:szCs w:val="5"/>
                <w:color w:val="auto"/>
              </w:rPr>
            </w:pPr>
          </w:p>
        </w:tc>
        <w:tc>
          <w:tcPr>
            <w:tcW w:w="100" w:type="dxa"/>
            <w:vAlign w:val="bottom"/>
            <w:shd w:val="clear" w:color="auto" w:fill="EAEAEA"/>
          </w:tcPr>
          <w:p>
            <w:pPr>
              <w:spacing w:after="0"/>
              <w:rPr>
                <w:sz w:val="5"/>
                <w:szCs w:val="5"/>
                <w:color w:val="auto"/>
              </w:rPr>
            </w:pPr>
          </w:p>
        </w:tc>
        <w:tc>
          <w:tcPr>
            <w:tcW w:w="2020" w:type="dxa"/>
            <w:vAlign w:val="bottom"/>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170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80" w:type="dxa"/>
            <w:vAlign w:val="bottom"/>
            <w:vMerge w:val="continue"/>
            <w:shd w:val="clear" w:color="auto" w:fill="EAEAEA"/>
          </w:tcPr>
          <w:p>
            <w:pPr>
              <w:spacing w:after="0"/>
              <w:rPr>
                <w:sz w:val="16"/>
                <w:szCs w:val="16"/>
                <w:color w:val="auto"/>
              </w:rPr>
            </w:pPr>
          </w:p>
        </w:tc>
        <w:tc>
          <w:tcPr>
            <w:tcW w:w="2240" w:type="dxa"/>
            <w:vAlign w:val="bottom"/>
            <w:gridSpan w:val="2"/>
            <w:vMerge w:val="continue"/>
            <w:shd w:val="clear" w:color="auto" w:fill="EAEAEA"/>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212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202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202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1700" w:type="dxa"/>
            <w:vAlign w:val="bottom"/>
            <w:tcBorders>
              <w:bottom w:val="single" w:sz="8" w:color="0066BA"/>
            </w:tcBorders>
          </w:tcPr>
          <w:p>
            <w:pPr>
              <w:spacing w:after="0"/>
              <w:rPr>
                <w:sz w:val="7"/>
                <w:szCs w:val="7"/>
                <w:color w:val="auto"/>
              </w:rPr>
            </w:pPr>
          </w:p>
        </w:tc>
        <w:tc>
          <w:tcPr>
            <w:tcW w:w="120" w:type="dxa"/>
            <w:vAlign w:val="bottom"/>
            <w:tcBorders>
              <w:bottom w:val="single" w:sz="8" w:color="0066BA"/>
            </w:tcBorders>
            <w:shd w:val="clear" w:color="auto" w:fill="EAEAEA"/>
          </w:tcPr>
          <w:p>
            <w:pPr>
              <w:spacing w:after="0"/>
              <w:rPr>
                <w:sz w:val="7"/>
                <w:szCs w:val="7"/>
                <w:color w:val="auto"/>
              </w:rPr>
            </w:pPr>
          </w:p>
        </w:tc>
        <w:tc>
          <w:tcPr>
            <w:tcW w:w="200" w:type="dxa"/>
            <w:vAlign w:val="bottom"/>
            <w:tcBorders>
              <w:bottom w:val="single" w:sz="8" w:color="0066BA"/>
            </w:tcBorders>
            <w:gridSpan w:val="2"/>
            <w:shd w:val="clear" w:color="auto" w:fill="EAEAEA"/>
          </w:tcPr>
          <w:p>
            <w:pPr>
              <w:spacing w:after="0"/>
              <w:rPr>
                <w:sz w:val="7"/>
                <w:szCs w:val="7"/>
                <w:color w:val="auto"/>
              </w:rPr>
            </w:pPr>
          </w:p>
        </w:tc>
        <w:tc>
          <w:tcPr>
            <w:tcW w:w="2120" w:type="dxa"/>
            <w:vAlign w:val="bottom"/>
            <w:tcBorders>
              <w:bottom w:val="single" w:sz="8" w:color="0066BA"/>
            </w:tcBorders>
            <w:shd w:val="clear" w:color="auto" w:fill="EAEAEA"/>
          </w:tcPr>
          <w:p>
            <w:pPr>
              <w:spacing w:after="0"/>
              <w:rPr>
                <w:sz w:val="7"/>
                <w:szCs w:val="7"/>
                <w:color w:val="auto"/>
              </w:rPr>
            </w:pPr>
          </w:p>
        </w:tc>
        <w:tc>
          <w:tcPr>
            <w:tcW w:w="120" w:type="dxa"/>
            <w:vAlign w:val="bottom"/>
            <w:tcBorders>
              <w:bottom w:val="single" w:sz="8" w:color="0066BA"/>
            </w:tcBorders>
            <w:shd w:val="clear" w:color="auto" w:fill="EAEAEA"/>
          </w:tcPr>
          <w:p>
            <w:pPr>
              <w:spacing w:after="0"/>
              <w:rPr>
                <w:sz w:val="7"/>
                <w:szCs w:val="7"/>
                <w:color w:val="auto"/>
              </w:rPr>
            </w:pPr>
          </w:p>
        </w:tc>
        <w:tc>
          <w:tcPr>
            <w:tcW w:w="2120" w:type="dxa"/>
            <w:vAlign w:val="bottom"/>
            <w:tcBorders>
              <w:bottom w:val="single" w:sz="8" w:color="0066BA"/>
            </w:tcBorders>
            <w:shd w:val="clear" w:color="auto" w:fill="EAEAEA"/>
          </w:tcPr>
          <w:p>
            <w:pPr>
              <w:spacing w:after="0"/>
              <w:rPr>
                <w:sz w:val="7"/>
                <w:szCs w:val="7"/>
                <w:color w:val="auto"/>
              </w:rPr>
            </w:pPr>
          </w:p>
        </w:tc>
        <w:tc>
          <w:tcPr>
            <w:tcW w:w="100" w:type="dxa"/>
            <w:vAlign w:val="bottom"/>
            <w:tcBorders>
              <w:bottom w:val="single" w:sz="8" w:color="0066BA"/>
            </w:tcBorders>
            <w:shd w:val="clear" w:color="auto" w:fill="EAEAEA"/>
          </w:tcPr>
          <w:p>
            <w:pPr>
              <w:spacing w:after="0"/>
              <w:rPr>
                <w:sz w:val="7"/>
                <w:szCs w:val="7"/>
                <w:color w:val="auto"/>
              </w:rPr>
            </w:pPr>
          </w:p>
        </w:tc>
        <w:tc>
          <w:tcPr>
            <w:tcW w:w="2020" w:type="dxa"/>
            <w:vAlign w:val="bottom"/>
            <w:tcBorders>
              <w:bottom w:val="single" w:sz="8" w:color="0066BA"/>
            </w:tcBorders>
            <w:shd w:val="clear" w:color="auto" w:fill="EAEAEA"/>
          </w:tcPr>
          <w:p>
            <w:pPr>
              <w:spacing w:after="0"/>
              <w:rPr>
                <w:sz w:val="7"/>
                <w:szCs w:val="7"/>
                <w:color w:val="auto"/>
              </w:rPr>
            </w:pPr>
          </w:p>
        </w:tc>
        <w:tc>
          <w:tcPr>
            <w:tcW w:w="100" w:type="dxa"/>
            <w:vAlign w:val="bottom"/>
            <w:tcBorders>
              <w:bottom w:val="single" w:sz="8" w:color="0066BA"/>
            </w:tcBorders>
            <w:shd w:val="clear" w:color="auto" w:fill="EAEAEA"/>
          </w:tcPr>
          <w:p>
            <w:pPr>
              <w:spacing w:after="0"/>
              <w:rPr>
                <w:sz w:val="7"/>
                <w:szCs w:val="7"/>
                <w:color w:val="auto"/>
              </w:rPr>
            </w:pPr>
          </w:p>
        </w:tc>
        <w:tc>
          <w:tcPr>
            <w:tcW w:w="2020" w:type="dxa"/>
            <w:vAlign w:val="bottom"/>
            <w:tcBorders>
              <w:bottom w:val="single" w:sz="8" w:color="0066BA"/>
            </w:tcBorders>
            <w:shd w:val="clear" w:color="auto" w:fill="EAEAEA"/>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20" w:type="dxa"/>
            <w:vAlign w:val="bottom"/>
            <w:gridSpan w:val="4"/>
          </w:tcPr>
          <w:p>
            <w:pPr>
              <w:spacing w:after="0"/>
              <w:rPr>
                <w:sz w:val="19"/>
                <w:szCs w:val="19"/>
                <w:color w:val="auto"/>
              </w:rPr>
            </w:pP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4140" w:type="dxa"/>
            <w:vAlign w:val="bottom"/>
            <w:tcBorders>
              <w:bottom w:val="single" w:sz="8" w:color="E5EFF8"/>
            </w:tcBorders>
            <w:gridSpan w:val="5"/>
            <w:shd w:val="clear" w:color="auto" w:fill="E5EFF8"/>
          </w:tcPr>
          <w:p>
            <w:pPr>
              <w:ind w:left="40"/>
              <w:spacing w:after="0"/>
              <w:rPr>
                <w:sz w:val="20"/>
                <w:szCs w:val="20"/>
                <w:color w:val="auto"/>
              </w:rPr>
            </w:pPr>
            <w:r>
              <w:rPr>
                <w:rFonts w:ascii="Arial" w:cs="Arial" w:eastAsia="Arial" w:hAnsi="Arial"/>
                <w:sz w:val="19"/>
                <w:szCs w:val="19"/>
                <w:b w:val="1"/>
                <w:bCs w:val="1"/>
                <w:color w:val="auto"/>
              </w:rPr>
              <w:t>Fiscal 2021 Performance Highlights*</w:t>
            </w:r>
          </w:p>
        </w:tc>
        <w:tc>
          <w:tcPr>
            <w:tcW w:w="120" w:type="dxa"/>
            <w:vAlign w:val="bottom"/>
            <w:tcBorders>
              <w:bottom w:val="single" w:sz="8" w:color="E5EFF8"/>
            </w:tcBorders>
            <w:shd w:val="clear" w:color="auto" w:fill="E5EFF8"/>
          </w:tcPr>
          <w:p>
            <w:pPr>
              <w:spacing w:after="0"/>
              <w:rPr>
                <w:sz w:val="24"/>
                <w:szCs w:val="24"/>
                <w:color w:val="auto"/>
              </w:rPr>
            </w:pPr>
          </w:p>
        </w:tc>
        <w:tc>
          <w:tcPr>
            <w:tcW w:w="2120" w:type="dxa"/>
            <w:vAlign w:val="bottom"/>
            <w:tcBorders>
              <w:bottom w:val="single" w:sz="8" w:color="E5EFF8"/>
            </w:tcBorders>
            <w:shd w:val="clear" w:color="auto" w:fill="E5EFF8"/>
          </w:tcPr>
          <w:p>
            <w:pPr>
              <w:spacing w:after="0"/>
              <w:rPr>
                <w:sz w:val="24"/>
                <w:szCs w:val="24"/>
                <w:color w:val="auto"/>
              </w:rPr>
            </w:pPr>
          </w:p>
        </w:tc>
        <w:tc>
          <w:tcPr>
            <w:tcW w:w="100" w:type="dxa"/>
            <w:vAlign w:val="bottom"/>
            <w:tcBorders>
              <w:bottom w:val="single" w:sz="8" w:color="E5EFF8"/>
            </w:tcBorders>
            <w:shd w:val="clear" w:color="auto" w:fill="E5EFF8"/>
          </w:tcPr>
          <w:p>
            <w:pPr>
              <w:spacing w:after="0"/>
              <w:rPr>
                <w:sz w:val="24"/>
                <w:szCs w:val="24"/>
                <w:color w:val="auto"/>
              </w:rPr>
            </w:pPr>
          </w:p>
        </w:tc>
        <w:tc>
          <w:tcPr>
            <w:tcW w:w="2020" w:type="dxa"/>
            <w:vAlign w:val="bottom"/>
            <w:tcBorders>
              <w:bottom w:val="single" w:sz="8" w:color="E5EFF8"/>
            </w:tcBorders>
            <w:shd w:val="clear" w:color="auto" w:fill="E5EFF8"/>
          </w:tcPr>
          <w:p>
            <w:pPr>
              <w:spacing w:after="0"/>
              <w:rPr>
                <w:sz w:val="24"/>
                <w:szCs w:val="24"/>
                <w:color w:val="auto"/>
              </w:rPr>
            </w:pPr>
          </w:p>
        </w:tc>
        <w:tc>
          <w:tcPr>
            <w:tcW w:w="100" w:type="dxa"/>
            <w:vAlign w:val="bottom"/>
            <w:tcBorders>
              <w:bottom w:val="single" w:sz="8" w:color="E5EFF8"/>
            </w:tcBorders>
            <w:shd w:val="clear" w:color="auto" w:fill="E5EFF8"/>
          </w:tcPr>
          <w:p>
            <w:pPr>
              <w:spacing w:after="0"/>
              <w:rPr>
                <w:sz w:val="24"/>
                <w:szCs w:val="24"/>
                <w:color w:val="auto"/>
              </w:rPr>
            </w:pPr>
          </w:p>
        </w:tc>
        <w:tc>
          <w:tcPr>
            <w:tcW w:w="2020" w:type="dxa"/>
            <w:vAlign w:val="bottom"/>
            <w:tcBorders>
              <w:bottom w:val="single" w:sz="8" w:color="E5EFF8"/>
            </w:tcBorders>
            <w:shd w:val="clear" w:color="auto" w:fill="E5EFF8"/>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2"/>
        </w:trPr>
        <w:tc>
          <w:tcPr>
            <w:tcW w:w="1700" w:type="dxa"/>
            <w:vAlign w:val="bottom"/>
            <w:shd w:val="clear" w:color="auto" w:fill="E5EFF8"/>
          </w:tcPr>
          <w:p>
            <w:pPr>
              <w:ind w:left="80"/>
              <w:spacing w:after="0"/>
              <w:rPr>
                <w:sz w:val="20"/>
                <w:szCs w:val="20"/>
                <w:color w:val="auto"/>
              </w:rPr>
            </w:pPr>
            <w:r>
              <w:rPr>
                <w:rFonts w:ascii="Arial" w:cs="Arial" w:eastAsia="Arial" w:hAnsi="Arial"/>
                <w:sz w:val="33"/>
                <w:szCs w:val="33"/>
                <w:color w:val="0066BA"/>
              </w:rPr>
              <w:t>$7.3B</w:t>
            </w:r>
          </w:p>
        </w:tc>
        <w:tc>
          <w:tcPr>
            <w:tcW w:w="120" w:type="dxa"/>
            <w:vAlign w:val="bottom"/>
            <w:shd w:val="clear" w:color="auto" w:fill="E5EFF8"/>
          </w:tcPr>
          <w:p>
            <w:pPr>
              <w:spacing w:after="0"/>
              <w:rPr>
                <w:sz w:val="24"/>
                <w:szCs w:val="24"/>
                <w:color w:val="auto"/>
              </w:rPr>
            </w:pPr>
          </w:p>
        </w:tc>
        <w:tc>
          <w:tcPr>
            <w:tcW w:w="80" w:type="dxa"/>
            <w:vAlign w:val="bottom"/>
            <w:shd w:val="clear" w:color="auto" w:fill="E5EFF8"/>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shd w:val="clear" w:color="auto" w:fill="E5EFF8"/>
          </w:tcPr>
          <w:p>
            <w:pPr>
              <w:ind w:left="100"/>
              <w:spacing w:after="0"/>
              <w:rPr>
                <w:sz w:val="20"/>
                <w:szCs w:val="20"/>
                <w:color w:val="auto"/>
              </w:rPr>
            </w:pPr>
            <w:r>
              <w:rPr>
                <w:rFonts w:ascii="Arial" w:cs="Arial" w:eastAsia="Arial" w:hAnsi="Arial"/>
                <w:sz w:val="33"/>
                <w:szCs w:val="33"/>
                <w:color w:val="0066BA"/>
              </w:rPr>
              <w:t>61.8%</w:t>
            </w:r>
          </w:p>
        </w:tc>
        <w:tc>
          <w:tcPr>
            <w:tcW w:w="120" w:type="dxa"/>
            <w:vAlign w:val="bottom"/>
          </w:tcPr>
          <w:p>
            <w:pPr>
              <w:spacing w:after="0"/>
              <w:rPr>
                <w:sz w:val="24"/>
                <w:szCs w:val="24"/>
                <w:color w:val="auto"/>
              </w:rPr>
            </w:pPr>
          </w:p>
        </w:tc>
        <w:tc>
          <w:tcPr>
            <w:tcW w:w="2120" w:type="dxa"/>
            <w:vAlign w:val="bottom"/>
            <w:shd w:val="clear" w:color="auto" w:fill="E5EFF8"/>
          </w:tcPr>
          <w:p>
            <w:pPr>
              <w:ind w:left="100"/>
              <w:spacing w:after="0"/>
              <w:rPr>
                <w:sz w:val="20"/>
                <w:szCs w:val="20"/>
                <w:color w:val="auto"/>
              </w:rPr>
            </w:pPr>
            <w:r>
              <w:rPr>
                <w:rFonts w:ascii="Arial" w:cs="Arial" w:eastAsia="Arial" w:hAnsi="Arial"/>
                <w:sz w:val="33"/>
                <w:szCs w:val="33"/>
                <w:color w:val="0066BA"/>
              </w:rPr>
              <w:t>23.1%</w:t>
            </w:r>
          </w:p>
        </w:tc>
        <w:tc>
          <w:tcPr>
            <w:tcW w:w="100" w:type="dxa"/>
            <w:vAlign w:val="bottom"/>
          </w:tcPr>
          <w:p>
            <w:pPr>
              <w:spacing w:after="0"/>
              <w:rPr>
                <w:sz w:val="24"/>
                <w:szCs w:val="24"/>
                <w:color w:val="auto"/>
              </w:rPr>
            </w:pPr>
          </w:p>
        </w:tc>
        <w:tc>
          <w:tcPr>
            <w:tcW w:w="2020" w:type="dxa"/>
            <w:vAlign w:val="bottom"/>
            <w:shd w:val="clear" w:color="auto" w:fill="E5EFF8"/>
          </w:tcPr>
          <w:p>
            <w:pPr>
              <w:ind w:left="120"/>
              <w:spacing w:after="0"/>
              <w:rPr>
                <w:sz w:val="20"/>
                <w:szCs w:val="20"/>
                <w:color w:val="auto"/>
              </w:rPr>
            </w:pPr>
            <w:r>
              <w:rPr>
                <w:rFonts w:ascii="Arial" w:cs="Arial" w:eastAsia="Arial" w:hAnsi="Arial"/>
                <w:sz w:val="33"/>
                <w:szCs w:val="33"/>
                <w:color w:val="0066BA"/>
              </w:rPr>
              <w:t>$3.46</w:t>
            </w:r>
          </w:p>
        </w:tc>
        <w:tc>
          <w:tcPr>
            <w:tcW w:w="100" w:type="dxa"/>
            <w:vAlign w:val="bottom"/>
          </w:tcPr>
          <w:p>
            <w:pPr>
              <w:spacing w:after="0"/>
              <w:rPr>
                <w:sz w:val="24"/>
                <w:szCs w:val="24"/>
                <w:color w:val="auto"/>
              </w:rPr>
            </w:pPr>
          </w:p>
        </w:tc>
        <w:tc>
          <w:tcPr>
            <w:tcW w:w="2020" w:type="dxa"/>
            <w:vAlign w:val="bottom"/>
            <w:shd w:val="clear" w:color="auto" w:fill="E5EFF8"/>
          </w:tcPr>
          <w:p>
            <w:pPr>
              <w:ind w:left="120"/>
              <w:spacing w:after="0"/>
              <w:rPr>
                <w:sz w:val="20"/>
                <w:szCs w:val="20"/>
                <w:color w:val="auto"/>
              </w:rPr>
            </w:pPr>
            <w:r>
              <w:rPr>
                <w:rFonts w:ascii="Arial" w:cs="Arial" w:eastAsia="Arial" w:hAnsi="Arial"/>
                <w:sz w:val="33"/>
                <w:szCs w:val="33"/>
                <w:color w:val="0066BA"/>
              </w:rPr>
              <w:t>$2.7B</w:t>
            </w:r>
          </w:p>
        </w:tc>
        <w:tc>
          <w:tcPr>
            <w:tcW w:w="0" w:type="dxa"/>
            <w:vAlign w:val="bottom"/>
          </w:tcPr>
          <w:p>
            <w:pPr>
              <w:spacing w:after="0"/>
              <w:rPr>
                <w:sz w:val="1"/>
                <w:szCs w:val="1"/>
                <w:color w:val="auto"/>
              </w:rPr>
            </w:pPr>
          </w:p>
        </w:tc>
      </w:tr>
      <w:tr>
        <w:trPr>
          <w:trHeight w:val="263"/>
        </w:trPr>
        <w:tc>
          <w:tcPr>
            <w:tcW w:w="1700" w:type="dxa"/>
            <w:vAlign w:val="bottom"/>
            <w:shd w:val="clear" w:color="auto" w:fill="E5EFF8"/>
          </w:tcPr>
          <w:p>
            <w:pPr>
              <w:ind w:left="80"/>
              <w:spacing w:after="0"/>
              <w:rPr>
                <w:sz w:val="20"/>
                <w:szCs w:val="20"/>
                <w:color w:val="auto"/>
              </w:rPr>
            </w:pPr>
            <w:r>
              <w:rPr>
                <w:rFonts w:ascii="Arial" w:cs="Arial" w:eastAsia="Arial" w:hAnsi="Arial"/>
                <w:sz w:val="19"/>
                <w:szCs w:val="19"/>
                <w:color w:val="auto"/>
              </w:rPr>
              <w:t>Revenue</w:t>
            </w:r>
          </w:p>
        </w:tc>
        <w:tc>
          <w:tcPr>
            <w:tcW w:w="120" w:type="dxa"/>
            <w:vAlign w:val="bottom"/>
            <w:shd w:val="clear" w:color="auto" w:fill="E5EFF8"/>
          </w:tcPr>
          <w:p>
            <w:pPr>
              <w:spacing w:after="0"/>
              <w:rPr>
                <w:sz w:val="22"/>
                <w:szCs w:val="22"/>
                <w:color w:val="auto"/>
              </w:rPr>
            </w:pPr>
          </w:p>
        </w:tc>
        <w:tc>
          <w:tcPr>
            <w:tcW w:w="80" w:type="dxa"/>
            <w:vAlign w:val="bottom"/>
            <w:shd w:val="clear" w:color="auto" w:fill="E5EFF8"/>
          </w:tcPr>
          <w:p>
            <w:pPr>
              <w:spacing w:after="0"/>
              <w:rPr>
                <w:sz w:val="22"/>
                <w:szCs w:val="22"/>
                <w:color w:val="auto"/>
              </w:rPr>
            </w:pPr>
          </w:p>
        </w:tc>
        <w:tc>
          <w:tcPr>
            <w:tcW w:w="120" w:type="dxa"/>
            <w:vAlign w:val="bottom"/>
          </w:tcPr>
          <w:p>
            <w:pPr>
              <w:spacing w:after="0"/>
              <w:rPr>
                <w:sz w:val="22"/>
                <w:szCs w:val="22"/>
                <w:color w:val="auto"/>
              </w:rPr>
            </w:pPr>
          </w:p>
        </w:tc>
        <w:tc>
          <w:tcPr>
            <w:tcW w:w="2120" w:type="dxa"/>
            <w:vAlign w:val="bottom"/>
            <w:shd w:val="clear" w:color="auto" w:fill="E5EFF8"/>
          </w:tcPr>
          <w:p>
            <w:pPr>
              <w:ind w:left="100"/>
              <w:spacing w:after="0"/>
              <w:rPr>
                <w:sz w:val="20"/>
                <w:szCs w:val="20"/>
                <w:color w:val="auto"/>
              </w:rPr>
            </w:pPr>
            <w:r>
              <w:rPr>
                <w:rFonts w:ascii="Arial" w:cs="Arial" w:eastAsia="Arial" w:hAnsi="Arial"/>
                <w:sz w:val="19"/>
                <w:szCs w:val="19"/>
                <w:color w:val="auto"/>
              </w:rPr>
              <w:t>Gross</w:t>
            </w:r>
          </w:p>
        </w:tc>
        <w:tc>
          <w:tcPr>
            <w:tcW w:w="120" w:type="dxa"/>
            <w:vAlign w:val="bottom"/>
          </w:tcPr>
          <w:p>
            <w:pPr>
              <w:spacing w:after="0"/>
              <w:rPr>
                <w:sz w:val="22"/>
                <w:szCs w:val="22"/>
                <w:color w:val="auto"/>
              </w:rPr>
            </w:pPr>
          </w:p>
        </w:tc>
        <w:tc>
          <w:tcPr>
            <w:tcW w:w="2120" w:type="dxa"/>
            <w:vAlign w:val="bottom"/>
            <w:shd w:val="clear" w:color="auto" w:fill="E5EFF8"/>
          </w:tcPr>
          <w:p>
            <w:pPr>
              <w:ind w:left="100"/>
              <w:spacing w:after="0"/>
              <w:rPr>
                <w:sz w:val="20"/>
                <w:szCs w:val="20"/>
                <w:color w:val="auto"/>
              </w:rPr>
            </w:pPr>
            <w:r>
              <w:rPr>
                <w:rFonts w:ascii="Arial" w:cs="Arial" w:eastAsia="Arial" w:hAnsi="Arial"/>
                <w:sz w:val="19"/>
                <w:szCs w:val="19"/>
                <w:color w:val="auto"/>
              </w:rPr>
              <w:t>Operating</w:t>
            </w:r>
          </w:p>
        </w:tc>
        <w:tc>
          <w:tcPr>
            <w:tcW w:w="100" w:type="dxa"/>
            <w:vAlign w:val="bottom"/>
          </w:tcPr>
          <w:p>
            <w:pPr>
              <w:spacing w:after="0"/>
              <w:rPr>
                <w:sz w:val="22"/>
                <w:szCs w:val="22"/>
                <w:color w:val="auto"/>
              </w:rPr>
            </w:pPr>
          </w:p>
        </w:tc>
        <w:tc>
          <w:tcPr>
            <w:tcW w:w="2020" w:type="dxa"/>
            <w:vAlign w:val="bottom"/>
            <w:shd w:val="clear" w:color="auto" w:fill="E5EFF8"/>
          </w:tcPr>
          <w:p>
            <w:pPr>
              <w:ind w:left="120"/>
              <w:spacing w:after="0"/>
              <w:rPr>
                <w:sz w:val="20"/>
                <w:szCs w:val="20"/>
                <w:color w:val="auto"/>
              </w:rPr>
            </w:pPr>
            <w:r>
              <w:rPr>
                <w:rFonts w:ascii="Arial" w:cs="Arial" w:eastAsia="Arial" w:hAnsi="Arial"/>
                <w:sz w:val="19"/>
                <w:szCs w:val="19"/>
                <w:color w:val="auto"/>
              </w:rPr>
              <w:t>Diluted</w:t>
            </w:r>
          </w:p>
        </w:tc>
        <w:tc>
          <w:tcPr>
            <w:tcW w:w="100" w:type="dxa"/>
            <w:vAlign w:val="bottom"/>
          </w:tcPr>
          <w:p>
            <w:pPr>
              <w:spacing w:after="0"/>
              <w:rPr>
                <w:sz w:val="22"/>
                <w:szCs w:val="22"/>
                <w:color w:val="auto"/>
              </w:rPr>
            </w:pPr>
          </w:p>
        </w:tc>
        <w:tc>
          <w:tcPr>
            <w:tcW w:w="2020" w:type="dxa"/>
            <w:vAlign w:val="bottom"/>
            <w:shd w:val="clear" w:color="auto" w:fill="E5EFF8"/>
          </w:tcPr>
          <w:p>
            <w:pPr>
              <w:ind w:left="120"/>
              <w:spacing w:after="0"/>
              <w:rPr>
                <w:sz w:val="20"/>
                <w:szCs w:val="20"/>
                <w:color w:val="auto"/>
              </w:rPr>
            </w:pPr>
            <w:r>
              <w:rPr>
                <w:rFonts w:ascii="Arial" w:cs="Arial" w:eastAsia="Arial" w:hAnsi="Arial"/>
                <w:sz w:val="19"/>
                <w:szCs w:val="19"/>
                <w:color w:val="auto"/>
              </w:rPr>
              <w:t>Operating</w:t>
            </w:r>
          </w:p>
        </w:tc>
        <w:tc>
          <w:tcPr>
            <w:tcW w:w="0" w:type="dxa"/>
            <w:vAlign w:val="bottom"/>
          </w:tcPr>
          <w:p>
            <w:pPr>
              <w:spacing w:after="0"/>
              <w:rPr>
                <w:sz w:val="1"/>
                <w:szCs w:val="1"/>
                <w:color w:val="auto"/>
              </w:rPr>
            </w:pPr>
          </w:p>
        </w:tc>
      </w:tr>
      <w:tr>
        <w:trPr>
          <w:trHeight w:val="208"/>
        </w:trPr>
        <w:tc>
          <w:tcPr>
            <w:tcW w:w="1700" w:type="dxa"/>
            <w:vAlign w:val="bottom"/>
            <w:shd w:val="clear" w:color="auto" w:fill="E5EFF8"/>
          </w:tcPr>
          <w:p>
            <w:pPr>
              <w:spacing w:after="0"/>
              <w:rPr>
                <w:sz w:val="18"/>
                <w:szCs w:val="18"/>
                <w:color w:val="auto"/>
              </w:rPr>
            </w:pPr>
          </w:p>
        </w:tc>
        <w:tc>
          <w:tcPr>
            <w:tcW w:w="120" w:type="dxa"/>
            <w:vAlign w:val="bottom"/>
            <w:shd w:val="clear" w:color="auto" w:fill="E5EFF8"/>
          </w:tcPr>
          <w:p>
            <w:pPr>
              <w:spacing w:after="0"/>
              <w:rPr>
                <w:sz w:val="18"/>
                <w:szCs w:val="18"/>
                <w:color w:val="auto"/>
              </w:rPr>
            </w:pPr>
          </w:p>
        </w:tc>
        <w:tc>
          <w:tcPr>
            <w:tcW w:w="80" w:type="dxa"/>
            <w:vAlign w:val="bottom"/>
            <w:shd w:val="clear" w:color="auto" w:fill="E5EFF8"/>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shd w:val="clear" w:color="auto" w:fill="E5EFF8"/>
          </w:tcPr>
          <w:p>
            <w:pPr>
              <w:ind w:left="100"/>
              <w:spacing w:after="0" w:line="208" w:lineRule="exact"/>
              <w:rPr>
                <w:sz w:val="20"/>
                <w:szCs w:val="20"/>
                <w:color w:val="auto"/>
              </w:rPr>
            </w:pPr>
            <w:r>
              <w:rPr>
                <w:rFonts w:ascii="Arial" w:cs="Arial" w:eastAsia="Arial" w:hAnsi="Arial"/>
                <w:sz w:val="19"/>
                <w:szCs w:val="19"/>
                <w:color w:val="auto"/>
              </w:rPr>
              <w:t>Margins</w:t>
            </w:r>
          </w:p>
        </w:tc>
        <w:tc>
          <w:tcPr>
            <w:tcW w:w="120" w:type="dxa"/>
            <w:vAlign w:val="bottom"/>
          </w:tcPr>
          <w:p>
            <w:pPr>
              <w:spacing w:after="0"/>
              <w:rPr>
                <w:sz w:val="18"/>
                <w:szCs w:val="18"/>
                <w:color w:val="auto"/>
              </w:rPr>
            </w:pPr>
          </w:p>
        </w:tc>
        <w:tc>
          <w:tcPr>
            <w:tcW w:w="2120" w:type="dxa"/>
            <w:vAlign w:val="bottom"/>
            <w:shd w:val="clear" w:color="auto" w:fill="E5EFF8"/>
          </w:tcPr>
          <w:p>
            <w:pPr>
              <w:ind w:left="100"/>
              <w:spacing w:after="0" w:line="208" w:lineRule="exact"/>
              <w:rPr>
                <w:sz w:val="20"/>
                <w:szCs w:val="20"/>
                <w:color w:val="auto"/>
              </w:rPr>
            </w:pPr>
            <w:r>
              <w:rPr>
                <w:rFonts w:ascii="Arial" w:cs="Arial" w:eastAsia="Arial" w:hAnsi="Arial"/>
                <w:sz w:val="19"/>
                <w:szCs w:val="19"/>
                <w:color w:val="auto"/>
              </w:rPr>
              <w:t>Margins</w:t>
            </w:r>
          </w:p>
        </w:tc>
        <w:tc>
          <w:tcPr>
            <w:tcW w:w="100" w:type="dxa"/>
            <w:vAlign w:val="bottom"/>
          </w:tcPr>
          <w:p>
            <w:pPr>
              <w:spacing w:after="0"/>
              <w:rPr>
                <w:sz w:val="18"/>
                <w:szCs w:val="18"/>
                <w:color w:val="auto"/>
              </w:rPr>
            </w:pPr>
          </w:p>
        </w:tc>
        <w:tc>
          <w:tcPr>
            <w:tcW w:w="2020" w:type="dxa"/>
            <w:vAlign w:val="bottom"/>
            <w:shd w:val="clear" w:color="auto" w:fill="E5EFF8"/>
          </w:tcPr>
          <w:p>
            <w:pPr>
              <w:ind w:left="120"/>
              <w:spacing w:after="0" w:line="208" w:lineRule="exact"/>
              <w:rPr>
                <w:sz w:val="20"/>
                <w:szCs w:val="20"/>
                <w:color w:val="auto"/>
              </w:rPr>
            </w:pPr>
            <w:r>
              <w:rPr>
                <w:rFonts w:ascii="Arial" w:cs="Arial" w:eastAsia="Arial" w:hAnsi="Arial"/>
                <w:sz w:val="19"/>
                <w:szCs w:val="19"/>
                <w:color w:val="auto"/>
              </w:rPr>
              <w:t>Earnings</w:t>
            </w:r>
          </w:p>
        </w:tc>
        <w:tc>
          <w:tcPr>
            <w:tcW w:w="100" w:type="dxa"/>
            <w:vAlign w:val="bottom"/>
          </w:tcPr>
          <w:p>
            <w:pPr>
              <w:spacing w:after="0"/>
              <w:rPr>
                <w:sz w:val="18"/>
                <w:szCs w:val="18"/>
                <w:color w:val="auto"/>
              </w:rPr>
            </w:pPr>
          </w:p>
        </w:tc>
        <w:tc>
          <w:tcPr>
            <w:tcW w:w="2020" w:type="dxa"/>
            <w:vAlign w:val="bottom"/>
            <w:shd w:val="clear" w:color="auto" w:fill="E5EFF8"/>
          </w:tcPr>
          <w:p>
            <w:pPr>
              <w:ind w:left="120"/>
              <w:spacing w:after="0" w:line="208" w:lineRule="exact"/>
              <w:rPr>
                <w:sz w:val="20"/>
                <w:szCs w:val="20"/>
                <w:color w:val="auto"/>
              </w:rPr>
            </w:pPr>
            <w:r>
              <w:rPr>
                <w:rFonts w:ascii="Arial" w:cs="Arial" w:eastAsia="Arial" w:hAnsi="Arial"/>
                <w:sz w:val="19"/>
                <w:szCs w:val="19"/>
                <w:color w:val="auto"/>
              </w:rPr>
              <w:t>Cash Flow</w:t>
            </w:r>
          </w:p>
        </w:tc>
        <w:tc>
          <w:tcPr>
            <w:tcW w:w="0" w:type="dxa"/>
            <w:vAlign w:val="bottom"/>
          </w:tcPr>
          <w:p>
            <w:pPr>
              <w:spacing w:after="0"/>
              <w:rPr>
                <w:sz w:val="1"/>
                <w:szCs w:val="1"/>
                <w:color w:val="auto"/>
              </w:rPr>
            </w:pPr>
          </w:p>
        </w:tc>
      </w:tr>
      <w:tr>
        <w:trPr>
          <w:trHeight w:val="229"/>
        </w:trPr>
        <w:tc>
          <w:tcPr>
            <w:tcW w:w="1700" w:type="dxa"/>
            <w:vAlign w:val="bottom"/>
            <w:shd w:val="clear" w:color="auto" w:fill="E5EFF8"/>
          </w:tcPr>
          <w:p>
            <w:pPr>
              <w:spacing w:after="0"/>
              <w:rPr>
                <w:sz w:val="19"/>
                <w:szCs w:val="19"/>
                <w:color w:val="auto"/>
              </w:rPr>
            </w:pPr>
          </w:p>
        </w:tc>
        <w:tc>
          <w:tcPr>
            <w:tcW w:w="120" w:type="dxa"/>
            <w:vAlign w:val="bottom"/>
            <w:shd w:val="clear" w:color="auto" w:fill="E5EFF8"/>
          </w:tcPr>
          <w:p>
            <w:pPr>
              <w:spacing w:after="0"/>
              <w:rPr>
                <w:sz w:val="19"/>
                <w:szCs w:val="19"/>
                <w:color w:val="auto"/>
              </w:rPr>
            </w:pPr>
          </w:p>
        </w:tc>
        <w:tc>
          <w:tcPr>
            <w:tcW w:w="80" w:type="dxa"/>
            <w:vAlign w:val="bottom"/>
            <w:shd w:val="clear" w:color="auto" w:fill="E5EFF8"/>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shd w:val="clear" w:color="auto" w:fill="E5EFF8"/>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shd w:val="clear" w:color="auto" w:fill="E5EFF8"/>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shd w:val="clear" w:color="auto" w:fill="E5EFF8"/>
          </w:tcPr>
          <w:p>
            <w:pPr>
              <w:ind w:left="120"/>
              <w:spacing w:after="0"/>
              <w:rPr>
                <w:sz w:val="20"/>
                <w:szCs w:val="20"/>
                <w:color w:val="auto"/>
              </w:rPr>
            </w:pPr>
            <w:r>
              <w:rPr>
                <w:rFonts w:ascii="Arial" w:cs="Arial" w:eastAsia="Arial" w:hAnsi="Arial"/>
                <w:sz w:val="19"/>
                <w:szCs w:val="19"/>
                <w:color w:val="auto"/>
              </w:rPr>
              <w:t>per Share</w:t>
            </w:r>
          </w:p>
        </w:tc>
        <w:tc>
          <w:tcPr>
            <w:tcW w:w="100" w:type="dxa"/>
            <w:vAlign w:val="bottom"/>
          </w:tcPr>
          <w:p>
            <w:pPr>
              <w:spacing w:after="0"/>
              <w:rPr>
                <w:sz w:val="19"/>
                <w:szCs w:val="19"/>
                <w:color w:val="auto"/>
              </w:rPr>
            </w:pPr>
          </w:p>
        </w:tc>
        <w:tc>
          <w:tcPr>
            <w:tcW w:w="2020" w:type="dxa"/>
            <w:vAlign w:val="bottom"/>
            <w:shd w:val="clear" w:color="auto" w:fill="E5EFF8"/>
          </w:tcPr>
          <w:p>
            <w:pPr>
              <w:spacing w:after="0"/>
              <w:rPr>
                <w:sz w:val="19"/>
                <w:szCs w:val="19"/>
                <w:color w:val="auto"/>
              </w:rPr>
            </w:pPr>
          </w:p>
        </w:tc>
        <w:tc>
          <w:tcPr>
            <w:tcW w:w="0" w:type="dxa"/>
            <w:vAlign w:val="bottom"/>
          </w:tcPr>
          <w:p>
            <w:pPr>
              <w:spacing w:after="0"/>
              <w:rPr>
                <w:sz w:val="1"/>
                <w:szCs w:val="1"/>
                <w:color w:val="auto"/>
              </w:rPr>
            </w:pPr>
          </w:p>
        </w:tc>
      </w:tr>
      <w:tr>
        <w:trPr>
          <w:trHeight w:val="536"/>
        </w:trPr>
        <w:tc>
          <w:tcPr>
            <w:tcW w:w="1700" w:type="dxa"/>
            <w:vAlign w:val="bottom"/>
            <w:shd w:val="clear" w:color="auto" w:fill="E5EFF8"/>
          </w:tcPr>
          <w:p>
            <w:pPr>
              <w:ind w:left="80"/>
              <w:spacing w:after="0"/>
              <w:rPr>
                <w:sz w:val="20"/>
                <w:szCs w:val="20"/>
                <w:color w:val="auto"/>
              </w:rPr>
            </w:pPr>
            <w:r>
              <w:rPr>
                <w:rFonts w:ascii="Arial" w:cs="Arial" w:eastAsia="Arial" w:hAnsi="Arial"/>
                <w:sz w:val="33"/>
                <w:szCs w:val="33"/>
                <w:color w:val="0066BA"/>
              </w:rPr>
              <w:t>~88%</w:t>
            </w:r>
          </w:p>
        </w:tc>
        <w:tc>
          <w:tcPr>
            <w:tcW w:w="120" w:type="dxa"/>
            <w:vAlign w:val="bottom"/>
            <w:shd w:val="clear" w:color="auto" w:fill="E5EFF8"/>
          </w:tcPr>
          <w:p>
            <w:pPr>
              <w:spacing w:after="0"/>
              <w:rPr>
                <w:sz w:val="24"/>
                <w:szCs w:val="24"/>
                <w:color w:val="auto"/>
              </w:rPr>
            </w:pPr>
          </w:p>
        </w:tc>
        <w:tc>
          <w:tcPr>
            <w:tcW w:w="80" w:type="dxa"/>
            <w:vAlign w:val="bottom"/>
            <w:shd w:val="clear" w:color="auto" w:fill="E5EFF8"/>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shd w:val="clear" w:color="auto" w:fill="E5EFF8"/>
          </w:tcPr>
          <w:p>
            <w:pPr>
              <w:ind w:left="100"/>
              <w:spacing w:after="0"/>
              <w:rPr>
                <w:sz w:val="20"/>
                <w:szCs w:val="20"/>
                <w:color w:val="auto"/>
              </w:rPr>
            </w:pPr>
            <w:r>
              <w:rPr>
                <w:rFonts w:ascii="Arial" w:cs="Arial" w:eastAsia="Arial" w:hAnsi="Arial"/>
                <w:sz w:val="33"/>
                <w:szCs w:val="33"/>
                <w:color w:val="0066BA"/>
              </w:rPr>
              <w:t>70.9%</w:t>
            </w:r>
          </w:p>
        </w:tc>
        <w:tc>
          <w:tcPr>
            <w:tcW w:w="120" w:type="dxa"/>
            <w:vAlign w:val="bottom"/>
          </w:tcPr>
          <w:p>
            <w:pPr>
              <w:spacing w:after="0"/>
              <w:rPr>
                <w:sz w:val="24"/>
                <w:szCs w:val="24"/>
                <w:color w:val="auto"/>
              </w:rPr>
            </w:pPr>
          </w:p>
        </w:tc>
        <w:tc>
          <w:tcPr>
            <w:tcW w:w="2120" w:type="dxa"/>
            <w:vAlign w:val="bottom"/>
            <w:shd w:val="clear" w:color="auto" w:fill="E5EFF8"/>
          </w:tcPr>
          <w:p>
            <w:pPr>
              <w:ind w:left="100"/>
              <w:spacing w:after="0"/>
              <w:rPr>
                <w:sz w:val="20"/>
                <w:szCs w:val="20"/>
                <w:color w:val="auto"/>
              </w:rPr>
            </w:pPr>
            <w:r>
              <w:rPr>
                <w:rFonts w:ascii="Arial" w:cs="Arial" w:eastAsia="Arial" w:hAnsi="Arial"/>
                <w:sz w:val="33"/>
                <w:szCs w:val="33"/>
                <w:color w:val="0066BA"/>
              </w:rPr>
              <w:t>42.4%</w:t>
            </w:r>
          </w:p>
        </w:tc>
        <w:tc>
          <w:tcPr>
            <w:tcW w:w="100" w:type="dxa"/>
            <w:vAlign w:val="bottom"/>
          </w:tcPr>
          <w:p>
            <w:pPr>
              <w:spacing w:after="0"/>
              <w:rPr>
                <w:sz w:val="24"/>
                <w:szCs w:val="24"/>
                <w:color w:val="auto"/>
              </w:rPr>
            </w:pPr>
          </w:p>
        </w:tc>
        <w:tc>
          <w:tcPr>
            <w:tcW w:w="2020" w:type="dxa"/>
            <w:vAlign w:val="bottom"/>
            <w:shd w:val="clear" w:color="auto" w:fill="E5EFF8"/>
          </w:tcPr>
          <w:p>
            <w:pPr>
              <w:ind w:left="120"/>
              <w:spacing w:after="0"/>
              <w:rPr>
                <w:sz w:val="20"/>
                <w:szCs w:val="20"/>
                <w:color w:val="auto"/>
              </w:rPr>
            </w:pPr>
            <w:r>
              <w:rPr>
                <w:rFonts w:ascii="Arial" w:cs="Arial" w:eastAsia="Arial" w:hAnsi="Arial"/>
                <w:sz w:val="33"/>
                <w:szCs w:val="33"/>
                <w:color w:val="0066BA"/>
              </w:rPr>
              <w:t>$6.46</w:t>
            </w:r>
          </w:p>
        </w:tc>
        <w:tc>
          <w:tcPr>
            <w:tcW w:w="100" w:type="dxa"/>
            <w:vAlign w:val="bottom"/>
          </w:tcPr>
          <w:p>
            <w:pPr>
              <w:spacing w:after="0"/>
              <w:rPr>
                <w:sz w:val="24"/>
                <w:szCs w:val="24"/>
                <w:color w:val="auto"/>
              </w:rPr>
            </w:pPr>
          </w:p>
        </w:tc>
        <w:tc>
          <w:tcPr>
            <w:tcW w:w="2020" w:type="dxa"/>
            <w:vAlign w:val="bottom"/>
            <w:shd w:val="clear" w:color="auto" w:fill="E5EFF8"/>
          </w:tcPr>
          <w:p>
            <w:pPr>
              <w:ind w:left="120"/>
              <w:spacing w:after="0"/>
              <w:rPr>
                <w:sz w:val="20"/>
                <w:szCs w:val="20"/>
                <w:color w:val="auto"/>
              </w:rPr>
            </w:pPr>
            <w:r>
              <w:rPr>
                <w:rFonts w:ascii="Arial" w:cs="Arial" w:eastAsia="Arial" w:hAnsi="Arial"/>
                <w:sz w:val="33"/>
                <w:szCs w:val="33"/>
                <w:color w:val="0066BA"/>
              </w:rPr>
              <w:t>$2.4B</w:t>
            </w:r>
          </w:p>
        </w:tc>
        <w:tc>
          <w:tcPr>
            <w:tcW w:w="0" w:type="dxa"/>
            <w:vAlign w:val="bottom"/>
          </w:tcPr>
          <w:p>
            <w:pPr>
              <w:spacing w:after="0"/>
              <w:rPr>
                <w:sz w:val="1"/>
                <w:szCs w:val="1"/>
                <w:color w:val="auto"/>
              </w:rPr>
            </w:pPr>
          </w:p>
        </w:tc>
      </w:tr>
      <w:tr>
        <w:trPr>
          <w:trHeight w:val="263"/>
        </w:trPr>
        <w:tc>
          <w:tcPr>
            <w:tcW w:w="1700" w:type="dxa"/>
            <w:vAlign w:val="bottom"/>
            <w:shd w:val="clear" w:color="auto" w:fill="E5EFF8"/>
          </w:tcPr>
          <w:p>
            <w:pPr>
              <w:ind w:left="80"/>
              <w:spacing w:after="0"/>
              <w:rPr>
                <w:sz w:val="20"/>
                <w:szCs w:val="20"/>
                <w:color w:val="auto"/>
              </w:rPr>
            </w:pPr>
            <w:r>
              <w:rPr>
                <w:rFonts w:ascii="Arial" w:cs="Arial" w:eastAsia="Arial" w:hAnsi="Arial"/>
                <w:sz w:val="19"/>
                <w:szCs w:val="19"/>
                <w:color w:val="auto"/>
              </w:rPr>
              <w:t>Business-</w:t>
            </w:r>
          </w:p>
        </w:tc>
        <w:tc>
          <w:tcPr>
            <w:tcW w:w="120" w:type="dxa"/>
            <w:vAlign w:val="bottom"/>
            <w:shd w:val="clear" w:color="auto" w:fill="E5EFF8"/>
          </w:tcPr>
          <w:p>
            <w:pPr>
              <w:spacing w:after="0"/>
              <w:rPr>
                <w:sz w:val="22"/>
                <w:szCs w:val="22"/>
                <w:color w:val="auto"/>
              </w:rPr>
            </w:pPr>
          </w:p>
        </w:tc>
        <w:tc>
          <w:tcPr>
            <w:tcW w:w="80" w:type="dxa"/>
            <w:vAlign w:val="bottom"/>
            <w:shd w:val="clear" w:color="auto" w:fill="E5EFF8"/>
          </w:tcPr>
          <w:p>
            <w:pPr>
              <w:spacing w:after="0"/>
              <w:rPr>
                <w:sz w:val="22"/>
                <w:szCs w:val="22"/>
                <w:color w:val="auto"/>
              </w:rPr>
            </w:pPr>
          </w:p>
        </w:tc>
        <w:tc>
          <w:tcPr>
            <w:tcW w:w="120" w:type="dxa"/>
            <w:vAlign w:val="bottom"/>
          </w:tcPr>
          <w:p>
            <w:pPr>
              <w:spacing w:after="0"/>
              <w:rPr>
                <w:sz w:val="22"/>
                <w:szCs w:val="22"/>
                <w:color w:val="auto"/>
              </w:rPr>
            </w:pPr>
          </w:p>
        </w:tc>
        <w:tc>
          <w:tcPr>
            <w:tcW w:w="2120" w:type="dxa"/>
            <w:vAlign w:val="bottom"/>
            <w:shd w:val="clear" w:color="auto" w:fill="E5EFF8"/>
          </w:tcPr>
          <w:p>
            <w:pPr>
              <w:ind w:left="100"/>
              <w:spacing w:after="0"/>
              <w:rPr>
                <w:sz w:val="20"/>
                <w:szCs w:val="20"/>
                <w:color w:val="auto"/>
              </w:rPr>
            </w:pPr>
            <w:r>
              <w:rPr>
                <w:rFonts w:ascii="Arial" w:cs="Arial" w:eastAsia="Arial" w:hAnsi="Arial"/>
                <w:sz w:val="19"/>
                <w:szCs w:val="19"/>
                <w:color w:val="auto"/>
              </w:rPr>
              <w:t>Adjusted</w:t>
            </w:r>
          </w:p>
        </w:tc>
        <w:tc>
          <w:tcPr>
            <w:tcW w:w="120" w:type="dxa"/>
            <w:vAlign w:val="bottom"/>
          </w:tcPr>
          <w:p>
            <w:pPr>
              <w:spacing w:after="0"/>
              <w:rPr>
                <w:sz w:val="22"/>
                <w:szCs w:val="22"/>
                <w:color w:val="auto"/>
              </w:rPr>
            </w:pPr>
          </w:p>
        </w:tc>
        <w:tc>
          <w:tcPr>
            <w:tcW w:w="2120" w:type="dxa"/>
            <w:vAlign w:val="bottom"/>
            <w:shd w:val="clear" w:color="auto" w:fill="E5EFF8"/>
          </w:tcPr>
          <w:p>
            <w:pPr>
              <w:ind w:left="100"/>
              <w:spacing w:after="0"/>
              <w:rPr>
                <w:sz w:val="20"/>
                <w:szCs w:val="20"/>
                <w:color w:val="auto"/>
              </w:rPr>
            </w:pPr>
            <w:r>
              <w:rPr>
                <w:rFonts w:ascii="Arial" w:cs="Arial" w:eastAsia="Arial" w:hAnsi="Arial"/>
                <w:sz w:val="19"/>
                <w:szCs w:val="19"/>
                <w:color w:val="auto"/>
              </w:rPr>
              <w:t>Adjusted</w:t>
            </w:r>
          </w:p>
        </w:tc>
        <w:tc>
          <w:tcPr>
            <w:tcW w:w="100" w:type="dxa"/>
            <w:vAlign w:val="bottom"/>
          </w:tcPr>
          <w:p>
            <w:pPr>
              <w:spacing w:after="0"/>
              <w:rPr>
                <w:sz w:val="22"/>
                <w:szCs w:val="22"/>
                <w:color w:val="auto"/>
              </w:rPr>
            </w:pPr>
          </w:p>
        </w:tc>
        <w:tc>
          <w:tcPr>
            <w:tcW w:w="2020" w:type="dxa"/>
            <w:vAlign w:val="bottom"/>
            <w:shd w:val="clear" w:color="auto" w:fill="E5EFF8"/>
          </w:tcPr>
          <w:p>
            <w:pPr>
              <w:ind w:left="120"/>
              <w:spacing w:after="0"/>
              <w:rPr>
                <w:sz w:val="20"/>
                <w:szCs w:val="20"/>
                <w:color w:val="auto"/>
              </w:rPr>
            </w:pPr>
            <w:r>
              <w:rPr>
                <w:rFonts w:ascii="Arial" w:cs="Arial" w:eastAsia="Arial" w:hAnsi="Arial"/>
                <w:sz w:val="19"/>
                <w:szCs w:val="19"/>
                <w:color w:val="auto"/>
              </w:rPr>
              <w:t>Adjusted</w:t>
            </w:r>
          </w:p>
        </w:tc>
        <w:tc>
          <w:tcPr>
            <w:tcW w:w="100" w:type="dxa"/>
            <w:vAlign w:val="bottom"/>
          </w:tcPr>
          <w:p>
            <w:pPr>
              <w:spacing w:after="0"/>
              <w:rPr>
                <w:sz w:val="22"/>
                <w:szCs w:val="22"/>
                <w:color w:val="auto"/>
              </w:rPr>
            </w:pPr>
          </w:p>
        </w:tc>
        <w:tc>
          <w:tcPr>
            <w:tcW w:w="2020" w:type="dxa"/>
            <w:vAlign w:val="bottom"/>
            <w:shd w:val="clear" w:color="auto" w:fill="E5EFF8"/>
          </w:tcPr>
          <w:p>
            <w:pPr>
              <w:ind w:left="120"/>
              <w:spacing w:after="0"/>
              <w:rPr>
                <w:sz w:val="20"/>
                <w:szCs w:val="20"/>
                <w:color w:val="auto"/>
              </w:rPr>
            </w:pPr>
            <w:r>
              <w:rPr>
                <w:rFonts w:ascii="Arial" w:cs="Arial" w:eastAsia="Arial" w:hAnsi="Arial"/>
                <w:sz w:val="19"/>
                <w:szCs w:val="19"/>
                <w:color w:val="auto"/>
              </w:rPr>
              <w:t>Free Cash</w:t>
            </w:r>
          </w:p>
        </w:tc>
        <w:tc>
          <w:tcPr>
            <w:tcW w:w="0" w:type="dxa"/>
            <w:vAlign w:val="bottom"/>
          </w:tcPr>
          <w:p>
            <w:pPr>
              <w:spacing w:after="0"/>
              <w:rPr>
                <w:sz w:val="1"/>
                <w:szCs w:val="1"/>
                <w:color w:val="auto"/>
              </w:rPr>
            </w:pPr>
          </w:p>
        </w:tc>
      </w:tr>
      <w:tr>
        <w:trPr>
          <w:trHeight w:val="208"/>
        </w:trPr>
        <w:tc>
          <w:tcPr>
            <w:tcW w:w="1700" w:type="dxa"/>
            <w:vAlign w:val="bottom"/>
            <w:shd w:val="clear" w:color="auto" w:fill="E5EFF8"/>
          </w:tcPr>
          <w:p>
            <w:pPr>
              <w:ind w:left="80"/>
              <w:spacing w:after="0" w:line="208" w:lineRule="exact"/>
              <w:rPr>
                <w:sz w:val="20"/>
                <w:szCs w:val="20"/>
                <w:color w:val="auto"/>
              </w:rPr>
            </w:pPr>
            <w:r>
              <w:rPr>
                <w:rFonts w:ascii="Arial" w:cs="Arial" w:eastAsia="Arial" w:hAnsi="Arial"/>
                <w:sz w:val="19"/>
                <w:szCs w:val="19"/>
                <w:color w:val="auto"/>
              </w:rPr>
              <w:t>to-Business</w:t>
            </w:r>
          </w:p>
        </w:tc>
        <w:tc>
          <w:tcPr>
            <w:tcW w:w="120" w:type="dxa"/>
            <w:vAlign w:val="bottom"/>
            <w:shd w:val="clear" w:color="auto" w:fill="E5EFF8"/>
          </w:tcPr>
          <w:p>
            <w:pPr>
              <w:spacing w:after="0"/>
              <w:rPr>
                <w:sz w:val="18"/>
                <w:szCs w:val="18"/>
                <w:color w:val="auto"/>
              </w:rPr>
            </w:pPr>
          </w:p>
        </w:tc>
        <w:tc>
          <w:tcPr>
            <w:tcW w:w="80" w:type="dxa"/>
            <w:vAlign w:val="bottom"/>
            <w:shd w:val="clear" w:color="auto" w:fill="E5EFF8"/>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shd w:val="clear" w:color="auto" w:fill="E5EFF8"/>
          </w:tcPr>
          <w:p>
            <w:pPr>
              <w:ind w:left="100"/>
              <w:spacing w:after="0" w:line="208" w:lineRule="exact"/>
              <w:rPr>
                <w:sz w:val="20"/>
                <w:szCs w:val="20"/>
                <w:color w:val="auto"/>
              </w:rPr>
            </w:pPr>
            <w:r>
              <w:rPr>
                <w:rFonts w:ascii="Arial" w:cs="Arial" w:eastAsia="Arial" w:hAnsi="Arial"/>
                <w:sz w:val="19"/>
                <w:szCs w:val="19"/>
                <w:color w:val="auto"/>
              </w:rPr>
              <w:t>Gross</w:t>
            </w:r>
          </w:p>
        </w:tc>
        <w:tc>
          <w:tcPr>
            <w:tcW w:w="120" w:type="dxa"/>
            <w:vAlign w:val="bottom"/>
          </w:tcPr>
          <w:p>
            <w:pPr>
              <w:spacing w:after="0"/>
              <w:rPr>
                <w:sz w:val="18"/>
                <w:szCs w:val="18"/>
                <w:color w:val="auto"/>
              </w:rPr>
            </w:pPr>
          </w:p>
        </w:tc>
        <w:tc>
          <w:tcPr>
            <w:tcW w:w="2120" w:type="dxa"/>
            <w:vAlign w:val="bottom"/>
            <w:shd w:val="clear" w:color="auto" w:fill="E5EFF8"/>
          </w:tcPr>
          <w:p>
            <w:pPr>
              <w:ind w:left="100"/>
              <w:spacing w:after="0" w:line="208" w:lineRule="exact"/>
              <w:rPr>
                <w:sz w:val="20"/>
                <w:szCs w:val="20"/>
                <w:color w:val="auto"/>
              </w:rPr>
            </w:pPr>
            <w:r>
              <w:rPr>
                <w:rFonts w:ascii="Arial" w:cs="Arial" w:eastAsia="Arial" w:hAnsi="Arial"/>
                <w:sz w:val="19"/>
                <w:szCs w:val="19"/>
                <w:color w:val="auto"/>
              </w:rPr>
              <w:t>Operating</w:t>
            </w:r>
          </w:p>
        </w:tc>
        <w:tc>
          <w:tcPr>
            <w:tcW w:w="100" w:type="dxa"/>
            <w:vAlign w:val="bottom"/>
          </w:tcPr>
          <w:p>
            <w:pPr>
              <w:spacing w:after="0"/>
              <w:rPr>
                <w:sz w:val="18"/>
                <w:szCs w:val="18"/>
                <w:color w:val="auto"/>
              </w:rPr>
            </w:pPr>
          </w:p>
        </w:tc>
        <w:tc>
          <w:tcPr>
            <w:tcW w:w="2020" w:type="dxa"/>
            <w:vAlign w:val="bottom"/>
            <w:shd w:val="clear" w:color="auto" w:fill="E5EFF8"/>
          </w:tcPr>
          <w:p>
            <w:pPr>
              <w:ind w:left="120"/>
              <w:spacing w:after="0" w:line="208" w:lineRule="exact"/>
              <w:rPr>
                <w:sz w:val="20"/>
                <w:szCs w:val="20"/>
                <w:color w:val="auto"/>
              </w:rPr>
            </w:pPr>
            <w:r>
              <w:rPr>
                <w:rFonts w:ascii="Arial" w:cs="Arial" w:eastAsia="Arial" w:hAnsi="Arial"/>
                <w:sz w:val="19"/>
                <w:szCs w:val="19"/>
                <w:color w:val="auto"/>
              </w:rPr>
              <w:t>Diluted</w:t>
            </w:r>
          </w:p>
        </w:tc>
        <w:tc>
          <w:tcPr>
            <w:tcW w:w="100" w:type="dxa"/>
            <w:vAlign w:val="bottom"/>
          </w:tcPr>
          <w:p>
            <w:pPr>
              <w:spacing w:after="0"/>
              <w:rPr>
                <w:sz w:val="18"/>
                <w:szCs w:val="18"/>
                <w:color w:val="auto"/>
              </w:rPr>
            </w:pPr>
          </w:p>
        </w:tc>
        <w:tc>
          <w:tcPr>
            <w:tcW w:w="2020" w:type="dxa"/>
            <w:vAlign w:val="bottom"/>
            <w:shd w:val="clear" w:color="auto" w:fill="E5EFF8"/>
          </w:tcPr>
          <w:p>
            <w:pPr>
              <w:ind w:left="120"/>
              <w:spacing w:after="0" w:line="208" w:lineRule="exact"/>
              <w:rPr>
                <w:sz w:val="20"/>
                <w:szCs w:val="20"/>
                <w:color w:val="auto"/>
              </w:rPr>
            </w:pPr>
            <w:r>
              <w:rPr>
                <w:rFonts w:ascii="Arial" w:cs="Arial" w:eastAsia="Arial" w:hAnsi="Arial"/>
                <w:sz w:val="19"/>
                <w:szCs w:val="19"/>
                <w:color w:val="auto"/>
              </w:rPr>
              <w:t>Flow**</w:t>
            </w:r>
          </w:p>
        </w:tc>
        <w:tc>
          <w:tcPr>
            <w:tcW w:w="0" w:type="dxa"/>
            <w:vAlign w:val="bottom"/>
          </w:tcPr>
          <w:p>
            <w:pPr>
              <w:spacing w:after="0"/>
              <w:rPr>
                <w:sz w:val="1"/>
                <w:szCs w:val="1"/>
                <w:color w:val="auto"/>
              </w:rPr>
            </w:pPr>
          </w:p>
        </w:tc>
      </w:tr>
      <w:tr>
        <w:trPr>
          <w:trHeight w:val="208"/>
        </w:trPr>
        <w:tc>
          <w:tcPr>
            <w:tcW w:w="1700" w:type="dxa"/>
            <w:vAlign w:val="bottom"/>
            <w:shd w:val="clear" w:color="auto" w:fill="E5EFF8"/>
          </w:tcPr>
          <w:p>
            <w:pPr>
              <w:ind w:left="80"/>
              <w:spacing w:after="0" w:line="208" w:lineRule="exact"/>
              <w:rPr>
                <w:sz w:val="20"/>
                <w:szCs w:val="20"/>
                <w:color w:val="auto"/>
              </w:rPr>
            </w:pPr>
            <w:r>
              <w:rPr>
                <w:rFonts w:ascii="Arial" w:cs="Arial" w:eastAsia="Arial" w:hAnsi="Arial"/>
                <w:sz w:val="19"/>
                <w:szCs w:val="19"/>
                <w:color w:val="auto"/>
              </w:rPr>
              <w:t>Revenue</w:t>
            </w:r>
          </w:p>
        </w:tc>
        <w:tc>
          <w:tcPr>
            <w:tcW w:w="120" w:type="dxa"/>
            <w:vAlign w:val="bottom"/>
            <w:shd w:val="clear" w:color="auto" w:fill="E5EFF8"/>
          </w:tcPr>
          <w:p>
            <w:pPr>
              <w:spacing w:after="0"/>
              <w:rPr>
                <w:sz w:val="18"/>
                <w:szCs w:val="18"/>
                <w:color w:val="auto"/>
              </w:rPr>
            </w:pPr>
          </w:p>
        </w:tc>
        <w:tc>
          <w:tcPr>
            <w:tcW w:w="80" w:type="dxa"/>
            <w:vAlign w:val="bottom"/>
            <w:shd w:val="clear" w:color="auto" w:fill="E5EFF8"/>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shd w:val="clear" w:color="auto" w:fill="E5EFF8"/>
          </w:tcPr>
          <w:p>
            <w:pPr>
              <w:ind w:left="100"/>
              <w:spacing w:after="0" w:line="208" w:lineRule="exact"/>
              <w:rPr>
                <w:sz w:val="20"/>
                <w:szCs w:val="20"/>
                <w:color w:val="auto"/>
              </w:rPr>
            </w:pPr>
            <w:r>
              <w:rPr>
                <w:rFonts w:ascii="Arial" w:cs="Arial" w:eastAsia="Arial" w:hAnsi="Arial"/>
                <w:sz w:val="19"/>
                <w:szCs w:val="19"/>
                <w:color w:val="auto"/>
              </w:rPr>
              <w:t>Margins**</w:t>
            </w:r>
          </w:p>
        </w:tc>
        <w:tc>
          <w:tcPr>
            <w:tcW w:w="120" w:type="dxa"/>
            <w:vAlign w:val="bottom"/>
          </w:tcPr>
          <w:p>
            <w:pPr>
              <w:spacing w:after="0"/>
              <w:rPr>
                <w:sz w:val="18"/>
                <w:szCs w:val="18"/>
                <w:color w:val="auto"/>
              </w:rPr>
            </w:pPr>
          </w:p>
        </w:tc>
        <w:tc>
          <w:tcPr>
            <w:tcW w:w="2120" w:type="dxa"/>
            <w:vAlign w:val="bottom"/>
            <w:shd w:val="clear" w:color="auto" w:fill="E5EFF8"/>
          </w:tcPr>
          <w:p>
            <w:pPr>
              <w:ind w:left="100"/>
              <w:spacing w:after="0" w:line="208" w:lineRule="exact"/>
              <w:rPr>
                <w:sz w:val="20"/>
                <w:szCs w:val="20"/>
                <w:color w:val="auto"/>
              </w:rPr>
            </w:pPr>
            <w:r>
              <w:rPr>
                <w:rFonts w:ascii="Arial" w:cs="Arial" w:eastAsia="Arial" w:hAnsi="Arial"/>
                <w:sz w:val="19"/>
                <w:szCs w:val="19"/>
                <w:color w:val="auto"/>
              </w:rPr>
              <w:t>Margins**</w:t>
            </w:r>
          </w:p>
        </w:tc>
        <w:tc>
          <w:tcPr>
            <w:tcW w:w="100" w:type="dxa"/>
            <w:vAlign w:val="bottom"/>
          </w:tcPr>
          <w:p>
            <w:pPr>
              <w:spacing w:after="0"/>
              <w:rPr>
                <w:sz w:val="18"/>
                <w:szCs w:val="18"/>
                <w:color w:val="auto"/>
              </w:rPr>
            </w:pPr>
          </w:p>
        </w:tc>
        <w:tc>
          <w:tcPr>
            <w:tcW w:w="2020" w:type="dxa"/>
            <w:vAlign w:val="bottom"/>
            <w:shd w:val="clear" w:color="auto" w:fill="E5EFF8"/>
          </w:tcPr>
          <w:p>
            <w:pPr>
              <w:ind w:left="120"/>
              <w:spacing w:after="0" w:line="208" w:lineRule="exact"/>
              <w:rPr>
                <w:sz w:val="20"/>
                <w:szCs w:val="20"/>
                <w:color w:val="auto"/>
              </w:rPr>
            </w:pPr>
            <w:r>
              <w:rPr>
                <w:rFonts w:ascii="Arial" w:cs="Arial" w:eastAsia="Arial" w:hAnsi="Arial"/>
                <w:sz w:val="19"/>
                <w:szCs w:val="19"/>
                <w:color w:val="auto"/>
              </w:rPr>
              <w:t>Earnings</w:t>
            </w:r>
          </w:p>
        </w:tc>
        <w:tc>
          <w:tcPr>
            <w:tcW w:w="100" w:type="dxa"/>
            <w:vAlign w:val="bottom"/>
          </w:tcPr>
          <w:p>
            <w:pPr>
              <w:spacing w:after="0"/>
              <w:rPr>
                <w:sz w:val="18"/>
                <w:szCs w:val="18"/>
                <w:color w:val="auto"/>
              </w:rPr>
            </w:pPr>
          </w:p>
        </w:tc>
        <w:tc>
          <w:tcPr>
            <w:tcW w:w="2020" w:type="dxa"/>
            <w:vAlign w:val="bottom"/>
            <w:shd w:val="clear" w:color="auto" w:fill="E5EFF8"/>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700" w:type="dxa"/>
            <w:vAlign w:val="bottom"/>
            <w:shd w:val="clear" w:color="auto" w:fill="E5EFF8"/>
          </w:tcPr>
          <w:p>
            <w:pPr>
              <w:spacing w:after="0"/>
              <w:rPr>
                <w:sz w:val="19"/>
                <w:szCs w:val="19"/>
                <w:color w:val="auto"/>
              </w:rPr>
            </w:pPr>
          </w:p>
        </w:tc>
        <w:tc>
          <w:tcPr>
            <w:tcW w:w="120" w:type="dxa"/>
            <w:vAlign w:val="bottom"/>
            <w:shd w:val="clear" w:color="auto" w:fill="E5EFF8"/>
          </w:tcPr>
          <w:p>
            <w:pPr>
              <w:spacing w:after="0"/>
              <w:rPr>
                <w:sz w:val="19"/>
                <w:szCs w:val="19"/>
                <w:color w:val="auto"/>
              </w:rPr>
            </w:pPr>
          </w:p>
        </w:tc>
        <w:tc>
          <w:tcPr>
            <w:tcW w:w="80" w:type="dxa"/>
            <w:vAlign w:val="bottom"/>
            <w:shd w:val="clear" w:color="auto" w:fill="E5EFF8"/>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shd w:val="clear" w:color="auto" w:fill="E5EFF8"/>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shd w:val="clear" w:color="auto" w:fill="E5EFF8"/>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shd w:val="clear" w:color="auto" w:fill="E5EFF8"/>
          </w:tcPr>
          <w:p>
            <w:pPr>
              <w:ind w:left="120"/>
              <w:spacing w:after="0"/>
              <w:rPr>
                <w:sz w:val="20"/>
                <w:szCs w:val="20"/>
                <w:color w:val="auto"/>
              </w:rPr>
            </w:pPr>
            <w:r>
              <w:rPr>
                <w:rFonts w:ascii="Arial" w:cs="Arial" w:eastAsia="Arial" w:hAnsi="Arial"/>
                <w:sz w:val="19"/>
                <w:szCs w:val="19"/>
                <w:color w:val="auto"/>
              </w:rPr>
              <w:t>per Share**</w:t>
            </w:r>
          </w:p>
        </w:tc>
        <w:tc>
          <w:tcPr>
            <w:tcW w:w="100" w:type="dxa"/>
            <w:vAlign w:val="bottom"/>
          </w:tcPr>
          <w:p>
            <w:pPr>
              <w:spacing w:after="0"/>
              <w:rPr>
                <w:sz w:val="19"/>
                <w:szCs w:val="19"/>
                <w:color w:val="auto"/>
              </w:rPr>
            </w:pPr>
          </w:p>
        </w:tc>
        <w:tc>
          <w:tcPr>
            <w:tcW w:w="2020" w:type="dxa"/>
            <w:vAlign w:val="bottom"/>
            <w:shd w:val="clear" w:color="auto" w:fill="E5EFF8"/>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1700" w:type="dxa"/>
            <w:vAlign w:val="bottom"/>
            <w:shd w:val="clear" w:color="auto" w:fill="E5EFF8"/>
          </w:tcPr>
          <w:p>
            <w:pPr>
              <w:spacing w:after="0"/>
              <w:rPr>
                <w:sz w:val="8"/>
                <w:szCs w:val="8"/>
                <w:color w:val="auto"/>
              </w:rPr>
            </w:pPr>
          </w:p>
        </w:tc>
        <w:tc>
          <w:tcPr>
            <w:tcW w:w="120" w:type="dxa"/>
            <w:vAlign w:val="bottom"/>
            <w:shd w:val="clear" w:color="auto" w:fill="E5EFF8"/>
          </w:tcPr>
          <w:p>
            <w:pPr>
              <w:spacing w:after="0"/>
              <w:rPr>
                <w:sz w:val="8"/>
                <w:szCs w:val="8"/>
                <w:color w:val="auto"/>
              </w:rPr>
            </w:pPr>
          </w:p>
        </w:tc>
        <w:tc>
          <w:tcPr>
            <w:tcW w:w="80" w:type="dxa"/>
            <w:vAlign w:val="bottom"/>
            <w:shd w:val="clear" w:color="auto" w:fill="E5EFF8"/>
          </w:tcPr>
          <w:p>
            <w:pPr>
              <w:spacing w:after="0"/>
              <w:rPr>
                <w:sz w:val="8"/>
                <w:szCs w:val="8"/>
                <w:color w:val="auto"/>
              </w:rPr>
            </w:pPr>
          </w:p>
        </w:tc>
        <w:tc>
          <w:tcPr>
            <w:tcW w:w="120" w:type="dxa"/>
            <w:vAlign w:val="bottom"/>
          </w:tcPr>
          <w:p>
            <w:pPr>
              <w:spacing w:after="0"/>
              <w:rPr>
                <w:sz w:val="8"/>
                <w:szCs w:val="8"/>
                <w:color w:val="auto"/>
              </w:rPr>
            </w:pPr>
          </w:p>
        </w:tc>
        <w:tc>
          <w:tcPr>
            <w:tcW w:w="2120" w:type="dxa"/>
            <w:vAlign w:val="bottom"/>
            <w:shd w:val="clear" w:color="auto" w:fill="E5EFF8"/>
          </w:tcPr>
          <w:p>
            <w:pPr>
              <w:spacing w:after="0"/>
              <w:rPr>
                <w:sz w:val="8"/>
                <w:szCs w:val="8"/>
                <w:color w:val="auto"/>
              </w:rPr>
            </w:pPr>
          </w:p>
        </w:tc>
        <w:tc>
          <w:tcPr>
            <w:tcW w:w="120" w:type="dxa"/>
            <w:vAlign w:val="bottom"/>
          </w:tcPr>
          <w:p>
            <w:pPr>
              <w:spacing w:after="0"/>
              <w:rPr>
                <w:sz w:val="8"/>
                <w:szCs w:val="8"/>
                <w:color w:val="auto"/>
              </w:rPr>
            </w:pPr>
          </w:p>
        </w:tc>
        <w:tc>
          <w:tcPr>
            <w:tcW w:w="2120" w:type="dxa"/>
            <w:vAlign w:val="bottom"/>
            <w:shd w:val="clear" w:color="auto" w:fill="E5EFF8"/>
          </w:tcPr>
          <w:p>
            <w:pPr>
              <w:spacing w:after="0"/>
              <w:rPr>
                <w:sz w:val="8"/>
                <w:szCs w:val="8"/>
                <w:color w:val="auto"/>
              </w:rPr>
            </w:pPr>
          </w:p>
        </w:tc>
        <w:tc>
          <w:tcPr>
            <w:tcW w:w="100" w:type="dxa"/>
            <w:vAlign w:val="bottom"/>
          </w:tcPr>
          <w:p>
            <w:pPr>
              <w:spacing w:after="0"/>
              <w:rPr>
                <w:sz w:val="8"/>
                <w:szCs w:val="8"/>
                <w:color w:val="auto"/>
              </w:rPr>
            </w:pPr>
          </w:p>
        </w:tc>
        <w:tc>
          <w:tcPr>
            <w:tcW w:w="2020" w:type="dxa"/>
            <w:vAlign w:val="bottom"/>
            <w:shd w:val="clear" w:color="auto" w:fill="E5EFF8"/>
          </w:tcPr>
          <w:p>
            <w:pPr>
              <w:spacing w:after="0"/>
              <w:rPr>
                <w:sz w:val="8"/>
                <w:szCs w:val="8"/>
                <w:color w:val="auto"/>
              </w:rPr>
            </w:pPr>
          </w:p>
        </w:tc>
        <w:tc>
          <w:tcPr>
            <w:tcW w:w="100" w:type="dxa"/>
            <w:vAlign w:val="bottom"/>
          </w:tcPr>
          <w:p>
            <w:pPr>
              <w:spacing w:after="0"/>
              <w:rPr>
                <w:sz w:val="8"/>
                <w:szCs w:val="8"/>
                <w:color w:val="auto"/>
              </w:rPr>
            </w:pPr>
          </w:p>
        </w:tc>
        <w:tc>
          <w:tcPr>
            <w:tcW w:w="2020" w:type="dxa"/>
            <w:vAlign w:val="bottom"/>
            <w:shd w:val="clear" w:color="auto" w:fill="E5EFF8"/>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520" w:right="200" w:hanging="204"/>
        <w:spacing w:after="0"/>
        <w:tabs>
          <w:tab w:leader="none" w:pos="520" w:val="left"/>
        </w:tabs>
        <w:numPr>
          <w:ilvl w:val="0"/>
          <w:numId w:val="8"/>
        </w:numPr>
        <w:rPr>
          <w:rFonts w:ascii="Arial" w:cs="Arial" w:eastAsia="Arial" w:hAnsi="Arial"/>
          <w:sz w:val="13"/>
          <w:szCs w:val="13"/>
          <w:i w:val="1"/>
          <w:iCs w:val="1"/>
          <w:color w:val="auto"/>
        </w:rPr>
      </w:pPr>
      <w:r>
        <w:rPr>
          <w:rFonts w:ascii="Arial" w:cs="Arial" w:eastAsia="Arial" w:hAnsi="Arial"/>
          <w:sz w:val="13"/>
          <w:szCs w:val="13"/>
          <w:i w:val="1"/>
          <w:iCs w:val="1"/>
          <w:color w:val="auto"/>
        </w:rPr>
        <w:t>The fiscal 2021 financial results in this proxy statement include the financial results of Maxim Integrated prospectively from the closing date of the Maxim Integrated acquisition, or Acquisition Date.</w:t>
      </w:r>
    </w:p>
    <w:p>
      <w:pPr>
        <w:spacing w:after="0" w:line="1" w:lineRule="exact"/>
        <w:rPr>
          <w:sz w:val="20"/>
          <w:szCs w:val="20"/>
          <w:color w:val="auto"/>
        </w:rPr>
      </w:pPr>
    </w:p>
    <w:p>
      <w:pPr>
        <w:ind w:left="520" w:right="120" w:hanging="204"/>
        <w:spacing w:after="0" w:line="239" w:lineRule="auto"/>
        <w:tabs>
          <w:tab w:leader="none" w:pos="52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See Additional Information for additional information regarding non-GAAP financial measures and reconciliations of non-GAAP financial measures to their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141605</wp:posOffset>
            </wp:positionV>
            <wp:extent cx="6740525" cy="2146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40525" cy="214630"/>
                    </a:xfrm>
                    <a:prstGeom prst="rect">
                      <a:avLst/>
                    </a:prstGeom>
                    <a:noFill/>
                  </pic:spPr>
                </pic:pic>
              </a:graphicData>
            </a:graphic>
          </wp:anchor>
        </w:drawing>
      </w:r>
    </w:p>
    <w:p>
      <w:pPr>
        <w:spacing w:after="0" w:line="241"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Fiscal 2021 Shareholder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3711575</wp:posOffset>
            </wp:positionH>
            <wp:positionV relativeFrom="paragraph">
              <wp:posOffset>-120650</wp:posOffset>
            </wp:positionV>
            <wp:extent cx="3230245" cy="1733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30245" cy="173355"/>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200660</wp:posOffset>
            </wp:positionV>
            <wp:extent cx="454660" cy="2806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54660" cy="280670"/>
                    </a:xfrm>
                    <a:prstGeom prst="rect">
                      <a:avLst/>
                    </a:prstGeom>
                    <a:noFill/>
                  </pic:spPr>
                </pic:pic>
              </a:graphicData>
            </a:graphic>
          </wp:anchor>
        </w:drawing>
        <w:drawing>
          <wp:anchor simplePos="0" relativeHeight="251657728" behindDoc="1" locked="0" layoutInCell="0" allowOverlap="1">
            <wp:simplePos x="0" y="0"/>
            <wp:positionH relativeFrom="column">
              <wp:posOffset>3158490</wp:posOffset>
            </wp:positionH>
            <wp:positionV relativeFrom="paragraph">
              <wp:posOffset>126365</wp:posOffset>
            </wp:positionV>
            <wp:extent cx="371475" cy="3549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71475" cy="354965"/>
                    </a:xfrm>
                    <a:prstGeom prst="rect">
                      <a:avLst/>
                    </a:prstGeom>
                    <a:noFill/>
                  </pic:spPr>
                </pic:pic>
              </a:graphicData>
            </a:graphic>
          </wp:anchor>
        </w:drawing>
        <w:drawing>
          <wp:anchor simplePos="0" relativeHeight="251657728" behindDoc="1" locked="0" layoutInCell="0" allowOverlap="1">
            <wp:simplePos x="0" y="0"/>
            <wp:positionH relativeFrom="column">
              <wp:posOffset>5479415</wp:posOffset>
            </wp:positionH>
            <wp:positionV relativeFrom="paragraph">
              <wp:posOffset>126365</wp:posOffset>
            </wp:positionV>
            <wp:extent cx="363220" cy="3549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63220" cy="354965"/>
                    </a:xfrm>
                    <a:prstGeom prst="rect">
                      <a:avLst/>
                    </a:prstGeom>
                    <a:noFill/>
                  </pic:spPr>
                </pic:pic>
              </a:graphicData>
            </a:graphic>
          </wp:anchor>
        </w:drawing>
      </w:r>
    </w:p>
    <w:p>
      <w:pPr>
        <w:sectPr>
          <w:pgSz w:w="11900" w:h="16838" w:orient="portrait"/>
          <w:cols w:equalWidth="0" w:num="1">
            <w:col w:w="10940"/>
          </w:cols>
          <w:pgMar w:left="320" w:top="447"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Returned $3.7B to shareholders</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the form of dividends and</w:t>
      </w:r>
    </w:p>
    <w:p>
      <w:pPr>
        <w:spacing w:after="0" w:line="1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share repurchases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Increased our dividends per</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share paid to shareholders by</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11% on an annualized basis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1-, 3- and 5-year TSR</w:t>
      </w:r>
      <w:r>
        <w:rPr>
          <w:rFonts w:ascii="Arial" w:cs="Arial" w:eastAsia="Arial" w:hAnsi="Arial"/>
          <w:sz w:val="14"/>
          <w:szCs w:val="14"/>
          <w:color w:val="auto"/>
        </w:rPr>
        <w:t>1</w:t>
      </w:r>
      <w:r>
        <w:rPr>
          <w:rFonts w:ascii="Arial" w:cs="Arial" w:eastAsia="Arial" w:hAnsi="Arial"/>
          <w:sz w:val="17"/>
          <w:szCs w:val="17"/>
          <w:color w:val="auto"/>
        </w:rPr>
        <w:t xml:space="preserve"> of 49%, 111% and 202%, respectively, which outperformed the S&amp;P 500</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over the same periods</w:t>
      </w:r>
    </w:p>
    <w:p>
      <w:pPr>
        <w:spacing w:after="0" w:line="115" w:lineRule="exact"/>
        <w:rPr>
          <w:sz w:val="20"/>
          <w:szCs w:val="20"/>
          <w:color w:val="auto"/>
        </w:rPr>
      </w:pPr>
    </w:p>
    <w:p>
      <w:pPr>
        <w:sectPr>
          <w:pgSz w:w="11900" w:h="16838" w:orient="portrait"/>
          <w:cols w:equalWidth="0" w:num="3">
            <w:col w:w="4260" w:space="720"/>
            <w:col w:w="2920" w:space="720"/>
            <w:col w:w="2320"/>
          </w:cols>
          <w:pgMar w:left="320" w:top="447" w:right="639" w:bottom="1440" w:gutter="0" w:footer="0" w:header="0"/>
          <w:type w:val="continuous"/>
        </w:sectPr>
      </w:pPr>
    </w:p>
    <w:p>
      <w:pPr>
        <w:ind w:left="520" w:right="80" w:hanging="204"/>
        <w:spacing w:after="0" w:line="262" w:lineRule="auto"/>
        <w:tabs>
          <w:tab w:leader="none" w:pos="520"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Total Shareholder Return calculation is share price appreciation plus cumulative cash dividend payments, and the effect of reinvesting those dividends into the security, for the one-, three- and five-year periods ended October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6801485</wp:posOffset>
            </wp:positionH>
            <wp:positionV relativeFrom="paragraph">
              <wp:posOffset>74930</wp:posOffset>
            </wp:positionV>
            <wp:extent cx="140335" cy="925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0335" cy="925195"/>
                    </a:xfrm>
                    <a:prstGeom prst="rect">
                      <a:avLst/>
                    </a:prstGeom>
                    <a:noFill/>
                  </pic:spPr>
                </pic:pic>
              </a:graphicData>
            </a:graphic>
          </wp:anchor>
        </w:drawing>
      </w:r>
    </w:p>
    <w:p>
      <w:pPr>
        <w:sectPr>
          <w:pgSz w:w="11900" w:h="16838" w:orient="portrait"/>
          <w:cols w:equalWidth="0" w:num="1">
            <w:col w:w="10940"/>
          </w:cols>
          <w:pgMar w:left="320" w:top="447"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84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940"/>
          </w:cols>
          <w:pgMar w:left="320" w:top="447" w:right="639" w:bottom="1440" w:gutter="0" w:footer="0" w:header="0"/>
          <w:type w:val="continuous"/>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20"/>
        <w:spacing w:after="0"/>
        <w:rPr>
          <w:sz w:val="20"/>
          <w:szCs w:val="20"/>
          <w:color w:val="auto"/>
        </w:rPr>
      </w:pPr>
      <w:r>
        <w:rPr>
          <w:rFonts w:ascii="Arial" w:cs="Arial" w:eastAsia="Arial" w:hAnsi="Arial"/>
          <w:sz w:val="45"/>
          <w:szCs w:val="45"/>
          <w:color w:val="auto"/>
        </w:rPr>
        <w:t>GOVERNANCE HIGHLIGHTS</w:t>
      </w:r>
    </w:p>
    <w:p>
      <w:pPr>
        <w:spacing w:after="0" w:line="200" w:lineRule="exact"/>
        <w:rPr>
          <w:sz w:val="20"/>
          <w:szCs w:val="20"/>
          <w:color w:val="auto"/>
        </w:rPr>
      </w:pPr>
    </w:p>
    <w:p>
      <w:pPr>
        <w:spacing w:after="0" w:line="201" w:lineRule="exact"/>
        <w:rPr>
          <w:sz w:val="20"/>
          <w:szCs w:val="20"/>
          <w:color w:val="auto"/>
        </w:rPr>
      </w:pPr>
    </w:p>
    <w:p>
      <w:pPr>
        <w:ind w:left="320" w:right="40"/>
        <w:spacing w:after="0" w:line="281" w:lineRule="auto"/>
        <w:rPr>
          <w:sz w:val="20"/>
          <w:szCs w:val="20"/>
          <w:color w:val="auto"/>
        </w:rPr>
      </w:pPr>
      <w:r>
        <w:rPr>
          <w:rFonts w:ascii="Arial" w:cs="Arial" w:eastAsia="Arial" w:hAnsi="Arial"/>
          <w:sz w:val="16"/>
          <w:szCs w:val="16"/>
          <w:color w:val="auto"/>
        </w:rPr>
        <w:t>ADI’s Board is composed of a diverse, experienced group of global thought, business, and academic leaders. Tunç Doluca and Mercedes Johnson joined ADI’s Board on August 26, 2021 in connection with our acquisition of Maxim Integrated. On January 18, 2022, Dr. Little informed our Nominating and Corporate Governance Committee of his intent to retire from our Board and not stand for re-election. Consequently, Dr. Little’s term as a director will expire at the Annual Meeting on March 9, 2022. Our Nominating and Corporate Governance Committee has recommended, and our Board of Directors has determined, to nominate all other members of our Board for re-election at the Annual Meeting. If the current nominees are elected we will have 12 members serving on our Board and the size of our Board will decrease to 12 members at such time.</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0066BA"/>
        </w:rPr>
        <w:t>Director Nominees</w:t>
      </w:r>
    </w:p>
    <w:p>
      <w:pPr>
        <w:spacing w:after="0" w:line="150"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2880" w:type="dxa"/>
            <w:vAlign w:val="bottom"/>
            <w:shd w:val="clear" w:color="auto" w:fill="0066BA"/>
          </w:tcPr>
          <w:p>
            <w:pPr>
              <w:spacing w:after="0"/>
              <w:rPr>
                <w:sz w:val="18"/>
                <w:szCs w:val="18"/>
                <w:color w:val="auto"/>
              </w:rPr>
            </w:pPr>
          </w:p>
        </w:tc>
        <w:tc>
          <w:tcPr>
            <w:tcW w:w="300" w:type="dxa"/>
            <w:vAlign w:val="bottom"/>
            <w:shd w:val="clear" w:color="auto" w:fill="0066BA"/>
          </w:tcPr>
          <w:p>
            <w:pPr>
              <w:spacing w:after="0"/>
              <w:rPr>
                <w:sz w:val="18"/>
                <w:szCs w:val="18"/>
                <w:color w:val="auto"/>
              </w:rPr>
            </w:pPr>
          </w:p>
        </w:tc>
        <w:tc>
          <w:tcPr>
            <w:tcW w:w="600" w:type="dxa"/>
            <w:vAlign w:val="bottom"/>
            <w:shd w:val="clear" w:color="auto" w:fill="0066BA"/>
          </w:tcPr>
          <w:p>
            <w:pPr>
              <w:spacing w:after="0"/>
              <w:rPr>
                <w:sz w:val="18"/>
                <w:szCs w:val="18"/>
                <w:color w:val="auto"/>
              </w:rPr>
            </w:pPr>
          </w:p>
        </w:tc>
        <w:tc>
          <w:tcPr>
            <w:tcW w:w="4280" w:type="dxa"/>
            <w:vAlign w:val="bottom"/>
            <w:shd w:val="clear" w:color="auto" w:fill="0066BA"/>
          </w:tcPr>
          <w:p>
            <w:pPr>
              <w:spacing w:after="0"/>
              <w:rPr>
                <w:sz w:val="18"/>
                <w:szCs w:val="18"/>
                <w:color w:val="auto"/>
              </w:rPr>
            </w:pPr>
          </w:p>
        </w:tc>
        <w:tc>
          <w:tcPr>
            <w:tcW w:w="880" w:type="dxa"/>
            <w:vAlign w:val="bottom"/>
            <w:shd w:val="clear" w:color="auto" w:fill="0066BA"/>
          </w:tcPr>
          <w:p>
            <w:pPr>
              <w:spacing w:after="0"/>
              <w:rPr>
                <w:sz w:val="18"/>
                <w:szCs w:val="18"/>
                <w:color w:val="auto"/>
              </w:rPr>
            </w:pPr>
          </w:p>
        </w:tc>
        <w:tc>
          <w:tcPr>
            <w:tcW w:w="700" w:type="dxa"/>
            <w:vAlign w:val="bottom"/>
            <w:shd w:val="clear" w:color="auto" w:fill="0066BA"/>
          </w:tcPr>
          <w:p>
            <w:pPr>
              <w:ind w:left="40"/>
              <w:spacing w:after="0"/>
              <w:rPr>
                <w:sz w:val="20"/>
                <w:szCs w:val="20"/>
                <w:color w:val="auto"/>
              </w:rPr>
            </w:pPr>
            <w:r>
              <w:rPr>
                <w:rFonts w:ascii="Arial" w:cs="Arial" w:eastAsia="Arial" w:hAnsi="Arial"/>
                <w:sz w:val="16"/>
                <w:szCs w:val="16"/>
                <w:b w:val="1"/>
                <w:bCs w:val="1"/>
                <w:color w:val="FFFFFF"/>
              </w:rPr>
              <w:t>Other</w:t>
            </w:r>
          </w:p>
        </w:tc>
        <w:tc>
          <w:tcPr>
            <w:tcW w:w="980" w:type="dxa"/>
            <w:vAlign w:val="bottom"/>
            <w:shd w:val="clear" w:color="auto" w:fill="0066BA"/>
          </w:tcPr>
          <w:p>
            <w:pPr>
              <w:ind w:left="40"/>
              <w:spacing w:after="0"/>
              <w:rPr>
                <w:sz w:val="20"/>
                <w:szCs w:val="20"/>
                <w:color w:val="auto"/>
              </w:rPr>
            </w:pPr>
            <w:r>
              <w:rPr>
                <w:rFonts w:ascii="Arial" w:cs="Arial" w:eastAsia="Arial" w:hAnsi="Arial"/>
                <w:sz w:val="16"/>
                <w:szCs w:val="16"/>
                <w:b w:val="1"/>
                <w:bCs w:val="1"/>
                <w:color w:val="FFFFFF"/>
              </w:rPr>
              <w:t>Committee</w:t>
            </w:r>
          </w:p>
        </w:tc>
        <w:tc>
          <w:tcPr>
            <w:tcW w:w="0" w:type="dxa"/>
            <w:vAlign w:val="bottom"/>
          </w:tcPr>
          <w:p>
            <w:pPr>
              <w:spacing w:after="0"/>
              <w:rPr>
                <w:sz w:val="1"/>
                <w:szCs w:val="1"/>
                <w:color w:val="auto"/>
              </w:rPr>
            </w:pPr>
          </w:p>
        </w:tc>
      </w:tr>
      <w:tr>
        <w:trPr>
          <w:trHeight w:val="195"/>
        </w:trPr>
        <w:tc>
          <w:tcPr>
            <w:tcW w:w="2880" w:type="dxa"/>
            <w:vAlign w:val="bottom"/>
            <w:shd w:val="clear" w:color="auto" w:fill="0066BA"/>
          </w:tcPr>
          <w:p>
            <w:pPr>
              <w:spacing w:after="0"/>
              <w:rPr>
                <w:sz w:val="16"/>
                <w:szCs w:val="16"/>
                <w:color w:val="auto"/>
              </w:rPr>
            </w:pPr>
          </w:p>
        </w:tc>
        <w:tc>
          <w:tcPr>
            <w:tcW w:w="300" w:type="dxa"/>
            <w:vAlign w:val="bottom"/>
            <w:shd w:val="clear" w:color="auto" w:fill="0066BA"/>
          </w:tcPr>
          <w:p>
            <w:pPr>
              <w:spacing w:after="0"/>
              <w:rPr>
                <w:sz w:val="16"/>
                <w:szCs w:val="16"/>
                <w:color w:val="auto"/>
              </w:rPr>
            </w:pPr>
          </w:p>
        </w:tc>
        <w:tc>
          <w:tcPr>
            <w:tcW w:w="4880" w:type="dxa"/>
            <w:vAlign w:val="bottom"/>
            <w:gridSpan w:val="2"/>
            <w:shd w:val="clear" w:color="auto" w:fill="0066BA"/>
          </w:tcPr>
          <w:p>
            <w:pPr>
              <w:ind w:left="20"/>
              <w:spacing w:after="0"/>
              <w:rPr>
                <w:sz w:val="20"/>
                <w:szCs w:val="20"/>
                <w:color w:val="auto"/>
              </w:rPr>
            </w:pPr>
            <w:r>
              <w:rPr>
                <w:rFonts w:ascii="Arial" w:cs="Arial" w:eastAsia="Arial" w:hAnsi="Arial"/>
                <w:sz w:val="16"/>
                <w:szCs w:val="16"/>
                <w:b w:val="1"/>
                <w:bCs w:val="1"/>
                <w:color w:val="FFFFFF"/>
              </w:rPr>
              <w:t>Director Principal</w:t>
            </w:r>
          </w:p>
        </w:tc>
        <w:tc>
          <w:tcPr>
            <w:tcW w:w="2560" w:type="dxa"/>
            <w:vAlign w:val="bottom"/>
            <w:gridSpan w:val="3"/>
            <w:shd w:val="clear" w:color="auto" w:fill="0066BA"/>
          </w:tcPr>
          <w:p>
            <w:pPr>
              <w:ind w:left="40"/>
              <w:spacing w:after="0"/>
              <w:rPr>
                <w:sz w:val="20"/>
                <w:szCs w:val="20"/>
                <w:color w:val="auto"/>
              </w:rPr>
            </w:pPr>
            <w:r>
              <w:rPr>
                <w:rFonts w:ascii="Arial" w:cs="Arial" w:eastAsia="Arial" w:hAnsi="Arial"/>
                <w:sz w:val="16"/>
                <w:szCs w:val="16"/>
                <w:b w:val="1"/>
                <w:bCs w:val="1"/>
                <w:color w:val="FFFFFF"/>
              </w:rPr>
              <w:t>Independent Company Member-</w:t>
            </w:r>
          </w:p>
        </w:tc>
        <w:tc>
          <w:tcPr>
            <w:tcW w:w="0" w:type="dxa"/>
            <w:vAlign w:val="bottom"/>
          </w:tcPr>
          <w:p>
            <w:pPr>
              <w:spacing w:after="0"/>
              <w:rPr>
                <w:sz w:val="1"/>
                <w:szCs w:val="1"/>
                <w:color w:val="auto"/>
              </w:rPr>
            </w:pPr>
          </w:p>
        </w:tc>
      </w:tr>
      <w:tr>
        <w:trPr>
          <w:trHeight w:val="254"/>
        </w:trPr>
        <w:tc>
          <w:tcPr>
            <w:tcW w:w="2880" w:type="dxa"/>
            <w:vAlign w:val="bottom"/>
            <w:tcBorders>
              <w:bottom w:val="single" w:sz="8" w:color="0066BA"/>
            </w:tcBorders>
            <w:shd w:val="clear" w:color="auto" w:fill="0066BA"/>
          </w:tcPr>
          <w:p>
            <w:pPr>
              <w:ind w:left="60"/>
              <w:spacing w:after="0"/>
              <w:rPr>
                <w:sz w:val="20"/>
                <w:szCs w:val="20"/>
                <w:color w:val="auto"/>
              </w:rPr>
            </w:pPr>
            <w:r>
              <w:rPr>
                <w:rFonts w:ascii="Arial" w:cs="Arial" w:eastAsia="Arial" w:hAnsi="Arial"/>
                <w:sz w:val="16"/>
                <w:szCs w:val="16"/>
                <w:b w:val="1"/>
                <w:bCs w:val="1"/>
                <w:color w:val="FFFFFF"/>
              </w:rPr>
              <w:t>Name</w:t>
            </w:r>
          </w:p>
        </w:tc>
        <w:tc>
          <w:tcPr>
            <w:tcW w:w="900" w:type="dxa"/>
            <w:vAlign w:val="bottom"/>
            <w:tcBorders>
              <w:bottom w:val="single" w:sz="8" w:color="0066BA"/>
            </w:tcBorders>
            <w:gridSpan w:val="2"/>
            <w:shd w:val="clear" w:color="auto" w:fill="0066BA"/>
          </w:tcPr>
          <w:p>
            <w:pPr>
              <w:jc w:val="right"/>
              <w:ind w:right="142"/>
              <w:spacing w:after="0"/>
              <w:rPr>
                <w:sz w:val="20"/>
                <w:szCs w:val="20"/>
                <w:color w:val="auto"/>
              </w:rPr>
            </w:pPr>
            <w:r>
              <w:rPr>
                <w:rFonts w:ascii="Arial" w:cs="Arial" w:eastAsia="Arial" w:hAnsi="Arial"/>
                <w:sz w:val="16"/>
                <w:szCs w:val="16"/>
                <w:b w:val="1"/>
                <w:bCs w:val="1"/>
                <w:color w:val="FFFFFF"/>
                <w:w w:val="85"/>
              </w:rPr>
              <w:t>Age Since</w:t>
            </w:r>
          </w:p>
        </w:tc>
        <w:tc>
          <w:tcPr>
            <w:tcW w:w="4280" w:type="dxa"/>
            <w:vAlign w:val="bottom"/>
            <w:tcBorders>
              <w:bottom w:val="single" w:sz="8" w:color="0066BA"/>
            </w:tcBorders>
            <w:shd w:val="clear" w:color="auto" w:fill="0066BA"/>
          </w:tcPr>
          <w:p>
            <w:pPr>
              <w:ind w:left="40"/>
              <w:spacing w:after="0"/>
              <w:rPr>
                <w:sz w:val="20"/>
                <w:szCs w:val="20"/>
                <w:color w:val="auto"/>
              </w:rPr>
            </w:pPr>
            <w:r>
              <w:rPr>
                <w:rFonts w:ascii="Arial" w:cs="Arial" w:eastAsia="Arial" w:hAnsi="Arial"/>
                <w:sz w:val="16"/>
                <w:szCs w:val="16"/>
                <w:b w:val="1"/>
                <w:bCs w:val="1"/>
                <w:color w:val="FFFFFF"/>
              </w:rPr>
              <w:t>Occupation</w:t>
            </w:r>
          </w:p>
        </w:tc>
        <w:tc>
          <w:tcPr>
            <w:tcW w:w="880" w:type="dxa"/>
            <w:vAlign w:val="bottom"/>
            <w:tcBorders>
              <w:bottom w:val="single" w:sz="8" w:color="0066BA"/>
            </w:tcBorders>
            <w:shd w:val="clear" w:color="auto" w:fill="0066BA"/>
          </w:tcPr>
          <w:p>
            <w:pPr>
              <w:ind w:left="40"/>
              <w:spacing w:after="0"/>
              <w:rPr>
                <w:sz w:val="20"/>
                <w:szCs w:val="20"/>
                <w:color w:val="auto"/>
              </w:rPr>
            </w:pPr>
            <w:r>
              <w:rPr>
                <w:rFonts w:ascii="Arial" w:cs="Arial" w:eastAsia="Arial" w:hAnsi="Arial"/>
                <w:sz w:val="16"/>
                <w:szCs w:val="16"/>
                <w:b w:val="1"/>
                <w:bCs w:val="1"/>
                <w:color w:val="FFFFFF"/>
              </w:rPr>
              <w:t>Director</w:t>
            </w:r>
          </w:p>
        </w:tc>
        <w:tc>
          <w:tcPr>
            <w:tcW w:w="700" w:type="dxa"/>
            <w:vAlign w:val="bottom"/>
            <w:tcBorders>
              <w:bottom w:val="single" w:sz="8" w:color="0066BA"/>
            </w:tcBorders>
            <w:shd w:val="clear" w:color="auto" w:fill="0066BA"/>
          </w:tcPr>
          <w:p>
            <w:pPr>
              <w:ind w:left="40"/>
              <w:spacing w:after="0"/>
              <w:rPr>
                <w:sz w:val="20"/>
                <w:szCs w:val="20"/>
                <w:color w:val="auto"/>
              </w:rPr>
            </w:pPr>
            <w:r>
              <w:rPr>
                <w:rFonts w:ascii="Arial" w:cs="Arial" w:eastAsia="Arial" w:hAnsi="Arial"/>
                <w:sz w:val="16"/>
                <w:szCs w:val="16"/>
                <w:b w:val="1"/>
                <w:bCs w:val="1"/>
                <w:color w:val="FFFFFF"/>
                <w:w w:val="97"/>
              </w:rPr>
              <w:t>Board(s)</w:t>
            </w:r>
          </w:p>
        </w:tc>
        <w:tc>
          <w:tcPr>
            <w:tcW w:w="980" w:type="dxa"/>
            <w:vAlign w:val="bottom"/>
            <w:tcBorders>
              <w:bottom w:val="single" w:sz="8" w:color="0066BA"/>
            </w:tcBorders>
            <w:shd w:val="clear" w:color="auto" w:fill="0066BA"/>
          </w:tcPr>
          <w:p>
            <w:pPr>
              <w:ind w:left="40"/>
              <w:spacing w:after="0"/>
              <w:rPr>
                <w:sz w:val="20"/>
                <w:szCs w:val="20"/>
                <w:color w:val="auto"/>
              </w:rPr>
            </w:pPr>
            <w:r>
              <w:rPr>
                <w:rFonts w:ascii="Arial" w:cs="Arial" w:eastAsia="Arial" w:hAnsi="Arial"/>
                <w:sz w:val="16"/>
                <w:szCs w:val="16"/>
                <w:b w:val="1"/>
                <w:bCs w:val="1"/>
                <w:color w:val="FFFFFF"/>
              </w:rPr>
              <w:t>ship(s)</w:t>
            </w:r>
          </w:p>
        </w:tc>
        <w:tc>
          <w:tcPr>
            <w:tcW w:w="0" w:type="dxa"/>
            <w:vAlign w:val="bottom"/>
          </w:tcPr>
          <w:p>
            <w:pPr>
              <w:spacing w:after="0"/>
              <w:rPr>
                <w:sz w:val="1"/>
                <w:szCs w:val="1"/>
                <w:color w:val="auto"/>
              </w:rPr>
            </w:pPr>
          </w:p>
        </w:tc>
      </w:tr>
      <w:tr>
        <w:trPr>
          <w:trHeight w:val="328"/>
        </w:trPr>
        <w:tc>
          <w:tcPr>
            <w:tcW w:w="2880" w:type="dxa"/>
            <w:vAlign w:val="bottom"/>
            <w:vMerge w:val="restart"/>
          </w:tcPr>
          <w:p>
            <w:pPr>
              <w:ind w:left="940"/>
              <w:spacing w:after="0"/>
              <w:rPr>
                <w:sz w:val="20"/>
                <w:szCs w:val="20"/>
                <w:color w:val="auto"/>
              </w:rPr>
            </w:pPr>
            <w:r>
              <w:rPr>
                <w:rFonts w:ascii="Arial" w:cs="Arial" w:eastAsia="Arial" w:hAnsi="Arial"/>
                <w:sz w:val="16"/>
                <w:szCs w:val="16"/>
                <w:b w:val="1"/>
                <w:bCs w:val="1"/>
                <w:color w:val="0066BA"/>
              </w:rPr>
              <w:t>Ray Stata</w:t>
            </w:r>
          </w:p>
        </w:tc>
        <w:tc>
          <w:tcPr>
            <w:tcW w:w="30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87</w:t>
            </w:r>
          </w:p>
        </w:tc>
        <w:tc>
          <w:tcPr>
            <w:tcW w:w="600" w:type="dxa"/>
            <w:vAlign w:val="bottom"/>
            <w:vMerge w:val="restart"/>
          </w:tcPr>
          <w:p>
            <w:pPr>
              <w:jc w:val="right"/>
              <w:ind w:right="42"/>
              <w:spacing w:after="0"/>
              <w:rPr>
                <w:sz w:val="20"/>
                <w:szCs w:val="20"/>
                <w:color w:val="auto"/>
              </w:rPr>
            </w:pPr>
            <w:r>
              <w:rPr>
                <w:rFonts w:ascii="Arial" w:cs="Arial" w:eastAsia="Arial" w:hAnsi="Arial"/>
                <w:sz w:val="16"/>
                <w:szCs w:val="16"/>
                <w:color w:val="auto"/>
              </w:rPr>
              <w:t>1965</w:t>
            </w:r>
          </w:p>
        </w:tc>
        <w:tc>
          <w:tcPr>
            <w:tcW w:w="4280" w:type="dxa"/>
            <w:vAlign w:val="bottom"/>
            <w:shd w:val="clear" w:color="auto" w:fill="EAEAEA"/>
          </w:tcPr>
          <w:p>
            <w:pPr>
              <w:ind w:left="40"/>
              <w:spacing w:after="0"/>
              <w:rPr>
                <w:sz w:val="20"/>
                <w:szCs w:val="20"/>
                <w:color w:val="auto"/>
              </w:rPr>
            </w:pPr>
            <w:r>
              <w:rPr>
                <w:rFonts w:ascii="Arial" w:cs="Arial" w:eastAsia="Arial" w:hAnsi="Arial"/>
                <w:sz w:val="16"/>
                <w:szCs w:val="16"/>
                <w:color w:val="auto"/>
              </w:rPr>
              <w:t>Outgoing Chair of the Board</w:t>
            </w:r>
          </w:p>
        </w:tc>
        <w:tc>
          <w:tcPr>
            <w:tcW w:w="880" w:type="dxa"/>
            <w:vAlign w:val="bottom"/>
            <w:vMerge w:val="restart"/>
          </w:tcPr>
          <w:p>
            <w:pPr>
              <w:ind w:left="38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EAEAEA"/>
          </w:tcPr>
          <w:p>
            <w:pPr>
              <w:jc w:val="center"/>
              <w:spacing w:after="0"/>
              <w:rPr>
                <w:sz w:val="20"/>
                <w:szCs w:val="20"/>
                <w:color w:val="auto"/>
              </w:rPr>
            </w:pPr>
            <w:r>
              <w:rPr>
                <w:rFonts w:ascii="Arial" w:cs="Arial" w:eastAsia="Arial" w:hAnsi="Arial"/>
                <w:sz w:val="16"/>
                <w:szCs w:val="16"/>
                <w:color w:val="auto"/>
                <w:w w:val="99"/>
              </w:rPr>
              <w:t>—</w:t>
            </w:r>
          </w:p>
        </w:tc>
        <w:tc>
          <w:tcPr>
            <w:tcW w:w="98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8"/>
        </w:trPr>
        <w:tc>
          <w:tcPr>
            <w:tcW w:w="2880" w:type="dxa"/>
            <w:vAlign w:val="bottom"/>
            <w:vMerge w:val="continue"/>
          </w:tcPr>
          <w:p>
            <w:pPr>
              <w:spacing w:after="0"/>
              <w:rPr>
                <w:sz w:val="9"/>
                <w:szCs w:val="9"/>
                <w:color w:val="auto"/>
              </w:rPr>
            </w:pPr>
          </w:p>
        </w:tc>
        <w:tc>
          <w:tcPr>
            <w:tcW w:w="300" w:type="dxa"/>
            <w:vAlign w:val="bottom"/>
            <w:vMerge w:val="continue"/>
            <w:shd w:val="clear" w:color="auto" w:fill="EAEAEA"/>
          </w:tcPr>
          <w:p>
            <w:pPr>
              <w:spacing w:after="0"/>
              <w:rPr>
                <w:sz w:val="9"/>
                <w:szCs w:val="9"/>
                <w:color w:val="auto"/>
              </w:rPr>
            </w:pPr>
          </w:p>
        </w:tc>
        <w:tc>
          <w:tcPr>
            <w:tcW w:w="600" w:type="dxa"/>
            <w:vAlign w:val="bottom"/>
            <w:vMerge w:val="continue"/>
          </w:tcPr>
          <w:p>
            <w:pPr>
              <w:spacing w:after="0"/>
              <w:rPr>
                <w:sz w:val="9"/>
                <w:szCs w:val="9"/>
                <w:color w:val="auto"/>
              </w:rPr>
            </w:pPr>
          </w:p>
        </w:tc>
        <w:tc>
          <w:tcPr>
            <w:tcW w:w="4280" w:type="dxa"/>
            <w:vAlign w:val="bottom"/>
            <w:vMerge w:val="restart"/>
            <w:shd w:val="clear" w:color="auto" w:fill="EAEAEA"/>
          </w:tcPr>
          <w:p>
            <w:pPr>
              <w:ind w:left="40"/>
              <w:spacing w:after="0"/>
              <w:rPr>
                <w:sz w:val="20"/>
                <w:szCs w:val="20"/>
                <w:color w:val="auto"/>
              </w:rPr>
            </w:pPr>
            <w:r>
              <w:rPr>
                <w:rFonts w:ascii="Arial" w:cs="Arial" w:eastAsia="Arial" w:hAnsi="Arial"/>
                <w:sz w:val="16"/>
                <w:szCs w:val="16"/>
                <w:color w:val="auto"/>
              </w:rPr>
              <w:t>of Analog Devices, Inc.</w:t>
            </w:r>
          </w:p>
        </w:tc>
        <w:tc>
          <w:tcPr>
            <w:tcW w:w="880" w:type="dxa"/>
            <w:vAlign w:val="bottom"/>
            <w:vMerge w:val="continue"/>
          </w:tcPr>
          <w:p>
            <w:pPr>
              <w:spacing w:after="0"/>
              <w:rPr>
                <w:sz w:val="9"/>
                <w:szCs w:val="9"/>
                <w:color w:val="auto"/>
              </w:rPr>
            </w:pPr>
          </w:p>
        </w:tc>
        <w:tc>
          <w:tcPr>
            <w:tcW w:w="700" w:type="dxa"/>
            <w:vAlign w:val="bottom"/>
            <w:vMerge w:val="continue"/>
            <w:shd w:val="clear" w:color="auto" w:fill="EAEAEA"/>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880" w:type="dxa"/>
            <w:vAlign w:val="bottom"/>
          </w:tcPr>
          <w:p>
            <w:pPr>
              <w:spacing w:after="0"/>
              <w:rPr>
                <w:sz w:val="7"/>
                <w:szCs w:val="7"/>
                <w:color w:val="auto"/>
              </w:rPr>
            </w:pPr>
          </w:p>
        </w:tc>
        <w:tc>
          <w:tcPr>
            <w:tcW w:w="300" w:type="dxa"/>
            <w:vAlign w:val="bottom"/>
            <w:shd w:val="clear" w:color="auto" w:fill="EAEAEA"/>
          </w:tcPr>
          <w:p>
            <w:pPr>
              <w:spacing w:after="0"/>
              <w:rPr>
                <w:sz w:val="7"/>
                <w:szCs w:val="7"/>
                <w:color w:val="auto"/>
              </w:rPr>
            </w:pPr>
          </w:p>
        </w:tc>
        <w:tc>
          <w:tcPr>
            <w:tcW w:w="600" w:type="dxa"/>
            <w:vAlign w:val="bottom"/>
          </w:tcPr>
          <w:p>
            <w:pPr>
              <w:spacing w:after="0"/>
              <w:rPr>
                <w:sz w:val="7"/>
                <w:szCs w:val="7"/>
                <w:color w:val="auto"/>
              </w:rPr>
            </w:pPr>
          </w:p>
        </w:tc>
        <w:tc>
          <w:tcPr>
            <w:tcW w:w="4280" w:type="dxa"/>
            <w:vAlign w:val="bottom"/>
            <w:vMerge w:val="continue"/>
            <w:shd w:val="clear" w:color="auto" w:fill="EAEAEA"/>
          </w:tcPr>
          <w:p>
            <w:pPr>
              <w:spacing w:after="0"/>
              <w:rPr>
                <w:sz w:val="7"/>
                <w:szCs w:val="7"/>
                <w:color w:val="auto"/>
              </w:rPr>
            </w:pPr>
          </w:p>
        </w:tc>
        <w:tc>
          <w:tcPr>
            <w:tcW w:w="880" w:type="dxa"/>
            <w:vAlign w:val="bottom"/>
          </w:tcPr>
          <w:p>
            <w:pPr>
              <w:spacing w:after="0"/>
              <w:rPr>
                <w:sz w:val="7"/>
                <w:szCs w:val="7"/>
                <w:color w:val="auto"/>
              </w:rPr>
            </w:pPr>
          </w:p>
        </w:tc>
        <w:tc>
          <w:tcPr>
            <w:tcW w:w="700" w:type="dxa"/>
            <w:vAlign w:val="bottom"/>
            <w:shd w:val="clear" w:color="auto" w:fill="EAEAEA"/>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880" w:type="dxa"/>
            <w:vAlign w:val="bottom"/>
            <w:tcBorders>
              <w:bottom w:val="single" w:sz="8" w:color="0066BA"/>
            </w:tcBorders>
          </w:tcPr>
          <w:p>
            <w:pPr>
              <w:spacing w:after="0"/>
              <w:rPr>
                <w:sz w:val="14"/>
                <w:szCs w:val="14"/>
                <w:color w:val="auto"/>
              </w:rPr>
            </w:pPr>
          </w:p>
        </w:tc>
        <w:tc>
          <w:tcPr>
            <w:tcW w:w="300" w:type="dxa"/>
            <w:vAlign w:val="bottom"/>
            <w:tcBorders>
              <w:bottom w:val="single" w:sz="8" w:color="0066BA"/>
            </w:tcBorders>
            <w:shd w:val="clear" w:color="auto" w:fill="EAEAEA"/>
          </w:tcPr>
          <w:p>
            <w:pPr>
              <w:spacing w:after="0"/>
              <w:rPr>
                <w:sz w:val="14"/>
                <w:szCs w:val="14"/>
                <w:color w:val="auto"/>
              </w:rPr>
            </w:pPr>
          </w:p>
        </w:tc>
        <w:tc>
          <w:tcPr>
            <w:tcW w:w="600" w:type="dxa"/>
            <w:vAlign w:val="bottom"/>
            <w:tcBorders>
              <w:bottom w:val="single" w:sz="8" w:color="0066BA"/>
            </w:tcBorders>
          </w:tcPr>
          <w:p>
            <w:pPr>
              <w:spacing w:after="0"/>
              <w:rPr>
                <w:sz w:val="14"/>
                <w:szCs w:val="14"/>
                <w:color w:val="auto"/>
              </w:rPr>
            </w:pPr>
          </w:p>
        </w:tc>
        <w:tc>
          <w:tcPr>
            <w:tcW w:w="4280" w:type="dxa"/>
            <w:vAlign w:val="bottom"/>
            <w:tcBorders>
              <w:bottom w:val="single" w:sz="8" w:color="0066BA"/>
            </w:tcBorders>
            <w:shd w:val="clear" w:color="auto" w:fill="EAEAEA"/>
          </w:tcPr>
          <w:p>
            <w:pPr>
              <w:spacing w:after="0"/>
              <w:rPr>
                <w:sz w:val="14"/>
                <w:szCs w:val="14"/>
                <w:color w:val="auto"/>
              </w:rPr>
            </w:pPr>
          </w:p>
        </w:tc>
        <w:tc>
          <w:tcPr>
            <w:tcW w:w="880" w:type="dxa"/>
            <w:vAlign w:val="bottom"/>
            <w:tcBorders>
              <w:bottom w:val="single" w:sz="8" w:color="0066BA"/>
            </w:tcBorders>
          </w:tcPr>
          <w:p>
            <w:pPr>
              <w:spacing w:after="0"/>
              <w:rPr>
                <w:sz w:val="14"/>
                <w:szCs w:val="14"/>
                <w:color w:val="auto"/>
              </w:rPr>
            </w:pPr>
          </w:p>
        </w:tc>
        <w:tc>
          <w:tcPr>
            <w:tcW w:w="700" w:type="dxa"/>
            <w:vAlign w:val="bottom"/>
            <w:tcBorders>
              <w:bottom w:val="single" w:sz="8" w:color="0066BA"/>
            </w:tcBorders>
            <w:shd w:val="clear" w:color="auto" w:fill="EAEAEA"/>
          </w:tcPr>
          <w:p>
            <w:pPr>
              <w:spacing w:after="0"/>
              <w:rPr>
                <w:sz w:val="14"/>
                <w:szCs w:val="14"/>
                <w:color w:val="auto"/>
              </w:rPr>
            </w:pPr>
          </w:p>
        </w:tc>
        <w:tc>
          <w:tcPr>
            <w:tcW w:w="980" w:type="dxa"/>
            <w:vAlign w:val="bottom"/>
            <w:tcBorders>
              <w:bottom w:val="single" w:sz="8" w:color="0066BA"/>
            </w:tcBorders>
          </w:tcPr>
          <w:p>
            <w:pPr>
              <w:spacing w:after="0"/>
              <w:rPr>
                <w:sz w:val="14"/>
                <w:szCs w:val="14"/>
                <w:color w:val="auto"/>
              </w:rPr>
            </w:pPr>
          </w:p>
        </w:tc>
        <w:tc>
          <w:tcPr>
            <w:tcW w:w="0" w:type="dxa"/>
            <w:vAlign w:val="bottom"/>
          </w:tcPr>
          <w:p>
            <w:pPr>
              <w:spacing w:after="0"/>
              <w:rPr>
                <w:sz w:val="1"/>
                <w:szCs w:val="1"/>
                <w:color w:val="auto"/>
              </w:rPr>
            </w:pPr>
          </w:p>
        </w:tc>
      </w:tr>
      <w:tr>
        <w:trPr>
          <w:trHeight w:val="328"/>
        </w:trPr>
        <w:tc>
          <w:tcPr>
            <w:tcW w:w="2880" w:type="dxa"/>
            <w:vAlign w:val="bottom"/>
            <w:vMerge w:val="restart"/>
          </w:tcPr>
          <w:p>
            <w:pPr>
              <w:ind w:left="940"/>
              <w:spacing w:after="0"/>
              <w:rPr>
                <w:sz w:val="20"/>
                <w:szCs w:val="20"/>
                <w:color w:val="auto"/>
              </w:rPr>
            </w:pPr>
            <w:r>
              <w:rPr>
                <w:rFonts w:ascii="Arial" w:cs="Arial" w:eastAsia="Arial" w:hAnsi="Arial"/>
                <w:sz w:val="16"/>
                <w:szCs w:val="16"/>
                <w:b w:val="1"/>
                <w:bCs w:val="1"/>
                <w:color w:val="0066BA"/>
              </w:rPr>
              <w:t>Vincent Roche</w:t>
            </w:r>
          </w:p>
        </w:tc>
        <w:tc>
          <w:tcPr>
            <w:tcW w:w="30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61</w:t>
            </w:r>
          </w:p>
        </w:tc>
        <w:tc>
          <w:tcPr>
            <w:tcW w:w="600" w:type="dxa"/>
            <w:vAlign w:val="bottom"/>
            <w:vMerge w:val="restart"/>
          </w:tcPr>
          <w:p>
            <w:pPr>
              <w:jc w:val="right"/>
              <w:ind w:right="42"/>
              <w:spacing w:after="0"/>
              <w:rPr>
                <w:sz w:val="20"/>
                <w:szCs w:val="20"/>
                <w:color w:val="auto"/>
              </w:rPr>
            </w:pPr>
            <w:r>
              <w:rPr>
                <w:rFonts w:ascii="Arial" w:cs="Arial" w:eastAsia="Arial" w:hAnsi="Arial"/>
                <w:sz w:val="16"/>
                <w:szCs w:val="16"/>
                <w:color w:val="auto"/>
              </w:rPr>
              <w:t>2013</w:t>
            </w:r>
          </w:p>
        </w:tc>
        <w:tc>
          <w:tcPr>
            <w:tcW w:w="4280" w:type="dxa"/>
            <w:vAlign w:val="bottom"/>
            <w:shd w:val="clear" w:color="auto" w:fill="EAEAEA"/>
          </w:tcPr>
          <w:p>
            <w:pPr>
              <w:ind w:left="40"/>
              <w:spacing w:after="0"/>
              <w:rPr>
                <w:sz w:val="20"/>
                <w:szCs w:val="20"/>
                <w:color w:val="auto"/>
              </w:rPr>
            </w:pPr>
            <w:r>
              <w:rPr>
                <w:rFonts w:ascii="Arial" w:cs="Arial" w:eastAsia="Arial" w:hAnsi="Arial"/>
                <w:sz w:val="16"/>
                <w:szCs w:val="16"/>
                <w:color w:val="auto"/>
              </w:rPr>
              <w:t>Incoming Chair of the Board and Chief Executive Officer of</w:t>
            </w:r>
          </w:p>
        </w:tc>
        <w:tc>
          <w:tcPr>
            <w:tcW w:w="880" w:type="dxa"/>
            <w:vAlign w:val="bottom"/>
            <w:vMerge w:val="restart"/>
          </w:tcPr>
          <w:p>
            <w:pPr>
              <w:ind w:left="38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EAEAEA"/>
          </w:tcPr>
          <w:p>
            <w:pPr>
              <w:jc w:val="center"/>
              <w:spacing w:after="0"/>
              <w:rPr>
                <w:sz w:val="20"/>
                <w:szCs w:val="20"/>
                <w:color w:val="auto"/>
              </w:rPr>
            </w:pPr>
            <w:r>
              <w:rPr>
                <w:rFonts w:ascii="Arial" w:cs="Arial" w:eastAsia="Arial" w:hAnsi="Arial"/>
                <w:sz w:val="16"/>
                <w:szCs w:val="16"/>
                <w:color w:val="auto"/>
                <w:w w:val="99"/>
              </w:rPr>
              <w:t>—</w:t>
            </w:r>
          </w:p>
        </w:tc>
        <w:tc>
          <w:tcPr>
            <w:tcW w:w="98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8"/>
        </w:trPr>
        <w:tc>
          <w:tcPr>
            <w:tcW w:w="2880" w:type="dxa"/>
            <w:vAlign w:val="bottom"/>
            <w:vMerge w:val="continue"/>
          </w:tcPr>
          <w:p>
            <w:pPr>
              <w:spacing w:after="0"/>
              <w:rPr>
                <w:sz w:val="9"/>
                <w:szCs w:val="9"/>
                <w:color w:val="auto"/>
              </w:rPr>
            </w:pPr>
          </w:p>
        </w:tc>
        <w:tc>
          <w:tcPr>
            <w:tcW w:w="300" w:type="dxa"/>
            <w:vAlign w:val="bottom"/>
            <w:vMerge w:val="continue"/>
            <w:shd w:val="clear" w:color="auto" w:fill="EAEAEA"/>
          </w:tcPr>
          <w:p>
            <w:pPr>
              <w:spacing w:after="0"/>
              <w:rPr>
                <w:sz w:val="9"/>
                <w:szCs w:val="9"/>
                <w:color w:val="auto"/>
              </w:rPr>
            </w:pPr>
          </w:p>
        </w:tc>
        <w:tc>
          <w:tcPr>
            <w:tcW w:w="600" w:type="dxa"/>
            <w:vAlign w:val="bottom"/>
            <w:vMerge w:val="continue"/>
          </w:tcPr>
          <w:p>
            <w:pPr>
              <w:spacing w:after="0"/>
              <w:rPr>
                <w:sz w:val="9"/>
                <w:szCs w:val="9"/>
                <w:color w:val="auto"/>
              </w:rPr>
            </w:pPr>
          </w:p>
        </w:tc>
        <w:tc>
          <w:tcPr>
            <w:tcW w:w="4280" w:type="dxa"/>
            <w:vAlign w:val="bottom"/>
            <w:vMerge w:val="restart"/>
            <w:shd w:val="clear" w:color="auto" w:fill="EAEAEA"/>
          </w:tcPr>
          <w:p>
            <w:pPr>
              <w:ind w:left="40"/>
              <w:spacing w:after="0"/>
              <w:rPr>
                <w:sz w:val="20"/>
                <w:szCs w:val="20"/>
                <w:color w:val="auto"/>
              </w:rPr>
            </w:pPr>
            <w:r>
              <w:rPr>
                <w:rFonts w:ascii="Arial" w:cs="Arial" w:eastAsia="Arial" w:hAnsi="Arial"/>
                <w:sz w:val="16"/>
                <w:szCs w:val="16"/>
                <w:color w:val="auto"/>
              </w:rPr>
              <w:t>Analog Devices, Inc.</w:t>
            </w:r>
          </w:p>
        </w:tc>
        <w:tc>
          <w:tcPr>
            <w:tcW w:w="880" w:type="dxa"/>
            <w:vAlign w:val="bottom"/>
            <w:vMerge w:val="continue"/>
          </w:tcPr>
          <w:p>
            <w:pPr>
              <w:spacing w:after="0"/>
              <w:rPr>
                <w:sz w:val="9"/>
                <w:szCs w:val="9"/>
                <w:color w:val="auto"/>
              </w:rPr>
            </w:pPr>
          </w:p>
        </w:tc>
        <w:tc>
          <w:tcPr>
            <w:tcW w:w="700" w:type="dxa"/>
            <w:vAlign w:val="bottom"/>
            <w:vMerge w:val="continue"/>
            <w:shd w:val="clear" w:color="auto" w:fill="EAEAEA"/>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880" w:type="dxa"/>
            <w:vAlign w:val="bottom"/>
          </w:tcPr>
          <w:p>
            <w:pPr>
              <w:spacing w:after="0"/>
              <w:rPr>
                <w:sz w:val="7"/>
                <w:szCs w:val="7"/>
                <w:color w:val="auto"/>
              </w:rPr>
            </w:pPr>
          </w:p>
        </w:tc>
        <w:tc>
          <w:tcPr>
            <w:tcW w:w="300" w:type="dxa"/>
            <w:vAlign w:val="bottom"/>
            <w:shd w:val="clear" w:color="auto" w:fill="EAEAEA"/>
          </w:tcPr>
          <w:p>
            <w:pPr>
              <w:spacing w:after="0"/>
              <w:rPr>
                <w:sz w:val="7"/>
                <w:szCs w:val="7"/>
                <w:color w:val="auto"/>
              </w:rPr>
            </w:pPr>
          </w:p>
        </w:tc>
        <w:tc>
          <w:tcPr>
            <w:tcW w:w="600" w:type="dxa"/>
            <w:vAlign w:val="bottom"/>
          </w:tcPr>
          <w:p>
            <w:pPr>
              <w:spacing w:after="0"/>
              <w:rPr>
                <w:sz w:val="7"/>
                <w:szCs w:val="7"/>
                <w:color w:val="auto"/>
              </w:rPr>
            </w:pPr>
          </w:p>
        </w:tc>
        <w:tc>
          <w:tcPr>
            <w:tcW w:w="4280" w:type="dxa"/>
            <w:vAlign w:val="bottom"/>
            <w:vMerge w:val="continue"/>
            <w:shd w:val="clear" w:color="auto" w:fill="EAEAEA"/>
          </w:tcPr>
          <w:p>
            <w:pPr>
              <w:spacing w:after="0"/>
              <w:rPr>
                <w:sz w:val="7"/>
                <w:szCs w:val="7"/>
                <w:color w:val="auto"/>
              </w:rPr>
            </w:pPr>
          </w:p>
        </w:tc>
        <w:tc>
          <w:tcPr>
            <w:tcW w:w="880" w:type="dxa"/>
            <w:vAlign w:val="bottom"/>
          </w:tcPr>
          <w:p>
            <w:pPr>
              <w:spacing w:after="0"/>
              <w:rPr>
                <w:sz w:val="7"/>
                <w:szCs w:val="7"/>
                <w:color w:val="auto"/>
              </w:rPr>
            </w:pPr>
          </w:p>
        </w:tc>
        <w:tc>
          <w:tcPr>
            <w:tcW w:w="700" w:type="dxa"/>
            <w:vAlign w:val="bottom"/>
            <w:shd w:val="clear" w:color="auto" w:fill="EAEAEA"/>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880" w:type="dxa"/>
            <w:vAlign w:val="bottom"/>
            <w:tcBorders>
              <w:bottom w:val="single" w:sz="8" w:color="0066BA"/>
            </w:tcBorders>
          </w:tcPr>
          <w:p>
            <w:pPr>
              <w:spacing w:after="0"/>
              <w:rPr>
                <w:sz w:val="14"/>
                <w:szCs w:val="14"/>
                <w:color w:val="auto"/>
              </w:rPr>
            </w:pPr>
          </w:p>
        </w:tc>
        <w:tc>
          <w:tcPr>
            <w:tcW w:w="300" w:type="dxa"/>
            <w:vAlign w:val="bottom"/>
            <w:tcBorders>
              <w:bottom w:val="single" w:sz="8" w:color="0066BA"/>
            </w:tcBorders>
            <w:shd w:val="clear" w:color="auto" w:fill="EAEAEA"/>
          </w:tcPr>
          <w:p>
            <w:pPr>
              <w:spacing w:after="0"/>
              <w:rPr>
                <w:sz w:val="14"/>
                <w:szCs w:val="14"/>
                <w:color w:val="auto"/>
              </w:rPr>
            </w:pPr>
          </w:p>
        </w:tc>
        <w:tc>
          <w:tcPr>
            <w:tcW w:w="600" w:type="dxa"/>
            <w:vAlign w:val="bottom"/>
            <w:tcBorders>
              <w:bottom w:val="single" w:sz="8" w:color="0066BA"/>
            </w:tcBorders>
          </w:tcPr>
          <w:p>
            <w:pPr>
              <w:spacing w:after="0"/>
              <w:rPr>
                <w:sz w:val="14"/>
                <w:szCs w:val="14"/>
                <w:color w:val="auto"/>
              </w:rPr>
            </w:pPr>
          </w:p>
        </w:tc>
        <w:tc>
          <w:tcPr>
            <w:tcW w:w="4280" w:type="dxa"/>
            <w:vAlign w:val="bottom"/>
            <w:tcBorders>
              <w:bottom w:val="single" w:sz="8" w:color="0066BA"/>
            </w:tcBorders>
            <w:shd w:val="clear" w:color="auto" w:fill="EAEAEA"/>
          </w:tcPr>
          <w:p>
            <w:pPr>
              <w:spacing w:after="0"/>
              <w:rPr>
                <w:sz w:val="14"/>
                <w:szCs w:val="14"/>
                <w:color w:val="auto"/>
              </w:rPr>
            </w:pPr>
          </w:p>
        </w:tc>
        <w:tc>
          <w:tcPr>
            <w:tcW w:w="880" w:type="dxa"/>
            <w:vAlign w:val="bottom"/>
            <w:tcBorders>
              <w:bottom w:val="single" w:sz="8" w:color="0066BA"/>
            </w:tcBorders>
          </w:tcPr>
          <w:p>
            <w:pPr>
              <w:spacing w:after="0"/>
              <w:rPr>
                <w:sz w:val="14"/>
                <w:szCs w:val="14"/>
                <w:color w:val="auto"/>
              </w:rPr>
            </w:pPr>
          </w:p>
        </w:tc>
        <w:tc>
          <w:tcPr>
            <w:tcW w:w="700" w:type="dxa"/>
            <w:vAlign w:val="bottom"/>
            <w:tcBorders>
              <w:bottom w:val="single" w:sz="8" w:color="0066BA"/>
            </w:tcBorders>
            <w:shd w:val="clear" w:color="auto" w:fill="EAEAEA"/>
          </w:tcPr>
          <w:p>
            <w:pPr>
              <w:spacing w:after="0"/>
              <w:rPr>
                <w:sz w:val="14"/>
                <w:szCs w:val="14"/>
                <w:color w:val="auto"/>
              </w:rPr>
            </w:pPr>
          </w:p>
        </w:tc>
        <w:tc>
          <w:tcPr>
            <w:tcW w:w="980" w:type="dxa"/>
            <w:vAlign w:val="bottom"/>
            <w:tcBorders>
              <w:bottom w:val="single" w:sz="8" w:color="0066BA"/>
            </w:tcBorders>
          </w:tcPr>
          <w:p>
            <w:pPr>
              <w:spacing w:after="0"/>
              <w:rPr>
                <w:sz w:val="14"/>
                <w:szCs w:val="14"/>
                <w:color w:val="auto"/>
              </w:rPr>
            </w:pPr>
          </w:p>
        </w:tc>
        <w:tc>
          <w:tcPr>
            <w:tcW w:w="0" w:type="dxa"/>
            <w:vAlign w:val="bottom"/>
          </w:tcPr>
          <w:p>
            <w:pPr>
              <w:spacing w:after="0"/>
              <w:rPr>
                <w:sz w:val="1"/>
                <w:szCs w:val="1"/>
                <w:color w:val="auto"/>
              </w:rPr>
            </w:pPr>
          </w:p>
        </w:tc>
      </w:tr>
      <w:tr>
        <w:trPr>
          <w:trHeight w:val="328"/>
        </w:trPr>
        <w:tc>
          <w:tcPr>
            <w:tcW w:w="2880" w:type="dxa"/>
            <w:vAlign w:val="bottom"/>
            <w:vMerge w:val="restart"/>
          </w:tcPr>
          <w:p>
            <w:pPr>
              <w:ind w:left="940"/>
              <w:spacing w:after="0"/>
              <w:rPr>
                <w:sz w:val="20"/>
                <w:szCs w:val="20"/>
                <w:color w:val="auto"/>
              </w:rPr>
            </w:pPr>
            <w:r>
              <w:rPr>
                <w:rFonts w:ascii="Arial" w:cs="Arial" w:eastAsia="Arial" w:hAnsi="Arial"/>
                <w:sz w:val="16"/>
                <w:szCs w:val="16"/>
                <w:b w:val="1"/>
                <w:bCs w:val="1"/>
                <w:color w:val="0066BA"/>
              </w:rPr>
              <w:t>James A. Champy</w:t>
            </w:r>
          </w:p>
        </w:tc>
        <w:tc>
          <w:tcPr>
            <w:tcW w:w="30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79</w:t>
            </w:r>
          </w:p>
        </w:tc>
        <w:tc>
          <w:tcPr>
            <w:tcW w:w="600" w:type="dxa"/>
            <w:vAlign w:val="bottom"/>
            <w:vMerge w:val="restart"/>
          </w:tcPr>
          <w:p>
            <w:pPr>
              <w:jc w:val="right"/>
              <w:ind w:right="42"/>
              <w:spacing w:after="0"/>
              <w:rPr>
                <w:sz w:val="20"/>
                <w:szCs w:val="20"/>
                <w:color w:val="auto"/>
              </w:rPr>
            </w:pPr>
            <w:r>
              <w:rPr>
                <w:rFonts w:ascii="Arial" w:cs="Arial" w:eastAsia="Arial" w:hAnsi="Arial"/>
                <w:sz w:val="16"/>
                <w:szCs w:val="16"/>
                <w:color w:val="auto"/>
              </w:rPr>
              <w:t>2003</w:t>
            </w:r>
          </w:p>
        </w:tc>
        <w:tc>
          <w:tcPr>
            <w:tcW w:w="4280" w:type="dxa"/>
            <w:vAlign w:val="bottom"/>
            <w:shd w:val="clear" w:color="auto" w:fill="EAEAEA"/>
          </w:tcPr>
          <w:p>
            <w:pPr>
              <w:ind w:left="40"/>
              <w:spacing w:after="0"/>
              <w:rPr>
                <w:sz w:val="20"/>
                <w:szCs w:val="20"/>
                <w:color w:val="auto"/>
              </w:rPr>
            </w:pPr>
            <w:r>
              <w:rPr>
                <w:rFonts w:ascii="Arial" w:cs="Arial" w:eastAsia="Arial" w:hAnsi="Arial"/>
                <w:sz w:val="16"/>
                <w:szCs w:val="16"/>
                <w:color w:val="auto"/>
              </w:rPr>
              <w:t>Former Vice President of the Dell/Perot</w:t>
            </w:r>
          </w:p>
        </w:tc>
        <w:tc>
          <w:tcPr>
            <w:tcW w:w="880" w:type="dxa"/>
            <w:vAlign w:val="bottom"/>
          </w:tcPr>
          <w:p>
            <w:pPr>
              <w:spacing w:after="0"/>
              <w:rPr>
                <w:sz w:val="24"/>
                <w:szCs w:val="24"/>
                <w:color w:val="auto"/>
              </w:rPr>
            </w:pPr>
          </w:p>
        </w:tc>
        <w:tc>
          <w:tcPr>
            <w:tcW w:w="700" w:type="dxa"/>
            <w:vAlign w:val="bottom"/>
            <w:vMerge w:val="restart"/>
            <w:shd w:val="clear" w:color="auto" w:fill="EAEAEA"/>
          </w:tcPr>
          <w:p>
            <w:pPr>
              <w:jc w:val="center"/>
              <w:spacing w:after="0"/>
              <w:rPr>
                <w:sz w:val="20"/>
                <w:szCs w:val="20"/>
                <w:color w:val="auto"/>
              </w:rPr>
            </w:pPr>
            <w:r>
              <w:rPr>
                <w:rFonts w:ascii="Arial" w:cs="Arial" w:eastAsia="Arial" w:hAnsi="Arial"/>
                <w:sz w:val="16"/>
                <w:szCs w:val="16"/>
                <w:color w:val="auto"/>
                <w:w w:val="99"/>
              </w:rPr>
              <w:t>—</w:t>
            </w:r>
          </w:p>
        </w:tc>
        <w:tc>
          <w:tcPr>
            <w:tcW w:w="980" w:type="dxa"/>
            <w:vAlign w:val="bottom"/>
            <w:vMerge w:val="restart"/>
          </w:tcPr>
          <w:p>
            <w:pPr>
              <w:ind w:left="40"/>
              <w:spacing w:after="0"/>
              <w:rPr>
                <w:sz w:val="20"/>
                <w:szCs w:val="20"/>
                <w:color w:val="auto"/>
              </w:rPr>
            </w:pPr>
            <w:r>
              <w:rPr>
                <w:rFonts w:ascii="Arial" w:cs="Arial" w:eastAsia="Arial" w:hAnsi="Arial"/>
                <w:sz w:val="16"/>
                <w:szCs w:val="16"/>
                <w:color w:val="auto"/>
                <w:w w:val="91"/>
              </w:rPr>
              <w:t>NCGC (Chair)</w:t>
            </w:r>
          </w:p>
        </w:tc>
        <w:tc>
          <w:tcPr>
            <w:tcW w:w="0" w:type="dxa"/>
            <w:vAlign w:val="bottom"/>
          </w:tcPr>
          <w:p>
            <w:pPr>
              <w:spacing w:after="0"/>
              <w:rPr>
                <w:sz w:val="1"/>
                <w:szCs w:val="1"/>
                <w:color w:val="auto"/>
              </w:rPr>
            </w:pPr>
          </w:p>
        </w:tc>
      </w:tr>
      <w:tr>
        <w:trPr>
          <w:trHeight w:val="108"/>
        </w:trPr>
        <w:tc>
          <w:tcPr>
            <w:tcW w:w="2880" w:type="dxa"/>
            <w:vAlign w:val="bottom"/>
            <w:vMerge w:val="continue"/>
          </w:tcPr>
          <w:p>
            <w:pPr>
              <w:spacing w:after="0"/>
              <w:rPr>
                <w:sz w:val="9"/>
                <w:szCs w:val="9"/>
                <w:color w:val="auto"/>
              </w:rPr>
            </w:pPr>
          </w:p>
        </w:tc>
        <w:tc>
          <w:tcPr>
            <w:tcW w:w="300" w:type="dxa"/>
            <w:vAlign w:val="bottom"/>
            <w:vMerge w:val="continue"/>
            <w:shd w:val="clear" w:color="auto" w:fill="EAEAEA"/>
          </w:tcPr>
          <w:p>
            <w:pPr>
              <w:spacing w:after="0"/>
              <w:rPr>
                <w:sz w:val="9"/>
                <w:szCs w:val="9"/>
                <w:color w:val="auto"/>
              </w:rPr>
            </w:pPr>
          </w:p>
        </w:tc>
        <w:tc>
          <w:tcPr>
            <w:tcW w:w="600" w:type="dxa"/>
            <w:vAlign w:val="bottom"/>
            <w:vMerge w:val="continue"/>
          </w:tcPr>
          <w:p>
            <w:pPr>
              <w:spacing w:after="0"/>
              <w:rPr>
                <w:sz w:val="9"/>
                <w:szCs w:val="9"/>
                <w:color w:val="auto"/>
              </w:rPr>
            </w:pPr>
          </w:p>
        </w:tc>
        <w:tc>
          <w:tcPr>
            <w:tcW w:w="4280" w:type="dxa"/>
            <w:vAlign w:val="bottom"/>
            <w:vMerge w:val="restart"/>
            <w:shd w:val="clear" w:color="auto" w:fill="EAEAEA"/>
          </w:tcPr>
          <w:p>
            <w:pPr>
              <w:ind w:left="40"/>
              <w:spacing w:after="0"/>
              <w:rPr>
                <w:sz w:val="20"/>
                <w:szCs w:val="20"/>
                <w:color w:val="auto"/>
              </w:rPr>
            </w:pPr>
            <w:r>
              <w:rPr>
                <w:rFonts w:ascii="Arial" w:cs="Arial" w:eastAsia="Arial" w:hAnsi="Arial"/>
                <w:sz w:val="16"/>
                <w:szCs w:val="16"/>
                <w:color w:val="auto"/>
              </w:rPr>
              <w:t>Systems business unit of Dell, Inc.</w:t>
            </w:r>
          </w:p>
        </w:tc>
        <w:tc>
          <w:tcPr>
            <w:tcW w:w="880" w:type="dxa"/>
            <w:vAlign w:val="bottom"/>
          </w:tcPr>
          <w:p>
            <w:pPr>
              <w:spacing w:after="0"/>
              <w:rPr>
                <w:sz w:val="9"/>
                <w:szCs w:val="9"/>
                <w:color w:val="auto"/>
              </w:rPr>
            </w:pPr>
          </w:p>
        </w:tc>
        <w:tc>
          <w:tcPr>
            <w:tcW w:w="700" w:type="dxa"/>
            <w:vAlign w:val="bottom"/>
            <w:vMerge w:val="continue"/>
            <w:shd w:val="clear" w:color="auto" w:fill="EAEAEA"/>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880" w:type="dxa"/>
            <w:vAlign w:val="bottom"/>
          </w:tcPr>
          <w:p>
            <w:pPr>
              <w:spacing w:after="0"/>
              <w:rPr>
                <w:sz w:val="7"/>
                <w:szCs w:val="7"/>
                <w:color w:val="auto"/>
              </w:rPr>
            </w:pPr>
          </w:p>
        </w:tc>
        <w:tc>
          <w:tcPr>
            <w:tcW w:w="300" w:type="dxa"/>
            <w:vAlign w:val="bottom"/>
            <w:shd w:val="clear" w:color="auto" w:fill="EAEAEA"/>
          </w:tcPr>
          <w:p>
            <w:pPr>
              <w:spacing w:after="0"/>
              <w:rPr>
                <w:sz w:val="7"/>
                <w:szCs w:val="7"/>
                <w:color w:val="auto"/>
              </w:rPr>
            </w:pPr>
          </w:p>
        </w:tc>
        <w:tc>
          <w:tcPr>
            <w:tcW w:w="600" w:type="dxa"/>
            <w:vAlign w:val="bottom"/>
          </w:tcPr>
          <w:p>
            <w:pPr>
              <w:spacing w:after="0"/>
              <w:rPr>
                <w:sz w:val="7"/>
                <w:szCs w:val="7"/>
                <w:color w:val="auto"/>
              </w:rPr>
            </w:pPr>
          </w:p>
        </w:tc>
        <w:tc>
          <w:tcPr>
            <w:tcW w:w="4280" w:type="dxa"/>
            <w:vAlign w:val="bottom"/>
            <w:vMerge w:val="continue"/>
            <w:shd w:val="clear" w:color="auto" w:fill="EAEAEA"/>
          </w:tcPr>
          <w:p>
            <w:pPr>
              <w:spacing w:after="0"/>
              <w:rPr>
                <w:sz w:val="7"/>
                <w:szCs w:val="7"/>
                <w:color w:val="auto"/>
              </w:rPr>
            </w:pPr>
          </w:p>
        </w:tc>
        <w:tc>
          <w:tcPr>
            <w:tcW w:w="880" w:type="dxa"/>
            <w:vAlign w:val="bottom"/>
          </w:tcPr>
          <w:p>
            <w:pPr>
              <w:spacing w:after="0"/>
              <w:rPr>
                <w:sz w:val="7"/>
                <w:szCs w:val="7"/>
                <w:color w:val="auto"/>
              </w:rPr>
            </w:pPr>
          </w:p>
        </w:tc>
        <w:tc>
          <w:tcPr>
            <w:tcW w:w="700" w:type="dxa"/>
            <w:vAlign w:val="bottom"/>
            <w:shd w:val="clear" w:color="auto" w:fill="EAEAEA"/>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880" w:type="dxa"/>
            <w:vAlign w:val="bottom"/>
            <w:tcBorders>
              <w:bottom w:val="single" w:sz="8" w:color="0066BA"/>
            </w:tcBorders>
          </w:tcPr>
          <w:p>
            <w:pPr>
              <w:spacing w:after="0"/>
              <w:rPr>
                <w:sz w:val="14"/>
                <w:szCs w:val="14"/>
                <w:color w:val="auto"/>
              </w:rPr>
            </w:pPr>
          </w:p>
        </w:tc>
        <w:tc>
          <w:tcPr>
            <w:tcW w:w="300" w:type="dxa"/>
            <w:vAlign w:val="bottom"/>
            <w:tcBorders>
              <w:bottom w:val="single" w:sz="8" w:color="0066BA"/>
            </w:tcBorders>
            <w:shd w:val="clear" w:color="auto" w:fill="EAEAEA"/>
          </w:tcPr>
          <w:p>
            <w:pPr>
              <w:spacing w:after="0"/>
              <w:rPr>
                <w:sz w:val="14"/>
                <w:szCs w:val="14"/>
                <w:color w:val="auto"/>
              </w:rPr>
            </w:pPr>
          </w:p>
        </w:tc>
        <w:tc>
          <w:tcPr>
            <w:tcW w:w="600" w:type="dxa"/>
            <w:vAlign w:val="bottom"/>
            <w:tcBorders>
              <w:bottom w:val="single" w:sz="8" w:color="0066BA"/>
            </w:tcBorders>
          </w:tcPr>
          <w:p>
            <w:pPr>
              <w:spacing w:after="0"/>
              <w:rPr>
                <w:sz w:val="14"/>
                <w:szCs w:val="14"/>
                <w:color w:val="auto"/>
              </w:rPr>
            </w:pPr>
          </w:p>
        </w:tc>
        <w:tc>
          <w:tcPr>
            <w:tcW w:w="4280" w:type="dxa"/>
            <w:vAlign w:val="bottom"/>
            <w:tcBorders>
              <w:bottom w:val="single" w:sz="8" w:color="0066BA"/>
            </w:tcBorders>
            <w:shd w:val="clear" w:color="auto" w:fill="EAEAEA"/>
          </w:tcPr>
          <w:p>
            <w:pPr>
              <w:spacing w:after="0"/>
              <w:rPr>
                <w:sz w:val="14"/>
                <w:szCs w:val="14"/>
                <w:color w:val="auto"/>
              </w:rPr>
            </w:pPr>
          </w:p>
        </w:tc>
        <w:tc>
          <w:tcPr>
            <w:tcW w:w="880" w:type="dxa"/>
            <w:vAlign w:val="bottom"/>
            <w:tcBorders>
              <w:bottom w:val="single" w:sz="8" w:color="0066BA"/>
            </w:tcBorders>
          </w:tcPr>
          <w:p>
            <w:pPr>
              <w:spacing w:after="0"/>
              <w:rPr>
                <w:sz w:val="14"/>
                <w:szCs w:val="14"/>
                <w:color w:val="auto"/>
              </w:rPr>
            </w:pPr>
          </w:p>
        </w:tc>
        <w:tc>
          <w:tcPr>
            <w:tcW w:w="700" w:type="dxa"/>
            <w:vAlign w:val="bottom"/>
            <w:tcBorders>
              <w:bottom w:val="single" w:sz="8" w:color="0066BA"/>
            </w:tcBorders>
            <w:shd w:val="clear" w:color="auto" w:fill="EAEAEA"/>
          </w:tcPr>
          <w:p>
            <w:pPr>
              <w:spacing w:after="0"/>
              <w:rPr>
                <w:sz w:val="14"/>
                <w:szCs w:val="14"/>
                <w:color w:val="auto"/>
              </w:rPr>
            </w:pPr>
          </w:p>
        </w:tc>
        <w:tc>
          <w:tcPr>
            <w:tcW w:w="980" w:type="dxa"/>
            <w:vAlign w:val="bottom"/>
            <w:tcBorders>
              <w:bottom w:val="single" w:sz="8" w:color="0066BA"/>
            </w:tcBorders>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880" w:type="dxa"/>
            <w:vAlign w:val="bottom"/>
          </w:tcPr>
          <w:p>
            <w:pPr>
              <w:spacing w:after="0"/>
              <w:rPr>
                <w:sz w:val="19"/>
                <w:szCs w:val="19"/>
                <w:color w:val="auto"/>
              </w:rPr>
            </w:pPr>
          </w:p>
        </w:tc>
        <w:tc>
          <w:tcPr>
            <w:tcW w:w="300" w:type="dxa"/>
            <w:vAlign w:val="bottom"/>
            <w:shd w:val="clear" w:color="auto" w:fill="EAEAEA"/>
          </w:tcPr>
          <w:p>
            <w:pPr>
              <w:spacing w:after="0"/>
              <w:rPr>
                <w:sz w:val="19"/>
                <w:szCs w:val="19"/>
                <w:color w:val="auto"/>
              </w:rPr>
            </w:pPr>
          </w:p>
        </w:tc>
        <w:tc>
          <w:tcPr>
            <w:tcW w:w="600" w:type="dxa"/>
            <w:vAlign w:val="bottom"/>
          </w:tcPr>
          <w:p>
            <w:pPr>
              <w:spacing w:after="0"/>
              <w:rPr>
                <w:sz w:val="19"/>
                <w:szCs w:val="19"/>
                <w:color w:val="auto"/>
              </w:rPr>
            </w:pPr>
          </w:p>
        </w:tc>
        <w:tc>
          <w:tcPr>
            <w:tcW w:w="4280" w:type="dxa"/>
            <w:vAlign w:val="bottom"/>
            <w:shd w:val="clear" w:color="auto" w:fill="EAEAEA"/>
          </w:tcPr>
          <w:p>
            <w:pPr>
              <w:ind w:left="40"/>
              <w:spacing w:after="0"/>
              <w:rPr>
                <w:sz w:val="20"/>
                <w:szCs w:val="20"/>
                <w:color w:val="auto"/>
              </w:rPr>
            </w:pPr>
            <w:r>
              <w:rPr>
                <w:rFonts w:ascii="Arial" w:cs="Arial" w:eastAsia="Arial" w:hAnsi="Arial"/>
                <w:sz w:val="16"/>
                <w:szCs w:val="16"/>
                <w:color w:val="auto"/>
              </w:rPr>
              <w:t>Dean of MIT’s School of Engineering</w:t>
            </w:r>
          </w:p>
        </w:tc>
        <w:tc>
          <w:tcPr>
            <w:tcW w:w="880" w:type="dxa"/>
            <w:vAlign w:val="bottom"/>
          </w:tcPr>
          <w:p>
            <w:pPr>
              <w:spacing w:after="0"/>
              <w:rPr>
                <w:sz w:val="19"/>
                <w:szCs w:val="19"/>
                <w:color w:val="auto"/>
              </w:rPr>
            </w:pPr>
          </w:p>
        </w:tc>
        <w:tc>
          <w:tcPr>
            <w:tcW w:w="700" w:type="dxa"/>
            <w:vAlign w:val="bottom"/>
            <w:shd w:val="clear" w:color="auto" w:fill="EAEAEA"/>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880" w:type="dxa"/>
            <w:vAlign w:val="bottom"/>
          </w:tcPr>
          <w:p>
            <w:pPr>
              <w:ind w:left="940"/>
              <w:spacing w:after="0"/>
              <w:rPr>
                <w:sz w:val="20"/>
                <w:szCs w:val="20"/>
                <w:color w:val="auto"/>
              </w:rPr>
            </w:pPr>
            <w:r>
              <w:rPr>
                <w:rFonts w:ascii="Arial" w:cs="Arial" w:eastAsia="Arial" w:hAnsi="Arial"/>
                <w:sz w:val="16"/>
                <w:szCs w:val="16"/>
                <w:b w:val="1"/>
                <w:bCs w:val="1"/>
                <w:color w:val="0066BA"/>
                <w:w w:val="96"/>
              </w:rPr>
              <w:t>Anantha P. Chandrakasan</w:t>
            </w:r>
          </w:p>
        </w:tc>
        <w:tc>
          <w:tcPr>
            <w:tcW w:w="3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53</w:t>
            </w:r>
          </w:p>
        </w:tc>
        <w:tc>
          <w:tcPr>
            <w:tcW w:w="600" w:type="dxa"/>
            <w:vAlign w:val="bottom"/>
          </w:tcPr>
          <w:p>
            <w:pPr>
              <w:jc w:val="right"/>
              <w:ind w:right="42"/>
              <w:spacing w:after="0"/>
              <w:rPr>
                <w:sz w:val="20"/>
                <w:szCs w:val="20"/>
                <w:color w:val="auto"/>
              </w:rPr>
            </w:pPr>
            <w:r>
              <w:rPr>
                <w:rFonts w:ascii="Arial" w:cs="Arial" w:eastAsia="Arial" w:hAnsi="Arial"/>
                <w:sz w:val="16"/>
                <w:szCs w:val="16"/>
                <w:color w:val="auto"/>
              </w:rPr>
              <w:t>2019</w:t>
            </w:r>
          </w:p>
        </w:tc>
        <w:tc>
          <w:tcPr>
            <w:tcW w:w="4280" w:type="dxa"/>
            <w:vAlign w:val="bottom"/>
            <w:shd w:val="clear" w:color="auto" w:fill="EAEAEA"/>
          </w:tcPr>
          <w:p>
            <w:pPr>
              <w:ind w:left="40"/>
              <w:spacing w:after="0"/>
              <w:rPr>
                <w:sz w:val="20"/>
                <w:szCs w:val="20"/>
                <w:color w:val="auto"/>
              </w:rPr>
            </w:pPr>
            <w:r>
              <w:rPr>
                <w:rFonts w:ascii="Arial" w:cs="Arial" w:eastAsia="Arial" w:hAnsi="Arial"/>
                <w:sz w:val="16"/>
                <w:szCs w:val="16"/>
                <w:color w:val="auto"/>
              </w:rPr>
              <w:t>and Vannevar Bush Professor of Electrical</w:t>
            </w:r>
          </w:p>
        </w:tc>
        <w:tc>
          <w:tcPr>
            <w:tcW w:w="880" w:type="dxa"/>
            <w:vAlign w:val="bottom"/>
          </w:tcPr>
          <w:p>
            <w:pPr>
              <w:spacing w:after="0"/>
              <w:rPr>
                <w:sz w:val="16"/>
                <w:szCs w:val="16"/>
                <w:color w:val="auto"/>
              </w:rPr>
            </w:pPr>
          </w:p>
        </w:tc>
        <w:tc>
          <w:tcPr>
            <w:tcW w:w="700" w:type="dxa"/>
            <w:vAlign w:val="bottom"/>
            <w:shd w:val="clear" w:color="auto" w:fill="EAEAEA"/>
          </w:tcPr>
          <w:p>
            <w:pPr>
              <w:jc w:val="center"/>
              <w:spacing w:after="0"/>
              <w:rPr>
                <w:sz w:val="20"/>
                <w:szCs w:val="20"/>
                <w:color w:val="auto"/>
              </w:rPr>
            </w:pPr>
            <w:r>
              <w:rPr>
                <w:rFonts w:ascii="Arial" w:cs="Arial" w:eastAsia="Arial" w:hAnsi="Arial"/>
                <w:sz w:val="16"/>
                <w:szCs w:val="16"/>
                <w:color w:val="auto"/>
                <w:w w:val="99"/>
              </w:rPr>
              <w:t>—</w:t>
            </w:r>
          </w:p>
        </w:tc>
        <w:tc>
          <w:tcPr>
            <w:tcW w:w="980" w:type="dxa"/>
            <w:vAlign w:val="bottom"/>
          </w:tcPr>
          <w:p>
            <w:pPr>
              <w:ind w:left="40"/>
              <w:spacing w:after="0"/>
              <w:rPr>
                <w:sz w:val="20"/>
                <w:szCs w:val="20"/>
                <w:color w:val="auto"/>
              </w:rPr>
            </w:pPr>
            <w:r>
              <w:rPr>
                <w:rFonts w:ascii="Arial" w:cs="Arial" w:eastAsia="Arial" w:hAnsi="Arial"/>
                <w:sz w:val="16"/>
                <w:szCs w:val="16"/>
                <w:color w:val="auto"/>
              </w:rPr>
              <w:t>NCGC</w:t>
            </w:r>
          </w:p>
        </w:tc>
        <w:tc>
          <w:tcPr>
            <w:tcW w:w="0" w:type="dxa"/>
            <w:vAlign w:val="bottom"/>
          </w:tcPr>
          <w:p>
            <w:pPr>
              <w:spacing w:after="0"/>
              <w:rPr>
                <w:sz w:val="1"/>
                <w:szCs w:val="1"/>
                <w:color w:val="auto"/>
              </w:rPr>
            </w:pPr>
          </w:p>
        </w:tc>
      </w:tr>
      <w:tr>
        <w:trPr>
          <w:trHeight w:val="199"/>
        </w:trPr>
        <w:tc>
          <w:tcPr>
            <w:tcW w:w="2880" w:type="dxa"/>
            <w:vAlign w:val="bottom"/>
          </w:tcPr>
          <w:p>
            <w:pPr>
              <w:spacing w:after="0"/>
              <w:rPr>
                <w:sz w:val="17"/>
                <w:szCs w:val="17"/>
                <w:color w:val="auto"/>
              </w:rPr>
            </w:pPr>
          </w:p>
        </w:tc>
        <w:tc>
          <w:tcPr>
            <w:tcW w:w="300" w:type="dxa"/>
            <w:vAlign w:val="bottom"/>
            <w:shd w:val="clear" w:color="auto" w:fill="EAEAEA"/>
          </w:tcPr>
          <w:p>
            <w:pPr>
              <w:spacing w:after="0"/>
              <w:rPr>
                <w:sz w:val="17"/>
                <w:szCs w:val="17"/>
                <w:color w:val="auto"/>
              </w:rPr>
            </w:pPr>
          </w:p>
        </w:tc>
        <w:tc>
          <w:tcPr>
            <w:tcW w:w="600" w:type="dxa"/>
            <w:vAlign w:val="bottom"/>
          </w:tcPr>
          <w:p>
            <w:pPr>
              <w:spacing w:after="0"/>
              <w:rPr>
                <w:sz w:val="17"/>
                <w:szCs w:val="17"/>
                <w:color w:val="auto"/>
              </w:rPr>
            </w:pPr>
          </w:p>
        </w:tc>
        <w:tc>
          <w:tcPr>
            <w:tcW w:w="4280" w:type="dxa"/>
            <w:vAlign w:val="bottom"/>
            <w:shd w:val="clear" w:color="auto" w:fill="EAEAEA"/>
          </w:tcPr>
          <w:p>
            <w:pPr>
              <w:ind w:left="40"/>
              <w:spacing w:after="0"/>
              <w:rPr>
                <w:sz w:val="20"/>
                <w:szCs w:val="20"/>
                <w:color w:val="auto"/>
              </w:rPr>
            </w:pPr>
            <w:r>
              <w:rPr>
                <w:rFonts w:ascii="Arial" w:cs="Arial" w:eastAsia="Arial" w:hAnsi="Arial"/>
                <w:sz w:val="16"/>
                <w:szCs w:val="16"/>
                <w:color w:val="auto"/>
              </w:rPr>
              <w:t>Engineering and Computer Science</w:t>
            </w:r>
          </w:p>
        </w:tc>
        <w:tc>
          <w:tcPr>
            <w:tcW w:w="880" w:type="dxa"/>
            <w:vAlign w:val="bottom"/>
          </w:tcPr>
          <w:p>
            <w:pPr>
              <w:spacing w:after="0"/>
              <w:rPr>
                <w:sz w:val="17"/>
                <w:szCs w:val="17"/>
                <w:color w:val="auto"/>
              </w:rPr>
            </w:pPr>
          </w:p>
        </w:tc>
        <w:tc>
          <w:tcPr>
            <w:tcW w:w="700" w:type="dxa"/>
            <w:vAlign w:val="bottom"/>
            <w:shd w:val="clear" w:color="auto" w:fill="EAEAEA"/>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880" w:type="dxa"/>
            <w:vAlign w:val="bottom"/>
            <w:tcBorders>
              <w:bottom w:val="single" w:sz="8" w:color="0066BA"/>
            </w:tcBorders>
          </w:tcPr>
          <w:p>
            <w:pPr>
              <w:spacing w:after="0"/>
              <w:rPr>
                <w:sz w:val="6"/>
                <w:szCs w:val="6"/>
                <w:color w:val="auto"/>
              </w:rPr>
            </w:pPr>
          </w:p>
        </w:tc>
        <w:tc>
          <w:tcPr>
            <w:tcW w:w="300" w:type="dxa"/>
            <w:vAlign w:val="bottom"/>
            <w:tcBorders>
              <w:bottom w:val="single" w:sz="8" w:color="0066BA"/>
            </w:tcBorders>
            <w:shd w:val="clear" w:color="auto" w:fill="EAEAEA"/>
          </w:tcPr>
          <w:p>
            <w:pPr>
              <w:spacing w:after="0"/>
              <w:rPr>
                <w:sz w:val="6"/>
                <w:szCs w:val="6"/>
                <w:color w:val="auto"/>
              </w:rPr>
            </w:pPr>
          </w:p>
        </w:tc>
        <w:tc>
          <w:tcPr>
            <w:tcW w:w="600" w:type="dxa"/>
            <w:vAlign w:val="bottom"/>
            <w:tcBorders>
              <w:bottom w:val="single" w:sz="8" w:color="0066BA"/>
            </w:tcBorders>
          </w:tcPr>
          <w:p>
            <w:pPr>
              <w:spacing w:after="0"/>
              <w:rPr>
                <w:sz w:val="6"/>
                <w:szCs w:val="6"/>
                <w:color w:val="auto"/>
              </w:rPr>
            </w:pPr>
          </w:p>
        </w:tc>
        <w:tc>
          <w:tcPr>
            <w:tcW w:w="4280" w:type="dxa"/>
            <w:vAlign w:val="bottom"/>
            <w:tcBorders>
              <w:bottom w:val="single" w:sz="8" w:color="0066BA"/>
            </w:tcBorders>
            <w:shd w:val="clear" w:color="auto" w:fill="EAEAEA"/>
          </w:tcPr>
          <w:p>
            <w:pPr>
              <w:spacing w:after="0"/>
              <w:rPr>
                <w:sz w:val="6"/>
                <w:szCs w:val="6"/>
                <w:color w:val="auto"/>
              </w:rPr>
            </w:pPr>
          </w:p>
        </w:tc>
        <w:tc>
          <w:tcPr>
            <w:tcW w:w="880" w:type="dxa"/>
            <w:vAlign w:val="bottom"/>
            <w:tcBorders>
              <w:bottom w:val="single" w:sz="8" w:color="0066BA"/>
            </w:tcBorders>
          </w:tcPr>
          <w:p>
            <w:pPr>
              <w:spacing w:after="0"/>
              <w:rPr>
                <w:sz w:val="6"/>
                <w:szCs w:val="6"/>
                <w:color w:val="auto"/>
              </w:rPr>
            </w:pPr>
          </w:p>
        </w:tc>
        <w:tc>
          <w:tcPr>
            <w:tcW w:w="700" w:type="dxa"/>
            <w:vAlign w:val="bottom"/>
            <w:tcBorders>
              <w:bottom w:val="single" w:sz="8" w:color="0066BA"/>
            </w:tcBorders>
            <w:shd w:val="clear" w:color="auto" w:fill="EAEAEA"/>
          </w:tcPr>
          <w:p>
            <w:pPr>
              <w:spacing w:after="0"/>
              <w:rPr>
                <w:sz w:val="6"/>
                <w:szCs w:val="6"/>
                <w:color w:val="auto"/>
              </w:rPr>
            </w:pPr>
          </w:p>
        </w:tc>
        <w:tc>
          <w:tcPr>
            <w:tcW w:w="980" w:type="dxa"/>
            <w:vAlign w:val="bottom"/>
            <w:tcBorders>
              <w:bottom w:val="single" w:sz="8" w:color="0066BA"/>
            </w:tcBorders>
          </w:tcPr>
          <w:p>
            <w:pPr>
              <w:spacing w:after="0"/>
              <w:rPr>
                <w:sz w:val="6"/>
                <w:szCs w:val="6"/>
                <w:color w:val="auto"/>
              </w:rPr>
            </w:pPr>
          </w:p>
        </w:tc>
        <w:tc>
          <w:tcPr>
            <w:tcW w:w="0" w:type="dxa"/>
            <w:vAlign w:val="bottom"/>
          </w:tcPr>
          <w:p>
            <w:pPr>
              <w:spacing w:after="0"/>
              <w:rPr>
                <w:sz w:val="1"/>
                <w:szCs w:val="1"/>
                <w:color w:val="auto"/>
              </w:rPr>
            </w:pPr>
          </w:p>
        </w:tc>
      </w:tr>
      <w:tr>
        <w:trPr>
          <w:trHeight w:val="328"/>
        </w:trPr>
        <w:tc>
          <w:tcPr>
            <w:tcW w:w="2880" w:type="dxa"/>
            <w:vAlign w:val="bottom"/>
            <w:vMerge w:val="restart"/>
          </w:tcPr>
          <w:p>
            <w:pPr>
              <w:ind w:left="940"/>
              <w:spacing w:after="0"/>
              <w:rPr>
                <w:sz w:val="20"/>
                <w:szCs w:val="20"/>
                <w:color w:val="auto"/>
              </w:rPr>
            </w:pPr>
            <w:r>
              <w:rPr>
                <w:rFonts w:ascii="Arial" w:cs="Arial" w:eastAsia="Arial" w:hAnsi="Arial"/>
                <w:sz w:val="16"/>
                <w:szCs w:val="16"/>
                <w:b w:val="1"/>
                <w:bCs w:val="1"/>
                <w:color w:val="0066BA"/>
              </w:rPr>
              <w:t>Tunç Doluca</w:t>
            </w:r>
          </w:p>
        </w:tc>
        <w:tc>
          <w:tcPr>
            <w:tcW w:w="30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64</w:t>
            </w:r>
          </w:p>
        </w:tc>
        <w:tc>
          <w:tcPr>
            <w:tcW w:w="600" w:type="dxa"/>
            <w:vAlign w:val="bottom"/>
            <w:vMerge w:val="restart"/>
          </w:tcPr>
          <w:p>
            <w:pPr>
              <w:jc w:val="right"/>
              <w:ind w:right="42"/>
              <w:spacing w:after="0"/>
              <w:rPr>
                <w:sz w:val="20"/>
                <w:szCs w:val="20"/>
                <w:color w:val="auto"/>
              </w:rPr>
            </w:pPr>
            <w:r>
              <w:rPr>
                <w:rFonts w:ascii="Arial" w:cs="Arial" w:eastAsia="Arial" w:hAnsi="Arial"/>
                <w:sz w:val="16"/>
                <w:szCs w:val="16"/>
                <w:color w:val="auto"/>
              </w:rPr>
              <w:t>2021</w:t>
            </w:r>
          </w:p>
        </w:tc>
        <w:tc>
          <w:tcPr>
            <w:tcW w:w="4280" w:type="dxa"/>
            <w:vAlign w:val="bottom"/>
            <w:shd w:val="clear" w:color="auto" w:fill="EAEAEA"/>
          </w:tcPr>
          <w:p>
            <w:pPr>
              <w:ind w:left="40"/>
              <w:spacing w:after="0"/>
              <w:rPr>
                <w:sz w:val="20"/>
                <w:szCs w:val="20"/>
                <w:color w:val="auto"/>
              </w:rPr>
            </w:pPr>
            <w:r>
              <w:rPr>
                <w:rFonts w:ascii="Arial" w:cs="Arial" w:eastAsia="Arial" w:hAnsi="Arial"/>
                <w:sz w:val="16"/>
                <w:szCs w:val="16"/>
                <w:color w:val="auto"/>
              </w:rPr>
              <w:t>Former President and Chief Executive Officer of</w:t>
            </w:r>
          </w:p>
        </w:tc>
        <w:tc>
          <w:tcPr>
            <w:tcW w:w="880" w:type="dxa"/>
            <w:vAlign w:val="bottom"/>
            <w:vMerge w:val="restart"/>
          </w:tcPr>
          <w:p>
            <w:pPr>
              <w:ind w:left="38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EAEAEA"/>
          </w:tcPr>
          <w:p>
            <w:pPr>
              <w:jc w:val="center"/>
              <w:spacing w:after="0"/>
              <w:rPr>
                <w:sz w:val="20"/>
                <w:szCs w:val="20"/>
                <w:color w:val="auto"/>
              </w:rPr>
            </w:pPr>
            <w:r>
              <w:rPr>
                <w:rFonts w:ascii="Arial" w:cs="Arial" w:eastAsia="Arial" w:hAnsi="Arial"/>
                <w:sz w:val="16"/>
                <w:szCs w:val="16"/>
                <w:color w:val="auto"/>
                <w:w w:val="89"/>
              </w:rPr>
              <w:t>1</w:t>
            </w:r>
          </w:p>
        </w:tc>
        <w:tc>
          <w:tcPr>
            <w:tcW w:w="98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8"/>
        </w:trPr>
        <w:tc>
          <w:tcPr>
            <w:tcW w:w="2880" w:type="dxa"/>
            <w:vAlign w:val="bottom"/>
            <w:vMerge w:val="continue"/>
          </w:tcPr>
          <w:p>
            <w:pPr>
              <w:spacing w:after="0"/>
              <w:rPr>
                <w:sz w:val="9"/>
                <w:szCs w:val="9"/>
                <w:color w:val="auto"/>
              </w:rPr>
            </w:pPr>
          </w:p>
        </w:tc>
        <w:tc>
          <w:tcPr>
            <w:tcW w:w="300" w:type="dxa"/>
            <w:vAlign w:val="bottom"/>
            <w:vMerge w:val="continue"/>
            <w:shd w:val="clear" w:color="auto" w:fill="EAEAEA"/>
          </w:tcPr>
          <w:p>
            <w:pPr>
              <w:spacing w:after="0"/>
              <w:rPr>
                <w:sz w:val="9"/>
                <w:szCs w:val="9"/>
                <w:color w:val="auto"/>
              </w:rPr>
            </w:pPr>
          </w:p>
        </w:tc>
        <w:tc>
          <w:tcPr>
            <w:tcW w:w="600" w:type="dxa"/>
            <w:vAlign w:val="bottom"/>
            <w:vMerge w:val="continue"/>
          </w:tcPr>
          <w:p>
            <w:pPr>
              <w:spacing w:after="0"/>
              <w:rPr>
                <w:sz w:val="9"/>
                <w:szCs w:val="9"/>
                <w:color w:val="auto"/>
              </w:rPr>
            </w:pPr>
          </w:p>
        </w:tc>
        <w:tc>
          <w:tcPr>
            <w:tcW w:w="4280" w:type="dxa"/>
            <w:vAlign w:val="bottom"/>
            <w:vMerge w:val="restart"/>
            <w:shd w:val="clear" w:color="auto" w:fill="EAEAEA"/>
          </w:tcPr>
          <w:p>
            <w:pPr>
              <w:ind w:left="40"/>
              <w:spacing w:after="0"/>
              <w:rPr>
                <w:sz w:val="20"/>
                <w:szCs w:val="20"/>
                <w:color w:val="auto"/>
              </w:rPr>
            </w:pPr>
            <w:r>
              <w:rPr>
                <w:rFonts w:ascii="Arial" w:cs="Arial" w:eastAsia="Arial" w:hAnsi="Arial"/>
                <w:sz w:val="16"/>
                <w:szCs w:val="16"/>
                <w:color w:val="auto"/>
              </w:rPr>
              <w:t>Maxim Integrated Products, Inc.</w:t>
            </w:r>
          </w:p>
        </w:tc>
        <w:tc>
          <w:tcPr>
            <w:tcW w:w="880" w:type="dxa"/>
            <w:vAlign w:val="bottom"/>
            <w:vMerge w:val="continue"/>
          </w:tcPr>
          <w:p>
            <w:pPr>
              <w:spacing w:after="0"/>
              <w:rPr>
                <w:sz w:val="9"/>
                <w:szCs w:val="9"/>
                <w:color w:val="auto"/>
              </w:rPr>
            </w:pPr>
          </w:p>
        </w:tc>
        <w:tc>
          <w:tcPr>
            <w:tcW w:w="700" w:type="dxa"/>
            <w:vAlign w:val="bottom"/>
            <w:vMerge w:val="continue"/>
            <w:shd w:val="clear" w:color="auto" w:fill="EAEAEA"/>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880" w:type="dxa"/>
            <w:vAlign w:val="bottom"/>
          </w:tcPr>
          <w:p>
            <w:pPr>
              <w:spacing w:after="0"/>
              <w:rPr>
                <w:sz w:val="7"/>
                <w:szCs w:val="7"/>
                <w:color w:val="auto"/>
              </w:rPr>
            </w:pPr>
          </w:p>
        </w:tc>
        <w:tc>
          <w:tcPr>
            <w:tcW w:w="300" w:type="dxa"/>
            <w:vAlign w:val="bottom"/>
            <w:shd w:val="clear" w:color="auto" w:fill="EAEAEA"/>
          </w:tcPr>
          <w:p>
            <w:pPr>
              <w:spacing w:after="0"/>
              <w:rPr>
                <w:sz w:val="7"/>
                <w:szCs w:val="7"/>
                <w:color w:val="auto"/>
              </w:rPr>
            </w:pPr>
          </w:p>
        </w:tc>
        <w:tc>
          <w:tcPr>
            <w:tcW w:w="600" w:type="dxa"/>
            <w:vAlign w:val="bottom"/>
          </w:tcPr>
          <w:p>
            <w:pPr>
              <w:spacing w:after="0"/>
              <w:rPr>
                <w:sz w:val="7"/>
                <w:szCs w:val="7"/>
                <w:color w:val="auto"/>
              </w:rPr>
            </w:pPr>
          </w:p>
        </w:tc>
        <w:tc>
          <w:tcPr>
            <w:tcW w:w="4280" w:type="dxa"/>
            <w:vAlign w:val="bottom"/>
            <w:vMerge w:val="continue"/>
            <w:shd w:val="clear" w:color="auto" w:fill="EAEAEA"/>
          </w:tcPr>
          <w:p>
            <w:pPr>
              <w:spacing w:after="0"/>
              <w:rPr>
                <w:sz w:val="7"/>
                <w:szCs w:val="7"/>
                <w:color w:val="auto"/>
              </w:rPr>
            </w:pPr>
          </w:p>
        </w:tc>
        <w:tc>
          <w:tcPr>
            <w:tcW w:w="880" w:type="dxa"/>
            <w:vAlign w:val="bottom"/>
          </w:tcPr>
          <w:p>
            <w:pPr>
              <w:spacing w:after="0"/>
              <w:rPr>
                <w:sz w:val="7"/>
                <w:szCs w:val="7"/>
                <w:color w:val="auto"/>
              </w:rPr>
            </w:pPr>
          </w:p>
        </w:tc>
        <w:tc>
          <w:tcPr>
            <w:tcW w:w="700" w:type="dxa"/>
            <w:vAlign w:val="bottom"/>
            <w:shd w:val="clear" w:color="auto" w:fill="EAEAEA"/>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880" w:type="dxa"/>
            <w:vAlign w:val="bottom"/>
            <w:tcBorders>
              <w:bottom w:val="single" w:sz="8" w:color="0066BA"/>
            </w:tcBorders>
          </w:tcPr>
          <w:p>
            <w:pPr>
              <w:spacing w:after="0"/>
              <w:rPr>
                <w:sz w:val="14"/>
                <w:szCs w:val="14"/>
                <w:color w:val="auto"/>
              </w:rPr>
            </w:pPr>
          </w:p>
        </w:tc>
        <w:tc>
          <w:tcPr>
            <w:tcW w:w="300" w:type="dxa"/>
            <w:vAlign w:val="bottom"/>
            <w:tcBorders>
              <w:bottom w:val="single" w:sz="8" w:color="0066BA"/>
            </w:tcBorders>
            <w:shd w:val="clear" w:color="auto" w:fill="EAEAEA"/>
          </w:tcPr>
          <w:p>
            <w:pPr>
              <w:spacing w:after="0"/>
              <w:rPr>
                <w:sz w:val="14"/>
                <w:szCs w:val="14"/>
                <w:color w:val="auto"/>
              </w:rPr>
            </w:pPr>
          </w:p>
        </w:tc>
        <w:tc>
          <w:tcPr>
            <w:tcW w:w="600" w:type="dxa"/>
            <w:vAlign w:val="bottom"/>
            <w:tcBorders>
              <w:bottom w:val="single" w:sz="8" w:color="0066BA"/>
            </w:tcBorders>
          </w:tcPr>
          <w:p>
            <w:pPr>
              <w:spacing w:after="0"/>
              <w:rPr>
                <w:sz w:val="14"/>
                <w:szCs w:val="14"/>
                <w:color w:val="auto"/>
              </w:rPr>
            </w:pPr>
          </w:p>
        </w:tc>
        <w:tc>
          <w:tcPr>
            <w:tcW w:w="4280" w:type="dxa"/>
            <w:vAlign w:val="bottom"/>
            <w:tcBorders>
              <w:bottom w:val="single" w:sz="8" w:color="0066BA"/>
            </w:tcBorders>
            <w:shd w:val="clear" w:color="auto" w:fill="EAEAEA"/>
          </w:tcPr>
          <w:p>
            <w:pPr>
              <w:spacing w:after="0"/>
              <w:rPr>
                <w:sz w:val="14"/>
                <w:szCs w:val="14"/>
                <w:color w:val="auto"/>
              </w:rPr>
            </w:pPr>
          </w:p>
        </w:tc>
        <w:tc>
          <w:tcPr>
            <w:tcW w:w="880" w:type="dxa"/>
            <w:vAlign w:val="bottom"/>
            <w:tcBorders>
              <w:bottom w:val="single" w:sz="8" w:color="0066BA"/>
            </w:tcBorders>
          </w:tcPr>
          <w:p>
            <w:pPr>
              <w:spacing w:after="0"/>
              <w:rPr>
                <w:sz w:val="14"/>
                <w:szCs w:val="14"/>
                <w:color w:val="auto"/>
              </w:rPr>
            </w:pPr>
          </w:p>
        </w:tc>
        <w:tc>
          <w:tcPr>
            <w:tcW w:w="700" w:type="dxa"/>
            <w:vAlign w:val="bottom"/>
            <w:tcBorders>
              <w:bottom w:val="single" w:sz="8" w:color="0066BA"/>
            </w:tcBorders>
            <w:shd w:val="clear" w:color="auto" w:fill="EAEAEA"/>
          </w:tcPr>
          <w:p>
            <w:pPr>
              <w:spacing w:after="0"/>
              <w:rPr>
                <w:sz w:val="14"/>
                <w:szCs w:val="14"/>
                <w:color w:val="auto"/>
              </w:rPr>
            </w:pPr>
          </w:p>
        </w:tc>
        <w:tc>
          <w:tcPr>
            <w:tcW w:w="980" w:type="dxa"/>
            <w:vAlign w:val="bottom"/>
            <w:tcBorders>
              <w:bottom w:val="single" w:sz="8" w:color="0066BA"/>
            </w:tcBorders>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880" w:type="dxa"/>
            <w:vAlign w:val="bottom"/>
          </w:tcPr>
          <w:p>
            <w:pPr>
              <w:spacing w:after="0"/>
              <w:rPr>
                <w:sz w:val="19"/>
                <w:szCs w:val="19"/>
                <w:color w:val="auto"/>
              </w:rPr>
            </w:pPr>
          </w:p>
        </w:tc>
        <w:tc>
          <w:tcPr>
            <w:tcW w:w="300" w:type="dxa"/>
            <w:vAlign w:val="bottom"/>
            <w:shd w:val="clear" w:color="auto" w:fill="EAEAEA"/>
          </w:tcPr>
          <w:p>
            <w:pPr>
              <w:spacing w:after="0"/>
              <w:rPr>
                <w:sz w:val="19"/>
                <w:szCs w:val="19"/>
                <w:color w:val="auto"/>
              </w:rPr>
            </w:pPr>
          </w:p>
        </w:tc>
        <w:tc>
          <w:tcPr>
            <w:tcW w:w="600" w:type="dxa"/>
            <w:vAlign w:val="bottom"/>
          </w:tcPr>
          <w:p>
            <w:pPr>
              <w:spacing w:after="0"/>
              <w:rPr>
                <w:sz w:val="19"/>
                <w:szCs w:val="19"/>
                <w:color w:val="auto"/>
              </w:rPr>
            </w:pPr>
          </w:p>
        </w:tc>
        <w:tc>
          <w:tcPr>
            <w:tcW w:w="4280" w:type="dxa"/>
            <w:vAlign w:val="bottom"/>
            <w:shd w:val="clear" w:color="auto" w:fill="EAEAEA"/>
          </w:tcPr>
          <w:p>
            <w:pPr>
              <w:ind w:left="40"/>
              <w:spacing w:after="0"/>
              <w:rPr>
                <w:sz w:val="20"/>
                <w:szCs w:val="20"/>
                <w:color w:val="auto"/>
              </w:rPr>
            </w:pPr>
            <w:r>
              <w:rPr>
                <w:rFonts w:ascii="Arial" w:cs="Arial" w:eastAsia="Arial" w:hAnsi="Arial"/>
                <w:sz w:val="16"/>
                <w:szCs w:val="16"/>
                <w:color w:val="auto"/>
              </w:rPr>
              <w:t>President of Evans Capital and</w:t>
            </w:r>
          </w:p>
        </w:tc>
        <w:tc>
          <w:tcPr>
            <w:tcW w:w="880" w:type="dxa"/>
            <w:vAlign w:val="bottom"/>
          </w:tcPr>
          <w:p>
            <w:pPr>
              <w:spacing w:after="0"/>
              <w:rPr>
                <w:sz w:val="19"/>
                <w:szCs w:val="19"/>
                <w:color w:val="auto"/>
              </w:rPr>
            </w:pPr>
          </w:p>
        </w:tc>
        <w:tc>
          <w:tcPr>
            <w:tcW w:w="700" w:type="dxa"/>
            <w:vAlign w:val="bottom"/>
            <w:shd w:val="clear" w:color="auto" w:fill="EAEAEA"/>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880" w:type="dxa"/>
            <w:vAlign w:val="bottom"/>
          </w:tcPr>
          <w:p>
            <w:pPr>
              <w:ind w:left="940"/>
              <w:spacing w:after="0"/>
              <w:rPr>
                <w:sz w:val="20"/>
                <w:szCs w:val="20"/>
                <w:color w:val="auto"/>
              </w:rPr>
            </w:pPr>
            <w:r>
              <w:rPr>
                <w:rFonts w:ascii="Arial" w:cs="Arial" w:eastAsia="Arial" w:hAnsi="Arial"/>
                <w:sz w:val="16"/>
                <w:szCs w:val="16"/>
                <w:b w:val="1"/>
                <w:bCs w:val="1"/>
                <w:color w:val="0066BA"/>
              </w:rPr>
              <w:t>Bruce R. Evans</w:t>
            </w:r>
          </w:p>
        </w:tc>
        <w:tc>
          <w:tcPr>
            <w:tcW w:w="3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62</w:t>
            </w:r>
          </w:p>
        </w:tc>
        <w:tc>
          <w:tcPr>
            <w:tcW w:w="600" w:type="dxa"/>
            <w:vAlign w:val="bottom"/>
          </w:tcPr>
          <w:p>
            <w:pPr>
              <w:jc w:val="right"/>
              <w:ind w:right="42"/>
              <w:spacing w:after="0"/>
              <w:rPr>
                <w:sz w:val="20"/>
                <w:szCs w:val="20"/>
                <w:color w:val="auto"/>
              </w:rPr>
            </w:pPr>
            <w:r>
              <w:rPr>
                <w:rFonts w:ascii="Arial" w:cs="Arial" w:eastAsia="Arial" w:hAnsi="Arial"/>
                <w:sz w:val="16"/>
                <w:szCs w:val="16"/>
                <w:color w:val="auto"/>
              </w:rPr>
              <w:t>2015</w:t>
            </w:r>
          </w:p>
        </w:tc>
        <w:tc>
          <w:tcPr>
            <w:tcW w:w="4280" w:type="dxa"/>
            <w:vAlign w:val="bottom"/>
            <w:shd w:val="clear" w:color="auto" w:fill="EAEAEA"/>
          </w:tcPr>
          <w:p>
            <w:pPr>
              <w:ind w:left="40"/>
              <w:spacing w:after="0"/>
              <w:rPr>
                <w:sz w:val="20"/>
                <w:szCs w:val="20"/>
                <w:color w:val="auto"/>
              </w:rPr>
            </w:pPr>
            <w:r>
              <w:rPr>
                <w:rFonts w:ascii="Arial" w:cs="Arial" w:eastAsia="Arial" w:hAnsi="Arial"/>
                <w:sz w:val="16"/>
                <w:szCs w:val="16"/>
                <w:color w:val="auto"/>
              </w:rPr>
              <w:t>Senior Advisor &amp; Former Chairman of the</w:t>
            </w:r>
          </w:p>
        </w:tc>
        <w:tc>
          <w:tcPr>
            <w:tcW w:w="880" w:type="dxa"/>
            <w:vAlign w:val="bottom"/>
          </w:tcPr>
          <w:p>
            <w:pPr>
              <w:spacing w:after="0"/>
              <w:rPr>
                <w:sz w:val="16"/>
                <w:szCs w:val="16"/>
                <w:color w:val="auto"/>
              </w:rPr>
            </w:pPr>
          </w:p>
        </w:tc>
        <w:tc>
          <w:tcPr>
            <w:tcW w:w="700" w:type="dxa"/>
            <w:vAlign w:val="bottom"/>
            <w:shd w:val="clear" w:color="auto" w:fill="EAEAEA"/>
          </w:tcPr>
          <w:p>
            <w:pPr>
              <w:jc w:val="center"/>
              <w:spacing w:after="0"/>
              <w:rPr>
                <w:sz w:val="20"/>
                <w:szCs w:val="20"/>
                <w:color w:val="auto"/>
              </w:rPr>
            </w:pPr>
            <w:r>
              <w:rPr>
                <w:rFonts w:ascii="Arial" w:cs="Arial" w:eastAsia="Arial" w:hAnsi="Arial"/>
                <w:sz w:val="16"/>
                <w:szCs w:val="16"/>
                <w:color w:val="auto"/>
                <w:w w:val="89"/>
              </w:rPr>
              <w:t>1</w:t>
            </w:r>
          </w:p>
        </w:tc>
        <w:tc>
          <w:tcPr>
            <w:tcW w:w="980" w:type="dxa"/>
            <w:vAlign w:val="bottom"/>
          </w:tcPr>
          <w:p>
            <w:pPr>
              <w:ind w:left="40"/>
              <w:spacing w:after="0"/>
              <w:rPr>
                <w:sz w:val="20"/>
                <w:szCs w:val="20"/>
                <w:color w:val="auto"/>
              </w:rPr>
            </w:pPr>
            <w:r>
              <w:rPr>
                <w:rFonts w:ascii="Arial" w:cs="Arial" w:eastAsia="Arial" w:hAnsi="Arial"/>
                <w:sz w:val="16"/>
                <w:szCs w:val="16"/>
                <w:color w:val="auto"/>
              </w:rPr>
              <w:t>AC</w:t>
            </w:r>
          </w:p>
        </w:tc>
        <w:tc>
          <w:tcPr>
            <w:tcW w:w="0" w:type="dxa"/>
            <w:vAlign w:val="bottom"/>
          </w:tcPr>
          <w:p>
            <w:pPr>
              <w:spacing w:after="0"/>
              <w:rPr>
                <w:sz w:val="1"/>
                <w:szCs w:val="1"/>
                <w:color w:val="auto"/>
              </w:rPr>
            </w:pPr>
          </w:p>
        </w:tc>
      </w:tr>
      <w:tr>
        <w:trPr>
          <w:trHeight w:val="199"/>
        </w:trPr>
        <w:tc>
          <w:tcPr>
            <w:tcW w:w="2880" w:type="dxa"/>
            <w:vAlign w:val="bottom"/>
          </w:tcPr>
          <w:p>
            <w:pPr>
              <w:spacing w:after="0"/>
              <w:rPr>
                <w:sz w:val="17"/>
                <w:szCs w:val="17"/>
                <w:color w:val="auto"/>
              </w:rPr>
            </w:pPr>
          </w:p>
        </w:tc>
        <w:tc>
          <w:tcPr>
            <w:tcW w:w="300" w:type="dxa"/>
            <w:vAlign w:val="bottom"/>
            <w:shd w:val="clear" w:color="auto" w:fill="EAEAEA"/>
          </w:tcPr>
          <w:p>
            <w:pPr>
              <w:spacing w:after="0"/>
              <w:rPr>
                <w:sz w:val="17"/>
                <w:szCs w:val="17"/>
                <w:color w:val="auto"/>
              </w:rPr>
            </w:pPr>
          </w:p>
        </w:tc>
        <w:tc>
          <w:tcPr>
            <w:tcW w:w="600" w:type="dxa"/>
            <w:vAlign w:val="bottom"/>
          </w:tcPr>
          <w:p>
            <w:pPr>
              <w:spacing w:after="0"/>
              <w:rPr>
                <w:sz w:val="17"/>
                <w:szCs w:val="17"/>
                <w:color w:val="auto"/>
              </w:rPr>
            </w:pPr>
          </w:p>
        </w:tc>
        <w:tc>
          <w:tcPr>
            <w:tcW w:w="4280" w:type="dxa"/>
            <w:vAlign w:val="bottom"/>
            <w:shd w:val="clear" w:color="auto" w:fill="EAEAEA"/>
          </w:tcPr>
          <w:p>
            <w:pPr>
              <w:ind w:left="40"/>
              <w:spacing w:after="0"/>
              <w:rPr>
                <w:sz w:val="20"/>
                <w:szCs w:val="20"/>
                <w:color w:val="auto"/>
              </w:rPr>
            </w:pPr>
            <w:r>
              <w:rPr>
                <w:rFonts w:ascii="Arial" w:cs="Arial" w:eastAsia="Arial" w:hAnsi="Arial"/>
                <w:sz w:val="16"/>
                <w:szCs w:val="16"/>
                <w:color w:val="auto"/>
              </w:rPr>
              <w:t>Board of Summit Partners</w:t>
            </w:r>
          </w:p>
        </w:tc>
        <w:tc>
          <w:tcPr>
            <w:tcW w:w="880" w:type="dxa"/>
            <w:vAlign w:val="bottom"/>
          </w:tcPr>
          <w:p>
            <w:pPr>
              <w:spacing w:after="0"/>
              <w:rPr>
                <w:sz w:val="17"/>
                <w:szCs w:val="17"/>
                <w:color w:val="auto"/>
              </w:rPr>
            </w:pPr>
          </w:p>
        </w:tc>
        <w:tc>
          <w:tcPr>
            <w:tcW w:w="700" w:type="dxa"/>
            <w:vAlign w:val="bottom"/>
            <w:shd w:val="clear" w:color="auto" w:fill="EAEAEA"/>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880" w:type="dxa"/>
            <w:vAlign w:val="bottom"/>
            <w:tcBorders>
              <w:bottom w:val="single" w:sz="8" w:color="0066BA"/>
            </w:tcBorders>
          </w:tcPr>
          <w:p>
            <w:pPr>
              <w:spacing w:after="0"/>
              <w:rPr>
                <w:sz w:val="6"/>
                <w:szCs w:val="6"/>
                <w:color w:val="auto"/>
              </w:rPr>
            </w:pPr>
          </w:p>
        </w:tc>
        <w:tc>
          <w:tcPr>
            <w:tcW w:w="300" w:type="dxa"/>
            <w:vAlign w:val="bottom"/>
            <w:tcBorders>
              <w:bottom w:val="single" w:sz="8" w:color="0066BA"/>
            </w:tcBorders>
            <w:shd w:val="clear" w:color="auto" w:fill="EAEAEA"/>
          </w:tcPr>
          <w:p>
            <w:pPr>
              <w:spacing w:after="0"/>
              <w:rPr>
                <w:sz w:val="6"/>
                <w:szCs w:val="6"/>
                <w:color w:val="auto"/>
              </w:rPr>
            </w:pPr>
          </w:p>
        </w:tc>
        <w:tc>
          <w:tcPr>
            <w:tcW w:w="600" w:type="dxa"/>
            <w:vAlign w:val="bottom"/>
            <w:tcBorders>
              <w:bottom w:val="single" w:sz="8" w:color="0066BA"/>
            </w:tcBorders>
          </w:tcPr>
          <w:p>
            <w:pPr>
              <w:spacing w:after="0"/>
              <w:rPr>
                <w:sz w:val="6"/>
                <w:szCs w:val="6"/>
                <w:color w:val="auto"/>
              </w:rPr>
            </w:pPr>
          </w:p>
        </w:tc>
        <w:tc>
          <w:tcPr>
            <w:tcW w:w="4280" w:type="dxa"/>
            <w:vAlign w:val="bottom"/>
            <w:tcBorders>
              <w:bottom w:val="single" w:sz="8" w:color="0066BA"/>
            </w:tcBorders>
            <w:shd w:val="clear" w:color="auto" w:fill="EAEAEA"/>
          </w:tcPr>
          <w:p>
            <w:pPr>
              <w:spacing w:after="0"/>
              <w:rPr>
                <w:sz w:val="6"/>
                <w:szCs w:val="6"/>
                <w:color w:val="auto"/>
              </w:rPr>
            </w:pPr>
          </w:p>
        </w:tc>
        <w:tc>
          <w:tcPr>
            <w:tcW w:w="880" w:type="dxa"/>
            <w:vAlign w:val="bottom"/>
            <w:tcBorders>
              <w:bottom w:val="single" w:sz="8" w:color="0066BA"/>
            </w:tcBorders>
          </w:tcPr>
          <w:p>
            <w:pPr>
              <w:spacing w:after="0"/>
              <w:rPr>
                <w:sz w:val="6"/>
                <w:szCs w:val="6"/>
                <w:color w:val="auto"/>
              </w:rPr>
            </w:pPr>
          </w:p>
        </w:tc>
        <w:tc>
          <w:tcPr>
            <w:tcW w:w="700" w:type="dxa"/>
            <w:vAlign w:val="bottom"/>
            <w:tcBorders>
              <w:bottom w:val="single" w:sz="8" w:color="0066BA"/>
            </w:tcBorders>
            <w:shd w:val="clear" w:color="auto" w:fill="EAEAEA"/>
          </w:tcPr>
          <w:p>
            <w:pPr>
              <w:spacing w:after="0"/>
              <w:rPr>
                <w:sz w:val="6"/>
                <w:szCs w:val="6"/>
                <w:color w:val="auto"/>
              </w:rPr>
            </w:pPr>
          </w:p>
        </w:tc>
        <w:tc>
          <w:tcPr>
            <w:tcW w:w="980" w:type="dxa"/>
            <w:vAlign w:val="bottom"/>
            <w:tcBorders>
              <w:bottom w:val="single" w:sz="8" w:color="0066BA"/>
            </w:tcBorders>
          </w:tcPr>
          <w:p>
            <w:pPr>
              <w:spacing w:after="0"/>
              <w:rPr>
                <w:sz w:val="6"/>
                <w:szCs w:val="6"/>
                <w:color w:val="auto"/>
              </w:rPr>
            </w:pPr>
          </w:p>
        </w:tc>
        <w:tc>
          <w:tcPr>
            <w:tcW w:w="0" w:type="dxa"/>
            <w:vAlign w:val="bottom"/>
          </w:tcPr>
          <w:p>
            <w:pPr>
              <w:spacing w:after="0"/>
              <w:rPr>
                <w:sz w:val="1"/>
                <w:szCs w:val="1"/>
                <w:color w:val="auto"/>
              </w:rPr>
            </w:pPr>
          </w:p>
        </w:tc>
      </w:tr>
      <w:tr>
        <w:trPr>
          <w:trHeight w:val="328"/>
        </w:trPr>
        <w:tc>
          <w:tcPr>
            <w:tcW w:w="2880" w:type="dxa"/>
            <w:vAlign w:val="bottom"/>
            <w:vMerge w:val="restart"/>
          </w:tcPr>
          <w:p>
            <w:pPr>
              <w:ind w:left="940"/>
              <w:spacing w:after="0"/>
              <w:rPr>
                <w:sz w:val="20"/>
                <w:szCs w:val="20"/>
                <w:color w:val="auto"/>
              </w:rPr>
            </w:pPr>
            <w:r>
              <w:rPr>
                <w:rFonts w:ascii="Arial" w:cs="Arial" w:eastAsia="Arial" w:hAnsi="Arial"/>
                <w:sz w:val="16"/>
                <w:szCs w:val="16"/>
                <w:b w:val="1"/>
                <w:bCs w:val="1"/>
                <w:color w:val="0066BA"/>
              </w:rPr>
              <w:t>Edward H. Frank</w:t>
            </w:r>
          </w:p>
        </w:tc>
        <w:tc>
          <w:tcPr>
            <w:tcW w:w="30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65</w:t>
            </w:r>
          </w:p>
        </w:tc>
        <w:tc>
          <w:tcPr>
            <w:tcW w:w="600" w:type="dxa"/>
            <w:vAlign w:val="bottom"/>
            <w:vMerge w:val="restart"/>
          </w:tcPr>
          <w:p>
            <w:pPr>
              <w:jc w:val="right"/>
              <w:ind w:right="42"/>
              <w:spacing w:after="0"/>
              <w:rPr>
                <w:sz w:val="20"/>
                <w:szCs w:val="20"/>
                <w:color w:val="auto"/>
              </w:rPr>
            </w:pPr>
            <w:r>
              <w:rPr>
                <w:rFonts w:ascii="Arial" w:cs="Arial" w:eastAsia="Arial" w:hAnsi="Arial"/>
                <w:sz w:val="16"/>
                <w:szCs w:val="16"/>
                <w:color w:val="auto"/>
              </w:rPr>
              <w:t>2014</w:t>
            </w:r>
          </w:p>
        </w:tc>
        <w:tc>
          <w:tcPr>
            <w:tcW w:w="4280" w:type="dxa"/>
            <w:vAlign w:val="bottom"/>
            <w:shd w:val="clear" w:color="auto" w:fill="EAEAEA"/>
          </w:tcPr>
          <w:p>
            <w:pPr>
              <w:ind w:left="40"/>
              <w:spacing w:after="0"/>
              <w:rPr>
                <w:sz w:val="20"/>
                <w:szCs w:val="20"/>
                <w:color w:val="auto"/>
              </w:rPr>
            </w:pPr>
            <w:r>
              <w:rPr>
                <w:rFonts w:ascii="Arial" w:cs="Arial" w:eastAsia="Arial" w:hAnsi="Arial"/>
                <w:sz w:val="16"/>
                <w:szCs w:val="16"/>
                <w:color w:val="auto"/>
              </w:rPr>
              <w:t>Co-Founder and Former</w:t>
            </w:r>
          </w:p>
        </w:tc>
        <w:tc>
          <w:tcPr>
            <w:tcW w:w="880" w:type="dxa"/>
            <w:vAlign w:val="bottom"/>
          </w:tcPr>
          <w:p>
            <w:pPr>
              <w:spacing w:after="0"/>
              <w:rPr>
                <w:sz w:val="24"/>
                <w:szCs w:val="24"/>
                <w:color w:val="auto"/>
              </w:rPr>
            </w:pPr>
          </w:p>
        </w:tc>
        <w:tc>
          <w:tcPr>
            <w:tcW w:w="700" w:type="dxa"/>
            <w:vAlign w:val="bottom"/>
            <w:vMerge w:val="restart"/>
            <w:shd w:val="clear" w:color="auto" w:fill="EAEAEA"/>
          </w:tcPr>
          <w:p>
            <w:pPr>
              <w:jc w:val="center"/>
              <w:spacing w:after="0"/>
              <w:rPr>
                <w:sz w:val="20"/>
                <w:szCs w:val="20"/>
                <w:color w:val="auto"/>
              </w:rPr>
            </w:pPr>
            <w:r>
              <w:rPr>
                <w:rFonts w:ascii="Arial" w:cs="Arial" w:eastAsia="Arial" w:hAnsi="Arial"/>
                <w:sz w:val="16"/>
                <w:szCs w:val="16"/>
                <w:color w:val="auto"/>
                <w:w w:val="89"/>
              </w:rPr>
              <w:t>2</w:t>
            </w:r>
          </w:p>
        </w:tc>
        <w:tc>
          <w:tcPr>
            <w:tcW w:w="980" w:type="dxa"/>
            <w:vAlign w:val="bottom"/>
            <w:vMerge w:val="restart"/>
          </w:tcPr>
          <w:p>
            <w:pPr>
              <w:ind w:left="40"/>
              <w:spacing w:after="0"/>
              <w:rPr>
                <w:sz w:val="20"/>
                <w:szCs w:val="20"/>
                <w:color w:val="auto"/>
              </w:rPr>
            </w:pPr>
            <w:r>
              <w:rPr>
                <w:rFonts w:ascii="Arial" w:cs="Arial" w:eastAsia="Arial" w:hAnsi="Arial"/>
                <w:sz w:val="16"/>
                <w:szCs w:val="16"/>
                <w:color w:val="auto"/>
              </w:rPr>
              <w:t>CC (Chair)</w:t>
            </w:r>
          </w:p>
        </w:tc>
        <w:tc>
          <w:tcPr>
            <w:tcW w:w="0" w:type="dxa"/>
            <w:vAlign w:val="bottom"/>
          </w:tcPr>
          <w:p>
            <w:pPr>
              <w:spacing w:after="0"/>
              <w:rPr>
                <w:sz w:val="1"/>
                <w:szCs w:val="1"/>
                <w:color w:val="auto"/>
              </w:rPr>
            </w:pPr>
          </w:p>
        </w:tc>
      </w:tr>
      <w:tr>
        <w:trPr>
          <w:trHeight w:val="108"/>
        </w:trPr>
        <w:tc>
          <w:tcPr>
            <w:tcW w:w="2880" w:type="dxa"/>
            <w:vAlign w:val="bottom"/>
            <w:vMerge w:val="continue"/>
          </w:tcPr>
          <w:p>
            <w:pPr>
              <w:spacing w:after="0"/>
              <w:rPr>
                <w:sz w:val="9"/>
                <w:szCs w:val="9"/>
                <w:color w:val="auto"/>
              </w:rPr>
            </w:pPr>
          </w:p>
        </w:tc>
        <w:tc>
          <w:tcPr>
            <w:tcW w:w="300" w:type="dxa"/>
            <w:vAlign w:val="bottom"/>
            <w:vMerge w:val="continue"/>
            <w:shd w:val="clear" w:color="auto" w:fill="EAEAEA"/>
          </w:tcPr>
          <w:p>
            <w:pPr>
              <w:spacing w:after="0"/>
              <w:rPr>
                <w:sz w:val="9"/>
                <w:szCs w:val="9"/>
                <w:color w:val="auto"/>
              </w:rPr>
            </w:pPr>
          </w:p>
        </w:tc>
        <w:tc>
          <w:tcPr>
            <w:tcW w:w="600" w:type="dxa"/>
            <w:vAlign w:val="bottom"/>
            <w:vMerge w:val="continue"/>
          </w:tcPr>
          <w:p>
            <w:pPr>
              <w:spacing w:after="0"/>
              <w:rPr>
                <w:sz w:val="9"/>
                <w:szCs w:val="9"/>
                <w:color w:val="auto"/>
              </w:rPr>
            </w:pPr>
          </w:p>
        </w:tc>
        <w:tc>
          <w:tcPr>
            <w:tcW w:w="4280" w:type="dxa"/>
            <w:vAlign w:val="bottom"/>
            <w:vMerge w:val="restart"/>
            <w:shd w:val="clear" w:color="auto" w:fill="EAEAEA"/>
          </w:tcPr>
          <w:p>
            <w:pPr>
              <w:ind w:left="40"/>
              <w:spacing w:after="0"/>
              <w:rPr>
                <w:sz w:val="20"/>
                <w:szCs w:val="20"/>
                <w:color w:val="auto"/>
              </w:rPr>
            </w:pPr>
            <w:r>
              <w:rPr>
                <w:rFonts w:ascii="Arial" w:cs="Arial" w:eastAsia="Arial" w:hAnsi="Arial"/>
                <w:sz w:val="16"/>
                <w:szCs w:val="16"/>
                <w:color w:val="auto"/>
              </w:rPr>
              <w:t>Chief Executive Officer of Cloud Parity</w:t>
            </w:r>
          </w:p>
        </w:tc>
        <w:tc>
          <w:tcPr>
            <w:tcW w:w="880" w:type="dxa"/>
            <w:vAlign w:val="bottom"/>
          </w:tcPr>
          <w:p>
            <w:pPr>
              <w:spacing w:after="0"/>
              <w:rPr>
                <w:sz w:val="9"/>
                <w:szCs w:val="9"/>
                <w:color w:val="auto"/>
              </w:rPr>
            </w:pPr>
          </w:p>
        </w:tc>
        <w:tc>
          <w:tcPr>
            <w:tcW w:w="700" w:type="dxa"/>
            <w:vAlign w:val="bottom"/>
            <w:vMerge w:val="continue"/>
            <w:shd w:val="clear" w:color="auto" w:fill="EAEAEA"/>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880" w:type="dxa"/>
            <w:vAlign w:val="bottom"/>
          </w:tcPr>
          <w:p>
            <w:pPr>
              <w:spacing w:after="0"/>
              <w:rPr>
                <w:sz w:val="7"/>
                <w:szCs w:val="7"/>
                <w:color w:val="auto"/>
              </w:rPr>
            </w:pPr>
          </w:p>
        </w:tc>
        <w:tc>
          <w:tcPr>
            <w:tcW w:w="300" w:type="dxa"/>
            <w:vAlign w:val="bottom"/>
            <w:shd w:val="clear" w:color="auto" w:fill="EAEAEA"/>
          </w:tcPr>
          <w:p>
            <w:pPr>
              <w:spacing w:after="0"/>
              <w:rPr>
                <w:sz w:val="7"/>
                <w:szCs w:val="7"/>
                <w:color w:val="auto"/>
              </w:rPr>
            </w:pPr>
          </w:p>
        </w:tc>
        <w:tc>
          <w:tcPr>
            <w:tcW w:w="600" w:type="dxa"/>
            <w:vAlign w:val="bottom"/>
          </w:tcPr>
          <w:p>
            <w:pPr>
              <w:spacing w:after="0"/>
              <w:rPr>
                <w:sz w:val="7"/>
                <w:szCs w:val="7"/>
                <w:color w:val="auto"/>
              </w:rPr>
            </w:pPr>
          </w:p>
        </w:tc>
        <w:tc>
          <w:tcPr>
            <w:tcW w:w="4280" w:type="dxa"/>
            <w:vAlign w:val="bottom"/>
            <w:vMerge w:val="continue"/>
            <w:shd w:val="clear" w:color="auto" w:fill="EAEAEA"/>
          </w:tcPr>
          <w:p>
            <w:pPr>
              <w:spacing w:after="0"/>
              <w:rPr>
                <w:sz w:val="7"/>
                <w:szCs w:val="7"/>
                <w:color w:val="auto"/>
              </w:rPr>
            </w:pPr>
          </w:p>
        </w:tc>
        <w:tc>
          <w:tcPr>
            <w:tcW w:w="880" w:type="dxa"/>
            <w:vAlign w:val="bottom"/>
          </w:tcPr>
          <w:p>
            <w:pPr>
              <w:spacing w:after="0"/>
              <w:rPr>
                <w:sz w:val="7"/>
                <w:szCs w:val="7"/>
                <w:color w:val="auto"/>
              </w:rPr>
            </w:pPr>
          </w:p>
        </w:tc>
        <w:tc>
          <w:tcPr>
            <w:tcW w:w="700" w:type="dxa"/>
            <w:vAlign w:val="bottom"/>
            <w:shd w:val="clear" w:color="auto" w:fill="EAEAEA"/>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880" w:type="dxa"/>
            <w:vAlign w:val="bottom"/>
            <w:tcBorders>
              <w:bottom w:val="single" w:sz="8" w:color="0066BA"/>
            </w:tcBorders>
          </w:tcPr>
          <w:p>
            <w:pPr>
              <w:spacing w:after="0"/>
              <w:rPr>
                <w:sz w:val="14"/>
                <w:szCs w:val="14"/>
                <w:color w:val="auto"/>
              </w:rPr>
            </w:pPr>
          </w:p>
        </w:tc>
        <w:tc>
          <w:tcPr>
            <w:tcW w:w="300" w:type="dxa"/>
            <w:vAlign w:val="bottom"/>
            <w:tcBorders>
              <w:bottom w:val="single" w:sz="8" w:color="0066BA"/>
            </w:tcBorders>
            <w:shd w:val="clear" w:color="auto" w:fill="EAEAEA"/>
          </w:tcPr>
          <w:p>
            <w:pPr>
              <w:spacing w:after="0"/>
              <w:rPr>
                <w:sz w:val="14"/>
                <w:szCs w:val="14"/>
                <w:color w:val="auto"/>
              </w:rPr>
            </w:pPr>
          </w:p>
        </w:tc>
        <w:tc>
          <w:tcPr>
            <w:tcW w:w="600" w:type="dxa"/>
            <w:vAlign w:val="bottom"/>
            <w:tcBorders>
              <w:bottom w:val="single" w:sz="8" w:color="0066BA"/>
            </w:tcBorders>
          </w:tcPr>
          <w:p>
            <w:pPr>
              <w:spacing w:after="0"/>
              <w:rPr>
                <w:sz w:val="14"/>
                <w:szCs w:val="14"/>
                <w:color w:val="auto"/>
              </w:rPr>
            </w:pPr>
          </w:p>
        </w:tc>
        <w:tc>
          <w:tcPr>
            <w:tcW w:w="4280" w:type="dxa"/>
            <w:vAlign w:val="bottom"/>
            <w:tcBorders>
              <w:bottom w:val="single" w:sz="8" w:color="0066BA"/>
            </w:tcBorders>
            <w:shd w:val="clear" w:color="auto" w:fill="EAEAEA"/>
          </w:tcPr>
          <w:p>
            <w:pPr>
              <w:spacing w:after="0"/>
              <w:rPr>
                <w:sz w:val="14"/>
                <w:szCs w:val="14"/>
                <w:color w:val="auto"/>
              </w:rPr>
            </w:pPr>
          </w:p>
        </w:tc>
        <w:tc>
          <w:tcPr>
            <w:tcW w:w="880" w:type="dxa"/>
            <w:vAlign w:val="bottom"/>
            <w:tcBorders>
              <w:bottom w:val="single" w:sz="8" w:color="0066BA"/>
            </w:tcBorders>
          </w:tcPr>
          <w:p>
            <w:pPr>
              <w:spacing w:after="0"/>
              <w:rPr>
                <w:sz w:val="14"/>
                <w:szCs w:val="14"/>
                <w:color w:val="auto"/>
              </w:rPr>
            </w:pPr>
          </w:p>
        </w:tc>
        <w:tc>
          <w:tcPr>
            <w:tcW w:w="700" w:type="dxa"/>
            <w:vAlign w:val="bottom"/>
            <w:tcBorders>
              <w:bottom w:val="single" w:sz="8" w:color="0066BA"/>
            </w:tcBorders>
            <w:shd w:val="clear" w:color="auto" w:fill="EAEAEA"/>
          </w:tcPr>
          <w:p>
            <w:pPr>
              <w:spacing w:after="0"/>
              <w:rPr>
                <w:sz w:val="14"/>
                <w:szCs w:val="14"/>
                <w:color w:val="auto"/>
              </w:rPr>
            </w:pPr>
          </w:p>
        </w:tc>
        <w:tc>
          <w:tcPr>
            <w:tcW w:w="980" w:type="dxa"/>
            <w:vAlign w:val="bottom"/>
            <w:tcBorders>
              <w:bottom w:val="single" w:sz="8" w:color="0066BA"/>
            </w:tcBorders>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880" w:type="dxa"/>
            <w:vAlign w:val="bottom"/>
          </w:tcPr>
          <w:p>
            <w:pPr>
              <w:spacing w:after="0"/>
              <w:rPr>
                <w:sz w:val="19"/>
                <w:szCs w:val="19"/>
                <w:color w:val="auto"/>
              </w:rPr>
            </w:pPr>
          </w:p>
        </w:tc>
        <w:tc>
          <w:tcPr>
            <w:tcW w:w="300" w:type="dxa"/>
            <w:vAlign w:val="bottom"/>
            <w:shd w:val="clear" w:color="auto" w:fill="EAEAEA"/>
          </w:tcPr>
          <w:p>
            <w:pPr>
              <w:spacing w:after="0"/>
              <w:rPr>
                <w:sz w:val="19"/>
                <w:szCs w:val="19"/>
                <w:color w:val="auto"/>
              </w:rPr>
            </w:pPr>
          </w:p>
        </w:tc>
        <w:tc>
          <w:tcPr>
            <w:tcW w:w="600" w:type="dxa"/>
            <w:vAlign w:val="bottom"/>
          </w:tcPr>
          <w:p>
            <w:pPr>
              <w:spacing w:after="0"/>
              <w:rPr>
                <w:sz w:val="19"/>
                <w:szCs w:val="19"/>
                <w:color w:val="auto"/>
              </w:rPr>
            </w:pPr>
          </w:p>
        </w:tc>
        <w:tc>
          <w:tcPr>
            <w:tcW w:w="4280" w:type="dxa"/>
            <w:vAlign w:val="bottom"/>
            <w:shd w:val="clear" w:color="auto" w:fill="EAEAEA"/>
          </w:tcPr>
          <w:p>
            <w:pPr>
              <w:ind w:left="40"/>
              <w:spacing w:after="0"/>
              <w:rPr>
                <w:sz w:val="20"/>
                <w:szCs w:val="20"/>
                <w:color w:val="auto"/>
              </w:rPr>
            </w:pPr>
            <w:r>
              <w:rPr>
                <w:rFonts w:ascii="Arial" w:cs="Arial" w:eastAsia="Arial" w:hAnsi="Arial"/>
                <w:sz w:val="16"/>
                <w:szCs w:val="16"/>
                <w:color w:val="auto"/>
              </w:rPr>
              <w:t>Professor of Medicine at Harvard Medical School</w:t>
            </w:r>
          </w:p>
        </w:tc>
        <w:tc>
          <w:tcPr>
            <w:tcW w:w="880" w:type="dxa"/>
            <w:vAlign w:val="bottom"/>
          </w:tcPr>
          <w:p>
            <w:pPr>
              <w:spacing w:after="0"/>
              <w:rPr>
                <w:sz w:val="19"/>
                <w:szCs w:val="19"/>
                <w:color w:val="auto"/>
              </w:rPr>
            </w:pPr>
          </w:p>
        </w:tc>
        <w:tc>
          <w:tcPr>
            <w:tcW w:w="700" w:type="dxa"/>
            <w:vAlign w:val="bottom"/>
            <w:shd w:val="clear" w:color="auto" w:fill="EAEAEA"/>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880" w:type="dxa"/>
            <w:vAlign w:val="bottom"/>
          </w:tcPr>
          <w:p>
            <w:pPr>
              <w:ind w:left="940"/>
              <w:spacing w:after="0"/>
              <w:rPr>
                <w:sz w:val="20"/>
                <w:szCs w:val="20"/>
                <w:color w:val="auto"/>
              </w:rPr>
            </w:pPr>
            <w:r>
              <w:rPr>
                <w:rFonts w:ascii="Arial" w:cs="Arial" w:eastAsia="Arial" w:hAnsi="Arial"/>
                <w:sz w:val="16"/>
                <w:szCs w:val="16"/>
                <w:b w:val="1"/>
                <w:bCs w:val="1"/>
                <w:color w:val="0066BA"/>
              </w:rPr>
              <w:t>Laurie H. Glimcher</w:t>
            </w:r>
          </w:p>
        </w:tc>
        <w:tc>
          <w:tcPr>
            <w:tcW w:w="3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70</w:t>
            </w:r>
          </w:p>
        </w:tc>
        <w:tc>
          <w:tcPr>
            <w:tcW w:w="600" w:type="dxa"/>
            <w:vAlign w:val="bottom"/>
          </w:tcPr>
          <w:p>
            <w:pPr>
              <w:jc w:val="right"/>
              <w:ind w:right="42"/>
              <w:spacing w:after="0"/>
              <w:rPr>
                <w:sz w:val="20"/>
                <w:szCs w:val="20"/>
                <w:color w:val="auto"/>
              </w:rPr>
            </w:pPr>
            <w:r>
              <w:rPr>
                <w:rFonts w:ascii="Arial" w:cs="Arial" w:eastAsia="Arial" w:hAnsi="Arial"/>
                <w:sz w:val="16"/>
                <w:szCs w:val="16"/>
                <w:color w:val="auto"/>
              </w:rPr>
              <w:t>2020</w:t>
            </w:r>
          </w:p>
        </w:tc>
        <w:tc>
          <w:tcPr>
            <w:tcW w:w="4280" w:type="dxa"/>
            <w:vAlign w:val="bottom"/>
            <w:shd w:val="clear" w:color="auto" w:fill="EAEAEA"/>
          </w:tcPr>
          <w:p>
            <w:pPr>
              <w:ind w:left="40"/>
              <w:spacing w:after="0"/>
              <w:rPr>
                <w:sz w:val="20"/>
                <w:szCs w:val="20"/>
                <w:color w:val="auto"/>
              </w:rPr>
            </w:pPr>
            <w:r>
              <w:rPr>
                <w:rFonts w:ascii="Arial" w:cs="Arial" w:eastAsia="Arial" w:hAnsi="Arial"/>
                <w:sz w:val="16"/>
                <w:szCs w:val="16"/>
                <w:color w:val="auto"/>
              </w:rPr>
              <w:t>and President and Chief Executive Officer of the</w:t>
            </w:r>
          </w:p>
        </w:tc>
        <w:tc>
          <w:tcPr>
            <w:tcW w:w="880" w:type="dxa"/>
            <w:vAlign w:val="bottom"/>
          </w:tcPr>
          <w:p>
            <w:pPr>
              <w:spacing w:after="0"/>
              <w:rPr>
                <w:sz w:val="16"/>
                <w:szCs w:val="16"/>
                <w:color w:val="auto"/>
              </w:rPr>
            </w:pPr>
          </w:p>
        </w:tc>
        <w:tc>
          <w:tcPr>
            <w:tcW w:w="700" w:type="dxa"/>
            <w:vAlign w:val="bottom"/>
            <w:shd w:val="clear" w:color="auto" w:fill="EAEAEA"/>
          </w:tcPr>
          <w:p>
            <w:pPr>
              <w:jc w:val="center"/>
              <w:spacing w:after="0"/>
              <w:rPr>
                <w:sz w:val="20"/>
                <w:szCs w:val="20"/>
                <w:color w:val="auto"/>
              </w:rPr>
            </w:pPr>
            <w:r>
              <w:rPr>
                <w:rFonts w:ascii="Arial" w:cs="Arial" w:eastAsia="Arial" w:hAnsi="Arial"/>
                <w:sz w:val="16"/>
                <w:szCs w:val="16"/>
                <w:color w:val="auto"/>
                <w:w w:val="89"/>
              </w:rPr>
              <w:t>1</w:t>
            </w:r>
          </w:p>
        </w:tc>
        <w:tc>
          <w:tcPr>
            <w:tcW w:w="980" w:type="dxa"/>
            <w:vAlign w:val="bottom"/>
          </w:tcPr>
          <w:p>
            <w:pPr>
              <w:ind w:left="40"/>
              <w:spacing w:after="0"/>
              <w:rPr>
                <w:sz w:val="20"/>
                <w:szCs w:val="20"/>
                <w:color w:val="auto"/>
              </w:rPr>
            </w:pPr>
            <w:r>
              <w:rPr>
                <w:rFonts w:ascii="Arial" w:cs="Arial" w:eastAsia="Arial" w:hAnsi="Arial"/>
                <w:sz w:val="16"/>
                <w:szCs w:val="16"/>
                <w:color w:val="auto"/>
              </w:rPr>
              <w:t>CC</w:t>
            </w:r>
          </w:p>
        </w:tc>
        <w:tc>
          <w:tcPr>
            <w:tcW w:w="0" w:type="dxa"/>
            <w:vAlign w:val="bottom"/>
          </w:tcPr>
          <w:p>
            <w:pPr>
              <w:spacing w:after="0"/>
              <w:rPr>
                <w:sz w:val="1"/>
                <w:szCs w:val="1"/>
                <w:color w:val="auto"/>
              </w:rPr>
            </w:pPr>
          </w:p>
        </w:tc>
      </w:tr>
      <w:tr>
        <w:trPr>
          <w:trHeight w:val="199"/>
        </w:trPr>
        <w:tc>
          <w:tcPr>
            <w:tcW w:w="2880" w:type="dxa"/>
            <w:vAlign w:val="bottom"/>
          </w:tcPr>
          <w:p>
            <w:pPr>
              <w:spacing w:after="0"/>
              <w:rPr>
                <w:sz w:val="17"/>
                <w:szCs w:val="17"/>
                <w:color w:val="auto"/>
              </w:rPr>
            </w:pPr>
          </w:p>
        </w:tc>
        <w:tc>
          <w:tcPr>
            <w:tcW w:w="300" w:type="dxa"/>
            <w:vAlign w:val="bottom"/>
            <w:shd w:val="clear" w:color="auto" w:fill="EAEAEA"/>
          </w:tcPr>
          <w:p>
            <w:pPr>
              <w:spacing w:after="0"/>
              <w:rPr>
                <w:sz w:val="17"/>
                <w:szCs w:val="17"/>
                <w:color w:val="auto"/>
              </w:rPr>
            </w:pPr>
          </w:p>
        </w:tc>
        <w:tc>
          <w:tcPr>
            <w:tcW w:w="600" w:type="dxa"/>
            <w:vAlign w:val="bottom"/>
          </w:tcPr>
          <w:p>
            <w:pPr>
              <w:spacing w:after="0"/>
              <w:rPr>
                <w:sz w:val="17"/>
                <w:szCs w:val="17"/>
                <w:color w:val="auto"/>
              </w:rPr>
            </w:pPr>
          </w:p>
        </w:tc>
        <w:tc>
          <w:tcPr>
            <w:tcW w:w="4280" w:type="dxa"/>
            <w:vAlign w:val="bottom"/>
            <w:shd w:val="clear" w:color="auto" w:fill="EAEAEA"/>
          </w:tcPr>
          <w:p>
            <w:pPr>
              <w:ind w:left="40"/>
              <w:spacing w:after="0"/>
              <w:rPr>
                <w:sz w:val="20"/>
                <w:szCs w:val="20"/>
                <w:color w:val="auto"/>
              </w:rPr>
            </w:pPr>
            <w:r>
              <w:rPr>
                <w:rFonts w:ascii="Arial" w:cs="Arial" w:eastAsia="Arial" w:hAnsi="Arial"/>
                <w:sz w:val="16"/>
                <w:szCs w:val="16"/>
                <w:color w:val="auto"/>
              </w:rPr>
              <w:t>Dana-Farber Cancer Institute</w:t>
            </w:r>
          </w:p>
        </w:tc>
        <w:tc>
          <w:tcPr>
            <w:tcW w:w="880" w:type="dxa"/>
            <w:vAlign w:val="bottom"/>
          </w:tcPr>
          <w:p>
            <w:pPr>
              <w:spacing w:after="0"/>
              <w:rPr>
                <w:sz w:val="17"/>
                <w:szCs w:val="17"/>
                <w:color w:val="auto"/>
              </w:rPr>
            </w:pPr>
          </w:p>
        </w:tc>
        <w:tc>
          <w:tcPr>
            <w:tcW w:w="700" w:type="dxa"/>
            <w:vAlign w:val="bottom"/>
            <w:shd w:val="clear" w:color="auto" w:fill="EAEAEA"/>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880" w:type="dxa"/>
            <w:vAlign w:val="bottom"/>
            <w:tcBorders>
              <w:bottom w:val="single" w:sz="8" w:color="0066BA"/>
            </w:tcBorders>
          </w:tcPr>
          <w:p>
            <w:pPr>
              <w:spacing w:after="0"/>
              <w:rPr>
                <w:sz w:val="6"/>
                <w:szCs w:val="6"/>
                <w:color w:val="auto"/>
              </w:rPr>
            </w:pPr>
          </w:p>
        </w:tc>
        <w:tc>
          <w:tcPr>
            <w:tcW w:w="300" w:type="dxa"/>
            <w:vAlign w:val="bottom"/>
            <w:tcBorders>
              <w:bottom w:val="single" w:sz="8" w:color="0066BA"/>
            </w:tcBorders>
            <w:shd w:val="clear" w:color="auto" w:fill="EAEAEA"/>
          </w:tcPr>
          <w:p>
            <w:pPr>
              <w:spacing w:after="0"/>
              <w:rPr>
                <w:sz w:val="6"/>
                <w:szCs w:val="6"/>
                <w:color w:val="auto"/>
              </w:rPr>
            </w:pPr>
          </w:p>
        </w:tc>
        <w:tc>
          <w:tcPr>
            <w:tcW w:w="600" w:type="dxa"/>
            <w:vAlign w:val="bottom"/>
            <w:tcBorders>
              <w:bottom w:val="single" w:sz="8" w:color="0066BA"/>
            </w:tcBorders>
          </w:tcPr>
          <w:p>
            <w:pPr>
              <w:spacing w:after="0"/>
              <w:rPr>
                <w:sz w:val="6"/>
                <w:szCs w:val="6"/>
                <w:color w:val="auto"/>
              </w:rPr>
            </w:pPr>
          </w:p>
        </w:tc>
        <w:tc>
          <w:tcPr>
            <w:tcW w:w="4280" w:type="dxa"/>
            <w:vAlign w:val="bottom"/>
            <w:tcBorders>
              <w:bottom w:val="single" w:sz="8" w:color="0066BA"/>
            </w:tcBorders>
            <w:shd w:val="clear" w:color="auto" w:fill="EAEAEA"/>
          </w:tcPr>
          <w:p>
            <w:pPr>
              <w:spacing w:after="0"/>
              <w:rPr>
                <w:sz w:val="6"/>
                <w:szCs w:val="6"/>
                <w:color w:val="auto"/>
              </w:rPr>
            </w:pPr>
          </w:p>
        </w:tc>
        <w:tc>
          <w:tcPr>
            <w:tcW w:w="880" w:type="dxa"/>
            <w:vAlign w:val="bottom"/>
            <w:tcBorders>
              <w:bottom w:val="single" w:sz="8" w:color="0066BA"/>
            </w:tcBorders>
          </w:tcPr>
          <w:p>
            <w:pPr>
              <w:spacing w:after="0"/>
              <w:rPr>
                <w:sz w:val="6"/>
                <w:szCs w:val="6"/>
                <w:color w:val="auto"/>
              </w:rPr>
            </w:pPr>
          </w:p>
        </w:tc>
        <w:tc>
          <w:tcPr>
            <w:tcW w:w="700" w:type="dxa"/>
            <w:vAlign w:val="bottom"/>
            <w:tcBorders>
              <w:bottom w:val="single" w:sz="8" w:color="0066BA"/>
            </w:tcBorders>
            <w:shd w:val="clear" w:color="auto" w:fill="EAEAEA"/>
          </w:tcPr>
          <w:p>
            <w:pPr>
              <w:spacing w:after="0"/>
              <w:rPr>
                <w:sz w:val="6"/>
                <w:szCs w:val="6"/>
                <w:color w:val="auto"/>
              </w:rPr>
            </w:pPr>
          </w:p>
        </w:tc>
        <w:tc>
          <w:tcPr>
            <w:tcW w:w="980" w:type="dxa"/>
            <w:vAlign w:val="bottom"/>
            <w:tcBorders>
              <w:bottom w:val="single" w:sz="8" w:color="0066BA"/>
            </w:tcBorders>
          </w:tcPr>
          <w:p>
            <w:pPr>
              <w:spacing w:after="0"/>
              <w:rPr>
                <w:sz w:val="6"/>
                <w:szCs w:val="6"/>
                <w:color w:val="auto"/>
              </w:rPr>
            </w:pPr>
          </w:p>
        </w:tc>
        <w:tc>
          <w:tcPr>
            <w:tcW w:w="0" w:type="dxa"/>
            <w:vAlign w:val="bottom"/>
          </w:tcPr>
          <w:p>
            <w:pPr>
              <w:spacing w:after="0"/>
              <w:rPr>
                <w:sz w:val="1"/>
                <w:szCs w:val="1"/>
                <w:color w:val="auto"/>
              </w:rPr>
            </w:pPr>
          </w:p>
        </w:tc>
      </w:tr>
      <w:tr>
        <w:trPr>
          <w:trHeight w:val="328"/>
        </w:trPr>
        <w:tc>
          <w:tcPr>
            <w:tcW w:w="2880" w:type="dxa"/>
            <w:vAlign w:val="bottom"/>
            <w:vMerge w:val="restart"/>
          </w:tcPr>
          <w:p>
            <w:pPr>
              <w:ind w:left="940"/>
              <w:spacing w:after="0"/>
              <w:rPr>
                <w:sz w:val="20"/>
                <w:szCs w:val="20"/>
                <w:color w:val="auto"/>
              </w:rPr>
            </w:pPr>
            <w:r>
              <w:rPr>
                <w:rFonts w:ascii="Arial" w:cs="Arial" w:eastAsia="Arial" w:hAnsi="Arial"/>
                <w:sz w:val="16"/>
                <w:szCs w:val="16"/>
                <w:b w:val="1"/>
                <w:bCs w:val="1"/>
                <w:color w:val="0066BA"/>
              </w:rPr>
              <w:t>Karen M. Golz</w:t>
            </w:r>
          </w:p>
        </w:tc>
        <w:tc>
          <w:tcPr>
            <w:tcW w:w="30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67</w:t>
            </w:r>
          </w:p>
        </w:tc>
        <w:tc>
          <w:tcPr>
            <w:tcW w:w="600" w:type="dxa"/>
            <w:vAlign w:val="bottom"/>
            <w:vMerge w:val="restart"/>
          </w:tcPr>
          <w:p>
            <w:pPr>
              <w:jc w:val="right"/>
              <w:ind w:right="42"/>
              <w:spacing w:after="0"/>
              <w:rPr>
                <w:sz w:val="20"/>
                <w:szCs w:val="20"/>
                <w:color w:val="auto"/>
              </w:rPr>
            </w:pPr>
            <w:r>
              <w:rPr>
                <w:rFonts w:ascii="Arial" w:cs="Arial" w:eastAsia="Arial" w:hAnsi="Arial"/>
                <w:sz w:val="16"/>
                <w:szCs w:val="16"/>
                <w:color w:val="auto"/>
              </w:rPr>
              <w:t>2018</w:t>
            </w:r>
          </w:p>
        </w:tc>
        <w:tc>
          <w:tcPr>
            <w:tcW w:w="4280" w:type="dxa"/>
            <w:vAlign w:val="bottom"/>
            <w:shd w:val="clear" w:color="auto" w:fill="EAEAEA"/>
          </w:tcPr>
          <w:p>
            <w:pPr>
              <w:ind w:left="40"/>
              <w:spacing w:after="0"/>
              <w:rPr>
                <w:sz w:val="20"/>
                <w:szCs w:val="20"/>
                <w:color w:val="auto"/>
              </w:rPr>
            </w:pPr>
            <w:r>
              <w:rPr>
                <w:rFonts w:ascii="Arial" w:cs="Arial" w:eastAsia="Arial" w:hAnsi="Arial"/>
                <w:sz w:val="16"/>
                <w:szCs w:val="16"/>
                <w:color w:val="auto"/>
              </w:rPr>
              <w:t>Former Global Vice</w:t>
            </w:r>
          </w:p>
        </w:tc>
        <w:tc>
          <w:tcPr>
            <w:tcW w:w="880" w:type="dxa"/>
            <w:vAlign w:val="bottom"/>
          </w:tcPr>
          <w:p>
            <w:pPr>
              <w:spacing w:after="0"/>
              <w:rPr>
                <w:sz w:val="24"/>
                <w:szCs w:val="24"/>
                <w:color w:val="auto"/>
              </w:rPr>
            </w:pPr>
          </w:p>
        </w:tc>
        <w:tc>
          <w:tcPr>
            <w:tcW w:w="700" w:type="dxa"/>
            <w:vAlign w:val="bottom"/>
            <w:vMerge w:val="restart"/>
            <w:shd w:val="clear" w:color="auto" w:fill="EAEAEA"/>
          </w:tcPr>
          <w:p>
            <w:pPr>
              <w:jc w:val="center"/>
              <w:spacing w:after="0"/>
              <w:rPr>
                <w:sz w:val="20"/>
                <w:szCs w:val="20"/>
                <w:color w:val="auto"/>
              </w:rPr>
            </w:pPr>
            <w:r>
              <w:rPr>
                <w:rFonts w:ascii="Arial" w:cs="Arial" w:eastAsia="Arial" w:hAnsi="Arial"/>
                <w:sz w:val="16"/>
                <w:szCs w:val="16"/>
                <w:color w:val="auto"/>
                <w:w w:val="89"/>
              </w:rPr>
              <w:t>2</w:t>
            </w:r>
          </w:p>
        </w:tc>
        <w:tc>
          <w:tcPr>
            <w:tcW w:w="980" w:type="dxa"/>
            <w:vAlign w:val="bottom"/>
            <w:vMerge w:val="restart"/>
          </w:tcPr>
          <w:p>
            <w:pPr>
              <w:ind w:left="40"/>
              <w:spacing w:after="0"/>
              <w:rPr>
                <w:sz w:val="20"/>
                <w:szCs w:val="20"/>
                <w:color w:val="auto"/>
              </w:rPr>
            </w:pPr>
            <w:r>
              <w:rPr>
                <w:rFonts w:ascii="Arial" w:cs="Arial" w:eastAsia="Arial" w:hAnsi="Arial"/>
                <w:sz w:val="16"/>
                <w:szCs w:val="16"/>
                <w:color w:val="auto"/>
              </w:rPr>
              <w:t>AC (Chair)</w:t>
            </w:r>
          </w:p>
        </w:tc>
        <w:tc>
          <w:tcPr>
            <w:tcW w:w="0" w:type="dxa"/>
            <w:vAlign w:val="bottom"/>
          </w:tcPr>
          <w:p>
            <w:pPr>
              <w:spacing w:after="0"/>
              <w:rPr>
                <w:sz w:val="1"/>
                <w:szCs w:val="1"/>
                <w:color w:val="auto"/>
              </w:rPr>
            </w:pPr>
          </w:p>
        </w:tc>
      </w:tr>
      <w:tr>
        <w:trPr>
          <w:trHeight w:val="108"/>
        </w:trPr>
        <w:tc>
          <w:tcPr>
            <w:tcW w:w="2880" w:type="dxa"/>
            <w:vAlign w:val="bottom"/>
            <w:vMerge w:val="continue"/>
          </w:tcPr>
          <w:p>
            <w:pPr>
              <w:spacing w:after="0"/>
              <w:rPr>
                <w:sz w:val="9"/>
                <w:szCs w:val="9"/>
                <w:color w:val="auto"/>
              </w:rPr>
            </w:pPr>
          </w:p>
        </w:tc>
        <w:tc>
          <w:tcPr>
            <w:tcW w:w="300" w:type="dxa"/>
            <w:vAlign w:val="bottom"/>
            <w:vMerge w:val="continue"/>
            <w:shd w:val="clear" w:color="auto" w:fill="EAEAEA"/>
          </w:tcPr>
          <w:p>
            <w:pPr>
              <w:spacing w:after="0"/>
              <w:rPr>
                <w:sz w:val="9"/>
                <w:szCs w:val="9"/>
                <w:color w:val="auto"/>
              </w:rPr>
            </w:pPr>
          </w:p>
        </w:tc>
        <w:tc>
          <w:tcPr>
            <w:tcW w:w="600" w:type="dxa"/>
            <w:vAlign w:val="bottom"/>
            <w:vMerge w:val="continue"/>
          </w:tcPr>
          <w:p>
            <w:pPr>
              <w:spacing w:after="0"/>
              <w:rPr>
                <w:sz w:val="9"/>
                <w:szCs w:val="9"/>
                <w:color w:val="auto"/>
              </w:rPr>
            </w:pPr>
          </w:p>
        </w:tc>
        <w:tc>
          <w:tcPr>
            <w:tcW w:w="4280" w:type="dxa"/>
            <w:vAlign w:val="bottom"/>
            <w:vMerge w:val="restart"/>
            <w:shd w:val="clear" w:color="auto" w:fill="EAEAEA"/>
          </w:tcPr>
          <w:p>
            <w:pPr>
              <w:ind w:left="40"/>
              <w:spacing w:after="0"/>
              <w:rPr>
                <w:sz w:val="20"/>
                <w:szCs w:val="20"/>
                <w:color w:val="auto"/>
              </w:rPr>
            </w:pPr>
            <w:r>
              <w:rPr>
                <w:rFonts w:ascii="Arial" w:cs="Arial" w:eastAsia="Arial" w:hAnsi="Arial"/>
                <w:sz w:val="16"/>
                <w:szCs w:val="16"/>
                <w:color w:val="auto"/>
              </w:rPr>
              <w:t>Chair of Ernst &amp; Young</w:t>
            </w:r>
          </w:p>
        </w:tc>
        <w:tc>
          <w:tcPr>
            <w:tcW w:w="880" w:type="dxa"/>
            <w:vAlign w:val="bottom"/>
          </w:tcPr>
          <w:p>
            <w:pPr>
              <w:spacing w:after="0"/>
              <w:rPr>
                <w:sz w:val="9"/>
                <w:szCs w:val="9"/>
                <w:color w:val="auto"/>
              </w:rPr>
            </w:pPr>
          </w:p>
        </w:tc>
        <w:tc>
          <w:tcPr>
            <w:tcW w:w="700" w:type="dxa"/>
            <w:vAlign w:val="bottom"/>
            <w:vMerge w:val="continue"/>
            <w:shd w:val="clear" w:color="auto" w:fill="EAEAEA"/>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880" w:type="dxa"/>
            <w:vAlign w:val="bottom"/>
          </w:tcPr>
          <w:p>
            <w:pPr>
              <w:spacing w:after="0"/>
              <w:rPr>
                <w:sz w:val="7"/>
                <w:szCs w:val="7"/>
                <w:color w:val="auto"/>
              </w:rPr>
            </w:pPr>
          </w:p>
        </w:tc>
        <w:tc>
          <w:tcPr>
            <w:tcW w:w="300" w:type="dxa"/>
            <w:vAlign w:val="bottom"/>
            <w:shd w:val="clear" w:color="auto" w:fill="EAEAEA"/>
          </w:tcPr>
          <w:p>
            <w:pPr>
              <w:spacing w:after="0"/>
              <w:rPr>
                <w:sz w:val="7"/>
                <w:szCs w:val="7"/>
                <w:color w:val="auto"/>
              </w:rPr>
            </w:pPr>
          </w:p>
        </w:tc>
        <w:tc>
          <w:tcPr>
            <w:tcW w:w="600" w:type="dxa"/>
            <w:vAlign w:val="bottom"/>
          </w:tcPr>
          <w:p>
            <w:pPr>
              <w:spacing w:after="0"/>
              <w:rPr>
                <w:sz w:val="7"/>
                <w:szCs w:val="7"/>
                <w:color w:val="auto"/>
              </w:rPr>
            </w:pPr>
          </w:p>
        </w:tc>
        <w:tc>
          <w:tcPr>
            <w:tcW w:w="4280" w:type="dxa"/>
            <w:vAlign w:val="bottom"/>
            <w:vMerge w:val="continue"/>
            <w:shd w:val="clear" w:color="auto" w:fill="EAEAEA"/>
          </w:tcPr>
          <w:p>
            <w:pPr>
              <w:spacing w:after="0"/>
              <w:rPr>
                <w:sz w:val="7"/>
                <w:szCs w:val="7"/>
                <w:color w:val="auto"/>
              </w:rPr>
            </w:pPr>
          </w:p>
        </w:tc>
        <w:tc>
          <w:tcPr>
            <w:tcW w:w="880" w:type="dxa"/>
            <w:vAlign w:val="bottom"/>
          </w:tcPr>
          <w:p>
            <w:pPr>
              <w:spacing w:after="0"/>
              <w:rPr>
                <w:sz w:val="7"/>
                <w:szCs w:val="7"/>
                <w:color w:val="auto"/>
              </w:rPr>
            </w:pPr>
          </w:p>
        </w:tc>
        <w:tc>
          <w:tcPr>
            <w:tcW w:w="700" w:type="dxa"/>
            <w:vAlign w:val="bottom"/>
            <w:shd w:val="clear" w:color="auto" w:fill="EAEAEA"/>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880" w:type="dxa"/>
            <w:vAlign w:val="bottom"/>
            <w:tcBorders>
              <w:bottom w:val="single" w:sz="8" w:color="0066BA"/>
            </w:tcBorders>
          </w:tcPr>
          <w:p>
            <w:pPr>
              <w:spacing w:after="0"/>
              <w:rPr>
                <w:sz w:val="14"/>
                <w:szCs w:val="14"/>
                <w:color w:val="auto"/>
              </w:rPr>
            </w:pPr>
          </w:p>
        </w:tc>
        <w:tc>
          <w:tcPr>
            <w:tcW w:w="300" w:type="dxa"/>
            <w:vAlign w:val="bottom"/>
            <w:tcBorders>
              <w:bottom w:val="single" w:sz="8" w:color="0066BA"/>
            </w:tcBorders>
            <w:shd w:val="clear" w:color="auto" w:fill="EAEAEA"/>
          </w:tcPr>
          <w:p>
            <w:pPr>
              <w:spacing w:after="0"/>
              <w:rPr>
                <w:sz w:val="14"/>
                <w:szCs w:val="14"/>
                <w:color w:val="auto"/>
              </w:rPr>
            </w:pPr>
          </w:p>
        </w:tc>
        <w:tc>
          <w:tcPr>
            <w:tcW w:w="600" w:type="dxa"/>
            <w:vAlign w:val="bottom"/>
            <w:tcBorders>
              <w:bottom w:val="single" w:sz="8" w:color="0066BA"/>
            </w:tcBorders>
          </w:tcPr>
          <w:p>
            <w:pPr>
              <w:spacing w:after="0"/>
              <w:rPr>
                <w:sz w:val="14"/>
                <w:szCs w:val="14"/>
                <w:color w:val="auto"/>
              </w:rPr>
            </w:pPr>
          </w:p>
        </w:tc>
        <w:tc>
          <w:tcPr>
            <w:tcW w:w="4280" w:type="dxa"/>
            <w:vAlign w:val="bottom"/>
            <w:tcBorders>
              <w:bottom w:val="single" w:sz="8" w:color="0066BA"/>
            </w:tcBorders>
            <w:shd w:val="clear" w:color="auto" w:fill="EAEAEA"/>
          </w:tcPr>
          <w:p>
            <w:pPr>
              <w:spacing w:after="0"/>
              <w:rPr>
                <w:sz w:val="14"/>
                <w:szCs w:val="14"/>
                <w:color w:val="auto"/>
              </w:rPr>
            </w:pPr>
          </w:p>
        </w:tc>
        <w:tc>
          <w:tcPr>
            <w:tcW w:w="880" w:type="dxa"/>
            <w:vAlign w:val="bottom"/>
            <w:tcBorders>
              <w:bottom w:val="single" w:sz="8" w:color="0066BA"/>
            </w:tcBorders>
          </w:tcPr>
          <w:p>
            <w:pPr>
              <w:spacing w:after="0"/>
              <w:rPr>
                <w:sz w:val="14"/>
                <w:szCs w:val="14"/>
                <w:color w:val="auto"/>
              </w:rPr>
            </w:pPr>
          </w:p>
        </w:tc>
        <w:tc>
          <w:tcPr>
            <w:tcW w:w="700" w:type="dxa"/>
            <w:vAlign w:val="bottom"/>
            <w:tcBorders>
              <w:bottom w:val="single" w:sz="8" w:color="0066BA"/>
            </w:tcBorders>
            <w:shd w:val="clear" w:color="auto" w:fill="EAEAEA"/>
          </w:tcPr>
          <w:p>
            <w:pPr>
              <w:spacing w:after="0"/>
              <w:rPr>
                <w:sz w:val="14"/>
                <w:szCs w:val="14"/>
                <w:color w:val="auto"/>
              </w:rPr>
            </w:pPr>
          </w:p>
        </w:tc>
        <w:tc>
          <w:tcPr>
            <w:tcW w:w="980" w:type="dxa"/>
            <w:vAlign w:val="bottom"/>
            <w:tcBorders>
              <w:bottom w:val="single" w:sz="8" w:color="0066BA"/>
            </w:tcBorders>
          </w:tcPr>
          <w:p>
            <w:pPr>
              <w:spacing w:after="0"/>
              <w:rPr>
                <w:sz w:val="14"/>
                <w:szCs w:val="14"/>
                <w:color w:val="auto"/>
              </w:rPr>
            </w:pPr>
          </w:p>
        </w:tc>
        <w:tc>
          <w:tcPr>
            <w:tcW w:w="0" w:type="dxa"/>
            <w:vAlign w:val="bottom"/>
          </w:tcPr>
          <w:p>
            <w:pPr>
              <w:spacing w:after="0"/>
              <w:rPr>
                <w:sz w:val="1"/>
                <w:szCs w:val="1"/>
                <w:color w:val="auto"/>
              </w:rPr>
            </w:pPr>
          </w:p>
        </w:tc>
      </w:tr>
      <w:tr>
        <w:trPr>
          <w:trHeight w:val="328"/>
        </w:trPr>
        <w:tc>
          <w:tcPr>
            <w:tcW w:w="2880" w:type="dxa"/>
            <w:vAlign w:val="bottom"/>
            <w:vMerge w:val="restart"/>
          </w:tcPr>
          <w:p>
            <w:pPr>
              <w:ind w:left="940"/>
              <w:spacing w:after="0"/>
              <w:rPr>
                <w:sz w:val="20"/>
                <w:szCs w:val="20"/>
                <w:color w:val="auto"/>
              </w:rPr>
            </w:pPr>
            <w:r>
              <w:rPr>
                <w:rFonts w:ascii="Arial" w:cs="Arial" w:eastAsia="Arial" w:hAnsi="Arial"/>
                <w:sz w:val="16"/>
                <w:szCs w:val="16"/>
                <w:b w:val="1"/>
                <w:bCs w:val="1"/>
                <w:color w:val="0066BA"/>
              </w:rPr>
              <w:t>Mercedes Johnson</w:t>
            </w:r>
          </w:p>
        </w:tc>
        <w:tc>
          <w:tcPr>
            <w:tcW w:w="30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67</w:t>
            </w:r>
          </w:p>
        </w:tc>
        <w:tc>
          <w:tcPr>
            <w:tcW w:w="600" w:type="dxa"/>
            <w:vAlign w:val="bottom"/>
            <w:vMerge w:val="restart"/>
          </w:tcPr>
          <w:p>
            <w:pPr>
              <w:jc w:val="right"/>
              <w:ind w:right="42"/>
              <w:spacing w:after="0"/>
              <w:rPr>
                <w:sz w:val="20"/>
                <w:szCs w:val="20"/>
                <w:color w:val="auto"/>
              </w:rPr>
            </w:pPr>
            <w:r>
              <w:rPr>
                <w:rFonts w:ascii="Arial" w:cs="Arial" w:eastAsia="Arial" w:hAnsi="Arial"/>
                <w:sz w:val="16"/>
                <w:szCs w:val="16"/>
                <w:color w:val="auto"/>
              </w:rPr>
              <w:t>2021</w:t>
            </w:r>
          </w:p>
        </w:tc>
        <w:tc>
          <w:tcPr>
            <w:tcW w:w="4280" w:type="dxa"/>
            <w:vAlign w:val="bottom"/>
            <w:shd w:val="clear" w:color="auto" w:fill="EAEAEA"/>
          </w:tcPr>
          <w:p>
            <w:pPr>
              <w:ind w:left="40"/>
              <w:spacing w:after="0"/>
              <w:rPr>
                <w:sz w:val="20"/>
                <w:szCs w:val="20"/>
                <w:color w:val="auto"/>
              </w:rPr>
            </w:pPr>
            <w:r>
              <w:rPr>
                <w:rFonts w:ascii="Arial" w:cs="Arial" w:eastAsia="Arial" w:hAnsi="Arial"/>
                <w:sz w:val="16"/>
                <w:szCs w:val="16"/>
                <w:color w:val="auto"/>
              </w:rPr>
              <w:t>Former Chief Financial Officer of Avago</w:t>
            </w:r>
          </w:p>
        </w:tc>
        <w:tc>
          <w:tcPr>
            <w:tcW w:w="880" w:type="dxa"/>
            <w:vAlign w:val="bottom"/>
          </w:tcPr>
          <w:p>
            <w:pPr>
              <w:spacing w:after="0"/>
              <w:rPr>
                <w:sz w:val="24"/>
                <w:szCs w:val="24"/>
                <w:color w:val="auto"/>
              </w:rPr>
            </w:pPr>
          </w:p>
        </w:tc>
        <w:tc>
          <w:tcPr>
            <w:tcW w:w="700" w:type="dxa"/>
            <w:vAlign w:val="bottom"/>
            <w:vMerge w:val="restart"/>
            <w:shd w:val="clear" w:color="auto" w:fill="EAEAEA"/>
          </w:tcPr>
          <w:p>
            <w:pPr>
              <w:jc w:val="center"/>
              <w:spacing w:after="0"/>
              <w:rPr>
                <w:sz w:val="20"/>
                <w:szCs w:val="20"/>
                <w:color w:val="auto"/>
              </w:rPr>
            </w:pPr>
            <w:r>
              <w:rPr>
                <w:rFonts w:ascii="Arial" w:cs="Arial" w:eastAsia="Arial" w:hAnsi="Arial"/>
                <w:sz w:val="16"/>
                <w:szCs w:val="16"/>
                <w:color w:val="auto"/>
                <w:w w:val="89"/>
              </w:rPr>
              <w:t>3</w:t>
            </w:r>
          </w:p>
        </w:tc>
        <w:tc>
          <w:tcPr>
            <w:tcW w:w="980" w:type="dxa"/>
            <w:vAlign w:val="bottom"/>
            <w:vMerge w:val="restart"/>
          </w:tcPr>
          <w:p>
            <w:pPr>
              <w:ind w:left="40"/>
              <w:spacing w:after="0"/>
              <w:rPr>
                <w:sz w:val="20"/>
                <w:szCs w:val="20"/>
                <w:color w:val="auto"/>
              </w:rPr>
            </w:pPr>
            <w:r>
              <w:rPr>
                <w:rFonts w:ascii="Arial" w:cs="Arial" w:eastAsia="Arial" w:hAnsi="Arial"/>
                <w:sz w:val="16"/>
                <w:szCs w:val="16"/>
                <w:color w:val="auto"/>
              </w:rPr>
              <w:t>AC</w:t>
            </w:r>
          </w:p>
        </w:tc>
        <w:tc>
          <w:tcPr>
            <w:tcW w:w="0" w:type="dxa"/>
            <w:vAlign w:val="bottom"/>
          </w:tcPr>
          <w:p>
            <w:pPr>
              <w:spacing w:after="0"/>
              <w:rPr>
                <w:sz w:val="1"/>
                <w:szCs w:val="1"/>
                <w:color w:val="auto"/>
              </w:rPr>
            </w:pPr>
          </w:p>
        </w:tc>
      </w:tr>
      <w:tr>
        <w:trPr>
          <w:trHeight w:val="108"/>
        </w:trPr>
        <w:tc>
          <w:tcPr>
            <w:tcW w:w="2880" w:type="dxa"/>
            <w:vAlign w:val="bottom"/>
            <w:vMerge w:val="continue"/>
          </w:tcPr>
          <w:p>
            <w:pPr>
              <w:spacing w:after="0"/>
              <w:rPr>
                <w:sz w:val="9"/>
                <w:szCs w:val="9"/>
                <w:color w:val="auto"/>
              </w:rPr>
            </w:pPr>
          </w:p>
        </w:tc>
        <w:tc>
          <w:tcPr>
            <w:tcW w:w="300" w:type="dxa"/>
            <w:vAlign w:val="bottom"/>
            <w:vMerge w:val="continue"/>
            <w:shd w:val="clear" w:color="auto" w:fill="EAEAEA"/>
          </w:tcPr>
          <w:p>
            <w:pPr>
              <w:spacing w:after="0"/>
              <w:rPr>
                <w:sz w:val="9"/>
                <w:szCs w:val="9"/>
                <w:color w:val="auto"/>
              </w:rPr>
            </w:pPr>
          </w:p>
        </w:tc>
        <w:tc>
          <w:tcPr>
            <w:tcW w:w="600" w:type="dxa"/>
            <w:vAlign w:val="bottom"/>
            <w:vMerge w:val="continue"/>
          </w:tcPr>
          <w:p>
            <w:pPr>
              <w:spacing w:after="0"/>
              <w:rPr>
                <w:sz w:val="9"/>
                <w:szCs w:val="9"/>
                <w:color w:val="auto"/>
              </w:rPr>
            </w:pPr>
          </w:p>
        </w:tc>
        <w:tc>
          <w:tcPr>
            <w:tcW w:w="4280" w:type="dxa"/>
            <w:vAlign w:val="bottom"/>
            <w:vMerge w:val="restart"/>
            <w:shd w:val="clear" w:color="auto" w:fill="EAEAEA"/>
          </w:tcPr>
          <w:p>
            <w:pPr>
              <w:ind w:left="40"/>
              <w:spacing w:after="0"/>
              <w:rPr>
                <w:sz w:val="20"/>
                <w:szCs w:val="20"/>
                <w:color w:val="auto"/>
              </w:rPr>
            </w:pPr>
            <w:r>
              <w:rPr>
                <w:rFonts w:ascii="Arial" w:cs="Arial" w:eastAsia="Arial" w:hAnsi="Arial"/>
                <w:sz w:val="16"/>
                <w:szCs w:val="16"/>
                <w:color w:val="auto"/>
              </w:rPr>
              <w:t>Technologies (now Broadcom Inc.)</w:t>
            </w:r>
          </w:p>
        </w:tc>
        <w:tc>
          <w:tcPr>
            <w:tcW w:w="880" w:type="dxa"/>
            <w:vAlign w:val="bottom"/>
          </w:tcPr>
          <w:p>
            <w:pPr>
              <w:spacing w:after="0"/>
              <w:rPr>
                <w:sz w:val="9"/>
                <w:szCs w:val="9"/>
                <w:color w:val="auto"/>
              </w:rPr>
            </w:pPr>
          </w:p>
        </w:tc>
        <w:tc>
          <w:tcPr>
            <w:tcW w:w="700" w:type="dxa"/>
            <w:vAlign w:val="bottom"/>
            <w:vMerge w:val="continue"/>
            <w:shd w:val="clear" w:color="auto" w:fill="EAEAEA"/>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880" w:type="dxa"/>
            <w:vAlign w:val="bottom"/>
          </w:tcPr>
          <w:p>
            <w:pPr>
              <w:spacing w:after="0"/>
              <w:rPr>
                <w:sz w:val="7"/>
                <w:szCs w:val="7"/>
                <w:color w:val="auto"/>
              </w:rPr>
            </w:pPr>
          </w:p>
        </w:tc>
        <w:tc>
          <w:tcPr>
            <w:tcW w:w="300" w:type="dxa"/>
            <w:vAlign w:val="bottom"/>
            <w:shd w:val="clear" w:color="auto" w:fill="EAEAEA"/>
          </w:tcPr>
          <w:p>
            <w:pPr>
              <w:spacing w:after="0"/>
              <w:rPr>
                <w:sz w:val="7"/>
                <w:szCs w:val="7"/>
                <w:color w:val="auto"/>
              </w:rPr>
            </w:pPr>
          </w:p>
        </w:tc>
        <w:tc>
          <w:tcPr>
            <w:tcW w:w="600" w:type="dxa"/>
            <w:vAlign w:val="bottom"/>
          </w:tcPr>
          <w:p>
            <w:pPr>
              <w:spacing w:after="0"/>
              <w:rPr>
                <w:sz w:val="7"/>
                <w:szCs w:val="7"/>
                <w:color w:val="auto"/>
              </w:rPr>
            </w:pPr>
          </w:p>
        </w:tc>
        <w:tc>
          <w:tcPr>
            <w:tcW w:w="4280" w:type="dxa"/>
            <w:vAlign w:val="bottom"/>
            <w:vMerge w:val="continue"/>
            <w:shd w:val="clear" w:color="auto" w:fill="EAEAEA"/>
          </w:tcPr>
          <w:p>
            <w:pPr>
              <w:spacing w:after="0"/>
              <w:rPr>
                <w:sz w:val="7"/>
                <w:szCs w:val="7"/>
                <w:color w:val="auto"/>
              </w:rPr>
            </w:pPr>
          </w:p>
        </w:tc>
        <w:tc>
          <w:tcPr>
            <w:tcW w:w="880" w:type="dxa"/>
            <w:vAlign w:val="bottom"/>
          </w:tcPr>
          <w:p>
            <w:pPr>
              <w:spacing w:after="0"/>
              <w:rPr>
                <w:sz w:val="7"/>
                <w:szCs w:val="7"/>
                <w:color w:val="auto"/>
              </w:rPr>
            </w:pPr>
          </w:p>
        </w:tc>
        <w:tc>
          <w:tcPr>
            <w:tcW w:w="700" w:type="dxa"/>
            <w:vAlign w:val="bottom"/>
            <w:shd w:val="clear" w:color="auto" w:fill="EAEAEA"/>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880" w:type="dxa"/>
            <w:vAlign w:val="bottom"/>
            <w:tcBorders>
              <w:bottom w:val="single" w:sz="8" w:color="0066BA"/>
            </w:tcBorders>
          </w:tcPr>
          <w:p>
            <w:pPr>
              <w:spacing w:after="0"/>
              <w:rPr>
                <w:sz w:val="14"/>
                <w:szCs w:val="14"/>
                <w:color w:val="auto"/>
              </w:rPr>
            </w:pPr>
          </w:p>
        </w:tc>
        <w:tc>
          <w:tcPr>
            <w:tcW w:w="300" w:type="dxa"/>
            <w:vAlign w:val="bottom"/>
            <w:tcBorders>
              <w:bottom w:val="single" w:sz="8" w:color="0066BA"/>
            </w:tcBorders>
            <w:shd w:val="clear" w:color="auto" w:fill="EAEAEA"/>
          </w:tcPr>
          <w:p>
            <w:pPr>
              <w:spacing w:after="0"/>
              <w:rPr>
                <w:sz w:val="14"/>
                <w:szCs w:val="14"/>
                <w:color w:val="auto"/>
              </w:rPr>
            </w:pPr>
          </w:p>
        </w:tc>
        <w:tc>
          <w:tcPr>
            <w:tcW w:w="600" w:type="dxa"/>
            <w:vAlign w:val="bottom"/>
            <w:tcBorders>
              <w:bottom w:val="single" w:sz="8" w:color="0066BA"/>
            </w:tcBorders>
          </w:tcPr>
          <w:p>
            <w:pPr>
              <w:spacing w:after="0"/>
              <w:rPr>
                <w:sz w:val="14"/>
                <w:szCs w:val="14"/>
                <w:color w:val="auto"/>
              </w:rPr>
            </w:pPr>
          </w:p>
        </w:tc>
        <w:tc>
          <w:tcPr>
            <w:tcW w:w="4280" w:type="dxa"/>
            <w:vAlign w:val="bottom"/>
            <w:tcBorders>
              <w:bottom w:val="single" w:sz="8" w:color="0066BA"/>
            </w:tcBorders>
            <w:shd w:val="clear" w:color="auto" w:fill="EAEAEA"/>
          </w:tcPr>
          <w:p>
            <w:pPr>
              <w:spacing w:after="0"/>
              <w:rPr>
                <w:sz w:val="14"/>
                <w:szCs w:val="14"/>
                <w:color w:val="auto"/>
              </w:rPr>
            </w:pPr>
          </w:p>
        </w:tc>
        <w:tc>
          <w:tcPr>
            <w:tcW w:w="880" w:type="dxa"/>
            <w:vAlign w:val="bottom"/>
            <w:tcBorders>
              <w:bottom w:val="single" w:sz="8" w:color="0066BA"/>
            </w:tcBorders>
          </w:tcPr>
          <w:p>
            <w:pPr>
              <w:spacing w:after="0"/>
              <w:rPr>
                <w:sz w:val="14"/>
                <w:szCs w:val="14"/>
                <w:color w:val="auto"/>
              </w:rPr>
            </w:pPr>
          </w:p>
        </w:tc>
        <w:tc>
          <w:tcPr>
            <w:tcW w:w="700" w:type="dxa"/>
            <w:vAlign w:val="bottom"/>
            <w:tcBorders>
              <w:bottom w:val="single" w:sz="8" w:color="0066BA"/>
            </w:tcBorders>
            <w:shd w:val="clear" w:color="auto" w:fill="EAEAEA"/>
          </w:tcPr>
          <w:p>
            <w:pPr>
              <w:spacing w:after="0"/>
              <w:rPr>
                <w:sz w:val="14"/>
                <w:szCs w:val="14"/>
                <w:color w:val="auto"/>
              </w:rPr>
            </w:pPr>
          </w:p>
        </w:tc>
        <w:tc>
          <w:tcPr>
            <w:tcW w:w="980" w:type="dxa"/>
            <w:vAlign w:val="bottom"/>
            <w:tcBorders>
              <w:bottom w:val="single" w:sz="8" w:color="0066BA"/>
            </w:tcBorders>
          </w:tcPr>
          <w:p>
            <w:pPr>
              <w:spacing w:after="0"/>
              <w:rPr>
                <w:sz w:val="14"/>
                <w:szCs w:val="14"/>
                <w:color w:val="auto"/>
              </w:rPr>
            </w:pPr>
          </w:p>
        </w:tc>
        <w:tc>
          <w:tcPr>
            <w:tcW w:w="0" w:type="dxa"/>
            <w:vAlign w:val="bottom"/>
          </w:tcPr>
          <w:p>
            <w:pPr>
              <w:spacing w:after="0"/>
              <w:rPr>
                <w:sz w:val="1"/>
                <w:szCs w:val="1"/>
                <w:color w:val="auto"/>
              </w:rPr>
            </w:pPr>
          </w:p>
        </w:tc>
      </w:tr>
      <w:tr>
        <w:trPr>
          <w:trHeight w:val="328"/>
        </w:trPr>
        <w:tc>
          <w:tcPr>
            <w:tcW w:w="2880" w:type="dxa"/>
            <w:vAlign w:val="bottom"/>
            <w:vMerge w:val="restart"/>
          </w:tcPr>
          <w:p>
            <w:pPr>
              <w:ind w:left="940"/>
              <w:spacing w:after="0"/>
              <w:rPr>
                <w:sz w:val="20"/>
                <w:szCs w:val="20"/>
                <w:color w:val="auto"/>
              </w:rPr>
            </w:pPr>
            <w:r>
              <w:rPr>
                <w:rFonts w:ascii="Arial" w:cs="Arial" w:eastAsia="Arial" w:hAnsi="Arial"/>
                <w:sz w:val="16"/>
                <w:szCs w:val="16"/>
                <w:b w:val="1"/>
                <w:bCs w:val="1"/>
                <w:color w:val="0066BA"/>
              </w:rPr>
              <w:t>Kenton J. Sicchitano</w:t>
            </w:r>
          </w:p>
        </w:tc>
        <w:tc>
          <w:tcPr>
            <w:tcW w:w="30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77</w:t>
            </w:r>
          </w:p>
        </w:tc>
        <w:tc>
          <w:tcPr>
            <w:tcW w:w="600" w:type="dxa"/>
            <w:vAlign w:val="bottom"/>
            <w:vMerge w:val="restart"/>
          </w:tcPr>
          <w:p>
            <w:pPr>
              <w:jc w:val="right"/>
              <w:ind w:right="42"/>
              <w:spacing w:after="0"/>
              <w:rPr>
                <w:sz w:val="20"/>
                <w:szCs w:val="20"/>
                <w:color w:val="auto"/>
              </w:rPr>
            </w:pPr>
            <w:r>
              <w:rPr>
                <w:rFonts w:ascii="Arial" w:cs="Arial" w:eastAsia="Arial" w:hAnsi="Arial"/>
                <w:sz w:val="16"/>
                <w:szCs w:val="16"/>
                <w:color w:val="auto"/>
              </w:rPr>
              <w:t>2003</w:t>
            </w:r>
          </w:p>
        </w:tc>
        <w:tc>
          <w:tcPr>
            <w:tcW w:w="4280" w:type="dxa"/>
            <w:vAlign w:val="bottom"/>
            <w:shd w:val="clear" w:color="auto" w:fill="EAEAEA"/>
          </w:tcPr>
          <w:p>
            <w:pPr>
              <w:ind w:left="40"/>
              <w:spacing w:after="0"/>
              <w:rPr>
                <w:sz w:val="20"/>
                <w:szCs w:val="20"/>
                <w:color w:val="auto"/>
              </w:rPr>
            </w:pPr>
            <w:r>
              <w:rPr>
                <w:rFonts w:ascii="Arial" w:cs="Arial" w:eastAsia="Arial" w:hAnsi="Arial"/>
                <w:sz w:val="16"/>
                <w:szCs w:val="16"/>
                <w:color w:val="auto"/>
              </w:rPr>
              <w:t>Former Global Managing Partner of</w:t>
            </w:r>
          </w:p>
        </w:tc>
        <w:tc>
          <w:tcPr>
            <w:tcW w:w="880" w:type="dxa"/>
            <w:vAlign w:val="bottom"/>
          </w:tcPr>
          <w:p>
            <w:pPr>
              <w:spacing w:after="0"/>
              <w:rPr>
                <w:sz w:val="24"/>
                <w:szCs w:val="24"/>
                <w:color w:val="auto"/>
              </w:rPr>
            </w:pPr>
          </w:p>
        </w:tc>
        <w:tc>
          <w:tcPr>
            <w:tcW w:w="700" w:type="dxa"/>
            <w:vAlign w:val="bottom"/>
            <w:vMerge w:val="restart"/>
            <w:shd w:val="clear" w:color="auto" w:fill="EAEAEA"/>
          </w:tcPr>
          <w:p>
            <w:pPr>
              <w:jc w:val="center"/>
              <w:spacing w:after="0"/>
              <w:rPr>
                <w:sz w:val="20"/>
                <w:szCs w:val="20"/>
                <w:color w:val="auto"/>
              </w:rPr>
            </w:pPr>
            <w:r>
              <w:rPr>
                <w:rFonts w:ascii="Arial" w:cs="Arial" w:eastAsia="Arial" w:hAnsi="Arial"/>
                <w:sz w:val="16"/>
                <w:szCs w:val="16"/>
                <w:color w:val="auto"/>
                <w:w w:val="99"/>
              </w:rPr>
              <w:t>—</w:t>
            </w:r>
          </w:p>
        </w:tc>
        <w:tc>
          <w:tcPr>
            <w:tcW w:w="980" w:type="dxa"/>
            <w:vAlign w:val="bottom"/>
            <w:vMerge w:val="restart"/>
          </w:tcPr>
          <w:p>
            <w:pPr>
              <w:ind w:left="40"/>
              <w:spacing w:after="0"/>
              <w:rPr>
                <w:sz w:val="20"/>
                <w:szCs w:val="20"/>
                <w:color w:val="auto"/>
              </w:rPr>
            </w:pPr>
            <w:r>
              <w:rPr>
                <w:rFonts w:ascii="Arial" w:cs="Arial" w:eastAsia="Arial" w:hAnsi="Arial"/>
                <w:sz w:val="16"/>
                <w:szCs w:val="16"/>
                <w:color w:val="auto"/>
              </w:rPr>
              <w:t>NCGC</w:t>
            </w:r>
          </w:p>
        </w:tc>
        <w:tc>
          <w:tcPr>
            <w:tcW w:w="0" w:type="dxa"/>
            <w:vAlign w:val="bottom"/>
          </w:tcPr>
          <w:p>
            <w:pPr>
              <w:spacing w:after="0"/>
              <w:rPr>
                <w:sz w:val="1"/>
                <w:szCs w:val="1"/>
                <w:color w:val="auto"/>
              </w:rPr>
            </w:pPr>
          </w:p>
        </w:tc>
      </w:tr>
      <w:tr>
        <w:trPr>
          <w:trHeight w:val="108"/>
        </w:trPr>
        <w:tc>
          <w:tcPr>
            <w:tcW w:w="2880" w:type="dxa"/>
            <w:vAlign w:val="bottom"/>
            <w:vMerge w:val="continue"/>
          </w:tcPr>
          <w:p>
            <w:pPr>
              <w:spacing w:after="0"/>
              <w:rPr>
                <w:sz w:val="9"/>
                <w:szCs w:val="9"/>
                <w:color w:val="auto"/>
              </w:rPr>
            </w:pPr>
          </w:p>
        </w:tc>
        <w:tc>
          <w:tcPr>
            <w:tcW w:w="300" w:type="dxa"/>
            <w:vAlign w:val="bottom"/>
            <w:vMerge w:val="continue"/>
            <w:shd w:val="clear" w:color="auto" w:fill="EAEAEA"/>
          </w:tcPr>
          <w:p>
            <w:pPr>
              <w:spacing w:after="0"/>
              <w:rPr>
                <w:sz w:val="9"/>
                <w:szCs w:val="9"/>
                <w:color w:val="auto"/>
              </w:rPr>
            </w:pPr>
          </w:p>
        </w:tc>
        <w:tc>
          <w:tcPr>
            <w:tcW w:w="600" w:type="dxa"/>
            <w:vAlign w:val="bottom"/>
            <w:vMerge w:val="continue"/>
          </w:tcPr>
          <w:p>
            <w:pPr>
              <w:spacing w:after="0"/>
              <w:rPr>
                <w:sz w:val="9"/>
                <w:szCs w:val="9"/>
                <w:color w:val="auto"/>
              </w:rPr>
            </w:pPr>
          </w:p>
        </w:tc>
        <w:tc>
          <w:tcPr>
            <w:tcW w:w="4280" w:type="dxa"/>
            <w:vAlign w:val="bottom"/>
            <w:vMerge w:val="restart"/>
            <w:shd w:val="clear" w:color="auto" w:fill="EAEAEA"/>
          </w:tcPr>
          <w:p>
            <w:pPr>
              <w:ind w:left="40"/>
              <w:spacing w:after="0"/>
              <w:rPr>
                <w:sz w:val="20"/>
                <w:szCs w:val="20"/>
                <w:color w:val="auto"/>
              </w:rPr>
            </w:pPr>
            <w:r>
              <w:rPr>
                <w:rFonts w:ascii="Arial" w:cs="Arial" w:eastAsia="Arial" w:hAnsi="Arial"/>
                <w:sz w:val="16"/>
                <w:szCs w:val="16"/>
                <w:color w:val="auto"/>
              </w:rPr>
              <w:t>PricewaterhouseCoopers LLP</w:t>
            </w:r>
          </w:p>
        </w:tc>
        <w:tc>
          <w:tcPr>
            <w:tcW w:w="880" w:type="dxa"/>
            <w:vAlign w:val="bottom"/>
          </w:tcPr>
          <w:p>
            <w:pPr>
              <w:spacing w:after="0"/>
              <w:rPr>
                <w:sz w:val="9"/>
                <w:szCs w:val="9"/>
                <w:color w:val="auto"/>
              </w:rPr>
            </w:pPr>
          </w:p>
        </w:tc>
        <w:tc>
          <w:tcPr>
            <w:tcW w:w="700" w:type="dxa"/>
            <w:vAlign w:val="bottom"/>
            <w:vMerge w:val="continue"/>
            <w:shd w:val="clear" w:color="auto" w:fill="EAEAEA"/>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880" w:type="dxa"/>
            <w:vAlign w:val="bottom"/>
          </w:tcPr>
          <w:p>
            <w:pPr>
              <w:spacing w:after="0"/>
              <w:rPr>
                <w:sz w:val="7"/>
                <w:szCs w:val="7"/>
                <w:color w:val="auto"/>
              </w:rPr>
            </w:pPr>
          </w:p>
        </w:tc>
        <w:tc>
          <w:tcPr>
            <w:tcW w:w="300" w:type="dxa"/>
            <w:vAlign w:val="bottom"/>
            <w:shd w:val="clear" w:color="auto" w:fill="EAEAEA"/>
          </w:tcPr>
          <w:p>
            <w:pPr>
              <w:spacing w:after="0"/>
              <w:rPr>
                <w:sz w:val="7"/>
                <w:szCs w:val="7"/>
                <w:color w:val="auto"/>
              </w:rPr>
            </w:pPr>
          </w:p>
        </w:tc>
        <w:tc>
          <w:tcPr>
            <w:tcW w:w="600" w:type="dxa"/>
            <w:vAlign w:val="bottom"/>
          </w:tcPr>
          <w:p>
            <w:pPr>
              <w:spacing w:after="0"/>
              <w:rPr>
                <w:sz w:val="7"/>
                <w:szCs w:val="7"/>
                <w:color w:val="auto"/>
              </w:rPr>
            </w:pPr>
          </w:p>
        </w:tc>
        <w:tc>
          <w:tcPr>
            <w:tcW w:w="4280" w:type="dxa"/>
            <w:vAlign w:val="bottom"/>
            <w:vMerge w:val="continue"/>
            <w:shd w:val="clear" w:color="auto" w:fill="EAEAEA"/>
          </w:tcPr>
          <w:p>
            <w:pPr>
              <w:spacing w:after="0"/>
              <w:rPr>
                <w:sz w:val="7"/>
                <w:szCs w:val="7"/>
                <w:color w:val="auto"/>
              </w:rPr>
            </w:pPr>
          </w:p>
        </w:tc>
        <w:tc>
          <w:tcPr>
            <w:tcW w:w="880" w:type="dxa"/>
            <w:vAlign w:val="bottom"/>
          </w:tcPr>
          <w:p>
            <w:pPr>
              <w:spacing w:after="0"/>
              <w:rPr>
                <w:sz w:val="7"/>
                <w:szCs w:val="7"/>
                <w:color w:val="auto"/>
              </w:rPr>
            </w:pPr>
          </w:p>
        </w:tc>
        <w:tc>
          <w:tcPr>
            <w:tcW w:w="700" w:type="dxa"/>
            <w:vAlign w:val="bottom"/>
            <w:shd w:val="clear" w:color="auto" w:fill="EAEAEA"/>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880" w:type="dxa"/>
            <w:vAlign w:val="bottom"/>
            <w:tcBorders>
              <w:bottom w:val="single" w:sz="8" w:color="0066BA"/>
            </w:tcBorders>
          </w:tcPr>
          <w:p>
            <w:pPr>
              <w:spacing w:after="0"/>
              <w:rPr>
                <w:sz w:val="14"/>
                <w:szCs w:val="14"/>
                <w:color w:val="auto"/>
              </w:rPr>
            </w:pPr>
          </w:p>
        </w:tc>
        <w:tc>
          <w:tcPr>
            <w:tcW w:w="300" w:type="dxa"/>
            <w:vAlign w:val="bottom"/>
            <w:tcBorders>
              <w:bottom w:val="single" w:sz="8" w:color="0066BA"/>
            </w:tcBorders>
            <w:shd w:val="clear" w:color="auto" w:fill="EAEAEA"/>
          </w:tcPr>
          <w:p>
            <w:pPr>
              <w:spacing w:after="0"/>
              <w:rPr>
                <w:sz w:val="14"/>
                <w:szCs w:val="14"/>
                <w:color w:val="auto"/>
              </w:rPr>
            </w:pPr>
          </w:p>
        </w:tc>
        <w:tc>
          <w:tcPr>
            <w:tcW w:w="600" w:type="dxa"/>
            <w:vAlign w:val="bottom"/>
            <w:tcBorders>
              <w:bottom w:val="single" w:sz="8" w:color="0066BA"/>
            </w:tcBorders>
          </w:tcPr>
          <w:p>
            <w:pPr>
              <w:spacing w:after="0"/>
              <w:rPr>
                <w:sz w:val="14"/>
                <w:szCs w:val="14"/>
                <w:color w:val="auto"/>
              </w:rPr>
            </w:pPr>
          </w:p>
        </w:tc>
        <w:tc>
          <w:tcPr>
            <w:tcW w:w="4280" w:type="dxa"/>
            <w:vAlign w:val="bottom"/>
            <w:tcBorders>
              <w:bottom w:val="single" w:sz="8" w:color="0066BA"/>
            </w:tcBorders>
            <w:shd w:val="clear" w:color="auto" w:fill="EAEAEA"/>
          </w:tcPr>
          <w:p>
            <w:pPr>
              <w:spacing w:after="0"/>
              <w:rPr>
                <w:sz w:val="14"/>
                <w:szCs w:val="14"/>
                <w:color w:val="auto"/>
              </w:rPr>
            </w:pPr>
          </w:p>
        </w:tc>
        <w:tc>
          <w:tcPr>
            <w:tcW w:w="880" w:type="dxa"/>
            <w:vAlign w:val="bottom"/>
            <w:tcBorders>
              <w:bottom w:val="single" w:sz="8" w:color="0066BA"/>
            </w:tcBorders>
          </w:tcPr>
          <w:p>
            <w:pPr>
              <w:spacing w:after="0"/>
              <w:rPr>
                <w:sz w:val="14"/>
                <w:szCs w:val="14"/>
                <w:color w:val="auto"/>
              </w:rPr>
            </w:pPr>
          </w:p>
        </w:tc>
        <w:tc>
          <w:tcPr>
            <w:tcW w:w="700" w:type="dxa"/>
            <w:vAlign w:val="bottom"/>
            <w:tcBorders>
              <w:bottom w:val="single" w:sz="8" w:color="0066BA"/>
            </w:tcBorders>
            <w:shd w:val="clear" w:color="auto" w:fill="EAEAEA"/>
          </w:tcPr>
          <w:p>
            <w:pPr>
              <w:spacing w:after="0"/>
              <w:rPr>
                <w:sz w:val="14"/>
                <w:szCs w:val="14"/>
                <w:color w:val="auto"/>
              </w:rPr>
            </w:pPr>
          </w:p>
        </w:tc>
        <w:tc>
          <w:tcPr>
            <w:tcW w:w="980" w:type="dxa"/>
            <w:vAlign w:val="bottom"/>
            <w:tcBorders>
              <w:bottom w:val="single" w:sz="8" w:color="0066BA"/>
            </w:tcBorders>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880" w:type="dxa"/>
            <w:vAlign w:val="bottom"/>
          </w:tcPr>
          <w:p>
            <w:pPr>
              <w:spacing w:after="0"/>
              <w:rPr>
                <w:sz w:val="19"/>
                <w:szCs w:val="19"/>
                <w:color w:val="auto"/>
              </w:rPr>
            </w:pPr>
          </w:p>
        </w:tc>
        <w:tc>
          <w:tcPr>
            <w:tcW w:w="300" w:type="dxa"/>
            <w:vAlign w:val="bottom"/>
            <w:shd w:val="clear" w:color="auto" w:fill="EAEAEA"/>
          </w:tcPr>
          <w:p>
            <w:pPr>
              <w:spacing w:after="0"/>
              <w:rPr>
                <w:sz w:val="19"/>
                <w:szCs w:val="19"/>
                <w:color w:val="auto"/>
              </w:rPr>
            </w:pPr>
          </w:p>
        </w:tc>
        <w:tc>
          <w:tcPr>
            <w:tcW w:w="600" w:type="dxa"/>
            <w:vAlign w:val="bottom"/>
          </w:tcPr>
          <w:p>
            <w:pPr>
              <w:spacing w:after="0"/>
              <w:rPr>
                <w:sz w:val="19"/>
                <w:szCs w:val="19"/>
                <w:color w:val="auto"/>
              </w:rPr>
            </w:pPr>
          </w:p>
        </w:tc>
        <w:tc>
          <w:tcPr>
            <w:tcW w:w="4280" w:type="dxa"/>
            <w:vAlign w:val="bottom"/>
            <w:shd w:val="clear" w:color="auto" w:fill="EAEAEA"/>
          </w:tcPr>
          <w:p>
            <w:pPr>
              <w:ind w:left="40"/>
              <w:spacing w:after="0"/>
              <w:rPr>
                <w:sz w:val="20"/>
                <w:szCs w:val="20"/>
                <w:color w:val="auto"/>
              </w:rPr>
            </w:pPr>
            <w:r>
              <w:rPr>
                <w:rFonts w:ascii="Arial" w:cs="Arial" w:eastAsia="Arial" w:hAnsi="Arial"/>
                <w:sz w:val="16"/>
                <w:szCs w:val="16"/>
                <w:color w:val="auto"/>
              </w:rPr>
              <w:t>Former Senior Vice President and General</w:t>
            </w:r>
          </w:p>
        </w:tc>
        <w:tc>
          <w:tcPr>
            <w:tcW w:w="880" w:type="dxa"/>
            <w:vAlign w:val="bottom"/>
          </w:tcPr>
          <w:p>
            <w:pPr>
              <w:spacing w:after="0"/>
              <w:rPr>
                <w:sz w:val="19"/>
                <w:szCs w:val="19"/>
                <w:color w:val="auto"/>
              </w:rPr>
            </w:pPr>
          </w:p>
        </w:tc>
        <w:tc>
          <w:tcPr>
            <w:tcW w:w="700" w:type="dxa"/>
            <w:vAlign w:val="bottom"/>
            <w:shd w:val="clear" w:color="auto" w:fill="EAEAEA"/>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880" w:type="dxa"/>
            <w:vAlign w:val="bottom"/>
          </w:tcPr>
          <w:p>
            <w:pPr>
              <w:ind w:left="940"/>
              <w:spacing w:after="0"/>
              <w:rPr>
                <w:sz w:val="20"/>
                <w:szCs w:val="20"/>
                <w:color w:val="auto"/>
              </w:rPr>
            </w:pPr>
            <w:r>
              <w:rPr>
                <w:rFonts w:ascii="Arial" w:cs="Arial" w:eastAsia="Arial" w:hAnsi="Arial"/>
                <w:sz w:val="16"/>
                <w:szCs w:val="16"/>
                <w:b w:val="1"/>
                <w:bCs w:val="1"/>
                <w:color w:val="0066BA"/>
              </w:rPr>
              <w:t>Susie Wee</w:t>
            </w:r>
          </w:p>
        </w:tc>
        <w:tc>
          <w:tcPr>
            <w:tcW w:w="3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52</w:t>
            </w:r>
          </w:p>
        </w:tc>
        <w:tc>
          <w:tcPr>
            <w:tcW w:w="600" w:type="dxa"/>
            <w:vAlign w:val="bottom"/>
          </w:tcPr>
          <w:p>
            <w:pPr>
              <w:jc w:val="right"/>
              <w:ind w:right="42"/>
              <w:spacing w:after="0"/>
              <w:rPr>
                <w:sz w:val="20"/>
                <w:szCs w:val="20"/>
                <w:color w:val="auto"/>
              </w:rPr>
            </w:pPr>
            <w:r>
              <w:rPr>
                <w:rFonts w:ascii="Arial" w:cs="Arial" w:eastAsia="Arial" w:hAnsi="Arial"/>
                <w:sz w:val="16"/>
                <w:szCs w:val="16"/>
                <w:color w:val="auto"/>
              </w:rPr>
              <w:t>2019</w:t>
            </w:r>
          </w:p>
        </w:tc>
        <w:tc>
          <w:tcPr>
            <w:tcW w:w="4280" w:type="dxa"/>
            <w:vAlign w:val="bottom"/>
            <w:shd w:val="clear" w:color="auto" w:fill="EAEAEA"/>
          </w:tcPr>
          <w:p>
            <w:pPr>
              <w:ind w:left="40"/>
              <w:spacing w:after="0"/>
              <w:rPr>
                <w:sz w:val="20"/>
                <w:szCs w:val="20"/>
                <w:color w:val="auto"/>
              </w:rPr>
            </w:pPr>
            <w:r>
              <w:rPr>
                <w:rFonts w:ascii="Arial" w:cs="Arial" w:eastAsia="Arial" w:hAnsi="Arial"/>
                <w:sz w:val="16"/>
                <w:szCs w:val="16"/>
                <w:color w:val="auto"/>
              </w:rPr>
              <w:t>Manager of DevNet and CX Ecosystem</w:t>
            </w:r>
          </w:p>
        </w:tc>
        <w:tc>
          <w:tcPr>
            <w:tcW w:w="880" w:type="dxa"/>
            <w:vAlign w:val="bottom"/>
          </w:tcPr>
          <w:p>
            <w:pPr>
              <w:spacing w:after="0"/>
              <w:rPr>
                <w:sz w:val="16"/>
                <w:szCs w:val="16"/>
                <w:color w:val="auto"/>
              </w:rPr>
            </w:pPr>
          </w:p>
        </w:tc>
        <w:tc>
          <w:tcPr>
            <w:tcW w:w="700" w:type="dxa"/>
            <w:vAlign w:val="bottom"/>
            <w:shd w:val="clear" w:color="auto" w:fill="EAEAEA"/>
          </w:tcPr>
          <w:p>
            <w:pPr>
              <w:jc w:val="center"/>
              <w:spacing w:after="0"/>
              <w:rPr>
                <w:sz w:val="20"/>
                <w:szCs w:val="20"/>
                <w:color w:val="auto"/>
              </w:rPr>
            </w:pPr>
            <w:r>
              <w:rPr>
                <w:rFonts w:ascii="Arial" w:cs="Arial" w:eastAsia="Arial" w:hAnsi="Arial"/>
                <w:sz w:val="16"/>
                <w:szCs w:val="16"/>
                <w:color w:val="auto"/>
                <w:w w:val="99"/>
              </w:rPr>
              <w:t>—</w:t>
            </w:r>
          </w:p>
        </w:tc>
        <w:tc>
          <w:tcPr>
            <w:tcW w:w="980" w:type="dxa"/>
            <w:vAlign w:val="bottom"/>
          </w:tcPr>
          <w:p>
            <w:pPr>
              <w:ind w:left="40"/>
              <w:spacing w:after="0"/>
              <w:rPr>
                <w:sz w:val="20"/>
                <w:szCs w:val="20"/>
                <w:color w:val="auto"/>
              </w:rPr>
            </w:pPr>
            <w:r>
              <w:rPr>
                <w:rFonts w:ascii="Arial" w:cs="Arial" w:eastAsia="Arial" w:hAnsi="Arial"/>
                <w:sz w:val="16"/>
                <w:szCs w:val="16"/>
                <w:color w:val="auto"/>
              </w:rPr>
              <w:t>CC</w:t>
            </w:r>
          </w:p>
        </w:tc>
        <w:tc>
          <w:tcPr>
            <w:tcW w:w="0" w:type="dxa"/>
            <w:vAlign w:val="bottom"/>
          </w:tcPr>
          <w:p>
            <w:pPr>
              <w:spacing w:after="0"/>
              <w:rPr>
                <w:sz w:val="1"/>
                <w:szCs w:val="1"/>
                <w:color w:val="auto"/>
              </w:rPr>
            </w:pPr>
          </w:p>
        </w:tc>
      </w:tr>
      <w:tr>
        <w:trPr>
          <w:trHeight w:val="199"/>
        </w:trPr>
        <w:tc>
          <w:tcPr>
            <w:tcW w:w="2880" w:type="dxa"/>
            <w:vAlign w:val="bottom"/>
          </w:tcPr>
          <w:p>
            <w:pPr>
              <w:spacing w:after="0"/>
              <w:rPr>
                <w:sz w:val="17"/>
                <w:szCs w:val="17"/>
                <w:color w:val="auto"/>
              </w:rPr>
            </w:pPr>
          </w:p>
        </w:tc>
        <w:tc>
          <w:tcPr>
            <w:tcW w:w="300" w:type="dxa"/>
            <w:vAlign w:val="bottom"/>
            <w:shd w:val="clear" w:color="auto" w:fill="EAEAEA"/>
          </w:tcPr>
          <w:p>
            <w:pPr>
              <w:spacing w:after="0"/>
              <w:rPr>
                <w:sz w:val="17"/>
                <w:szCs w:val="17"/>
                <w:color w:val="auto"/>
              </w:rPr>
            </w:pPr>
          </w:p>
        </w:tc>
        <w:tc>
          <w:tcPr>
            <w:tcW w:w="600" w:type="dxa"/>
            <w:vAlign w:val="bottom"/>
          </w:tcPr>
          <w:p>
            <w:pPr>
              <w:spacing w:after="0"/>
              <w:rPr>
                <w:sz w:val="17"/>
                <w:szCs w:val="17"/>
                <w:color w:val="auto"/>
              </w:rPr>
            </w:pPr>
          </w:p>
        </w:tc>
        <w:tc>
          <w:tcPr>
            <w:tcW w:w="4280" w:type="dxa"/>
            <w:vAlign w:val="bottom"/>
            <w:shd w:val="clear" w:color="auto" w:fill="EAEAEA"/>
          </w:tcPr>
          <w:p>
            <w:pPr>
              <w:ind w:left="40"/>
              <w:spacing w:after="0"/>
              <w:rPr>
                <w:sz w:val="20"/>
                <w:szCs w:val="20"/>
                <w:color w:val="auto"/>
              </w:rPr>
            </w:pPr>
            <w:r>
              <w:rPr>
                <w:rFonts w:ascii="Arial" w:cs="Arial" w:eastAsia="Arial" w:hAnsi="Arial"/>
                <w:sz w:val="16"/>
                <w:szCs w:val="16"/>
                <w:color w:val="auto"/>
              </w:rPr>
              <w:t>Success at Cisco Systems</w:t>
            </w:r>
          </w:p>
        </w:tc>
        <w:tc>
          <w:tcPr>
            <w:tcW w:w="880" w:type="dxa"/>
            <w:vAlign w:val="bottom"/>
          </w:tcPr>
          <w:p>
            <w:pPr>
              <w:spacing w:after="0"/>
              <w:rPr>
                <w:sz w:val="17"/>
                <w:szCs w:val="17"/>
                <w:color w:val="auto"/>
              </w:rPr>
            </w:pPr>
          </w:p>
        </w:tc>
        <w:tc>
          <w:tcPr>
            <w:tcW w:w="700" w:type="dxa"/>
            <w:vAlign w:val="bottom"/>
            <w:shd w:val="clear" w:color="auto" w:fill="EAEAEA"/>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2880" w:type="dxa"/>
            <w:vAlign w:val="bottom"/>
            <w:tcBorders>
              <w:bottom w:val="single" w:sz="8" w:color="0066BA"/>
            </w:tcBorders>
          </w:tcPr>
          <w:p>
            <w:pPr>
              <w:spacing w:after="0"/>
              <w:rPr>
                <w:sz w:val="6"/>
                <w:szCs w:val="6"/>
                <w:color w:val="auto"/>
              </w:rPr>
            </w:pPr>
          </w:p>
        </w:tc>
        <w:tc>
          <w:tcPr>
            <w:tcW w:w="300" w:type="dxa"/>
            <w:vAlign w:val="bottom"/>
            <w:tcBorders>
              <w:bottom w:val="single" w:sz="8" w:color="0066BA"/>
            </w:tcBorders>
            <w:shd w:val="clear" w:color="auto" w:fill="EAEAEA"/>
          </w:tcPr>
          <w:p>
            <w:pPr>
              <w:spacing w:after="0"/>
              <w:rPr>
                <w:sz w:val="6"/>
                <w:szCs w:val="6"/>
                <w:color w:val="auto"/>
              </w:rPr>
            </w:pPr>
          </w:p>
        </w:tc>
        <w:tc>
          <w:tcPr>
            <w:tcW w:w="600" w:type="dxa"/>
            <w:vAlign w:val="bottom"/>
            <w:tcBorders>
              <w:bottom w:val="single" w:sz="8" w:color="0066BA"/>
            </w:tcBorders>
          </w:tcPr>
          <w:p>
            <w:pPr>
              <w:spacing w:after="0"/>
              <w:rPr>
                <w:sz w:val="6"/>
                <w:szCs w:val="6"/>
                <w:color w:val="auto"/>
              </w:rPr>
            </w:pPr>
          </w:p>
        </w:tc>
        <w:tc>
          <w:tcPr>
            <w:tcW w:w="4280" w:type="dxa"/>
            <w:vAlign w:val="bottom"/>
            <w:tcBorders>
              <w:bottom w:val="single" w:sz="8" w:color="0066BA"/>
            </w:tcBorders>
            <w:shd w:val="clear" w:color="auto" w:fill="EAEAEA"/>
          </w:tcPr>
          <w:p>
            <w:pPr>
              <w:spacing w:after="0"/>
              <w:rPr>
                <w:sz w:val="6"/>
                <w:szCs w:val="6"/>
                <w:color w:val="auto"/>
              </w:rPr>
            </w:pPr>
          </w:p>
        </w:tc>
        <w:tc>
          <w:tcPr>
            <w:tcW w:w="880" w:type="dxa"/>
            <w:vAlign w:val="bottom"/>
            <w:tcBorders>
              <w:bottom w:val="single" w:sz="8" w:color="0066BA"/>
            </w:tcBorders>
          </w:tcPr>
          <w:p>
            <w:pPr>
              <w:spacing w:after="0"/>
              <w:rPr>
                <w:sz w:val="6"/>
                <w:szCs w:val="6"/>
                <w:color w:val="auto"/>
              </w:rPr>
            </w:pPr>
          </w:p>
        </w:tc>
        <w:tc>
          <w:tcPr>
            <w:tcW w:w="700" w:type="dxa"/>
            <w:vAlign w:val="bottom"/>
            <w:tcBorders>
              <w:bottom w:val="single" w:sz="8" w:color="0066BA"/>
            </w:tcBorders>
            <w:shd w:val="clear" w:color="auto" w:fill="EAEAEA"/>
          </w:tcPr>
          <w:p>
            <w:pPr>
              <w:spacing w:after="0"/>
              <w:rPr>
                <w:sz w:val="6"/>
                <w:szCs w:val="6"/>
                <w:color w:val="auto"/>
              </w:rPr>
            </w:pPr>
          </w:p>
        </w:tc>
        <w:tc>
          <w:tcPr>
            <w:tcW w:w="980" w:type="dxa"/>
            <w:vAlign w:val="bottom"/>
            <w:tcBorders>
              <w:bottom w:val="single" w:sz="8" w:color="0066B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-5443220</wp:posOffset>
            </wp:positionV>
            <wp:extent cx="5452110" cy="54356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452110" cy="5435600"/>
                    </a:xfrm>
                    <a:prstGeom prst="rect">
                      <a:avLst/>
                    </a:prstGeom>
                    <a:noFill/>
                  </pic:spPr>
                </pic:pic>
              </a:graphicData>
            </a:graphic>
          </wp:anchor>
        </w:drawing>
      </w:r>
    </w:p>
    <w:p>
      <w:pPr>
        <w:spacing w:after="0" w:line="56" w:lineRule="exact"/>
        <w:rPr>
          <w:sz w:val="20"/>
          <w:szCs w:val="20"/>
          <w:color w:val="auto"/>
        </w:rPr>
      </w:pPr>
    </w:p>
    <w:p>
      <w:pPr>
        <w:ind w:left="320"/>
        <w:spacing w:after="0"/>
        <w:rPr>
          <w:sz w:val="20"/>
          <w:szCs w:val="20"/>
          <w:color w:val="auto"/>
        </w:rPr>
      </w:pPr>
      <w:r>
        <w:rPr>
          <w:rFonts w:ascii="Arial" w:cs="Arial" w:eastAsia="Arial" w:hAnsi="Arial"/>
          <w:sz w:val="13"/>
          <w:szCs w:val="13"/>
          <w:i w:val="1"/>
          <w:iCs w:val="1"/>
          <w:color w:val="auto"/>
        </w:rPr>
        <w:t>AC = Audit Committee CC = Compensation Committee NCGC =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95885</wp:posOffset>
            </wp:positionV>
            <wp:extent cx="140335" cy="925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0335" cy="925195"/>
                    </a:xfrm>
                    <a:prstGeom prst="rect">
                      <a:avLst/>
                    </a:prstGeom>
                    <a:noFill/>
                  </pic:spPr>
                </pic:pic>
              </a:graphicData>
            </a:graphic>
          </wp:anchor>
        </w:drawing>
      </w:r>
    </w:p>
    <w:p>
      <w:pPr>
        <w:sectPr>
          <w:pgSz w:w="11900" w:h="16838" w:orient="portrait"/>
          <w:cols w:equalWidth="0" w:num="1">
            <w:col w:w="10940"/>
          </w:cols>
          <w:pgMar w:left="320" w:top="447" w:right="639" w:bottom="8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940"/>
          </w:cols>
          <w:pgMar w:left="320" w:top="447" w:right="639" w:bottom="854" w:gutter="0" w:footer="0" w:header="0"/>
          <w:type w:val="continuous"/>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0066BA"/>
        </w:rPr>
        <w:t>Board Composition</w:t>
      </w:r>
    </w:p>
    <w:p>
      <w:pPr>
        <w:spacing w:after="0" w:line="124" w:lineRule="exact"/>
        <w:rPr>
          <w:sz w:val="20"/>
          <w:szCs w:val="20"/>
          <w:color w:val="auto"/>
        </w:rPr>
      </w:pPr>
    </w:p>
    <w:p>
      <w:pPr>
        <w:jc w:val="both"/>
        <w:ind w:left="320" w:right="280"/>
        <w:spacing w:after="0" w:line="295" w:lineRule="auto"/>
        <w:rPr>
          <w:sz w:val="20"/>
          <w:szCs w:val="20"/>
          <w:color w:val="auto"/>
        </w:rPr>
      </w:pPr>
      <w:r>
        <w:rPr>
          <w:rFonts w:ascii="Arial" w:cs="Arial" w:eastAsia="Arial" w:hAnsi="Arial"/>
          <w:sz w:val="16"/>
          <w:szCs w:val="16"/>
          <w:color w:val="auto"/>
        </w:rPr>
        <w:t>The Board of Directors and the Nominating and Corporate Governance Committee are committed to ensuring that the Board is composed of a highly capable group of directors who collectively provide a significant breadth of experience, knowledge and ability to effectively represent the interest of shareholders, drive shareholder value and reflect our corporate values of integrity, honesty and adherence to high ethical standards.</w:t>
      </w:r>
    </w:p>
    <w:p>
      <w:pPr>
        <w:spacing w:after="0" w:line="194" w:lineRule="exact"/>
        <w:rPr>
          <w:sz w:val="20"/>
          <w:szCs w:val="20"/>
          <w:color w:val="auto"/>
        </w:rPr>
      </w:pPr>
    </w:p>
    <w:p>
      <w:pPr>
        <w:ind w:left="320"/>
        <w:spacing w:after="0"/>
        <w:tabs>
          <w:tab w:leader="none" w:pos="3160" w:val="left"/>
          <w:tab w:leader="none" w:pos="5840" w:val="left"/>
          <w:tab w:leader="none" w:pos="8520" w:val="left"/>
        </w:tabs>
        <w:rPr>
          <w:sz w:val="20"/>
          <w:szCs w:val="20"/>
          <w:color w:val="auto"/>
        </w:rPr>
      </w:pPr>
      <w:r>
        <w:rPr>
          <w:rFonts w:ascii="Arial" w:cs="Arial" w:eastAsia="Arial" w:hAnsi="Arial"/>
          <w:sz w:val="33"/>
          <w:szCs w:val="33"/>
          <w:color w:val="0066BA"/>
        </w:rPr>
        <w:t>50%</w:t>
      </w:r>
      <w:r>
        <w:rPr>
          <w:sz w:val="20"/>
          <w:szCs w:val="20"/>
          <w:color w:val="auto"/>
        </w:rPr>
        <w:tab/>
      </w:r>
      <w:r>
        <w:rPr>
          <w:rFonts w:ascii="Arial" w:cs="Arial" w:eastAsia="Arial" w:hAnsi="Arial"/>
          <w:sz w:val="33"/>
          <w:szCs w:val="33"/>
          <w:color w:val="0066BA"/>
        </w:rPr>
        <w:t>92%</w:t>
      </w:r>
      <w:r>
        <w:rPr>
          <w:sz w:val="20"/>
          <w:szCs w:val="20"/>
          <w:color w:val="auto"/>
        </w:rPr>
        <w:tab/>
      </w:r>
      <w:r>
        <w:rPr>
          <w:rFonts w:ascii="Arial" w:cs="Arial" w:eastAsia="Arial" w:hAnsi="Arial"/>
          <w:sz w:val="33"/>
          <w:szCs w:val="33"/>
          <w:color w:val="0066BA"/>
        </w:rPr>
        <w:t>36</w:t>
      </w:r>
      <w:r>
        <w:rPr>
          <w:sz w:val="20"/>
          <w:szCs w:val="20"/>
          <w:color w:val="auto"/>
        </w:rPr>
        <w:tab/>
      </w:r>
      <w:r>
        <w:rPr>
          <w:rFonts w:ascii="Arial" w:cs="Arial" w:eastAsia="Arial" w:hAnsi="Arial"/>
          <w:sz w:val="32"/>
          <w:szCs w:val="32"/>
          <w:color w:val="0066BA"/>
        </w:rPr>
        <w:t>9 of 12</w:t>
      </w:r>
    </w:p>
    <w:p>
      <w:pPr>
        <w:sectPr>
          <w:pgSz w:w="11900" w:h="16838" w:orient="portrait"/>
          <w:cols w:equalWidth="0" w:num="1">
            <w:col w:w="10940"/>
          </w:cols>
          <w:pgMar w:left="320" w:top="447" w:right="639" w:bottom="1440" w:gutter="0" w:footer="0" w:header="0"/>
        </w:sectPr>
      </w:pPr>
    </w:p>
    <w:p>
      <w:pPr>
        <w:spacing w:after="0" w:line="87" w:lineRule="exact"/>
        <w:rPr>
          <w:sz w:val="20"/>
          <w:szCs w:val="20"/>
          <w:color w:val="auto"/>
        </w:rPr>
      </w:pPr>
    </w:p>
    <w:p>
      <w:pPr>
        <w:ind w:left="320"/>
        <w:spacing w:after="0"/>
        <w:rPr>
          <w:sz w:val="20"/>
          <w:szCs w:val="20"/>
          <w:color w:val="auto"/>
        </w:rPr>
      </w:pPr>
      <w:r>
        <w:rPr>
          <w:rFonts w:ascii="Arial" w:cs="Arial" w:eastAsia="Arial" w:hAnsi="Arial"/>
          <w:sz w:val="19"/>
          <w:szCs w:val="19"/>
          <w:color w:val="auto"/>
        </w:rPr>
        <w:t>of director</w:t>
      </w:r>
    </w:p>
    <w:p>
      <w:pPr>
        <w:ind w:left="320"/>
        <w:spacing w:after="0" w:line="228" w:lineRule="auto"/>
        <w:rPr>
          <w:sz w:val="20"/>
          <w:szCs w:val="20"/>
          <w:color w:val="auto"/>
        </w:rPr>
      </w:pPr>
      <w:r>
        <w:rPr>
          <w:rFonts w:ascii="Arial" w:cs="Arial" w:eastAsia="Arial" w:hAnsi="Arial"/>
          <w:sz w:val="19"/>
          <w:szCs w:val="19"/>
          <w:color w:val="auto"/>
        </w:rPr>
        <w:t>nominees added</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9"/>
          <w:szCs w:val="19"/>
          <w:color w:val="auto"/>
        </w:rPr>
        <w:t>in the last 5 years</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tabs>
          <w:tab w:leader="none" w:pos="2660" w:val="left"/>
          <w:tab w:leader="none" w:pos="5340" w:val="left"/>
        </w:tabs>
        <w:rPr>
          <w:sz w:val="20"/>
          <w:szCs w:val="20"/>
          <w:color w:val="auto"/>
        </w:rPr>
      </w:pPr>
      <w:r>
        <w:rPr>
          <w:rFonts w:ascii="Arial" w:cs="Arial" w:eastAsia="Arial" w:hAnsi="Arial"/>
          <w:sz w:val="19"/>
          <w:szCs w:val="19"/>
          <w:color w:val="auto"/>
        </w:rPr>
        <w:t>overall attendance at</w:t>
      </w:r>
      <w:r>
        <w:rPr>
          <w:sz w:val="20"/>
          <w:szCs w:val="20"/>
          <w:color w:val="auto"/>
        </w:rPr>
        <w:tab/>
      </w:r>
      <w:r>
        <w:rPr>
          <w:rFonts w:ascii="Arial" w:cs="Arial" w:eastAsia="Arial" w:hAnsi="Arial"/>
          <w:sz w:val="19"/>
          <w:szCs w:val="19"/>
          <w:color w:val="auto"/>
        </w:rPr>
        <w:t>Board and Committee</w:t>
      </w:r>
      <w:r>
        <w:rPr>
          <w:sz w:val="20"/>
          <w:szCs w:val="20"/>
          <w:color w:val="auto"/>
        </w:rPr>
        <w:tab/>
      </w:r>
      <w:r>
        <w:rPr>
          <w:rFonts w:ascii="Arial" w:cs="Arial" w:eastAsia="Arial" w:hAnsi="Arial"/>
          <w:sz w:val="19"/>
          <w:szCs w:val="19"/>
          <w:color w:val="auto"/>
        </w:rPr>
        <w:t>director nominees</w:t>
      </w:r>
    </w:p>
    <w:p>
      <w:pPr>
        <w:spacing w:after="0" w:line="228" w:lineRule="auto"/>
        <w:tabs>
          <w:tab w:leader="none" w:pos="2660" w:val="left"/>
          <w:tab w:leader="none" w:pos="5340" w:val="left"/>
        </w:tabs>
        <w:rPr>
          <w:sz w:val="20"/>
          <w:szCs w:val="20"/>
          <w:color w:val="auto"/>
        </w:rPr>
      </w:pPr>
      <w:r>
        <w:rPr>
          <w:rFonts w:ascii="Arial" w:cs="Arial" w:eastAsia="Arial" w:hAnsi="Arial"/>
          <w:sz w:val="19"/>
          <w:szCs w:val="19"/>
          <w:color w:val="auto"/>
        </w:rPr>
        <w:t>Board and Committee</w:t>
      </w:r>
      <w:r>
        <w:rPr>
          <w:sz w:val="20"/>
          <w:szCs w:val="20"/>
          <w:color w:val="auto"/>
        </w:rPr>
        <w:tab/>
      </w:r>
      <w:r>
        <w:rPr>
          <w:rFonts w:ascii="Arial" w:cs="Arial" w:eastAsia="Arial" w:hAnsi="Arial"/>
          <w:sz w:val="19"/>
          <w:szCs w:val="19"/>
          <w:color w:val="auto"/>
        </w:rPr>
        <w:t>meetings in fiscal 2021</w:t>
      </w:r>
      <w:r>
        <w:rPr>
          <w:sz w:val="20"/>
          <w:szCs w:val="20"/>
          <w:color w:val="auto"/>
        </w:rPr>
        <w:tab/>
      </w:r>
      <w:r>
        <w:rPr>
          <w:rFonts w:ascii="Arial" w:cs="Arial" w:eastAsia="Arial" w:hAnsi="Arial"/>
          <w:sz w:val="19"/>
          <w:szCs w:val="19"/>
          <w:color w:val="auto"/>
        </w:rPr>
        <w:t>are independent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meetings in fiscal 2021</w:t>
      </w:r>
    </w:p>
    <w:p>
      <w:pPr>
        <w:spacing w:after="0" w:line="200" w:lineRule="exact"/>
        <w:rPr>
          <w:sz w:val="20"/>
          <w:szCs w:val="20"/>
          <w:color w:val="auto"/>
        </w:rPr>
      </w:pPr>
    </w:p>
    <w:p>
      <w:pPr>
        <w:sectPr>
          <w:pgSz w:w="11900" w:h="16838" w:orient="portrait"/>
          <w:cols w:equalWidth="0" w:num="2">
            <w:col w:w="2460" w:space="720"/>
            <w:col w:w="7760"/>
          </w:cols>
          <w:pgMar w:left="320" w:top="447" w:right="639" w:bottom="1440" w:gutter="0" w:footer="0" w:header="0"/>
          <w:type w:val="continuous"/>
        </w:sectPr>
      </w:pPr>
    </w:p>
    <w:p>
      <w:pPr>
        <w:spacing w:after="0" w:line="189" w:lineRule="exact"/>
        <w:rPr>
          <w:sz w:val="20"/>
          <w:szCs w:val="20"/>
          <w:color w:val="auto"/>
        </w:rPr>
      </w:pPr>
    </w:p>
    <w:p>
      <w:pPr>
        <w:ind w:left="320"/>
        <w:spacing w:after="0"/>
        <w:rPr>
          <w:sz w:val="20"/>
          <w:szCs w:val="20"/>
          <w:color w:val="auto"/>
        </w:rPr>
      </w:pPr>
      <w:r>
        <w:rPr>
          <w:rFonts w:ascii="Arial" w:cs="Arial" w:eastAsia="Arial" w:hAnsi="Arial"/>
          <w:sz w:val="26"/>
          <w:szCs w:val="26"/>
          <w:b w:val="1"/>
          <w:bCs w:val="1"/>
          <w:color w:val="333333"/>
        </w:rPr>
        <w:t>Strong Board Diversity</w:t>
      </w:r>
    </w:p>
    <w:p>
      <w:pPr>
        <w:spacing w:after="0" w:line="125" w:lineRule="exact"/>
        <w:rPr>
          <w:sz w:val="20"/>
          <w:szCs w:val="20"/>
          <w:color w:val="auto"/>
        </w:rPr>
      </w:pPr>
    </w:p>
    <w:p>
      <w:pPr>
        <w:ind w:left="320" w:right="200"/>
        <w:spacing w:after="0" w:line="270" w:lineRule="auto"/>
        <w:rPr>
          <w:sz w:val="20"/>
          <w:szCs w:val="20"/>
          <w:color w:val="auto"/>
        </w:rPr>
      </w:pPr>
      <w:r>
        <w:rPr>
          <w:rFonts w:ascii="Arial" w:cs="Arial" w:eastAsia="Arial" w:hAnsi="Arial"/>
          <w:sz w:val="17"/>
          <w:szCs w:val="17"/>
          <w:color w:val="auto"/>
        </w:rPr>
        <w:t>The Board also believes that having directors with a mix of tenure helps transition the institutional knowledge of the more experienced directors while providing a broad, fresh set of perspectives. The Board has continued to make progress in broadening the experience, gender and tenure of our 12 director nominees.</w:t>
      </w:r>
    </w:p>
    <w:p>
      <w:pPr>
        <w:spacing w:after="0" w:line="380" w:lineRule="exact"/>
        <w:rPr>
          <w:sz w:val="20"/>
          <w:szCs w:val="20"/>
          <w:color w:val="auto"/>
        </w:rPr>
      </w:pPr>
    </w:p>
    <w:tbl>
      <w:tblPr>
        <w:tblLayout w:type="fixed"/>
        <w:tblInd w:w="320" w:type="dxa"/>
        <w:tblCellMar>
          <w:top w:w="0" w:type="dxa"/>
          <w:left w:w="0" w:type="dxa"/>
          <w:bottom w:w="0" w:type="dxa"/>
          <w:right w:w="0" w:type="dxa"/>
        </w:tblCellMar>
      </w:tblPr>
      <w:tr>
        <w:trPr>
          <w:trHeight w:val="286"/>
        </w:trPr>
        <w:tc>
          <w:tcPr>
            <w:tcW w:w="5080" w:type="dxa"/>
            <w:vAlign w:val="bottom"/>
            <w:shd w:val="clear" w:color="auto" w:fill="E5EFF8"/>
          </w:tcPr>
          <w:p>
            <w:pPr>
              <w:ind w:left="40"/>
              <w:spacing w:after="0"/>
              <w:rPr>
                <w:sz w:val="20"/>
                <w:szCs w:val="20"/>
                <w:color w:val="auto"/>
              </w:rPr>
            </w:pPr>
            <w:r>
              <w:rPr>
                <w:rFonts w:ascii="Arial" w:cs="Arial" w:eastAsia="Arial" w:hAnsi="Arial"/>
                <w:sz w:val="19"/>
                <w:szCs w:val="19"/>
                <w:b w:val="1"/>
                <w:bCs w:val="1"/>
                <w:color w:val="auto"/>
              </w:rPr>
              <w:t>Average Tenure of Director Nominees</w:t>
            </w:r>
          </w:p>
        </w:tc>
        <w:tc>
          <w:tcPr>
            <w:tcW w:w="340" w:type="dxa"/>
            <w:vAlign w:val="bottom"/>
          </w:tcPr>
          <w:p>
            <w:pPr>
              <w:spacing w:after="0"/>
              <w:rPr>
                <w:sz w:val="24"/>
                <w:szCs w:val="24"/>
                <w:color w:val="auto"/>
              </w:rPr>
            </w:pPr>
          </w:p>
        </w:tc>
        <w:tc>
          <w:tcPr>
            <w:tcW w:w="5200" w:type="dxa"/>
            <w:vAlign w:val="bottom"/>
            <w:shd w:val="clear" w:color="auto" w:fill="E5EFF8"/>
          </w:tcPr>
          <w:p>
            <w:pPr>
              <w:ind w:left="40"/>
              <w:spacing w:after="0"/>
              <w:rPr>
                <w:sz w:val="20"/>
                <w:szCs w:val="20"/>
                <w:color w:val="auto"/>
              </w:rPr>
            </w:pPr>
            <w:r>
              <w:rPr>
                <w:rFonts w:ascii="Arial" w:cs="Arial" w:eastAsia="Arial" w:hAnsi="Arial"/>
                <w:sz w:val="19"/>
                <w:szCs w:val="19"/>
                <w:b w:val="1"/>
                <w:bCs w:val="1"/>
                <w:color w:val="auto"/>
              </w:rPr>
              <w:t>Diversity of Director Nominees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264160</wp:posOffset>
            </wp:positionV>
            <wp:extent cx="115570" cy="1155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919480</wp:posOffset>
            </wp:positionH>
            <wp:positionV relativeFrom="paragraph">
              <wp:posOffset>264160</wp:posOffset>
            </wp:positionV>
            <wp:extent cx="115570" cy="1155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264160</wp:posOffset>
            </wp:positionV>
            <wp:extent cx="115570" cy="1155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264160</wp:posOffset>
            </wp:positionV>
            <wp:extent cx="115570" cy="1155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1597025</wp:posOffset>
            </wp:positionH>
            <wp:positionV relativeFrom="paragraph">
              <wp:posOffset>264160</wp:posOffset>
            </wp:positionV>
            <wp:extent cx="115570" cy="1155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1819910</wp:posOffset>
            </wp:positionH>
            <wp:positionV relativeFrom="paragraph">
              <wp:posOffset>264160</wp:posOffset>
            </wp:positionV>
            <wp:extent cx="115570" cy="1155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2042795</wp:posOffset>
            </wp:positionH>
            <wp:positionV relativeFrom="paragraph">
              <wp:posOffset>264160</wp:posOffset>
            </wp:positionV>
            <wp:extent cx="115570" cy="1155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2274570</wp:posOffset>
            </wp:positionH>
            <wp:positionV relativeFrom="paragraph">
              <wp:posOffset>264160</wp:posOffset>
            </wp:positionV>
            <wp:extent cx="115570" cy="1155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2497455</wp:posOffset>
            </wp:positionH>
            <wp:positionV relativeFrom="paragraph">
              <wp:posOffset>264160</wp:posOffset>
            </wp:positionV>
            <wp:extent cx="115570" cy="1155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264160</wp:posOffset>
            </wp:positionV>
            <wp:extent cx="115570" cy="1155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2951480</wp:posOffset>
            </wp:positionH>
            <wp:positionV relativeFrom="paragraph">
              <wp:posOffset>264160</wp:posOffset>
            </wp:positionV>
            <wp:extent cx="115570" cy="1155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3175000</wp:posOffset>
            </wp:positionH>
            <wp:positionV relativeFrom="paragraph">
              <wp:posOffset>264160</wp:posOffset>
            </wp:positionV>
            <wp:extent cx="115570" cy="1155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206375</wp:posOffset>
            </wp:positionV>
            <wp:extent cx="115570" cy="1155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206375</wp:posOffset>
            </wp:positionV>
            <wp:extent cx="115570" cy="1155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4339590</wp:posOffset>
            </wp:positionH>
            <wp:positionV relativeFrom="paragraph">
              <wp:posOffset>206375</wp:posOffset>
            </wp:positionV>
            <wp:extent cx="115570" cy="1155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4686300</wp:posOffset>
            </wp:positionH>
            <wp:positionV relativeFrom="paragraph">
              <wp:posOffset>206375</wp:posOffset>
            </wp:positionV>
            <wp:extent cx="115570" cy="1155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5033645</wp:posOffset>
            </wp:positionH>
            <wp:positionV relativeFrom="paragraph">
              <wp:posOffset>206375</wp:posOffset>
            </wp:positionV>
            <wp:extent cx="115570" cy="1155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206375</wp:posOffset>
            </wp:positionV>
            <wp:extent cx="115570" cy="1155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5727065</wp:posOffset>
            </wp:positionH>
            <wp:positionV relativeFrom="paragraph">
              <wp:posOffset>206375</wp:posOffset>
            </wp:positionV>
            <wp:extent cx="115570" cy="1155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206375</wp:posOffset>
            </wp:positionV>
            <wp:extent cx="115570" cy="1155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6429375</wp:posOffset>
            </wp:positionH>
            <wp:positionV relativeFrom="paragraph">
              <wp:posOffset>206375</wp:posOffset>
            </wp:positionV>
            <wp:extent cx="115570" cy="1155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6776720</wp:posOffset>
            </wp:positionH>
            <wp:positionV relativeFrom="paragraph">
              <wp:posOffset>206375</wp:posOffset>
            </wp:positionV>
            <wp:extent cx="115570" cy="1155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ectPr>
          <w:pgSz w:w="11900" w:h="16838" w:orient="portrait"/>
          <w:cols w:equalWidth="0" w:num="1">
            <w:col w:w="10940"/>
          </w:cols>
          <w:pgMar w:left="320" w:top="447" w:right="639" w:bottom="144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ind w:left="320"/>
        <w:spacing w:after="0"/>
        <w:rPr>
          <w:sz w:val="20"/>
          <w:szCs w:val="20"/>
          <w:color w:val="auto"/>
        </w:rPr>
      </w:pPr>
      <w:r>
        <w:rPr>
          <w:rFonts w:ascii="Arial" w:cs="Arial" w:eastAsia="Arial" w:hAnsi="Arial"/>
          <w:sz w:val="32"/>
          <w:szCs w:val="32"/>
          <w:color w:val="0066BA"/>
        </w:rPr>
        <w:t>50%</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32"/>
          <w:szCs w:val="32"/>
          <w:color w:val="0066BA"/>
        </w:rPr>
        <w:t>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0–5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3133090</wp:posOffset>
            </wp:positionH>
            <wp:positionV relativeFrom="paragraph">
              <wp:posOffset>-76200</wp:posOffset>
            </wp:positionV>
            <wp:extent cx="115570" cy="1155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3480435</wp:posOffset>
            </wp:positionH>
            <wp:positionV relativeFrom="paragraph">
              <wp:posOffset>-76200</wp:posOffset>
            </wp:positionV>
            <wp:extent cx="115570" cy="1155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391"/>
        </w:trPr>
        <w:tc>
          <w:tcPr>
            <w:tcW w:w="2720" w:type="dxa"/>
            <w:vAlign w:val="bottom"/>
            <w:vMerge w:val="restart"/>
          </w:tcPr>
          <w:p>
            <w:pPr>
              <w:spacing w:after="0"/>
              <w:rPr>
                <w:sz w:val="20"/>
                <w:szCs w:val="20"/>
                <w:color w:val="auto"/>
              </w:rPr>
            </w:pPr>
            <w:r>
              <w:rPr>
                <w:rFonts w:ascii="Arial" w:cs="Arial" w:eastAsia="Arial" w:hAnsi="Arial"/>
                <w:sz w:val="16"/>
                <w:szCs w:val="16"/>
                <w:color w:val="auto"/>
              </w:rPr>
              <w:t>5–10 Years</w:t>
            </w:r>
          </w:p>
        </w:tc>
        <w:tc>
          <w:tcPr>
            <w:tcW w:w="3920" w:type="dxa"/>
            <w:vAlign w:val="bottom"/>
          </w:tcPr>
          <w:p>
            <w:pPr>
              <w:ind w:left="1940"/>
              <w:spacing w:after="0"/>
              <w:rPr>
                <w:sz w:val="20"/>
                <w:szCs w:val="20"/>
                <w:color w:val="auto"/>
              </w:rPr>
            </w:pPr>
            <w:r>
              <w:rPr>
                <w:rFonts w:ascii="Arial" w:cs="Arial" w:eastAsia="Arial" w:hAnsi="Arial"/>
                <w:sz w:val="33"/>
                <w:szCs w:val="33"/>
                <w:color w:val="0066BA"/>
              </w:rPr>
              <w:t>4 of 12</w:t>
            </w:r>
          </w:p>
        </w:tc>
        <w:tc>
          <w:tcPr>
            <w:tcW w:w="0" w:type="dxa"/>
            <w:vAlign w:val="bottom"/>
          </w:tcPr>
          <w:p>
            <w:pPr>
              <w:spacing w:after="0"/>
              <w:rPr>
                <w:sz w:val="1"/>
                <w:szCs w:val="1"/>
                <w:color w:val="auto"/>
              </w:rPr>
            </w:pPr>
          </w:p>
        </w:tc>
      </w:tr>
      <w:tr>
        <w:trPr>
          <w:trHeight w:val="83"/>
        </w:trPr>
        <w:tc>
          <w:tcPr>
            <w:tcW w:w="2720" w:type="dxa"/>
            <w:vAlign w:val="bottom"/>
            <w:vMerge w:val="continue"/>
          </w:tcPr>
          <w:p>
            <w:pPr>
              <w:spacing w:after="0"/>
              <w:rPr>
                <w:sz w:val="7"/>
                <w:szCs w:val="7"/>
                <w:color w:val="auto"/>
              </w:rPr>
            </w:pPr>
          </w:p>
        </w:tc>
        <w:tc>
          <w:tcPr>
            <w:tcW w:w="3920" w:type="dxa"/>
            <w:vAlign w:val="bottom"/>
            <w:vMerge w:val="restart"/>
          </w:tcPr>
          <w:p>
            <w:pPr>
              <w:ind w:left="1940"/>
              <w:spacing w:after="0"/>
              <w:rPr>
                <w:sz w:val="20"/>
                <w:szCs w:val="20"/>
                <w:color w:val="auto"/>
              </w:rPr>
            </w:pPr>
            <w:r>
              <w:rPr>
                <w:rFonts w:ascii="Arial" w:cs="Arial" w:eastAsia="Arial" w:hAnsi="Arial"/>
                <w:sz w:val="16"/>
                <w:szCs w:val="16"/>
                <w:color w:val="auto"/>
                <w:w w:val="96"/>
              </w:rPr>
              <w:t>Directors are female, or 33%</w:t>
            </w:r>
          </w:p>
        </w:tc>
        <w:tc>
          <w:tcPr>
            <w:tcW w:w="0" w:type="dxa"/>
            <w:vAlign w:val="bottom"/>
          </w:tcPr>
          <w:p>
            <w:pPr>
              <w:spacing w:after="0"/>
              <w:rPr>
                <w:sz w:val="1"/>
                <w:szCs w:val="1"/>
                <w:color w:val="auto"/>
              </w:rPr>
            </w:pPr>
          </w:p>
        </w:tc>
      </w:tr>
      <w:tr>
        <w:trPr>
          <w:trHeight w:val="104"/>
        </w:trPr>
        <w:tc>
          <w:tcPr>
            <w:tcW w:w="2720" w:type="dxa"/>
            <w:vAlign w:val="bottom"/>
          </w:tcPr>
          <w:p>
            <w:pPr>
              <w:spacing w:after="0"/>
              <w:rPr>
                <w:sz w:val="9"/>
                <w:szCs w:val="9"/>
                <w:color w:val="auto"/>
              </w:rPr>
            </w:pPr>
          </w:p>
        </w:tc>
        <w:tc>
          <w:tcPr>
            <w:tcW w:w="3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115570" cy="1155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-325755</wp:posOffset>
            </wp:positionV>
            <wp:extent cx="115570" cy="1155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456565</wp:posOffset>
            </wp:positionH>
            <wp:positionV relativeFrom="paragraph">
              <wp:posOffset>-325755</wp:posOffset>
            </wp:positionV>
            <wp:extent cx="115570" cy="1155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680085</wp:posOffset>
            </wp:positionH>
            <wp:positionV relativeFrom="paragraph">
              <wp:posOffset>-325755</wp:posOffset>
            </wp:positionV>
            <wp:extent cx="115570" cy="1155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911225</wp:posOffset>
            </wp:positionH>
            <wp:positionV relativeFrom="paragraph">
              <wp:posOffset>-325755</wp:posOffset>
            </wp:positionV>
            <wp:extent cx="115570" cy="1155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1134110</wp:posOffset>
            </wp:positionH>
            <wp:positionV relativeFrom="paragraph">
              <wp:posOffset>-325755</wp:posOffset>
            </wp:positionV>
            <wp:extent cx="115570" cy="1155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1356995</wp:posOffset>
            </wp:positionH>
            <wp:positionV relativeFrom="paragraph">
              <wp:posOffset>-325755</wp:posOffset>
            </wp:positionV>
            <wp:extent cx="115570" cy="1155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1588770</wp:posOffset>
            </wp:positionH>
            <wp:positionV relativeFrom="paragraph">
              <wp:posOffset>-325755</wp:posOffset>
            </wp:positionV>
            <wp:extent cx="115570" cy="1155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1811655</wp:posOffset>
            </wp:positionH>
            <wp:positionV relativeFrom="paragraph">
              <wp:posOffset>-325755</wp:posOffset>
            </wp:positionV>
            <wp:extent cx="115570" cy="1155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2034540</wp:posOffset>
            </wp:positionH>
            <wp:positionV relativeFrom="paragraph">
              <wp:posOffset>-325755</wp:posOffset>
            </wp:positionV>
            <wp:extent cx="115570" cy="1155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-325755</wp:posOffset>
            </wp:positionV>
            <wp:extent cx="115570" cy="1155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2489200</wp:posOffset>
            </wp:positionH>
            <wp:positionV relativeFrom="paragraph">
              <wp:posOffset>-325755</wp:posOffset>
            </wp:positionV>
            <wp:extent cx="115570" cy="1155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61595</wp:posOffset>
            </wp:positionV>
            <wp:extent cx="115570" cy="1155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61595</wp:posOffset>
            </wp:positionV>
            <wp:extent cx="115570" cy="1155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456565</wp:posOffset>
            </wp:positionH>
            <wp:positionV relativeFrom="paragraph">
              <wp:posOffset>61595</wp:posOffset>
            </wp:positionV>
            <wp:extent cx="115570" cy="1155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680085</wp:posOffset>
            </wp:positionH>
            <wp:positionV relativeFrom="paragraph">
              <wp:posOffset>61595</wp:posOffset>
            </wp:positionV>
            <wp:extent cx="115570" cy="1155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911225</wp:posOffset>
            </wp:positionH>
            <wp:positionV relativeFrom="paragraph">
              <wp:posOffset>61595</wp:posOffset>
            </wp:positionV>
            <wp:extent cx="115570" cy="1155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1134110</wp:posOffset>
            </wp:positionH>
            <wp:positionV relativeFrom="paragraph">
              <wp:posOffset>61595</wp:posOffset>
            </wp:positionV>
            <wp:extent cx="115570" cy="1155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1356995</wp:posOffset>
            </wp:positionH>
            <wp:positionV relativeFrom="paragraph">
              <wp:posOffset>61595</wp:posOffset>
            </wp:positionV>
            <wp:extent cx="115570" cy="1155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1588770</wp:posOffset>
            </wp:positionH>
            <wp:positionV relativeFrom="paragraph">
              <wp:posOffset>61595</wp:posOffset>
            </wp:positionV>
            <wp:extent cx="115570" cy="1155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1811655</wp:posOffset>
            </wp:positionH>
            <wp:positionV relativeFrom="paragraph">
              <wp:posOffset>61595</wp:posOffset>
            </wp:positionV>
            <wp:extent cx="115570" cy="1155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2034540</wp:posOffset>
            </wp:positionH>
            <wp:positionV relativeFrom="paragraph">
              <wp:posOffset>61595</wp:posOffset>
            </wp:positionV>
            <wp:extent cx="115570" cy="1155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2265680</wp:posOffset>
            </wp:positionH>
            <wp:positionV relativeFrom="paragraph">
              <wp:posOffset>61595</wp:posOffset>
            </wp:positionV>
            <wp:extent cx="115570" cy="1155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2489200</wp:posOffset>
            </wp:positionH>
            <wp:positionV relativeFrom="paragraph">
              <wp:posOffset>61595</wp:posOffset>
            </wp:positionV>
            <wp:extent cx="115570" cy="1155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980" w:space="100"/>
            <w:col w:w="9860"/>
          </w:cols>
          <w:pgMar w:left="320" w:top="447" w:right="639" w:bottom="1440" w:gutter="0" w:footer="0" w:header="0"/>
          <w:type w:val="continuous"/>
        </w:sectPr>
      </w:pPr>
    </w:p>
    <w:tbl>
      <w:tblPr>
        <w:tblLayout w:type="fixed"/>
        <w:tblInd w:w="320" w:type="dxa"/>
        <w:tblCellMar>
          <w:top w:w="0" w:type="dxa"/>
          <w:left w:w="0" w:type="dxa"/>
          <w:bottom w:w="0" w:type="dxa"/>
          <w:right w:w="0" w:type="dxa"/>
        </w:tblCellMar>
      </w:tblPr>
      <w:tr>
        <w:trPr>
          <w:trHeight w:val="614"/>
        </w:trPr>
        <w:tc>
          <w:tcPr>
            <w:tcW w:w="1680" w:type="dxa"/>
            <w:vAlign w:val="bottom"/>
          </w:tcPr>
          <w:p>
            <w:pPr>
              <w:spacing w:after="0" w:line="614" w:lineRule="exact"/>
              <w:rPr>
                <w:sz w:val="20"/>
                <w:szCs w:val="20"/>
                <w:color w:val="auto"/>
              </w:rPr>
            </w:pPr>
            <w:r>
              <w:rPr>
                <w:rFonts w:ascii="Arial" w:cs="Arial" w:eastAsia="Arial" w:hAnsi="Arial"/>
                <w:sz w:val="65"/>
                <w:szCs w:val="65"/>
                <w:color w:val="0066BA"/>
                <w:vertAlign w:val="superscript"/>
              </w:rPr>
              <w:t>25%</w:t>
            </w:r>
            <w:r>
              <w:rPr>
                <w:rFonts w:ascii="Arial" w:cs="Arial" w:eastAsia="Arial" w:hAnsi="Arial"/>
                <w:sz w:val="16"/>
                <w:szCs w:val="16"/>
                <w:color w:val="auto"/>
              </w:rPr>
              <w:t xml:space="preserve"> 10+ Years</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680" w:type="dxa"/>
            <w:vAlign w:val="bottom"/>
            <w:vMerge w:val="restart"/>
          </w:tcPr>
          <w:p>
            <w:pPr>
              <w:spacing w:after="0"/>
              <w:rPr>
                <w:sz w:val="20"/>
                <w:szCs w:val="20"/>
                <w:color w:val="auto"/>
              </w:rPr>
            </w:pPr>
            <w:r>
              <w:rPr>
                <w:rFonts w:ascii="Arial" w:cs="Arial" w:eastAsia="Arial" w:hAnsi="Arial"/>
                <w:sz w:val="33"/>
                <w:szCs w:val="33"/>
                <w:color w:val="0066BA"/>
              </w:rPr>
              <w:t>7.0 Years</w:t>
            </w:r>
          </w:p>
        </w:tc>
        <w:tc>
          <w:tcPr>
            <w:tcW w:w="2820" w:type="dxa"/>
            <w:vAlign w:val="bottom"/>
          </w:tcPr>
          <w:p>
            <w:pPr>
              <w:ind w:left="200"/>
              <w:spacing w:after="0" w:line="208" w:lineRule="exact"/>
              <w:rPr>
                <w:sz w:val="20"/>
                <w:szCs w:val="20"/>
                <w:color w:val="auto"/>
              </w:rPr>
            </w:pPr>
            <w:r>
              <w:rPr>
                <w:rFonts w:ascii="Arial" w:cs="Arial" w:eastAsia="Arial" w:hAnsi="Arial"/>
                <w:sz w:val="19"/>
                <w:szCs w:val="19"/>
                <w:color w:val="auto"/>
              </w:rPr>
              <w:t>Average Tenure of</w:t>
            </w:r>
          </w:p>
        </w:tc>
        <w:tc>
          <w:tcPr>
            <w:tcW w:w="0" w:type="dxa"/>
            <w:vAlign w:val="bottom"/>
          </w:tcPr>
          <w:p>
            <w:pPr>
              <w:spacing w:after="0"/>
              <w:rPr>
                <w:sz w:val="1"/>
                <w:szCs w:val="1"/>
                <w:color w:val="auto"/>
              </w:rPr>
            </w:pPr>
          </w:p>
        </w:tc>
      </w:tr>
      <w:tr>
        <w:trPr>
          <w:trHeight w:val="245"/>
        </w:trPr>
        <w:tc>
          <w:tcPr>
            <w:tcW w:w="1680" w:type="dxa"/>
            <w:vAlign w:val="bottom"/>
            <w:vMerge w:val="continue"/>
          </w:tcPr>
          <w:p>
            <w:pPr>
              <w:spacing w:after="0"/>
              <w:rPr>
                <w:sz w:val="21"/>
                <w:szCs w:val="21"/>
                <w:color w:val="auto"/>
              </w:rPr>
            </w:pPr>
          </w:p>
        </w:tc>
        <w:tc>
          <w:tcPr>
            <w:tcW w:w="2820" w:type="dxa"/>
            <w:vAlign w:val="bottom"/>
          </w:tcPr>
          <w:p>
            <w:pPr>
              <w:ind w:left="200"/>
              <w:spacing w:after="0"/>
              <w:rPr>
                <w:sz w:val="20"/>
                <w:szCs w:val="20"/>
                <w:color w:val="auto"/>
              </w:rPr>
            </w:pPr>
            <w:r>
              <w:rPr>
                <w:rFonts w:ascii="Arial" w:cs="Arial" w:eastAsia="Arial" w:hAnsi="Arial"/>
                <w:sz w:val="19"/>
                <w:szCs w:val="19"/>
                <w:color w:val="auto"/>
                <w:w w:val="99"/>
              </w:rPr>
              <w:t>independent director nominees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32"/>
          <w:szCs w:val="32"/>
          <w:color w:val="0066BA"/>
        </w:rPr>
        <w:t>3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-638175</wp:posOffset>
            </wp:positionV>
            <wp:extent cx="115570" cy="1155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-638175</wp:posOffset>
            </wp:positionV>
            <wp:extent cx="115570" cy="1155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694690</wp:posOffset>
            </wp:positionH>
            <wp:positionV relativeFrom="paragraph">
              <wp:posOffset>-638175</wp:posOffset>
            </wp:positionV>
            <wp:extent cx="115570" cy="1155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1041400</wp:posOffset>
            </wp:positionH>
            <wp:positionV relativeFrom="paragraph">
              <wp:posOffset>-638175</wp:posOffset>
            </wp:positionV>
            <wp:extent cx="115570" cy="1155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1388745</wp:posOffset>
            </wp:positionH>
            <wp:positionV relativeFrom="paragraph">
              <wp:posOffset>-638175</wp:posOffset>
            </wp:positionV>
            <wp:extent cx="115570" cy="1155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-638175</wp:posOffset>
            </wp:positionV>
            <wp:extent cx="115570" cy="1155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2082165</wp:posOffset>
            </wp:positionH>
            <wp:positionV relativeFrom="paragraph">
              <wp:posOffset>-638175</wp:posOffset>
            </wp:positionV>
            <wp:extent cx="115570" cy="1155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2437765</wp:posOffset>
            </wp:positionH>
            <wp:positionV relativeFrom="paragraph">
              <wp:posOffset>-638175</wp:posOffset>
            </wp:positionV>
            <wp:extent cx="115570" cy="1155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2784475</wp:posOffset>
            </wp:positionH>
            <wp:positionV relativeFrom="paragraph">
              <wp:posOffset>-638175</wp:posOffset>
            </wp:positionV>
            <wp:extent cx="115570" cy="1155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-638175</wp:posOffset>
            </wp:positionV>
            <wp:extent cx="115570" cy="1155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-398780</wp:posOffset>
            </wp:positionV>
            <wp:extent cx="115570" cy="1155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521335</wp:posOffset>
            </wp:positionH>
            <wp:positionV relativeFrom="paragraph">
              <wp:posOffset>-398780</wp:posOffset>
            </wp:positionV>
            <wp:extent cx="115570" cy="1155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3" w:lineRule="exact"/>
        <w:rPr>
          <w:sz w:val="20"/>
          <w:szCs w:val="20"/>
          <w:color w:val="auto"/>
        </w:rPr>
      </w:pPr>
    </w:p>
    <w:p>
      <w:pPr>
        <w:sectPr>
          <w:pgSz w:w="11900" w:h="16838" w:orient="portrait"/>
          <w:cols w:equalWidth="0" w:num="2">
            <w:col w:w="5020" w:space="720"/>
            <w:col w:w="5200"/>
          </w:cols>
          <w:pgMar w:left="320" w:top="447" w:right="639" w:bottom="1440" w:gutter="0" w:footer="0" w:header="0"/>
          <w:type w:val="continuous"/>
        </w:sectPr>
      </w:pPr>
    </w:p>
    <w:p>
      <w:pPr>
        <w:ind w:left="5740"/>
        <w:spacing w:after="0"/>
        <w:rPr>
          <w:sz w:val="20"/>
          <w:szCs w:val="20"/>
          <w:color w:val="auto"/>
        </w:rPr>
      </w:pPr>
      <w:r>
        <w:rPr>
          <w:rFonts w:ascii="Arial" w:cs="Arial" w:eastAsia="Arial" w:hAnsi="Arial"/>
          <w:sz w:val="16"/>
          <w:szCs w:val="16"/>
          <w:color w:val="auto"/>
        </w:rPr>
        <w:t>Directors are ethnically diverse, or 25%</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0066BA"/>
        </w:rPr>
        <w:t>Board Profile</w:t>
      </w:r>
    </w:p>
    <w:p>
      <w:pPr>
        <w:spacing w:after="0" w:line="124" w:lineRule="exact"/>
        <w:rPr>
          <w:sz w:val="20"/>
          <w:szCs w:val="20"/>
          <w:color w:val="auto"/>
        </w:rPr>
      </w:pPr>
    </w:p>
    <w:p>
      <w:pPr>
        <w:ind w:left="320" w:right="540"/>
        <w:spacing w:after="0" w:line="286" w:lineRule="auto"/>
        <w:rPr>
          <w:sz w:val="20"/>
          <w:szCs w:val="20"/>
          <w:color w:val="auto"/>
        </w:rPr>
      </w:pPr>
      <w:r>
        <w:rPr>
          <w:rFonts w:ascii="Arial" w:cs="Arial" w:eastAsia="Arial" w:hAnsi="Arial"/>
          <w:sz w:val="17"/>
          <w:szCs w:val="17"/>
          <w:color w:val="auto"/>
        </w:rPr>
        <w:t>ADI’s directors contribute significant experience in the areas most relevant to overseeing the Company’s business and strategy. The below matrix provides a high-level summary of the experience and qualifications of 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125095</wp:posOffset>
            </wp:positionV>
            <wp:extent cx="6740525" cy="7518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40525" cy="75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FFFFFF"/>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41910</wp:posOffset>
            </wp:positionV>
            <wp:extent cx="6740525" cy="23793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40525" cy="2379345"/>
                    </a:xfrm>
                    <a:prstGeom prst="rect">
                      <a:avLst/>
                    </a:prstGeom>
                    <a:noFill/>
                  </pic:spPr>
                </pic:pic>
              </a:graphicData>
            </a:graphic>
          </wp:anchor>
        </w:drawing>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0066BA"/>
        </w:rPr>
        <w:t>Ray Stata</w:t>
      </w:r>
    </w:p>
    <w:p>
      <w:pPr>
        <w:spacing w:after="0" w:line="128"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0066BA"/>
        </w:rPr>
        <w:t>Vincent Roche</w:t>
      </w:r>
    </w:p>
    <w:p>
      <w:pPr>
        <w:spacing w:after="0" w:line="128"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0066BA"/>
        </w:rPr>
        <w:t>James A. Champy</w:t>
      </w:r>
    </w:p>
    <w:p>
      <w:pPr>
        <w:spacing w:after="0" w:line="128"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0066BA"/>
        </w:rPr>
        <w:t>Anantha P. Chandrakasan</w:t>
      </w:r>
    </w:p>
    <w:p>
      <w:pPr>
        <w:spacing w:after="0" w:line="128"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0066BA"/>
        </w:rPr>
        <w:t>Tunç Doluca</w:t>
      </w:r>
    </w:p>
    <w:p>
      <w:pPr>
        <w:spacing w:after="0" w:line="128"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0066BA"/>
        </w:rPr>
        <w:t>Bruce R. Evans</w:t>
      </w:r>
    </w:p>
    <w:p>
      <w:pPr>
        <w:spacing w:after="0" w:line="128"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0066BA"/>
        </w:rPr>
        <w:t>Edward H. Frank</w:t>
      </w:r>
    </w:p>
    <w:p>
      <w:pPr>
        <w:spacing w:after="0" w:line="128"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0066BA"/>
        </w:rPr>
        <w:t>Laurie H. Glimcher</w:t>
      </w:r>
    </w:p>
    <w:p>
      <w:pPr>
        <w:spacing w:after="0" w:line="128"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0066BA"/>
        </w:rPr>
        <w:t>Karen M. Golz</w:t>
      </w:r>
    </w:p>
    <w:p>
      <w:pPr>
        <w:spacing w:after="0" w:line="128"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0066BA"/>
        </w:rPr>
        <w:t>Mercedes Johnson</w:t>
      </w:r>
    </w:p>
    <w:p>
      <w:pPr>
        <w:spacing w:after="0" w:line="128"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0066BA"/>
        </w:rPr>
        <w:t>Kenton J. Sicchitano</w:t>
      </w:r>
    </w:p>
    <w:p>
      <w:pPr>
        <w:spacing w:after="0" w:line="128"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0066BA"/>
        </w:rPr>
        <w:t>Susie Wee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57150</wp:posOffset>
            </wp:positionV>
            <wp:extent cx="6740525" cy="10160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40525" cy="1016000"/>
                    </a:xfrm>
                    <a:prstGeom prst="rect">
                      <a:avLst/>
                    </a:prstGeom>
                    <a:noFill/>
                  </pic:spPr>
                </pic:pic>
              </a:graphicData>
            </a:graphic>
          </wp:anchor>
        </w:drawing>
      </w:r>
    </w:p>
    <w:p>
      <w:pPr>
        <w:sectPr>
          <w:pgSz w:w="11900" w:h="16838" w:orient="portrait"/>
          <w:cols w:equalWidth="0" w:num="1">
            <w:col w:w="10940"/>
          </w:cols>
          <w:pgMar w:left="320" w:top="447" w:right="639" w:bottom="1440" w:gutter="0" w:footer="0" w:header="0"/>
          <w:type w:val="continuous"/>
        </w:sectPr>
      </w:pPr>
    </w:p>
    <w:bookmarkStart w:id="15" w:name="page16"/>
    <w:bookmarkEnd w:id="15"/>
    <w:p>
      <w:pPr>
        <w:ind w:left="972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9820"/>
          </w:cols>
          <w:pgMar w:left="1440" w:top="584" w:right="63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20" w:right="3860"/>
        <w:spacing w:after="0" w:line="248" w:lineRule="auto"/>
        <w:rPr>
          <w:sz w:val="20"/>
          <w:szCs w:val="20"/>
          <w:color w:val="auto"/>
        </w:rPr>
      </w:pPr>
      <w:r>
        <w:rPr>
          <w:rFonts w:ascii="Arial" w:cs="Arial" w:eastAsia="Arial" w:hAnsi="Arial"/>
          <w:sz w:val="45"/>
          <w:szCs w:val="45"/>
          <w:color w:val="auto"/>
        </w:rPr>
        <w:t>INTEGRATED APPROACH TO SHAREHOLDER ENGAGEMENT</w:t>
      </w:r>
    </w:p>
    <w:p>
      <w:pPr>
        <w:spacing w:after="0" w:line="356" w:lineRule="exact"/>
        <w:rPr>
          <w:sz w:val="20"/>
          <w:szCs w:val="20"/>
          <w:color w:val="auto"/>
        </w:rPr>
      </w:pPr>
    </w:p>
    <w:p>
      <w:pPr>
        <w:ind w:left="320" w:right="200"/>
        <w:spacing w:after="0" w:line="270" w:lineRule="auto"/>
        <w:rPr>
          <w:sz w:val="20"/>
          <w:szCs w:val="20"/>
          <w:color w:val="auto"/>
        </w:rPr>
      </w:pPr>
      <w:r>
        <w:rPr>
          <w:rFonts w:ascii="Arial" w:cs="Arial" w:eastAsia="Arial" w:hAnsi="Arial"/>
          <w:sz w:val="17"/>
          <w:szCs w:val="17"/>
          <w:color w:val="auto"/>
        </w:rPr>
        <w:t>We conduct extensive investor outreach throughout the year involving our senior management, investor relations, legal and human resources departments. This helps management and the Board understand and focus on the issues that matter most to our shareholders, so ADI can address them effectively.</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0066BA"/>
        </w:rPr>
        <w:t>ADI’s Year-Round Engagement Process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7"/>
          <w:szCs w:val="17"/>
          <w:color w:val="0066BA"/>
        </w:rPr>
        <w:t>Engaging with Shareholders Year-round</w:t>
      </w:r>
    </w:p>
    <w:p>
      <w:pPr>
        <w:spacing w:after="0" w:line="52" w:lineRule="exact"/>
        <w:rPr>
          <w:sz w:val="20"/>
          <w:szCs w:val="20"/>
          <w:color w:val="auto"/>
        </w:rPr>
      </w:pPr>
    </w:p>
    <w:p>
      <w:pPr>
        <w:ind w:left="740" w:right="280" w:hanging="424"/>
        <w:spacing w:after="0" w:line="286" w:lineRule="auto"/>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fiscal 2021, we conducted more than 200 unique engagements with our shareholders, including the majority of our top 25 shareholders, on a variety of topics</w:t>
      </w:r>
    </w:p>
    <w:p>
      <w:pPr>
        <w:spacing w:after="0" w:line="15" w:lineRule="exact"/>
        <w:rPr>
          <w:rFonts w:ascii="Arial" w:cs="Arial" w:eastAsia="Arial" w:hAnsi="Arial"/>
          <w:sz w:val="17"/>
          <w:szCs w:val="17"/>
          <w:color w:val="auto"/>
        </w:rPr>
      </w:pPr>
    </w:p>
    <w:p>
      <w:pPr>
        <w:ind w:left="740" w:hanging="424"/>
        <w:spacing w:after="0"/>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Continued ADI Uncovered webcast series discussing business strategy and secular growth trends of instrumentation &amp; test, and space</w:t>
      </w:r>
    </w:p>
    <w:p>
      <w:pPr>
        <w:spacing w:after="0" w:line="77" w:lineRule="exact"/>
        <w:rPr>
          <w:rFonts w:ascii="Arial" w:cs="Arial" w:eastAsia="Arial" w:hAnsi="Arial"/>
          <w:sz w:val="17"/>
          <w:szCs w:val="17"/>
          <w:color w:val="auto"/>
        </w:rPr>
      </w:pPr>
    </w:p>
    <w:p>
      <w:pPr>
        <w:ind w:left="740" w:right="480" w:hanging="424"/>
        <w:spacing w:after="0" w:line="286" w:lineRule="auto"/>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Held multiple webcasts and attended multiple conferences to keep shareholders informed of Company developments; this included a special investor call regarding our capital allocation plans following the close of the Maxim Integrated acquisition</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7"/>
          <w:szCs w:val="17"/>
          <w:color w:val="0066BA"/>
        </w:rPr>
        <w:t>Enhancing Practices &amp; Disclosures</w:t>
      </w:r>
    </w:p>
    <w:p>
      <w:pPr>
        <w:spacing w:after="0" w:line="78" w:lineRule="exact"/>
        <w:rPr>
          <w:sz w:val="20"/>
          <w:szCs w:val="20"/>
          <w:color w:val="auto"/>
        </w:rPr>
      </w:pPr>
    </w:p>
    <w:p>
      <w:pPr>
        <w:ind w:left="740" w:right="80" w:hanging="424"/>
        <w:spacing w:after="0" w:line="286" w:lineRule="auto"/>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During fiscal 2021, we reached out to our top 25 shareholders, representing approximately 45% of our outstanding shares, with an offer to engage with their corporate governance teams</w:t>
      </w:r>
    </w:p>
    <w:p>
      <w:pPr>
        <w:spacing w:after="0" w:line="15" w:lineRule="exact"/>
        <w:rPr>
          <w:rFonts w:ascii="Arial" w:cs="Arial" w:eastAsia="Arial" w:hAnsi="Arial"/>
          <w:sz w:val="17"/>
          <w:szCs w:val="17"/>
          <w:color w:val="auto"/>
        </w:rPr>
      </w:pPr>
    </w:p>
    <w:p>
      <w:pPr>
        <w:ind w:left="740" w:right="320" w:hanging="424"/>
        <w:spacing w:after="0" w:line="286" w:lineRule="auto"/>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Topics of interest during engagement included Board composition and risk oversight, Board evaluation and refreshment, corporate governance trends and environmental, social and governance considerations, including human capital management reporting</w:t>
      </w:r>
    </w:p>
    <w:p>
      <w:pPr>
        <w:spacing w:after="0" w:line="15" w:lineRule="exact"/>
        <w:rPr>
          <w:rFonts w:ascii="Arial" w:cs="Arial" w:eastAsia="Arial" w:hAnsi="Arial"/>
          <w:sz w:val="17"/>
          <w:szCs w:val="17"/>
          <w:color w:val="auto"/>
        </w:rPr>
      </w:pPr>
    </w:p>
    <w:p>
      <w:pPr>
        <w:ind w:left="740" w:right="580" w:hanging="424"/>
        <w:spacing w:after="0" w:line="286" w:lineRule="auto"/>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Shareholder and stakeholder feedback is integrated into boardroom discussions regularly and helps to inform the Board’s decisions and the Company’s practices and disclosures</w:t>
      </w:r>
    </w:p>
    <w:p>
      <w:pPr>
        <w:spacing w:after="0" w:line="251"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0066BA"/>
        </w:rPr>
        <w:t>Shareholder Topics &amp; Company Response</w:t>
      </w:r>
    </w:p>
    <w:p>
      <w:pPr>
        <w:spacing w:after="0" w:line="85" w:lineRule="exact"/>
        <w:rPr>
          <w:sz w:val="20"/>
          <w:szCs w:val="20"/>
          <w:color w:val="auto"/>
        </w:rPr>
      </w:pPr>
    </w:p>
    <w:p>
      <w:pPr>
        <w:ind w:left="320" w:right="100"/>
        <w:spacing w:after="0" w:line="323" w:lineRule="auto"/>
        <w:rPr>
          <w:sz w:val="20"/>
          <w:szCs w:val="20"/>
          <w:color w:val="auto"/>
        </w:rPr>
      </w:pPr>
      <w:r>
        <w:rPr>
          <w:rFonts w:ascii="Arial" w:cs="Arial" w:eastAsia="Arial" w:hAnsi="Arial"/>
          <w:sz w:val="15"/>
          <w:szCs w:val="15"/>
          <w:color w:val="auto"/>
        </w:rPr>
        <w:t>In the spirit of continuous improvement, we have reviewed with our Board of Directors the key takeaways from these meetings with our shareholders with the goal of continuing to evolve our corporate governance practices to best meet the needs of the Company and our shareholders. Our dialogue has led to enhancements to our practices and disclosure, our Board believes are in the best interests of the Company and our shareholders. For example:</w:t>
      </w:r>
    </w:p>
    <w:p>
      <w:pPr>
        <w:spacing w:after="0" w:line="175"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180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Topics of</w:t>
            </w:r>
          </w:p>
        </w:tc>
        <w:tc>
          <w:tcPr>
            <w:tcW w:w="200" w:type="dxa"/>
            <w:vAlign w:val="bottom"/>
            <w:shd w:val="clear" w:color="auto" w:fill="0066BA"/>
          </w:tcPr>
          <w:p>
            <w:pPr>
              <w:spacing w:after="0"/>
              <w:rPr>
                <w:sz w:val="16"/>
                <w:szCs w:val="16"/>
                <w:color w:val="auto"/>
              </w:rPr>
            </w:pPr>
          </w:p>
        </w:tc>
        <w:tc>
          <w:tcPr>
            <w:tcW w:w="8620" w:type="dxa"/>
            <w:vAlign w:val="bottom"/>
            <w:shd w:val="clear" w:color="auto" w:fill="0066BA"/>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80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Discussion</w:t>
            </w:r>
          </w:p>
        </w:tc>
        <w:tc>
          <w:tcPr>
            <w:tcW w:w="8820" w:type="dxa"/>
            <w:vAlign w:val="bottom"/>
            <w:gridSpan w:val="2"/>
            <w:shd w:val="clear" w:color="auto" w:fill="0066BA"/>
          </w:tcPr>
          <w:p>
            <w:pPr>
              <w:ind w:left="100"/>
              <w:spacing w:after="0"/>
              <w:rPr>
                <w:sz w:val="20"/>
                <w:szCs w:val="20"/>
                <w:color w:val="auto"/>
              </w:rPr>
            </w:pPr>
            <w:r>
              <w:rPr>
                <w:rFonts w:ascii="Arial" w:cs="Arial" w:eastAsia="Arial" w:hAnsi="Arial"/>
                <w:sz w:val="14"/>
                <w:szCs w:val="14"/>
                <w:b w:val="1"/>
                <w:bCs w:val="1"/>
                <w:color w:val="FFFFFF"/>
              </w:rPr>
              <w:t>Recent Outcomes of Engagement</w:t>
            </w:r>
          </w:p>
        </w:tc>
        <w:tc>
          <w:tcPr>
            <w:tcW w:w="0" w:type="dxa"/>
            <w:vAlign w:val="bottom"/>
          </w:tcPr>
          <w:p>
            <w:pPr>
              <w:spacing w:after="0"/>
              <w:rPr>
                <w:sz w:val="1"/>
                <w:szCs w:val="1"/>
                <w:color w:val="auto"/>
              </w:rPr>
            </w:pPr>
          </w:p>
        </w:tc>
      </w:tr>
      <w:tr>
        <w:trPr>
          <w:trHeight w:val="235"/>
        </w:trPr>
        <w:tc>
          <w:tcPr>
            <w:tcW w:w="1800" w:type="dxa"/>
            <w:vAlign w:val="bottom"/>
          </w:tcPr>
          <w:p>
            <w:pPr>
              <w:spacing w:after="0"/>
              <w:rPr>
                <w:sz w:val="20"/>
                <w:szCs w:val="20"/>
                <w:color w:val="auto"/>
              </w:rPr>
            </w:pPr>
          </w:p>
        </w:tc>
        <w:tc>
          <w:tcPr>
            <w:tcW w:w="200" w:type="dxa"/>
            <w:vAlign w:val="bottom"/>
            <w:shd w:val="clear" w:color="auto" w:fill="EAEAEA"/>
          </w:tcPr>
          <w:p>
            <w:pPr>
              <w:ind w:left="100"/>
              <w:spacing w:after="0"/>
              <w:rPr>
                <w:sz w:val="20"/>
                <w:szCs w:val="20"/>
                <w:color w:val="auto"/>
              </w:rPr>
            </w:pPr>
            <w:r>
              <w:rPr>
                <w:rFonts w:ascii="Arial" w:cs="Arial" w:eastAsia="Arial" w:hAnsi="Arial"/>
                <w:sz w:val="17"/>
                <w:szCs w:val="17"/>
                <w:color w:val="auto"/>
              </w:rPr>
              <w:t>•</w:t>
            </w:r>
          </w:p>
        </w:tc>
        <w:tc>
          <w:tcPr>
            <w:tcW w:w="8620" w:type="dxa"/>
            <w:vAlign w:val="bottom"/>
            <w:shd w:val="clear" w:color="auto" w:fill="EAEAEA"/>
          </w:tcPr>
          <w:p>
            <w:pPr>
              <w:ind w:left="60"/>
              <w:spacing w:after="0"/>
              <w:rPr>
                <w:sz w:val="20"/>
                <w:szCs w:val="20"/>
                <w:color w:val="auto"/>
              </w:rPr>
            </w:pPr>
            <w:r>
              <w:rPr>
                <w:rFonts w:ascii="Arial" w:cs="Arial" w:eastAsia="Arial" w:hAnsi="Arial"/>
                <w:sz w:val="17"/>
                <w:szCs w:val="17"/>
                <w:color w:val="auto"/>
                <w:w w:val="94"/>
              </w:rPr>
              <w:t>Continued focus on active Board refreshment and diversity; added one new female director to the Board, bringing female</w:t>
            </w:r>
          </w:p>
        </w:tc>
        <w:tc>
          <w:tcPr>
            <w:tcW w:w="0" w:type="dxa"/>
            <w:vAlign w:val="bottom"/>
          </w:tcPr>
          <w:p>
            <w:pPr>
              <w:spacing w:after="0"/>
              <w:rPr>
                <w:sz w:val="1"/>
                <w:szCs w:val="1"/>
                <w:color w:val="auto"/>
              </w:rPr>
            </w:pPr>
          </w:p>
        </w:tc>
      </w:tr>
      <w:tr>
        <w:trPr>
          <w:trHeight w:val="221"/>
        </w:trPr>
        <w:tc>
          <w:tcPr>
            <w:tcW w:w="1800" w:type="dxa"/>
            <w:vAlign w:val="bottom"/>
          </w:tcPr>
          <w:p>
            <w:pPr>
              <w:spacing w:after="0"/>
              <w:rPr>
                <w:sz w:val="19"/>
                <w:szCs w:val="19"/>
                <w:color w:val="auto"/>
              </w:rPr>
            </w:pPr>
          </w:p>
        </w:tc>
        <w:tc>
          <w:tcPr>
            <w:tcW w:w="200" w:type="dxa"/>
            <w:vAlign w:val="bottom"/>
            <w:shd w:val="clear" w:color="auto" w:fill="EAEAEA"/>
          </w:tcPr>
          <w:p>
            <w:pPr>
              <w:spacing w:after="0"/>
              <w:rPr>
                <w:sz w:val="19"/>
                <w:szCs w:val="19"/>
                <w:color w:val="auto"/>
              </w:rPr>
            </w:pPr>
          </w:p>
        </w:tc>
        <w:tc>
          <w:tcPr>
            <w:tcW w:w="8620" w:type="dxa"/>
            <w:vAlign w:val="bottom"/>
            <w:shd w:val="clear" w:color="auto" w:fill="EAEAEA"/>
          </w:tcPr>
          <w:p>
            <w:pPr>
              <w:ind w:left="40"/>
              <w:spacing w:after="0"/>
              <w:rPr>
                <w:sz w:val="20"/>
                <w:szCs w:val="20"/>
                <w:color w:val="auto"/>
              </w:rPr>
            </w:pPr>
            <w:r>
              <w:rPr>
                <w:rFonts w:ascii="Arial" w:cs="Arial" w:eastAsia="Arial" w:hAnsi="Arial"/>
                <w:sz w:val="17"/>
                <w:szCs w:val="17"/>
                <w:color w:val="auto"/>
              </w:rPr>
              <w:t>representation to more than 30% of the Board</w:t>
            </w:r>
          </w:p>
        </w:tc>
        <w:tc>
          <w:tcPr>
            <w:tcW w:w="0" w:type="dxa"/>
            <w:vAlign w:val="bottom"/>
          </w:tcPr>
          <w:p>
            <w:pPr>
              <w:spacing w:after="0"/>
              <w:rPr>
                <w:sz w:val="1"/>
                <w:szCs w:val="1"/>
                <w:color w:val="auto"/>
              </w:rPr>
            </w:pPr>
          </w:p>
        </w:tc>
      </w:tr>
      <w:tr>
        <w:trPr>
          <w:trHeight w:val="65"/>
        </w:trPr>
        <w:tc>
          <w:tcPr>
            <w:tcW w:w="1800" w:type="dxa"/>
            <w:vAlign w:val="bottom"/>
            <w:vMerge w:val="restart"/>
          </w:tcPr>
          <w:p>
            <w:pPr>
              <w:ind w:left="60"/>
              <w:spacing w:after="0"/>
              <w:rPr>
                <w:sz w:val="20"/>
                <w:szCs w:val="20"/>
                <w:color w:val="auto"/>
              </w:rPr>
            </w:pPr>
            <w:r>
              <w:rPr>
                <w:rFonts w:ascii="Arial" w:cs="Arial" w:eastAsia="Arial" w:hAnsi="Arial"/>
                <w:sz w:val="16"/>
                <w:szCs w:val="16"/>
                <w:color w:val="auto"/>
              </w:rPr>
              <w:t>Corporate Governance</w:t>
            </w:r>
          </w:p>
        </w:tc>
        <w:tc>
          <w:tcPr>
            <w:tcW w:w="200" w:type="dxa"/>
            <w:vAlign w:val="bottom"/>
            <w:shd w:val="clear" w:color="auto" w:fill="EAEAEA"/>
          </w:tcPr>
          <w:p>
            <w:pPr>
              <w:spacing w:after="0"/>
              <w:rPr>
                <w:sz w:val="5"/>
                <w:szCs w:val="5"/>
                <w:color w:val="auto"/>
              </w:rPr>
            </w:pPr>
          </w:p>
        </w:tc>
        <w:tc>
          <w:tcPr>
            <w:tcW w:w="8620" w:type="dxa"/>
            <w:vAlign w:val="bottom"/>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1800" w:type="dxa"/>
            <w:vAlign w:val="bottom"/>
            <w:vMerge w:val="continue"/>
          </w:tcPr>
          <w:p>
            <w:pPr>
              <w:spacing w:after="0"/>
              <w:rPr>
                <w:sz w:val="19"/>
                <w:szCs w:val="19"/>
                <w:color w:val="auto"/>
              </w:rPr>
            </w:pPr>
          </w:p>
        </w:tc>
        <w:tc>
          <w:tcPr>
            <w:tcW w:w="200" w:type="dxa"/>
            <w:vAlign w:val="bottom"/>
          </w:tcPr>
          <w:p>
            <w:pPr>
              <w:ind w:left="100"/>
              <w:spacing w:after="0"/>
              <w:rPr>
                <w:sz w:val="20"/>
                <w:szCs w:val="20"/>
                <w:color w:val="auto"/>
              </w:rPr>
            </w:pPr>
            <w:r>
              <w:rPr>
                <w:rFonts w:ascii="Arial" w:cs="Arial" w:eastAsia="Arial" w:hAnsi="Arial"/>
                <w:sz w:val="17"/>
                <w:szCs w:val="17"/>
                <w:color w:val="auto"/>
              </w:rPr>
              <w:t>•</w:t>
            </w:r>
          </w:p>
        </w:tc>
        <w:tc>
          <w:tcPr>
            <w:tcW w:w="8620" w:type="dxa"/>
            <w:vAlign w:val="bottom"/>
          </w:tcPr>
          <w:p>
            <w:pPr>
              <w:ind w:left="60"/>
              <w:spacing w:after="0"/>
              <w:rPr>
                <w:sz w:val="20"/>
                <w:szCs w:val="20"/>
                <w:color w:val="auto"/>
              </w:rPr>
            </w:pPr>
            <w:r>
              <w:rPr>
                <w:rFonts w:ascii="Arial" w:cs="Arial" w:eastAsia="Arial" w:hAnsi="Arial"/>
                <w:sz w:val="17"/>
                <w:szCs w:val="17"/>
                <w:color w:val="auto"/>
                <w:w w:val="98"/>
              </w:rPr>
              <w:t>Increased our stock ownership guidelines for the CEO from 2x to 5x and for all other executive officers from 1x to 3x</w:t>
            </w:r>
          </w:p>
        </w:tc>
        <w:tc>
          <w:tcPr>
            <w:tcW w:w="0" w:type="dxa"/>
            <w:vAlign w:val="bottom"/>
          </w:tcPr>
          <w:p>
            <w:pPr>
              <w:spacing w:after="0"/>
              <w:rPr>
                <w:sz w:val="1"/>
                <w:szCs w:val="1"/>
                <w:color w:val="auto"/>
              </w:rPr>
            </w:pPr>
          </w:p>
        </w:tc>
      </w:tr>
      <w:tr>
        <w:trPr>
          <w:trHeight w:val="235"/>
        </w:trPr>
        <w:tc>
          <w:tcPr>
            <w:tcW w:w="1800" w:type="dxa"/>
            <w:vAlign w:val="bottom"/>
          </w:tcPr>
          <w:p>
            <w:pPr>
              <w:spacing w:after="0"/>
              <w:rPr>
                <w:sz w:val="20"/>
                <w:szCs w:val="20"/>
                <w:color w:val="auto"/>
              </w:rPr>
            </w:pPr>
          </w:p>
        </w:tc>
        <w:tc>
          <w:tcPr>
            <w:tcW w:w="8820" w:type="dxa"/>
            <w:vAlign w:val="bottom"/>
            <w:gridSpan w:val="2"/>
          </w:tcPr>
          <w:p>
            <w:pPr>
              <w:ind w:left="100"/>
              <w:spacing w:after="0"/>
              <w:rPr>
                <w:sz w:val="20"/>
                <w:szCs w:val="20"/>
                <w:color w:val="auto"/>
              </w:rPr>
            </w:pPr>
            <w:r>
              <w:rPr>
                <w:rFonts w:ascii="Arial" w:cs="Arial" w:eastAsia="Arial" w:hAnsi="Arial"/>
                <w:sz w:val="17"/>
                <w:szCs w:val="17"/>
                <w:color w:val="auto"/>
              </w:rPr>
              <w:t>• Appointed ADI’s first Chief Risk Officer and continued to enhance our risk oversight practices with quarterly cross-</w:t>
            </w:r>
          </w:p>
        </w:tc>
        <w:tc>
          <w:tcPr>
            <w:tcW w:w="0" w:type="dxa"/>
            <w:vAlign w:val="bottom"/>
          </w:tcPr>
          <w:p>
            <w:pPr>
              <w:spacing w:after="0"/>
              <w:rPr>
                <w:sz w:val="1"/>
                <w:szCs w:val="1"/>
                <w:color w:val="auto"/>
              </w:rPr>
            </w:pPr>
          </w:p>
        </w:tc>
      </w:tr>
      <w:tr>
        <w:trPr>
          <w:trHeight w:val="221"/>
        </w:trPr>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20" w:type="dxa"/>
            <w:vAlign w:val="bottom"/>
          </w:tcPr>
          <w:p>
            <w:pPr>
              <w:ind w:left="40"/>
              <w:spacing w:after="0"/>
              <w:rPr>
                <w:sz w:val="20"/>
                <w:szCs w:val="20"/>
                <w:color w:val="auto"/>
              </w:rPr>
            </w:pPr>
            <w:r>
              <w:rPr>
                <w:rFonts w:ascii="Arial" w:cs="Arial" w:eastAsia="Arial" w:hAnsi="Arial"/>
                <w:sz w:val="17"/>
                <w:szCs w:val="17"/>
                <w:color w:val="auto"/>
              </w:rPr>
              <w:t>functional committee meetings, quarterly updates to the Audit Committee and regular updates to the Board</w:t>
            </w:r>
          </w:p>
        </w:tc>
        <w:tc>
          <w:tcPr>
            <w:tcW w:w="0" w:type="dxa"/>
            <w:vAlign w:val="bottom"/>
          </w:tcPr>
          <w:p>
            <w:pPr>
              <w:spacing w:after="0"/>
              <w:rPr>
                <w:sz w:val="1"/>
                <w:szCs w:val="1"/>
                <w:color w:val="auto"/>
              </w:rPr>
            </w:pPr>
          </w:p>
        </w:tc>
      </w:tr>
      <w:tr>
        <w:trPr>
          <w:trHeight w:val="78"/>
        </w:trPr>
        <w:tc>
          <w:tcPr>
            <w:tcW w:w="1800" w:type="dxa"/>
            <w:vAlign w:val="bottom"/>
            <w:tcBorders>
              <w:bottom w:val="single" w:sz="8" w:color="0066BA"/>
            </w:tcBorders>
          </w:tcPr>
          <w:p>
            <w:pPr>
              <w:spacing w:after="0"/>
              <w:rPr>
                <w:sz w:val="6"/>
                <w:szCs w:val="6"/>
                <w:color w:val="auto"/>
              </w:rPr>
            </w:pPr>
          </w:p>
        </w:tc>
        <w:tc>
          <w:tcPr>
            <w:tcW w:w="200" w:type="dxa"/>
            <w:vAlign w:val="bottom"/>
            <w:tcBorders>
              <w:bottom w:val="single" w:sz="8" w:color="0066BA"/>
            </w:tcBorders>
          </w:tcPr>
          <w:p>
            <w:pPr>
              <w:spacing w:after="0"/>
              <w:rPr>
                <w:sz w:val="6"/>
                <w:szCs w:val="6"/>
                <w:color w:val="auto"/>
              </w:rPr>
            </w:pPr>
          </w:p>
        </w:tc>
        <w:tc>
          <w:tcPr>
            <w:tcW w:w="8620" w:type="dxa"/>
            <w:vAlign w:val="bottom"/>
            <w:tcBorders>
              <w:bottom w:val="single" w:sz="8" w:color="0066BA"/>
            </w:tcBorders>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1800" w:type="dxa"/>
            <w:vAlign w:val="bottom"/>
          </w:tcPr>
          <w:p>
            <w:pPr>
              <w:spacing w:after="0"/>
              <w:rPr>
                <w:sz w:val="20"/>
                <w:szCs w:val="20"/>
                <w:color w:val="auto"/>
              </w:rPr>
            </w:pPr>
          </w:p>
        </w:tc>
        <w:tc>
          <w:tcPr>
            <w:tcW w:w="200" w:type="dxa"/>
            <w:vAlign w:val="bottom"/>
          </w:tcPr>
          <w:p>
            <w:pPr>
              <w:ind w:left="100"/>
              <w:spacing w:after="0"/>
              <w:rPr>
                <w:sz w:val="20"/>
                <w:szCs w:val="20"/>
                <w:color w:val="auto"/>
              </w:rPr>
            </w:pPr>
            <w:r>
              <w:rPr>
                <w:rFonts w:ascii="Arial" w:cs="Arial" w:eastAsia="Arial" w:hAnsi="Arial"/>
                <w:sz w:val="17"/>
                <w:szCs w:val="17"/>
                <w:color w:val="auto"/>
              </w:rPr>
              <w:t>•</w:t>
            </w:r>
          </w:p>
        </w:tc>
        <w:tc>
          <w:tcPr>
            <w:tcW w:w="8620" w:type="dxa"/>
            <w:vAlign w:val="bottom"/>
          </w:tcPr>
          <w:p>
            <w:pPr>
              <w:ind w:left="60"/>
              <w:spacing w:after="0"/>
              <w:rPr>
                <w:sz w:val="20"/>
                <w:szCs w:val="20"/>
                <w:color w:val="auto"/>
              </w:rPr>
            </w:pPr>
            <w:r>
              <w:rPr>
                <w:rFonts w:ascii="Arial" w:cs="Arial" w:eastAsia="Arial" w:hAnsi="Arial"/>
                <w:sz w:val="17"/>
                <w:szCs w:val="17"/>
                <w:color w:val="auto"/>
                <w:w w:val="99"/>
              </w:rPr>
              <w:t>Continued to enhance ESG disclosure, publishing second annual Corporate Responsibility Report and EEO-1 data</w:t>
            </w:r>
          </w:p>
        </w:tc>
        <w:tc>
          <w:tcPr>
            <w:tcW w:w="0" w:type="dxa"/>
            <w:vAlign w:val="bottom"/>
          </w:tcPr>
          <w:p>
            <w:pPr>
              <w:spacing w:after="0"/>
              <w:rPr>
                <w:sz w:val="1"/>
                <w:szCs w:val="1"/>
                <w:color w:val="auto"/>
              </w:rPr>
            </w:pPr>
          </w:p>
        </w:tc>
      </w:tr>
      <w:tr>
        <w:trPr>
          <w:trHeight w:val="261"/>
        </w:trPr>
        <w:tc>
          <w:tcPr>
            <w:tcW w:w="1800" w:type="dxa"/>
            <w:vAlign w:val="bottom"/>
            <w:vMerge w:val="restart"/>
          </w:tcPr>
          <w:p>
            <w:pPr>
              <w:ind w:left="60"/>
              <w:spacing w:after="0"/>
              <w:rPr>
                <w:sz w:val="20"/>
                <w:szCs w:val="20"/>
                <w:color w:val="auto"/>
              </w:rPr>
            </w:pPr>
            <w:r>
              <w:rPr>
                <w:rFonts w:ascii="Arial" w:cs="Arial" w:eastAsia="Arial" w:hAnsi="Arial"/>
                <w:sz w:val="16"/>
                <w:szCs w:val="16"/>
                <w:color w:val="auto"/>
              </w:rPr>
              <w:t>Corporate Social</w:t>
            </w:r>
          </w:p>
        </w:tc>
        <w:tc>
          <w:tcPr>
            <w:tcW w:w="200" w:type="dxa"/>
            <w:vAlign w:val="bottom"/>
          </w:tcPr>
          <w:p>
            <w:pPr>
              <w:ind w:left="100"/>
              <w:spacing w:after="0"/>
              <w:rPr>
                <w:sz w:val="20"/>
                <w:szCs w:val="20"/>
                <w:color w:val="auto"/>
              </w:rPr>
            </w:pPr>
            <w:r>
              <w:rPr>
                <w:rFonts w:ascii="Arial" w:cs="Arial" w:eastAsia="Arial" w:hAnsi="Arial"/>
                <w:sz w:val="17"/>
                <w:szCs w:val="17"/>
                <w:color w:val="auto"/>
              </w:rPr>
              <w:t>•</w:t>
            </w:r>
          </w:p>
        </w:tc>
        <w:tc>
          <w:tcPr>
            <w:tcW w:w="8620" w:type="dxa"/>
            <w:vAlign w:val="bottom"/>
          </w:tcPr>
          <w:p>
            <w:pPr>
              <w:ind w:left="60"/>
              <w:spacing w:after="0"/>
              <w:rPr>
                <w:sz w:val="20"/>
                <w:szCs w:val="20"/>
                <w:color w:val="auto"/>
              </w:rPr>
            </w:pPr>
            <w:r>
              <w:rPr>
                <w:rFonts w:ascii="Arial" w:cs="Arial" w:eastAsia="Arial" w:hAnsi="Arial"/>
                <w:sz w:val="17"/>
                <w:szCs w:val="17"/>
                <w:color w:val="auto"/>
                <w:w w:val="92"/>
              </w:rPr>
              <w:t>First U.S. technology company to deploy a sustainable finance instrument with an inaugural green bond issuance, followed</w:t>
            </w:r>
          </w:p>
        </w:tc>
        <w:tc>
          <w:tcPr>
            <w:tcW w:w="0" w:type="dxa"/>
            <w:vAlign w:val="bottom"/>
          </w:tcPr>
          <w:p>
            <w:pPr>
              <w:spacing w:after="0"/>
              <w:rPr>
                <w:sz w:val="1"/>
                <w:szCs w:val="1"/>
                <w:color w:val="auto"/>
              </w:rPr>
            </w:pPr>
          </w:p>
        </w:tc>
      </w:tr>
      <w:tr>
        <w:trPr>
          <w:trHeight w:val="106"/>
        </w:trPr>
        <w:tc>
          <w:tcPr>
            <w:tcW w:w="18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620" w:type="dxa"/>
            <w:vAlign w:val="bottom"/>
            <w:vMerge w:val="restart"/>
          </w:tcPr>
          <w:p>
            <w:pPr>
              <w:ind w:left="40"/>
              <w:spacing w:after="0"/>
              <w:rPr>
                <w:sz w:val="20"/>
                <w:szCs w:val="20"/>
                <w:color w:val="auto"/>
              </w:rPr>
            </w:pPr>
            <w:r>
              <w:rPr>
                <w:rFonts w:ascii="Arial" w:cs="Arial" w:eastAsia="Arial" w:hAnsi="Arial"/>
                <w:sz w:val="17"/>
                <w:szCs w:val="17"/>
                <w:color w:val="auto"/>
              </w:rPr>
              <w:t>by the issuance of a sustainability-linked revolving credit facility and a sustainability-linked bond offering</w:t>
            </w:r>
          </w:p>
        </w:tc>
        <w:tc>
          <w:tcPr>
            <w:tcW w:w="0" w:type="dxa"/>
            <w:vAlign w:val="bottom"/>
          </w:tcPr>
          <w:p>
            <w:pPr>
              <w:spacing w:after="0"/>
              <w:rPr>
                <w:sz w:val="1"/>
                <w:szCs w:val="1"/>
                <w:color w:val="auto"/>
              </w:rPr>
            </w:pPr>
          </w:p>
        </w:tc>
      </w:tr>
      <w:tr>
        <w:trPr>
          <w:trHeight w:val="114"/>
        </w:trPr>
        <w:tc>
          <w:tcPr>
            <w:tcW w:w="1800" w:type="dxa"/>
            <w:vAlign w:val="bottom"/>
            <w:vMerge w:val="restart"/>
          </w:tcPr>
          <w:p>
            <w:pPr>
              <w:ind w:left="60"/>
              <w:spacing w:after="0"/>
              <w:rPr>
                <w:sz w:val="20"/>
                <w:szCs w:val="20"/>
                <w:color w:val="auto"/>
              </w:rPr>
            </w:pPr>
            <w:r>
              <w:rPr>
                <w:rFonts w:ascii="Arial" w:cs="Arial" w:eastAsia="Arial" w:hAnsi="Arial"/>
                <w:sz w:val="16"/>
                <w:szCs w:val="16"/>
                <w:color w:val="auto"/>
              </w:rPr>
              <w:t>Responsibility</w:t>
            </w:r>
          </w:p>
        </w:tc>
        <w:tc>
          <w:tcPr>
            <w:tcW w:w="200" w:type="dxa"/>
            <w:vAlign w:val="bottom"/>
          </w:tcPr>
          <w:p>
            <w:pPr>
              <w:spacing w:after="0"/>
              <w:rPr>
                <w:sz w:val="9"/>
                <w:szCs w:val="9"/>
                <w:color w:val="auto"/>
              </w:rPr>
            </w:pPr>
          </w:p>
        </w:tc>
        <w:tc>
          <w:tcPr>
            <w:tcW w:w="8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800" w:type="dxa"/>
            <w:vAlign w:val="bottom"/>
            <w:vMerge w:val="continue"/>
          </w:tcPr>
          <w:p>
            <w:pPr>
              <w:spacing w:after="0"/>
              <w:rPr>
                <w:sz w:val="7"/>
                <w:szCs w:val="7"/>
                <w:color w:val="auto"/>
              </w:rPr>
            </w:pPr>
          </w:p>
        </w:tc>
        <w:tc>
          <w:tcPr>
            <w:tcW w:w="200" w:type="dxa"/>
            <w:vAlign w:val="bottom"/>
            <w:vMerge w:val="restart"/>
          </w:tcPr>
          <w:p>
            <w:pPr>
              <w:ind w:left="100"/>
              <w:spacing w:after="0"/>
              <w:rPr>
                <w:sz w:val="20"/>
                <w:szCs w:val="20"/>
                <w:color w:val="auto"/>
              </w:rPr>
            </w:pPr>
            <w:r>
              <w:rPr>
                <w:rFonts w:ascii="Arial" w:cs="Arial" w:eastAsia="Arial" w:hAnsi="Arial"/>
                <w:sz w:val="17"/>
                <w:szCs w:val="17"/>
                <w:color w:val="auto"/>
              </w:rPr>
              <w:t>•</w:t>
            </w:r>
          </w:p>
        </w:tc>
        <w:tc>
          <w:tcPr>
            <w:tcW w:w="8620" w:type="dxa"/>
            <w:vAlign w:val="bottom"/>
            <w:vMerge w:val="restart"/>
          </w:tcPr>
          <w:p>
            <w:pPr>
              <w:ind w:left="60"/>
              <w:spacing w:after="0"/>
              <w:rPr>
                <w:sz w:val="20"/>
                <w:szCs w:val="20"/>
                <w:color w:val="auto"/>
              </w:rPr>
            </w:pPr>
            <w:r>
              <w:rPr>
                <w:rFonts w:ascii="Arial" w:cs="Arial" w:eastAsia="Arial" w:hAnsi="Arial"/>
                <w:sz w:val="17"/>
                <w:szCs w:val="17"/>
                <w:color w:val="auto"/>
                <w:w w:val="95"/>
              </w:rPr>
              <w:t>Strengthened ADI’s commitment to reducing carbon emissions by setting a new goal to reach carbon neutrality by 2030</w:t>
            </w:r>
          </w:p>
        </w:tc>
        <w:tc>
          <w:tcPr>
            <w:tcW w:w="0" w:type="dxa"/>
            <w:vAlign w:val="bottom"/>
          </w:tcPr>
          <w:p>
            <w:pPr>
              <w:spacing w:after="0"/>
              <w:rPr>
                <w:sz w:val="1"/>
                <w:szCs w:val="1"/>
                <w:color w:val="auto"/>
              </w:rPr>
            </w:pPr>
          </w:p>
        </w:tc>
      </w:tr>
      <w:tr>
        <w:trPr>
          <w:trHeight w:val="175"/>
        </w:trPr>
        <w:tc>
          <w:tcPr>
            <w:tcW w:w="180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8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-1445260</wp:posOffset>
            </wp:positionV>
            <wp:extent cx="5592445" cy="16605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592445" cy="1660525"/>
                    </a:xfrm>
                    <a:prstGeom prst="rect">
                      <a:avLst/>
                    </a:prstGeom>
                    <a:noFill/>
                  </pic:spPr>
                </pic:pic>
              </a:graphicData>
            </a:graphic>
          </wp:anchor>
        </w:drawing>
      </w:r>
    </w:p>
    <w:p>
      <w:pPr>
        <w:ind w:left="2360"/>
        <w:spacing w:after="0"/>
        <w:rPr>
          <w:sz w:val="20"/>
          <w:szCs w:val="20"/>
          <w:color w:val="auto"/>
        </w:rPr>
      </w:pPr>
      <w:r>
        <w:rPr>
          <w:rFonts w:ascii="Arial" w:cs="Arial" w:eastAsia="Arial" w:hAnsi="Arial"/>
          <w:sz w:val="17"/>
          <w:szCs w:val="17"/>
          <w:color w:val="auto"/>
        </w:rPr>
        <w:t>and net zero greenhouse gas emissions by 2050 or sooner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90805</wp:posOffset>
            </wp:positionV>
            <wp:extent cx="6740525" cy="1024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40525" cy="1024255"/>
                    </a:xfrm>
                    <a:prstGeom prst="rect">
                      <a:avLst/>
                    </a:prstGeom>
                    <a:noFill/>
                  </pic:spPr>
                </pic:pic>
              </a:graphicData>
            </a:graphic>
          </wp:anchor>
        </w:drawing>
      </w:r>
    </w:p>
    <w:p>
      <w:pPr>
        <w:sectPr>
          <w:pgSz w:w="11900" w:h="16838" w:orient="portrait"/>
          <w:cols w:equalWidth="0" w:num="1">
            <w:col w:w="10940"/>
          </w:cols>
          <w:pgMar w:left="320" w:top="447"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940"/>
          </w:cols>
          <w:pgMar w:left="320" w:top="447" w:right="639" w:bottom="1440" w:gutter="0" w:footer="0" w:header="0"/>
          <w:type w:val="continuous"/>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20"/>
        <w:spacing w:after="0"/>
        <w:rPr>
          <w:sz w:val="20"/>
          <w:szCs w:val="20"/>
          <w:color w:val="auto"/>
        </w:rPr>
      </w:pPr>
      <w:r>
        <w:rPr>
          <w:rFonts w:ascii="Arial" w:cs="Arial" w:eastAsia="Arial" w:hAnsi="Arial"/>
          <w:sz w:val="45"/>
          <w:szCs w:val="45"/>
          <w:color w:val="auto"/>
        </w:rPr>
        <w:t>EXECUTIVE COMPENSATION</w:t>
      </w:r>
    </w:p>
    <w:p>
      <w:pPr>
        <w:spacing w:after="0" w:line="200" w:lineRule="exact"/>
        <w:rPr>
          <w:sz w:val="20"/>
          <w:szCs w:val="20"/>
          <w:color w:val="auto"/>
        </w:rPr>
      </w:pPr>
    </w:p>
    <w:p>
      <w:pPr>
        <w:spacing w:after="0" w:line="201" w:lineRule="exact"/>
        <w:rPr>
          <w:sz w:val="20"/>
          <w:szCs w:val="20"/>
          <w:color w:val="auto"/>
        </w:rPr>
      </w:pPr>
    </w:p>
    <w:p>
      <w:pPr>
        <w:ind w:left="320" w:right="120"/>
        <w:spacing w:after="0" w:line="286" w:lineRule="auto"/>
        <w:rPr>
          <w:sz w:val="20"/>
          <w:szCs w:val="20"/>
          <w:color w:val="auto"/>
        </w:rPr>
      </w:pPr>
      <w:r>
        <w:rPr>
          <w:rFonts w:ascii="Arial" w:cs="Arial" w:eastAsia="Arial" w:hAnsi="Arial"/>
          <w:sz w:val="17"/>
          <w:szCs w:val="17"/>
          <w:color w:val="auto"/>
        </w:rPr>
        <w:t>Our executive compensation program is designed to attract, retain and motivate top executive talent and align the interests of our executive officers and our shareholders.</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0066BA"/>
        </w:rPr>
        <w:t>Compensation Best Practices</w:t>
      </w:r>
    </w:p>
    <w:p>
      <w:pPr>
        <w:spacing w:after="0" w:line="98" w:lineRule="exact"/>
        <w:rPr>
          <w:sz w:val="20"/>
          <w:szCs w:val="20"/>
          <w:color w:val="auto"/>
        </w:rPr>
      </w:pPr>
    </w:p>
    <w:p>
      <w:pPr>
        <w:ind w:left="740" w:hanging="424"/>
        <w:spacing w:after="0"/>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cash incentive bonus awards are based solely on our financial performance</w:t>
      </w:r>
    </w:p>
    <w:p>
      <w:pPr>
        <w:spacing w:after="0" w:line="77" w:lineRule="exact"/>
        <w:rPr>
          <w:rFonts w:ascii="Arial" w:cs="Arial" w:eastAsia="Arial" w:hAnsi="Arial"/>
          <w:sz w:val="17"/>
          <w:szCs w:val="17"/>
          <w:color w:val="auto"/>
        </w:rPr>
      </w:pPr>
    </w:p>
    <w:p>
      <w:pPr>
        <w:ind w:left="740" w:hanging="424"/>
        <w:spacing w:after="0"/>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significant portion of equity awards are contingent upon long-term performance achievement</w:t>
      </w:r>
    </w:p>
    <w:p>
      <w:pPr>
        <w:spacing w:after="0" w:line="77" w:lineRule="exact"/>
        <w:rPr>
          <w:rFonts w:ascii="Arial" w:cs="Arial" w:eastAsia="Arial" w:hAnsi="Arial"/>
          <w:sz w:val="17"/>
          <w:szCs w:val="17"/>
          <w:color w:val="auto"/>
        </w:rPr>
      </w:pPr>
    </w:p>
    <w:p>
      <w:pPr>
        <w:ind w:left="740" w:hanging="424"/>
        <w:spacing w:after="0"/>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Incentive awards are tied to rigorous performance targets aligned with our corporate strategy</w:t>
      </w:r>
    </w:p>
    <w:p>
      <w:pPr>
        <w:spacing w:after="0" w:line="77" w:lineRule="exact"/>
        <w:rPr>
          <w:rFonts w:ascii="Arial" w:cs="Arial" w:eastAsia="Arial" w:hAnsi="Arial"/>
          <w:sz w:val="17"/>
          <w:szCs w:val="17"/>
          <w:color w:val="auto"/>
        </w:rPr>
      </w:pPr>
    </w:p>
    <w:p>
      <w:pPr>
        <w:ind w:left="740" w:hanging="424"/>
        <w:spacing w:after="0"/>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Payout for relative TSR-based awards capped at target for instances of negative absolute TSR</w:t>
      </w:r>
    </w:p>
    <w:p>
      <w:pPr>
        <w:spacing w:after="0" w:line="77" w:lineRule="exact"/>
        <w:rPr>
          <w:rFonts w:ascii="Arial" w:cs="Arial" w:eastAsia="Arial" w:hAnsi="Arial"/>
          <w:sz w:val="17"/>
          <w:szCs w:val="17"/>
          <w:color w:val="auto"/>
        </w:rPr>
      </w:pPr>
    </w:p>
    <w:p>
      <w:pPr>
        <w:ind w:left="740" w:hanging="424"/>
        <w:spacing w:after="0"/>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Clawback policy for all executive officers in the event of a material financial restatement due to fraud or willful misconduct</w:t>
      </w:r>
    </w:p>
    <w:p>
      <w:pPr>
        <w:spacing w:after="0" w:line="77" w:lineRule="exact"/>
        <w:rPr>
          <w:rFonts w:ascii="Arial" w:cs="Arial" w:eastAsia="Arial" w:hAnsi="Arial"/>
          <w:sz w:val="17"/>
          <w:szCs w:val="17"/>
          <w:color w:val="auto"/>
        </w:rPr>
      </w:pPr>
    </w:p>
    <w:p>
      <w:pPr>
        <w:ind w:left="740" w:hanging="424"/>
        <w:spacing w:after="0"/>
        <w:tabs>
          <w:tab w:leader="none" w:pos="7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Specific policy regarding the grant dates of stock options, RSUs and other stock-based awards for our directors, executive officers and employees</w:t>
      </w:r>
    </w:p>
    <w:p>
      <w:pPr>
        <w:spacing w:after="0" w:line="100" w:lineRule="exact"/>
        <w:rPr>
          <w:rFonts w:ascii="Arial" w:cs="Arial" w:eastAsia="Arial" w:hAnsi="Arial"/>
          <w:sz w:val="15"/>
          <w:szCs w:val="15"/>
          <w:color w:val="auto"/>
        </w:rPr>
      </w:pPr>
    </w:p>
    <w:p>
      <w:pPr>
        <w:ind w:left="740" w:hanging="424"/>
        <w:spacing w:after="0"/>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Stock ownership guidelines for all officers and directors</w:t>
      </w:r>
    </w:p>
    <w:p>
      <w:pPr>
        <w:spacing w:after="0" w:line="77" w:lineRule="exact"/>
        <w:rPr>
          <w:rFonts w:ascii="Arial" w:cs="Arial" w:eastAsia="Arial" w:hAnsi="Arial"/>
          <w:sz w:val="17"/>
          <w:szCs w:val="17"/>
          <w:color w:val="auto"/>
        </w:rPr>
      </w:pPr>
    </w:p>
    <w:p>
      <w:pPr>
        <w:ind w:left="740" w:hanging="424"/>
        <w:spacing w:after="0"/>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Prohibit hedging and pledging of ADI securities</w:t>
      </w:r>
    </w:p>
    <w:p>
      <w:pPr>
        <w:spacing w:after="0" w:line="77" w:lineRule="exact"/>
        <w:rPr>
          <w:rFonts w:ascii="Arial" w:cs="Arial" w:eastAsia="Arial" w:hAnsi="Arial"/>
          <w:sz w:val="17"/>
          <w:szCs w:val="17"/>
          <w:color w:val="auto"/>
        </w:rPr>
      </w:pPr>
    </w:p>
    <w:p>
      <w:pPr>
        <w:ind w:left="740" w:hanging="424"/>
        <w:spacing w:after="0"/>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Annual “say on pay” vote</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0066BA"/>
        </w:rPr>
        <w:t>Overview of CEO Pay</w:t>
      </w:r>
    </w:p>
    <w:p>
      <w:pPr>
        <w:spacing w:after="0" w:line="98" w:lineRule="exact"/>
        <w:rPr>
          <w:sz w:val="20"/>
          <w:szCs w:val="20"/>
          <w:color w:val="auto"/>
        </w:rPr>
      </w:pPr>
    </w:p>
    <w:p>
      <w:pPr>
        <w:ind w:left="320" w:right="120"/>
        <w:spacing w:after="0" w:line="270" w:lineRule="auto"/>
        <w:rPr>
          <w:sz w:val="20"/>
          <w:szCs w:val="20"/>
          <w:color w:val="auto"/>
        </w:rPr>
      </w:pPr>
      <w:r>
        <w:rPr>
          <w:rFonts w:ascii="Arial" w:cs="Arial" w:eastAsia="Arial" w:hAnsi="Arial"/>
          <w:sz w:val="17"/>
          <w:szCs w:val="17"/>
          <w:color w:val="auto"/>
        </w:rPr>
        <w:t>Executive pay at ADI is strongly aligned with long-term company performance, with the majority of compensation delivered in long-term equity-based awards. The pay mix chart is based on target compensation consisting of the annual rate of base salary and short-term and long-term incentive targets approved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34925</wp:posOffset>
            </wp:positionV>
            <wp:extent cx="2907665" cy="12553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907665" cy="1255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40" w:hanging="424"/>
        <w:spacing w:after="0"/>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sum of the individual amounts may not equal the total due to rounding. See page 35 for further details regarding the calculations.</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0066BA"/>
        </w:rPr>
        <w:t>Fiscal 2021 Total Shareholder Return</w:t>
      </w:r>
    </w:p>
    <w:p>
      <w:pPr>
        <w:spacing w:after="0" w:line="85" w:lineRule="exact"/>
        <w:rPr>
          <w:sz w:val="20"/>
          <w:szCs w:val="20"/>
          <w:color w:val="auto"/>
        </w:rPr>
      </w:pPr>
    </w:p>
    <w:p>
      <w:pPr>
        <w:ind w:left="320" w:right="120"/>
        <w:spacing w:after="0" w:line="286" w:lineRule="auto"/>
        <w:rPr>
          <w:sz w:val="20"/>
          <w:szCs w:val="20"/>
          <w:color w:val="auto"/>
        </w:rPr>
      </w:pPr>
      <w:r>
        <w:rPr>
          <w:rFonts w:ascii="Arial" w:cs="Arial" w:eastAsia="Arial" w:hAnsi="Arial"/>
          <w:sz w:val="17"/>
          <w:szCs w:val="17"/>
          <w:color w:val="auto"/>
        </w:rPr>
        <w:t>2021 compensation actions for our executive officers, including our named executive officers, are supported by solid corporate performance and strong shareholder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125095</wp:posOffset>
            </wp:positionV>
            <wp:extent cx="3428365" cy="18338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8365" cy="1833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320" w:right="5140"/>
        <w:spacing w:after="0" w:line="245" w:lineRule="auto"/>
        <w:rPr>
          <w:sz w:val="20"/>
          <w:szCs w:val="20"/>
          <w:color w:val="auto"/>
        </w:rPr>
      </w:pPr>
      <w:r>
        <w:rPr>
          <w:rFonts w:ascii="Arial" w:cs="Arial" w:eastAsia="Arial" w:hAnsi="Arial"/>
          <w:sz w:val="13"/>
          <w:szCs w:val="13"/>
          <w:i w:val="1"/>
          <w:iCs w:val="1"/>
          <w:color w:val="auto"/>
        </w:rPr>
        <w:t>Total Shareholder Return calculation is share price appreciation plus cumulative cash dividend payments, and the effect of reinvesting those dividends into the security for the one-year period ended October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6801485</wp:posOffset>
            </wp:positionH>
            <wp:positionV relativeFrom="paragraph">
              <wp:posOffset>90170</wp:posOffset>
            </wp:positionV>
            <wp:extent cx="140335" cy="9251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40335" cy="925195"/>
                    </a:xfrm>
                    <a:prstGeom prst="rect">
                      <a:avLst/>
                    </a:prstGeom>
                    <a:noFill/>
                  </pic:spPr>
                </pic:pic>
              </a:graphicData>
            </a:graphic>
          </wp:anchor>
        </w:drawing>
      </w:r>
    </w:p>
    <w:p>
      <w:pPr>
        <w:sectPr>
          <w:pgSz w:w="11900" w:h="16838" w:orient="portrait"/>
          <w:cols w:equalWidth="0" w:num="1">
            <w:col w:w="10940"/>
          </w:cols>
          <w:pgMar w:left="320" w:top="447" w:right="639" w:bottom="6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84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940"/>
          </w:cols>
          <w:pgMar w:left="320" w:top="447" w:right="639" w:bottom="636" w:gutter="0" w:footer="0" w:header="0"/>
          <w:type w:val="continuous"/>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0066BA"/>
        </w:rPr>
        <w:t>Summary of Direct Compensation Elements</w:t>
      </w:r>
    </w:p>
    <w:p>
      <w:pPr>
        <w:spacing w:after="0" w:line="98" w:lineRule="exact"/>
        <w:rPr>
          <w:sz w:val="20"/>
          <w:szCs w:val="20"/>
          <w:color w:val="auto"/>
        </w:rPr>
      </w:pPr>
    </w:p>
    <w:p>
      <w:pPr>
        <w:ind w:left="320" w:right="20"/>
        <w:spacing w:after="0" w:line="286" w:lineRule="auto"/>
        <w:rPr>
          <w:sz w:val="20"/>
          <w:szCs w:val="20"/>
          <w:color w:val="auto"/>
        </w:rPr>
      </w:pPr>
      <w:r>
        <w:rPr>
          <w:rFonts w:ascii="Arial" w:cs="Arial" w:eastAsia="Arial" w:hAnsi="Arial"/>
          <w:sz w:val="17"/>
          <w:szCs w:val="17"/>
          <w:color w:val="auto"/>
        </w:rPr>
        <w:t>We provide a mix of compensation elements that support our goals of attracting and retaining top executive talent and incentivizing our key performance objectives in the short-and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3876675</wp:posOffset>
            </wp:positionH>
            <wp:positionV relativeFrom="paragraph">
              <wp:posOffset>199390</wp:posOffset>
            </wp:positionV>
            <wp:extent cx="3064510" cy="272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064510" cy="272415"/>
                    </a:xfrm>
                    <a:prstGeom prst="rect">
                      <a:avLst/>
                    </a:prstGeom>
                    <a:noFill/>
                  </pic:spPr>
                </pic:pic>
              </a:graphicData>
            </a:graphic>
          </wp:anchor>
        </w:drawing>
      </w:r>
    </w:p>
    <w:p>
      <w:pPr>
        <w:sectPr>
          <w:pgSz w:w="11900" w:h="16838" w:orient="portrait"/>
          <w:cols w:equalWidth="0" w:num="1">
            <w:col w:w="10940"/>
          </w:cols>
          <w:pgMar w:left="320" w:top="447" w:right="639" w:bottom="1440" w:gutter="0" w:footer="0" w:header="0"/>
        </w:sectPr>
      </w:pPr>
    </w:p>
    <w:p>
      <w:pPr>
        <w:spacing w:after="0" w:line="314" w:lineRule="exact"/>
        <w:rPr>
          <w:sz w:val="20"/>
          <w:szCs w:val="20"/>
          <w:color w:val="auto"/>
        </w:rPr>
      </w:pPr>
    </w:p>
    <w:tbl>
      <w:tblPr>
        <w:tblLayout w:type="fixed"/>
        <w:tblInd w:w="320" w:type="dxa"/>
        <w:tblCellMar>
          <w:top w:w="0" w:type="dxa"/>
          <w:left w:w="0" w:type="dxa"/>
          <w:bottom w:w="0" w:type="dxa"/>
          <w:right w:w="0" w:type="dxa"/>
        </w:tblCellMar>
      </w:tblPr>
      <w:tr>
        <w:trPr>
          <w:trHeight w:val="342"/>
        </w:trPr>
        <w:tc>
          <w:tcPr>
            <w:tcW w:w="2620" w:type="dxa"/>
            <w:vAlign w:val="bottom"/>
            <w:shd w:val="clear" w:color="auto" w:fill="CCCCCC"/>
          </w:tcPr>
          <w:p>
            <w:pPr>
              <w:ind w:left="100"/>
              <w:spacing w:after="0"/>
              <w:rPr>
                <w:sz w:val="20"/>
                <w:szCs w:val="20"/>
                <w:color w:val="auto"/>
              </w:rPr>
            </w:pPr>
            <w:r>
              <w:rPr>
                <w:rFonts w:ascii="Arial" w:cs="Arial" w:eastAsia="Arial" w:hAnsi="Arial"/>
                <w:sz w:val="19"/>
                <w:szCs w:val="19"/>
                <w:b w:val="1"/>
                <w:bCs w:val="1"/>
                <w:color w:val="auto"/>
              </w:rPr>
              <w:t>Pay Element</w:t>
            </w:r>
          </w:p>
        </w:tc>
        <w:tc>
          <w:tcPr>
            <w:tcW w:w="520" w:type="dxa"/>
            <w:vAlign w:val="bottom"/>
          </w:tcPr>
          <w:p>
            <w:pPr>
              <w:spacing w:after="0"/>
              <w:rPr>
                <w:sz w:val="24"/>
                <w:szCs w:val="24"/>
                <w:color w:val="auto"/>
              </w:rPr>
            </w:pPr>
          </w:p>
        </w:tc>
        <w:tc>
          <w:tcPr>
            <w:tcW w:w="2120" w:type="dxa"/>
            <w:vAlign w:val="bottom"/>
            <w:shd w:val="clear" w:color="auto" w:fill="B2D1EA"/>
          </w:tcPr>
          <w:p>
            <w:pPr>
              <w:ind w:left="200"/>
              <w:spacing w:after="0"/>
              <w:rPr>
                <w:sz w:val="20"/>
                <w:szCs w:val="20"/>
                <w:color w:val="auto"/>
              </w:rPr>
            </w:pPr>
            <w:r>
              <w:rPr>
                <w:rFonts w:ascii="Arial" w:cs="Arial" w:eastAsia="Arial" w:hAnsi="Arial"/>
                <w:sz w:val="19"/>
                <w:szCs w:val="19"/>
                <w:b w:val="1"/>
                <w:bCs w:val="1"/>
                <w:color w:val="auto"/>
              </w:rPr>
              <w:t>Purpose</w:t>
            </w:r>
          </w:p>
        </w:tc>
      </w:tr>
      <w:tr>
        <w:trPr>
          <w:trHeight w:val="87"/>
        </w:trPr>
        <w:tc>
          <w:tcPr>
            <w:tcW w:w="2620" w:type="dxa"/>
            <w:vAlign w:val="bottom"/>
            <w:shd w:val="clear" w:color="auto" w:fill="CCCCCC"/>
          </w:tcPr>
          <w:p>
            <w:pPr>
              <w:spacing w:after="0"/>
              <w:rPr>
                <w:sz w:val="7"/>
                <w:szCs w:val="7"/>
                <w:color w:val="auto"/>
              </w:rPr>
            </w:pPr>
          </w:p>
        </w:tc>
        <w:tc>
          <w:tcPr>
            <w:tcW w:w="520" w:type="dxa"/>
            <w:vAlign w:val="bottom"/>
          </w:tcPr>
          <w:p>
            <w:pPr>
              <w:spacing w:after="0"/>
              <w:rPr>
                <w:sz w:val="7"/>
                <w:szCs w:val="7"/>
                <w:color w:val="auto"/>
              </w:rPr>
            </w:pPr>
          </w:p>
        </w:tc>
        <w:tc>
          <w:tcPr>
            <w:tcW w:w="2120" w:type="dxa"/>
            <w:vAlign w:val="bottom"/>
            <w:shd w:val="clear" w:color="auto" w:fill="B2D1EA"/>
          </w:tcPr>
          <w:p>
            <w:pPr>
              <w:spacing w:after="0"/>
              <w:rPr>
                <w:sz w:val="7"/>
                <w:szCs w:val="7"/>
                <w:color w:val="auto"/>
              </w:rPr>
            </w:pPr>
          </w:p>
        </w:tc>
      </w:tr>
      <w:tr>
        <w:trPr>
          <w:trHeight w:val="261"/>
        </w:trPr>
        <w:tc>
          <w:tcPr>
            <w:tcW w:w="2620" w:type="dxa"/>
            <w:vAlign w:val="bottom"/>
          </w:tcPr>
          <w:p>
            <w:pPr>
              <w:spacing w:after="0"/>
              <w:rPr>
                <w:sz w:val="20"/>
                <w:szCs w:val="20"/>
                <w:color w:val="auto"/>
              </w:rPr>
            </w:pPr>
            <w:r>
              <w:rPr>
                <w:rFonts w:ascii="Arial" w:cs="Arial" w:eastAsia="Arial" w:hAnsi="Arial"/>
                <w:sz w:val="17"/>
                <w:szCs w:val="17"/>
                <w:color w:val="auto"/>
              </w:rPr>
              <w:t>• Base Salary</w:t>
            </w:r>
          </w:p>
        </w:tc>
        <w:tc>
          <w:tcPr>
            <w:tcW w:w="520" w:type="dxa"/>
            <w:vAlign w:val="bottom"/>
          </w:tcPr>
          <w:p>
            <w:pPr>
              <w:spacing w:after="0"/>
              <w:rPr>
                <w:sz w:val="22"/>
                <w:szCs w:val="22"/>
                <w:color w:val="auto"/>
              </w:rPr>
            </w:pPr>
          </w:p>
        </w:tc>
        <w:tc>
          <w:tcPr>
            <w:tcW w:w="2120" w:type="dxa"/>
            <w:vAlign w:val="bottom"/>
          </w:tcPr>
          <w:p>
            <w:pPr>
              <w:ind w:left="100"/>
              <w:spacing w:after="0"/>
              <w:rPr>
                <w:sz w:val="20"/>
                <w:szCs w:val="20"/>
                <w:color w:val="auto"/>
              </w:rPr>
            </w:pPr>
            <w:r>
              <w:rPr>
                <w:rFonts w:ascii="Arial" w:cs="Arial" w:eastAsia="Arial" w:hAnsi="Arial"/>
                <w:sz w:val="17"/>
                <w:szCs w:val="17"/>
                <w:color w:val="auto"/>
              </w:rPr>
              <w:t>• Attract and retain</w:t>
            </w:r>
          </w:p>
        </w:tc>
      </w:tr>
      <w:tr>
        <w:trPr>
          <w:trHeight w:val="221"/>
        </w:trPr>
        <w:tc>
          <w:tcPr>
            <w:tcW w:w="2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120" w:type="dxa"/>
            <w:vAlign w:val="bottom"/>
          </w:tcPr>
          <w:p>
            <w:pPr>
              <w:ind w:left="240"/>
              <w:spacing w:after="0"/>
              <w:rPr>
                <w:sz w:val="20"/>
                <w:szCs w:val="20"/>
                <w:color w:val="auto"/>
              </w:rPr>
            </w:pPr>
            <w:r>
              <w:rPr>
                <w:rFonts w:ascii="Arial" w:cs="Arial" w:eastAsia="Arial" w:hAnsi="Arial"/>
                <w:sz w:val="17"/>
                <w:szCs w:val="17"/>
                <w:color w:val="auto"/>
              </w:rPr>
              <w:t>executive talent</w:t>
            </w:r>
          </w:p>
        </w:tc>
      </w:tr>
      <w:tr>
        <w:trPr>
          <w:trHeight w:val="65"/>
        </w:trPr>
        <w:tc>
          <w:tcPr>
            <w:tcW w:w="2620" w:type="dxa"/>
            <w:vAlign w:val="bottom"/>
            <w:tcBorders>
              <w:bottom w:val="single" w:sz="8" w:color="0066BA"/>
            </w:tcBorders>
          </w:tcPr>
          <w:p>
            <w:pPr>
              <w:spacing w:after="0"/>
              <w:rPr>
                <w:sz w:val="5"/>
                <w:szCs w:val="5"/>
                <w:color w:val="auto"/>
              </w:rPr>
            </w:pPr>
          </w:p>
        </w:tc>
        <w:tc>
          <w:tcPr>
            <w:tcW w:w="520" w:type="dxa"/>
            <w:vAlign w:val="bottom"/>
          </w:tcPr>
          <w:p>
            <w:pPr>
              <w:spacing w:after="0"/>
              <w:rPr>
                <w:sz w:val="5"/>
                <w:szCs w:val="5"/>
                <w:color w:val="auto"/>
              </w:rPr>
            </w:pPr>
          </w:p>
        </w:tc>
        <w:tc>
          <w:tcPr>
            <w:tcW w:w="2120" w:type="dxa"/>
            <w:vAlign w:val="bottom"/>
            <w:tcBorders>
              <w:bottom w:val="single" w:sz="8" w:color="0066BA"/>
            </w:tcBorders>
          </w:tcPr>
          <w:p>
            <w:pPr>
              <w:spacing w:after="0"/>
              <w:rPr>
                <w:sz w:val="5"/>
                <w:szCs w:val="5"/>
                <w:color w:val="auto"/>
              </w:rPr>
            </w:pPr>
          </w:p>
        </w:tc>
      </w:tr>
      <w:tr>
        <w:trPr>
          <w:trHeight w:val="241"/>
        </w:trPr>
        <w:tc>
          <w:tcPr>
            <w:tcW w:w="2620" w:type="dxa"/>
            <w:vAlign w:val="bottom"/>
          </w:tcPr>
          <w:p>
            <w:pPr>
              <w:spacing w:after="0"/>
              <w:rPr>
                <w:sz w:val="20"/>
                <w:szCs w:val="20"/>
                <w:color w:val="auto"/>
              </w:rPr>
            </w:pPr>
            <w:r>
              <w:rPr>
                <w:rFonts w:ascii="Arial" w:cs="Arial" w:eastAsia="Arial" w:hAnsi="Arial"/>
                <w:sz w:val="17"/>
                <w:szCs w:val="17"/>
                <w:color w:val="auto"/>
              </w:rPr>
              <w:t>• Variable Cash Incentive</w:t>
            </w:r>
          </w:p>
        </w:tc>
        <w:tc>
          <w:tcPr>
            <w:tcW w:w="520" w:type="dxa"/>
            <w:vAlign w:val="bottom"/>
          </w:tcPr>
          <w:p>
            <w:pPr>
              <w:spacing w:after="0"/>
              <w:rPr>
                <w:sz w:val="20"/>
                <w:szCs w:val="20"/>
                <w:color w:val="auto"/>
              </w:rPr>
            </w:pPr>
          </w:p>
        </w:tc>
        <w:tc>
          <w:tcPr>
            <w:tcW w:w="2120" w:type="dxa"/>
            <w:vAlign w:val="bottom"/>
          </w:tcPr>
          <w:p>
            <w:pPr>
              <w:ind w:left="100"/>
              <w:spacing w:after="0"/>
              <w:rPr>
                <w:sz w:val="20"/>
                <w:szCs w:val="20"/>
                <w:color w:val="auto"/>
              </w:rPr>
            </w:pPr>
            <w:r>
              <w:rPr>
                <w:rFonts w:ascii="Arial" w:cs="Arial" w:eastAsia="Arial" w:hAnsi="Arial"/>
                <w:sz w:val="17"/>
                <w:szCs w:val="17"/>
                <w:color w:val="auto"/>
              </w:rPr>
              <w:t>• Motivate and reward our</w:t>
            </w:r>
          </w:p>
        </w:tc>
      </w:tr>
      <w:tr>
        <w:trPr>
          <w:trHeight w:val="208"/>
        </w:trPr>
        <w:tc>
          <w:tcPr>
            <w:tcW w:w="2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ind w:left="240"/>
              <w:spacing w:after="0"/>
              <w:rPr>
                <w:sz w:val="20"/>
                <w:szCs w:val="20"/>
                <w:color w:val="auto"/>
              </w:rPr>
            </w:pPr>
            <w:r>
              <w:rPr>
                <w:rFonts w:ascii="Arial" w:cs="Arial" w:eastAsia="Arial" w:hAnsi="Arial"/>
                <w:sz w:val="17"/>
                <w:szCs w:val="17"/>
                <w:color w:val="auto"/>
              </w:rPr>
              <w:t>executive officers for</w:t>
            </w:r>
          </w:p>
        </w:tc>
      </w:tr>
      <w:tr>
        <w:trPr>
          <w:trHeight w:val="208"/>
        </w:trPr>
        <w:tc>
          <w:tcPr>
            <w:tcW w:w="2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ind w:left="240"/>
              <w:spacing w:after="0"/>
              <w:rPr>
                <w:sz w:val="20"/>
                <w:szCs w:val="20"/>
                <w:color w:val="auto"/>
              </w:rPr>
            </w:pPr>
            <w:r>
              <w:rPr>
                <w:rFonts w:ascii="Arial" w:cs="Arial" w:eastAsia="Arial" w:hAnsi="Arial"/>
                <w:sz w:val="17"/>
                <w:szCs w:val="17"/>
                <w:color w:val="auto"/>
              </w:rPr>
              <w:t>achieving short-term</w:t>
            </w:r>
          </w:p>
        </w:tc>
      </w:tr>
      <w:tr>
        <w:trPr>
          <w:trHeight w:val="208"/>
        </w:trPr>
        <w:tc>
          <w:tcPr>
            <w:tcW w:w="2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ind w:left="240"/>
              <w:spacing w:after="0"/>
              <w:rPr>
                <w:sz w:val="20"/>
                <w:szCs w:val="20"/>
                <w:color w:val="auto"/>
              </w:rPr>
            </w:pPr>
            <w:r>
              <w:rPr>
                <w:rFonts w:ascii="Arial" w:cs="Arial" w:eastAsia="Arial" w:hAnsi="Arial"/>
                <w:sz w:val="17"/>
                <w:szCs w:val="17"/>
                <w:color w:val="auto"/>
              </w:rPr>
              <w:t>Company financial</w:t>
            </w:r>
          </w:p>
        </w:tc>
      </w:tr>
      <w:tr>
        <w:trPr>
          <w:trHeight w:val="208"/>
        </w:trPr>
        <w:tc>
          <w:tcPr>
            <w:tcW w:w="2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ind w:left="240"/>
              <w:spacing w:after="0"/>
              <w:rPr>
                <w:sz w:val="20"/>
                <w:szCs w:val="20"/>
                <w:color w:val="auto"/>
              </w:rPr>
            </w:pPr>
            <w:r>
              <w:rPr>
                <w:rFonts w:ascii="Arial" w:cs="Arial" w:eastAsia="Arial" w:hAnsi="Arial"/>
                <w:sz w:val="17"/>
                <w:szCs w:val="17"/>
                <w:color w:val="auto"/>
              </w:rPr>
              <w:t>objectives aligned with</w:t>
            </w:r>
          </w:p>
        </w:tc>
      </w:tr>
      <w:tr>
        <w:trPr>
          <w:trHeight w:val="221"/>
        </w:trPr>
        <w:tc>
          <w:tcPr>
            <w:tcW w:w="2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120" w:type="dxa"/>
            <w:vAlign w:val="bottom"/>
          </w:tcPr>
          <w:p>
            <w:pPr>
              <w:ind w:left="240"/>
              <w:spacing w:after="0"/>
              <w:rPr>
                <w:sz w:val="20"/>
                <w:szCs w:val="20"/>
                <w:color w:val="auto"/>
              </w:rPr>
            </w:pPr>
            <w:r>
              <w:rPr>
                <w:rFonts w:ascii="Arial" w:cs="Arial" w:eastAsia="Arial" w:hAnsi="Arial"/>
                <w:sz w:val="17"/>
                <w:szCs w:val="17"/>
                <w:color w:val="auto"/>
              </w:rPr>
              <w:t>value creation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387985</wp:posOffset>
            </wp:positionV>
            <wp:extent cx="33458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45815" cy="8255"/>
                    </a:xfrm>
                    <a:prstGeom prst="rect">
                      <a:avLst/>
                    </a:prstGeom>
                    <a:noFill/>
                  </pic:spPr>
                </pic:pic>
              </a:graphicData>
            </a:graphic>
          </wp:anchor>
        </w:drawing>
        <w:drawing>
          <wp:anchor simplePos="0" relativeHeight="251657728" behindDoc="1" locked="0" layoutInCell="0" allowOverlap="1">
            <wp:simplePos x="0" y="0"/>
            <wp:positionH relativeFrom="column">
              <wp:posOffset>1951990</wp:posOffset>
            </wp:positionH>
            <wp:positionV relativeFrom="paragraph">
              <wp:posOffset>-1412240</wp:posOffset>
            </wp:positionV>
            <wp:extent cx="156845" cy="156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56845" cy="156845"/>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-1412240</wp:posOffset>
            </wp:positionV>
            <wp:extent cx="156845" cy="156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56845" cy="156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Time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1293495</wp:posOffset>
            </wp:positionH>
            <wp:positionV relativeFrom="paragraph">
              <wp:posOffset>-156845</wp:posOffset>
            </wp:positionV>
            <wp:extent cx="156845" cy="156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clrChange>
                        <a:clrFrom>
                          <a:srgbClr val="000000"/>
                        </a:clrFrom>
                        <a:clrTo>
                          <a:srgbClr val="000000">
                            <a:alpha val="0"/>
                          </a:srgbClr>
                        </a:clrTo>
                      </a:clrChange>
                      <a:extLst>
                        <a:ext uri="{28A0092B-C50C-407E-A947-70E740481C1C}"/>
                      </a:extLst>
                    </a:blip>
                    <a:srcRect/>
                    <a:stretch>
                      <a:fillRect/>
                    </a:stretch>
                  </pic:blipFill>
                  <pic:spPr bwMode="auto">
                    <a:xfrm>
                      <a:off x="0" y="0"/>
                      <a:ext cx="156845" cy="156845"/>
                    </a:xfrm>
                    <a:prstGeom prst="rect">
                      <a:avLst/>
                    </a:prstGeom>
                    <a:noFill/>
                  </pic:spPr>
                </pic:pic>
              </a:graphicData>
            </a:graphic>
          </wp:anchor>
        </w:drawing>
        <w:drawing>
          <wp:anchor simplePos="0" relativeHeight="251657728" behindDoc="1" locked="0" layoutInCell="0" allowOverlap="1">
            <wp:simplePos x="0" y="0"/>
            <wp:positionH relativeFrom="column">
              <wp:posOffset>1293495</wp:posOffset>
            </wp:positionH>
            <wp:positionV relativeFrom="paragraph">
              <wp:posOffset>-156845</wp:posOffset>
            </wp:positionV>
            <wp:extent cx="156845" cy="156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156845" cy="15684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189230</wp:posOffset>
            </wp:positionV>
            <wp:extent cx="13214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 Paid semi-annually, with</w:t>
      </w:r>
    </w:p>
    <w:p>
      <w:pPr>
        <w:spacing w:after="0" w:line="3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quarterly corporate</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financial targets tied to</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corporate strategy of</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profitable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528320</wp:posOffset>
            </wp:positionV>
            <wp:extent cx="13214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435610</wp:posOffset>
            </wp:positionV>
            <wp:extent cx="141287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412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color w:val="auto"/>
        </w:rPr>
        <w:t>• 50%: quarterly operating</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profit before taxes, or</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OPBT, margin</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 50%: year over year</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5"/>
          <w:szCs w:val="15"/>
          <w:color w:val="auto"/>
        </w:rPr>
        <w:t>revenue growth (measured</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quarterly)</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 Minimum OPBT margin</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required for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49530</wp:posOffset>
            </wp:positionV>
            <wp:extent cx="141287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412875" cy="8255"/>
                    </a:xfrm>
                    <a:prstGeom prst="rect">
                      <a:avLst/>
                    </a:prstGeom>
                    <a:noFill/>
                  </pic:spPr>
                </pic:pic>
              </a:graphicData>
            </a:graphic>
          </wp:anchor>
        </w:drawing>
      </w:r>
    </w:p>
    <w:p>
      <w:pPr>
        <w:spacing w:after="0" w:line="130" w:lineRule="exact"/>
        <w:rPr>
          <w:sz w:val="20"/>
          <w:szCs w:val="20"/>
          <w:color w:val="auto"/>
        </w:rPr>
      </w:pPr>
    </w:p>
    <w:p>
      <w:pPr>
        <w:sectPr>
          <w:pgSz w:w="11900" w:h="16838" w:orient="portrait"/>
          <w:cols w:equalWidth="0" w:num="3">
            <w:col w:w="5580" w:space="700"/>
            <w:col w:w="1880" w:space="660"/>
            <w:col w:w="2120"/>
          </w:cols>
          <w:pgMar w:left="320" w:top="447" w:right="639" w:bottom="1440" w:gutter="0" w:footer="0" w:header="0"/>
          <w:type w:val="continuous"/>
        </w:sectPr>
      </w:pPr>
    </w:p>
    <w:tbl>
      <w:tblPr>
        <w:tblLayout w:type="fixed"/>
        <w:tblInd w:w="320" w:type="dxa"/>
        <w:tblCellMar>
          <w:top w:w="0" w:type="dxa"/>
          <w:left w:w="0" w:type="dxa"/>
          <w:bottom w:w="0" w:type="dxa"/>
          <w:right w:w="0" w:type="dxa"/>
        </w:tblCellMar>
      </w:tblPr>
      <w:tr>
        <w:trPr>
          <w:trHeight w:val="208"/>
        </w:trPr>
        <w:tc>
          <w:tcPr>
            <w:tcW w:w="1140" w:type="dxa"/>
            <w:vAlign w:val="bottom"/>
          </w:tcPr>
          <w:p>
            <w:pPr>
              <w:spacing w:after="0"/>
              <w:rPr>
                <w:sz w:val="20"/>
                <w:szCs w:val="20"/>
                <w:color w:val="auto"/>
              </w:rPr>
            </w:pPr>
            <w:r>
              <w:rPr>
                <w:rFonts w:ascii="Arial" w:cs="Arial" w:eastAsia="Arial" w:hAnsi="Arial"/>
                <w:sz w:val="17"/>
                <w:szCs w:val="17"/>
                <w:color w:val="auto"/>
              </w:rPr>
              <w:t>• Annual</w:t>
            </w:r>
          </w:p>
        </w:tc>
        <w:tc>
          <w:tcPr>
            <w:tcW w:w="1480" w:type="dxa"/>
            <w:vAlign w:val="bottom"/>
            <w:gridSpan w:val="2"/>
          </w:tcPr>
          <w:p>
            <w:pPr>
              <w:ind w:left="220"/>
              <w:spacing w:after="0"/>
              <w:rPr>
                <w:sz w:val="20"/>
                <w:szCs w:val="20"/>
                <w:color w:val="auto"/>
              </w:rPr>
            </w:pPr>
            <w:r>
              <w:rPr>
                <w:rFonts w:ascii="Arial" w:cs="Arial" w:eastAsia="Arial" w:hAnsi="Arial"/>
                <w:sz w:val="17"/>
                <w:szCs w:val="17"/>
                <w:color w:val="auto"/>
              </w:rPr>
              <w:t>• TSR PRSUs –</w:t>
            </w:r>
          </w:p>
        </w:tc>
      </w:tr>
      <w:tr>
        <w:trPr>
          <w:trHeight w:val="208"/>
        </w:trPr>
        <w:tc>
          <w:tcPr>
            <w:tcW w:w="1140" w:type="dxa"/>
            <w:vAlign w:val="bottom"/>
          </w:tcPr>
          <w:p>
            <w:pPr>
              <w:ind w:left="140"/>
              <w:spacing w:after="0"/>
              <w:rPr>
                <w:sz w:val="20"/>
                <w:szCs w:val="20"/>
                <w:color w:val="auto"/>
              </w:rPr>
            </w:pPr>
            <w:r>
              <w:rPr>
                <w:rFonts w:ascii="Arial" w:cs="Arial" w:eastAsia="Arial" w:hAnsi="Arial"/>
                <w:sz w:val="17"/>
                <w:szCs w:val="17"/>
                <w:color w:val="auto"/>
              </w:rPr>
              <w:t>Long-Term</w:t>
            </w:r>
          </w:p>
        </w:tc>
        <w:tc>
          <w:tcPr>
            <w:tcW w:w="320" w:type="dxa"/>
            <w:vAlign w:val="bottom"/>
          </w:tcPr>
          <w:p>
            <w:pPr>
              <w:spacing w:after="0"/>
              <w:rPr>
                <w:sz w:val="18"/>
                <w:szCs w:val="18"/>
                <w:color w:val="auto"/>
              </w:rPr>
            </w:pPr>
          </w:p>
        </w:tc>
        <w:tc>
          <w:tcPr>
            <w:tcW w:w="1160" w:type="dxa"/>
            <w:vAlign w:val="bottom"/>
          </w:tcPr>
          <w:p>
            <w:pPr>
              <w:ind w:left="40"/>
              <w:spacing w:after="0"/>
              <w:rPr>
                <w:sz w:val="20"/>
                <w:szCs w:val="20"/>
                <w:color w:val="auto"/>
              </w:rPr>
            </w:pPr>
            <w:r>
              <w:rPr>
                <w:rFonts w:ascii="Arial" w:cs="Arial" w:eastAsia="Arial" w:hAnsi="Arial"/>
                <w:sz w:val="17"/>
                <w:szCs w:val="17"/>
                <w:color w:val="auto"/>
              </w:rPr>
              <w:t>25%</w:t>
            </w:r>
          </w:p>
        </w:tc>
      </w:tr>
      <w:tr>
        <w:trPr>
          <w:trHeight w:val="221"/>
        </w:trPr>
        <w:tc>
          <w:tcPr>
            <w:tcW w:w="1140" w:type="dxa"/>
            <w:vAlign w:val="bottom"/>
          </w:tcPr>
          <w:p>
            <w:pPr>
              <w:ind w:left="140"/>
              <w:spacing w:after="0"/>
              <w:rPr>
                <w:sz w:val="20"/>
                <w:szCs w:val="20"/>
                <w:color w:val="auto"/>
              </w:rPr>
            </w:pPr>
            <w:r>
              <w:rPr>
                <w:rFonts w:ascii="Arial" w:cs="Arial" w:eastAsia="Arial" w:hAnsi="Arial"/>
                <w:sz w:val="17"/>
                <w:szCs w:val="17"/>
                <w:color w:val="auto"/>
              </w:rPr>
              <w:t>Incentives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73"/>
        </w:trPr>
        <w:tc>
          <w:tcPr>
            <w:tcW w:w="1140" w:type="dxa"/>
            <w:vAlign w:val="bottom"/>
            <w:tcBorders>
              <w:bottom w:val="single" w:sz="8" w:color="0066BA"/>
            </w:tcBorders>
          </w:tcPr>
          <w:p>
            <w:pPr>
              <w:spacing w:after="0"/>
              <w:rPr>
                <w:sz w:val="23"/>
                <w:szCs w:val="23"/>
                <w:color w:val="auto"/>
              </w:rPr>
            </w:pPr>
          </w:p>
        </w:tc>
        <w:tc>
          <w:tcPr>
            <w:tcW w:w="320" w:type="dxa"/>
            <w:vAlign w:val="bottom"/>
            <w:tcBorders>
              <w:bottom w:val="single" w:sz="8" w:color="0066BA"/>
            </w:tcBorders>
          </w:tcPr>
          <w:p>
            <w:pPr>
              <w:spacing w:after="0"/>
              <w:rPr>
                <w:sz w:val="23"/>
                <w:szCs w:val="23"/>
                <w:color w:val="auto"/>
              </w:rPr>
            </w:pPr>
          </w:p>
        </w:tc>
        <w:tc>
          <w:tcPr>
            <w:tcW w:w="1160" w:type="dxa"/>
            <w:vAlign w:val="bottom"/>
            <w:tcBorders>
              <w:bottom w:val="single" w:sz="8" w:color="0066BA"/>
            </w:tcBorders>
          </w:tcPr>
          <w:p>
            <w:pPr>
              <w:spacing w:after="0"/>
              <w:rPr>
                <w:sz w:val="23"/>
                <w:szCs w:val="23"/>
                <w:color w:val="auto"/>
              </w:rPr>
            </w:pPr>
          </w:p>
        </w:tc>
      </w:tr>
      <w:tr>
        <w:trPr>
          <w:trHeight w:val="241"/>
        </w:trPr>
        <w:tc>
          <w:tcPr>
            <w:tcW w:w="1140" w:type="dxa"/>
            <w:vAlign w:val="bottom"/>
          </w:tcPr>
          <w:p>
            <w:pPr>
              <w:spacing w:after="0"/>
              <w:rPr>
                <w:sz w:val="20"/>
                <w:szCs w:val="20"/>
                <w:color w:val="auto"/>
              </w:rPr>
            </w:pPr>
          </w:p>
        </w:tc>
        <w:tc>
          <w:tcPr>
            <w:tcW w:w="320" w:type="dxa"/>
            <w:vAlign w:val="bottom"/>
          </w:tcPr>
          <w:p>
            <w:pPr>
              <w:ind w:left="220"/>
              <w:spacing w:after="0"/>
              <w:rPr>
                <w:sz w:val="20"/>
                <w:szCs w:val="20"/>
                <w:color w:val="auto"/>
              </w:rPr>
            </w:pPr>
            <w:r>
              <w:rPr>
                <w:rFonts w:ascii="Arial" w:cs="Arial" w:eastAsia="Arial" w:hAnsi="Arial"/>
                <w:sz w:val="17"/>
                <w:szCs w:val="17"/>
                <w:color w:val="auto"/>
              </w:rPr>
              <w:t>•</w:t>
            </w:r>
          </w:p>
        </w:tc>
        <w:tc>
          <w:tcPr>
            <w:tcW w:w="1160" w:type="dxa"/>
            <w:vAlign w:val="bottom"/>
          </w:tcPr>
          <w:p>
            <w:pPr>
              <w:ind w:left="40"/>
              <w:spacing w:after="0"/>
              <w:rPr>
                <w:sz w:val="20"/>
                <w:szCs w:val="20"/>
                <w:color w:val="auto"/>
              </w:rPr>
            </w:pPr>
            <w:r>
              <w:rPr>
                <w:rFonts w:ascii="Arial" w:cs="Arial" w:eastAsia="Arial" w:hAnsi="Arial"/>
                <w:sz w:val="17"/>
                <w:szCs w:val="17"/>
                <w:color w:val="auto"/>
              </w:rPr>
              <w:t>Financial</w:t>
            </w:r>
          </w:p>
        </w:tc>
      </w:tr>
      <w:tr>
        <w:trPr>
          <w:trHeight w:val="208"/>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ind w:left="40"/>
              <w:spacing w:after="0"/>
              <w:rPr>
                <w:sz w:val="20"/>
                <w:szCs w:val="20"/>
                <w:color w:val="auto"/>
              </w:rPr>
            </w:pPr>
            <w:r>
              <w:rPr>
                <w:rFonts w:ascii="Arial" w:cs="Arial" w:eastAsia="Arial" w:hAnsi="Arial"/>
                <w:sz w:val="17"/>
                <w:szCs w:val="17"/>
                <w:color w:val="auto"/>
              </w:rPr>
              <w:t>Metric PRSUs</w:t>
            </w:r>
          </w:p>
        </w:tc>
      </w:tr>
      <w:tr>
        <w:trPr>
          <w:trHeight w:val="221"/>
        </w:trPr>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ind w:left="40"/>
              <w:spacing w:after="0"/>
              <w:rPr>
                <w:sz w:val="20"/>
                <w:szCs w:val="20"/>
                <w:color w:val="auto"/>
              </w:rPr>
            </w:pPr>
            <w:r>
              <w:rPr>
                <w:rFonts w:ascii="Arial" w:cs="Arial" w:eastAsia="Arial" w:hAnsi="Arial"/>
                <w:sz w:val="17"/>
                <w:szCs w:val="17"/>
                <w:color w:val="auto"/>
              </w:rPr>
              <w:t>– 25%</w:t>
            </w:r>
          </w:p>
        </w:tc>
      </w:tr>
      <w:tr>
        <w:trPr>
          <w:trHeight w:val="273"/>
        </w:trPr>
        <w:tc>
          <w:tcPr>
            <w:tcW w:w="1140" w:type="dxa"/>
            <w:vAlign w:val="bottom"/>
            <w:tcBorders>
              <w:bottom w:val="single" w:sz="8" w:color="0066BA"/>
            </w:tcBorders>
          </w:tcPr>
          <w:p>
            <w:pPr>
              <w:spacing w:after="0"/>
              <w:rPr>
                <w:sz w:val="23"/>
                <w:szCs w:val="23"/>
                <w:color w:val="auto"/>
              </w:rPr>
            </w:pPr>
          </w:p>
        </w:tc>
        <w:tc>
          <w:tcPr>
            <w:tcW w:w="320" w:type="dxa"/>
            <w:vAlign w:val="bottom"/>
            <w:tcBorders>
              <w:bottom w:val="single" w:sz="8" w:color="0066BA"/>
            </w:tcBorders>
          </w:tcPr>
          <w:p>
            <w:pPr>
              <w:spacing w:after="0"/>
              <w:rPr>
                <w:sz w:val="23"/>
                <w:szCs w:val="23"/>
                <w:color w:val="auto"/>
              </w:rPr>
            </w:pPr>
          </w:p>
        </w:tc>
        <w:tc>
          <w:tcPr>
            <w:tcW w:w="1160" w:type="dxa"/>
            <w:vAlign w:val="bottom"/>
            <w:tcBorders>
              <w:bottom w:val="single" w:sz="8" w:color="0066BA"/>
            </w:tcBorders>
          </w:tcPr>
          <w:p>
            <w:pPr>
              <w:spacing w:after="0"/>
              <w:rPr>
                <w:sz w:val="23"/>
                <w:szCs w:val="23"/>
                <w:color w:val="auto"/>
              </w:rPr>
            </w:pPr>
          </w:p>
        </w:tc>
      </w:tr>
      <w:tr>
        <w:trPr>
          <w:trHeight w:val="241"/>
        </w:trPr>
        <w:tc>
          <w:tcPr>
            <w:tcW w:w="1140" w:type="dxa"/>
            <w:vAlign w:val="bottom"/>
          </w:tcPr>
          <w:p>
            <w:pPr>
              <w:spacing w:after="0"/>
              <w:rPr>
                <w:sz w:val="20"/>
                <w:szCs w:val="20"/>
                <w:color w:val="auto"/>
              </w:rPr>
            </w:pPr>
          </w:p>
        </w:tc>
        <w:tc>
          <w:tcPr>
            <w:tcW w:w="320" w:type="dxa"/>
            <w:vAlign w:val="bottom"/>
          </w:tcPr>
          <w:p>
            <w:pPr>
              <w:ind w:left="220"/>
              <w:spacing w:after="0"/>
              <w:rPr>
                <w:sz w:val="20"/>
                <w:szCs w:val="20"/>
                <w:color w:val="auto"/>
              </w:rPr>
            </w:pPr>
            <w:r>
              <w:rPr>
                <w:rFonts w:ascii="Arial" w:cs="Arial" w:eastAsia="Arial" w:hAnsi="Arial"/>
                <w:sz w:val="17"/>
                <w:szCs w:val="17"/>
                <w:color w:val="auto"/>
              </w:rPr>
              <w:t>•</w:t>
            </w:r>
          </w:p>
        </w:tc>
        <w:tc>
          <w:tcPr>
            <w:tcW w:w="1160" w:type="dxa"/>
            <w:vAlign w:val="bottom"/>
          </w:tcPr>
          <w:p>
            <w:pPr>
              <w:ind w:left="40"/>
              <w:spacing w:after="0"/>
              <w:rPr>
                <w:sz w:val="20"/>
                <w:szCs w:val="20"/>
                <w:color w:val="auto"/>
              </w:rPr>
            </w:pPr>
            <w:r>
              <w:rPr>
                <w:rFonts w:ascii="Arial" w:cs="Arial" w:eastAsia="Arial" w:hAnsi="Arial"/>
                <w:sz w:val="17"/>
                <w:szCs w:val="17"/>
                <w:color w:val="auto"/>
              </w:rPr>
              <w:t>Stock Options</w:t>
            </w:r>
          </w:p>
        </w:tc>
      </w:tr>
      <w:tr>
        <w:trPr>
          <w:trHeight w:val="221"/>
        </w:trPr>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ind w:left="40"/>
              <w:spacing w:after="0"/>
              <w:rPr>
                <w:sz w:val="20"/>
                <w:szCs w:val="20"/>
                <w:color w:val="auto"/>
              </w:rPr>
            </w:pPr>
            <w:r>
              <w:rPr>
                <w:rFonts w:ascii="Arial" w:cs="Arial" w:eastAsia="Arial" w:hAnsi="Arial"/>
                <w:sz w:val="17"/>
                <w:szCs w:val="17"/>
                <w:color w:val="auto"/>
              </w:rPr>
              <w:t>– 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305435</wp:posOffset>
            </wp:positionV>
            <wp:extent cx="16687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66878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 RSUs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189230</wp:posOffset>
            </wp:positionV>
            <wp:extent cx="16687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6687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31" w:hanging="131"/>
        <w:spacing w:after="0" w:line="265" w:lineRule="auto"/>
        <w:tabs>
          <w:tab w:leader="none" w:pos="13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Align executive officer and shareholder interest to drive superior relative TSR results</w:t>
      </w:r>
    </w:p>
    <w:p>
      <w:pPr>
        <w:spacing w:after="0" w:line="99" w:lineRule="exact"/>
        <w:rPr>
          <w:rFonts w:ascii="Arial" w:cs="Arial" w:eastAsia="Arial" w:hAnsi="Arial"/>
          <w:sz w:val="17"/>
          <w:szCs w:val="17"/>
          <w:color w:val="auto"/>
        </w:rPr>
      </w:pPr>
    </w:p>
    <w:p>
      <w:pPr>
        <w:ind w:left="131" w:right="100" w:hanging="131"/>
        <w:spacing w:after="0" w:line="265" w:lineRule="auto"/>
        <w:tabs>
          <w:tab w:leader="none" w:pos="13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Align executive officer and shareholder interests with long-term profitability</w:t>
      </w:r>
    </w:p>
    <w:p>
      <w:pPr>
        <w:spacing w:after="0" w:line="99" w:lineRule="exact"/>
        <w:rPr>
          <w:rFonts w:ascii="Arial" w:cs="Arial" w:eastAsia="Arial" w:hAnsi="Arial"/>
          <w:sz w:val="17"/>
          <w:szCs w:val="17"/>
          <w:color w:val="auto"/>
        </w:rPr>
      </w:pPr>
    </w:p>
    <w:p>
      <w:pPr>
        <w:ind w:left="131" w:right="100" w:hanging="131"/>
        <w:spacing w:after="0" w:line="287" w:lineRule="auto"/>
        <w:tabs>
          <w:tab w:leader="none" w:pos="13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Align executive officer and shareholder interests in absolute stock price appreciation</w:t>
      </w:r>
    </w:p>
    <w:p>
      <w:pPr>
        <w:spacing w:after="0" w:line="82" w:lineRule="exact"/>
        <w:rPr>
          <w:rFonts w:ascii="Arial" w:cs="Arial" w:eastAsia="Arial" w:hAnsi="Arial"/>
          <w:sz w:val="16"/>
          <w:szCs w:val="16"/>
          <w:color w:val="auto"/>
        </w:rPr>
      </w:pPr>
    </w:p>
    <w:p>
      <w:pPr>
        <w:ind w:left="131" w:right="320" w:hanging="131"/>
        <w:spacing w:after="0" w:line="286" w:lineRule="auto"/>
        <w:tabs>
          <w:tab w:leader="none" w:pos="13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Attract and retain key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17780</wp:posOffset>
            </wp:positionV>
            <wp:extent cx="13462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46200" cy="825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-328930</wp:posOffset>
            </wp:positionV>
            <wp:extent cx="13462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46200" cy="825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-939800</wp:posOffset>
            </wp:positionV>
            <wp:extent cx="13462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46200" cy="825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-1551305</wp:posOffset>
            </wp:positionV>
            <wp:extent cx="13462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280" w:type="dxa"/>
            <w:vAlign w:val="bottom"/>
          </w:tcPr>
          <w:p>
            <w:pPr>
              <w:ind w:left="180"/>
              <w:spacing w:after="0"/>
              <w:rPr>
                <w:sz w:val="20"/>
                <w:szCs w:val="20"/>
                <w:color w:val="auto"/>
              </w:rPr>
            </w:pPr>
            <w:r>
              <w:rPr>
                <w:rFonts w:ascii="Arial" w:cs="Arial" w:eastAsia="Arial" w:hAnsi="Arial"/>
                <w:sz w:val="17"/>
                <w:szCs w:val="17"/>
                <w:color w:val="auto"/>
              </w:rPr>
              <w:t>•</w:t>
            </w:r>
          </w:p>
        </w:tc>
        <w:tc>
          <w:tcPr>
            <w:tcW w:w="1800" w:type="dxa"/>
            <w:vAlign w:val="bottom"/>
          </w:tcPr>
          <w:p>
            <w:pPr>
              <w:ind w:left="60"/>
              <w:spacing w:after="0"/>
              <w:rPr>
                <w:sz w:val="20"/>
                <w:szCs w:val="20"/>
                <w:color w:val="auto"/>
              </w:rPr>
            </w:pPr>
            <w:r>
              <w:rPr>
                <w:rFonts w:ascii="Arial" w:cs="Arial" w:eastAsia="Arial" w:hAnsi="Arial"/>
                <w:sz w:val="17"/>
                <w:szCs w:val="17"/>
                <w:color w:val="auto"/>
              </w:rPr>
              <w:t>Cumulative three-year</w:t>
            </w:r>
          </w:p>
        </w:tc>
      </w:tr>
      <w:tr>
        <w:trPr>
          <w:trHeight w:val="221"/>
        </w:trPr>
        <w:tc>
          <w:tcPr>
            <w:tcW w:w="280" w:type="dxa"/>
            <w:vAlign w:val="bottom"/>
          </w:tcPr>
          <w:p>
            <w:pPr>
              <w:spacing w:after="0"/>
              <w:rPr>
                <w:sz w:val="19"/>
                <w:szCs w:val="19"/>
                <w:color w:val="auto"/>
              </w:rPr>
            </w:pPr>
          </w:p>
        </w:tc>
        <w:tc>
          <w:tcPr>
            <w:tcW w:w="1800" w:type="dxa"/>
            <w:vAlign w:val="bottom"/>
          </w:tcPr>
          <w:p>
            <w:pPr>
              <w:ind w:left="40"/>
              <w:spacing w:after="0"/>
              <w:rPr>
                <w:sz w:val="20"/>
                <w:szCs w:val="20"/>
                <w:color w:val="auto"/>
              </w:rPr>
            </w:pPr>
            <w:r>
              <w:rPr>
                <w:rFonts w:ascii="Arial" w:cs="Arial" w:eastAsia="Arial" w:hAnsi="Arial"/>
                <w:sz w:val="17"/>
                <w:szCs w:val="17"/>
                <w:color w:val="auto"/>
              </w:rPr>
              <w:t>period</w:t>
            </w:r>
          </w:p>
        </w:tc>
      </w:tr>
      <w:tr>
        <w:trPr>
          <w:trHeight w:val="481"/>
        </w:trPr>
        <w:tc>
          <w:tcPr>
            <w:tcW w:w="280" w:type="dxa"/>
            <w:vAlign w:val="bottom"/>
            <w:tcBorders>
              <w:bottom w:val="single" w:sz="8" w:color="0066BA"/>
            </w:tcBorders>
          </w:tcPr>
          <w:p>
            <w:pPr>
              <w:spacing w:after="0"/>
              <w:rPr>
                <w:sz w:val="24"/>
                <w:szCs w:val="24"/>
                <w:color w:val="auto"/>
              </w:rPr>
            </w:pPr>
          </w:p>
        </w:tc>
        <w:tc>
          <w:tcPr>
            <w:tcW w:w="1800" w:type="dxa"/>
            <w:vAlign w:val="bottom"/>
            <w:tcBorders>
              <w:bottom w:val="single" w:sz="8" w:color="0066BA"/>
            </w:tcBorders>
          </w:tcPr>
          <w:p>
            <w:pPr>
              <w:spacing w:after="0"/>
              <w:rPr>
                <w:sz w:val="24"/>
                <w:szCs w:val="24"/>
                <w:color w:val="auto"/>
              </w:rPr>
            </w:pPr>
          </w:p>
        </w:tc>
      </w:tr>
      <w:tr>
        <w:trPr>
          <w:trHeight w:val="241"/>
        </w:trPr>
        <w:tc>
          <w:tcPr>
            <w:tcW w:w="280" w:type="dxa"/>
            <w:vAlign w:val="bottom"/>
          </w:tcPr>
          <w:p>
            <w:pPr>
              <w:ind w:left="180"/>
              <w:spacing w:after="0"/>
              <w:rPr>
                <w:sz w:val="20"/>
                <w:szCs w:val="20"/>
                <w:color w:val="auto"/>
              </w:rPr>
            </w:pPr>
            <w:r>
              <w:rPr>
                <w:rFonts w:ascii="Arial" w:cs="Arial" w:eastAsia="Arial" w:hAnsi="Arial"/>
                <w:sz w:val="17"/>
                <w:szCs w:val="17"/>
                <w:color w:val="auto"/>
              </w:rPr>
              <w:t>•</w:t>
            </w:r>
          </w:p>
        </w:tc>
        <w:tc>
          <w:tcPr>
            <w:tcW w:w="1800" w:type="dxa"/>
            <w:vAlign w:val="bottom"/>
          </w:tcPr>
          <w:p>
            <w:pPr>
              <w:ind w:left="60"/>
              <w:spacing w:after="0"/>
              <w:rPr>
                <w:sz w:val="20"/>
                <w:szCs w:val="20"/>
                <w:color w:val="auto"/>
              </w:rPr>
            </w:pPr>
            <w:r>
              <w:rPr>
                <w:rFonts w:ascii="Arial" w:cs="Arial" w:eastAsia="Arial" w:hAnsi="Arial"/>
                <w:sz w:val="17"/>
                <w:szCs w:val="17"/>
                <w:color w:val="auto"/>
              </w:rPr>
              <w:t>One-year, two-year</w:t>
            </w:r>
          </w:p>
        </w:tc>
      </w:tr>
      <w:tr>
        <w:trPr>
          <w:trHeight w:val="208"/>
        </w:trPr>
        <w:tc>
          <w:tcPr>
            <w:tcW w:w="280" w:type="dxa"/>
            <w:vAlign w:val="bottom"/>
          </w:tcPr>
          <w:p>
            <w:pPr>
              <w:spacing w:after="0"/>
              <w:rPr>
                <w:sz w:val="18"/>
                <w:szCs w:val="18"/>
                <w:color w:val="auto"/>
              </w:rPr>
            </w:pPr>
          </w:p>
        </w:tc>
        <w:tc>
          <w:tcPr>
            <w:tcW w:w="1800" w:type="dxa"/>
            <w:vAlign w:val="bottom"/>
          </w:tcPr>
          <w:p>
            <w:pPr>
              <w:ind w:left="40"/>
              <w:spacing w:after="0"/>
              <w:rPr>
                <w:sz w:val="20"/>
                <w:szCs w:val="20"/>
                <w:color w:val="auto"/>
              </w:rPr>
            </w:pPr>
            <w:r>
              <w:rPr>
                <w:rFonts w:ascii="Arial" w:cs="Arial" w:eastAsia="Arial" w:hAnsi="Arial"/>
                <w:sz w:val="17"/>
                <w:szCs w:val="17"/>
                <w:color w:val="auto"/>
              </w:rPr>
              <w:t>cumulative and three-</w:t>
            </w:r>
          </w:p>
        </w:tc>
      </w:tr>
      <w:tr>
        <w:trPr>
          <w:trHeight w:val="208"/>
        </w:trPr>
        <w:tc>
          <w:tcPr>
            <w:tcW w:w="280" w:type="dxa"/>
            <w:vAlign w:val="bottom"/>
          </w:tcPr>
          <w:p>
            <w:pPr>
              <w:spacing w:after="0"/>
              <w:rPr>
                <w:sz w:val="18"/>
                <w:szCs w:val="18"/>
                <w:color w:val="auto"/>
              </w:rPr>
            </w:pPr>
          </w:p>
        </w:tc>
        <w:tc>
          <w:tcPr>
            <w:tcW w:w="1800" w:type="dxa"/>
            <w:vAlign w:val="bottom"/>
          </w:tcPr>
          <w:p>
            <w:pPr>
              <w:ind w:left="40"/>
              <w:spacing w:after="0"/>
              <w:rPr>
                <w:sz w:val="20"/>
                <w:szCs w:val="20"/>
                <w:color w:val="auto"/>
              </w:rPr>
            </w:pPr>
            <w:r>
              <w:rPr>
                <w:rFonts w:ascii="Arial" w:cs="Arial" w:eastAsia="Arial" w:hAnsi="Arial"/>
                <w:sz w:val="17"/>
                <w:szCs w:val="17"/>
                <w:color w:val="auto"/>
              </w:rPr>
              <w:t>year cumulative time</w:t>
            </w:r>
          </w:p>
        </w:tc>
      </w:tr>
      <w:tr>
        <w:trPr>
          <w:trHeight w:val="221"/>
        </w:trPr>
        <w:tc>
          <w:tcPr>
            <w:tcW w:w="280" w:type="dxa"/>
            <w:vAlign w:val="bottom"/>
          </w:tcPr>
          <w:p>
            <w:pPr>
              <w:spacing w:after="0"/>
              <w:rPr>
                <w:sz w:val="19"/>
                <w:szCs w:val="19"/>
                <w:color w:val="auto"/>
              </w:rPr>
            </w:pPr>
          </w:p>
        </w:tc>
        <w:tc>
          <w:tcPr>
            <w:tcW w:w="1800" w:type="dxa"/>
            <w:vAlign w:val="bottom"/>
          </w:tcPr>
          <w:p>
            <w:pPr>
              <w:ind w:left="40"/>
              <w:spacing w:after="0"/>
              <w:rPr>
                <w:sz w:val="20"/>
                <w:szCs w:val="20"/>
                <w:color w:val="auto"/>
              </w:rPr>
            </w:pPr>
            <w:r>
              <w:rPr>
                <w:rFonts w:ascii="Arial" w:cs="Arial" w:eastAsia="Arial" w:hAnsi="Arial"/>
                <w:sz w:val="17"/>
                <w:szCs w:val="17"/>
                <w:color w:val="auto"/>
              </w:rPr>
              <w:t>periods</w:t>
            </w:r>
          </w:p>
        </w:tc>
      </w:tr>
      <w:tr>
        <w:trPr>
          <w:trHeight w:val="65"/>
        </w:trPr>
        <w:tc>
          <w:tcPr>
            <w:tcW w:w="280" w:type="dxa"/>
            <w:vAlign w:val="bottom"/>
            <w:tcBorders>
              <w:bottom w:val="single" w:sz="8" w:color="0066BA"/>
            </w:tcBorders>
          </w:tcPr>
          <w:p>
            <w:pPr>
              <w:spacing w:after="0"/>
              <w:rPr>
                <w:sz w:val="5"/>
                <w:szCs w:val="5"/>
                <w:color w:val="auto"/>
              </w:rPr>
            </w:pPr>
          </w:p>
        </w:tc>
        <w:tc>
          <w:tcPr>
            <w:tcW w:w="1800" w:type="dxa"/>
            <w:vAlign w:val="bottom"/>
            <w:tcBorders>
              <w:bottom w:val="single" w:sz="8" w:color="0066BA"/>
            </w:tcBorders>
          </w:tcPr>
          <w:p>
            <w:pPr>
              <w:spacing w:after="0"/>
              <w:rPr>
                <w:sz w:val="5"/>
                <w:szCs w:val="5"/>
                <w:color w:val="auto"/>
              </w:rPr>
            </w:pPr>
          </w:p>
        </w:tc>
      </w:tr>
      <w:tr>
        <w:trPr>
          <w:trHeight w:val="241"/>
        </w:trPr>
        <w:tc>
          <w:tcPr>
            <w:tcW w:w="280" w:type="dxa"/>
            <w:vAlign w:val="bottom"/>
          </w:tcPr>
          <w:p>
            <w:pPr>
              <w:ind w:left="180"/>
              <w:spacing w:after="0"/>
              <w:rPr>
                <w:sz w:val="20"/>
                <w:szCs w:val="20"/>
                <w:color w:val="auto"/>
              </w:rPr>
            </w:pPr>
            <w:r>
              <w:rPr>
                <w:rFonts w:ascii="Arial" w:cs="Arial" w:eastAsia="Arial" w:hAnsi="Arial"/>
                <w:sz w:val="17"/>
                <w:szCs w:val="17"/>
                <w:color w:val="auto"/>
              </w:rPr>
              <w:t>•</w:t>
            </w:r>
          </w:p>
        </w:tc>
        <w:tc>
          <w:tcPr>
            <w:tcW w:w="1800" w:type="dxa"/>
            <w:vAlign w:val="bottom"/>
          </w:tcPr>
          <w:p>
            <w:pPr>
              <w:ind w:left="60"/>
              <w:spacing w:after="0"/>
              <w:rPr>
                <w:sz w:val="20"/>
                <w:szCs w:val="20"/>
                <w:color w:val="auto"/>
              </w:rPr>
            </w:pPr>
            <w:r>
              <w:rPr>
                <w:rFonts w:ascii="Arial" w:cs="Arial" w:eastAsia="Arial" w:hAnsi="Arial"/>
                <w:sz w:val="17"/>
                <w:szCs w:val="17"/>
                <w:color w:val="auto"/>
                <w:w w:val="90"/>
              </w:rPr>
              <w:t>Four year graded vesting</w:t>
            </w:r>
          </w:p>
        </w:tc>
      </w:tr>
      <w:tr>
        <w:trPr>
          <w:trHeight w:val="221"/>
        </w:trPr>
        <w:tc>
          <w:tcPr>
            <w:tcW w:w="280" w:type="dxa"/>
            <w:vAlign w:val="bottom"/>
          </w:tcPr>
          <w:p>
            <w:pPr>
              <w:ind w:left="180"/>
              <w:spacing w:after="0"/>
              <w:rPr>
                <w:sz w:val="20"/>
                <w:szCs w:val="20"/>
                <w:color w:val="auto"/>
              </w:rPr>
            </w:pPr>
            <w:r>
              <w:rPr>
                <w:rFonts w:ascii="Arial" w:cs="Arial" w:eastAsia="Arial" w:hAnsi="Arial"/>
                <w:sz w:val="17"/>
                <w:szCs w:val="17"/>
                <w:color w:val="auto"/>
              </w:rPr>
              <w:t>•</w:t>
            </w:r>
          </w:p>
        </w:tc>
        <w:tc>
          <w:tcPr>
            <w:tcW w:w="1800" w:type="dxa"/>
            <w:vAlign w:val="bottom"/>
          </w:tcPr>
          <w:p>
            <w:pPr>
              <w:ind w:left="60"/>
              <w:spacing w:after="0"/>
              <w:rPr>
                <w:sz w:val="20"/>
                <w:szCs w:val="20"/>
                <w:color w:val="auto"/>
              </w:rPr>
            </w:pPr>
            <w:r>
              <w:rPr>
                <w:rFonts w:ascii="Arial" w:cs="Arial" w:eastAsia="Arial" w:hAnsi="Arial"/>
                <w:sz w:val="17"/>
                <w:szCs w:val="17"/>
                <w:color w:val="auto"/>
              </w:rPr>
              <w:t>10 year term</w:t>
            </w:r>
          </w:p>
        </w:tc>
      </w:tr>
      <w:tr>
        <w:trPr>
          <w:trHeight w:val="481"/>
        </w:trPr>
        <w:tc>
          <w:tcPr>
            <w:tcW w:w="280" w:type="dxa"/>
            <w:vAlign w:val="bottom"/>
            <w:tcBorders>
              <w:bottom w:val="single" w:sz="8" w:color="0066BA"/>
            </w:tcBorders>
          </w:tcPr>
          <w:p>
            <w:pPr>
              <w:spacing w:after="0"/>
              <w:rPr>
                <w:sz w:val="24"/>
                <w:szCs w:val="24"/>
                <w:color w:val="auto"/>
              </w:rPr>
            </w:pPr>
          </w:p>
        </w:tc>
        <w:tc>
          <w:tcPr>
            <w:tcW w:w="1800" w:type="dxa"/>
            <w:vAlign w:val="bottom"/>
            <w:tcBorders>
              <w:bottom w:val="single" w:sz="8" w:color="0066BA"/>
            </w:tcBorders>
          </w:tcPr>
          <w:p>
            <w:pPr>
              <w:spacing w:after="0"/>
              <w:rPr>
                <w:sz w:val="24"/>
                <w:szCs w:val="24"/>
                <w:color w:val="auto"/>
              </w:rPr>
            </w:pPr>
          </w:p>
        </w:tc>
      </w:tr>
      <w:tr>
        <w:trPr>
          <w:trHeight w:val="253"/>
        </w:trPr>
        <w:tc>
          <w:tcPr>
            <w:tcW w:w="280" w:type="dxa"/>
            <w:vAlign w:val="bottom"/>
          </w:tcPr>
          <w:p>
            <w:pPr>
              <w:ind w:left="180"/>
              <w:spacing w:after="0"/>
              <w:rPr>
                <w:sz w:val="20"/>
                <w:szCs w:val="20"/>
                <w:color w:val="auto"/>
              </w:rPr>
            </w:pPr>
            <w:r>
              <w:rPr>
                <w:rFonts w:ascii="Arial" w:cs="Arial" w:eastAsia="Arial" w:hAnsi="Arial"/>
                <w:sz w:val="17"/>
                <w:szCs w:val="17"/>
                <w:color w:val="auto"/>
              </w:rPr>
              <w:t>•</w:t>
            </w:r>
          </w:p>
        </w:tc>
        <w:tc>
          <w:tcPr>
            <w:tcW w:w="1800" w:type="dxa"/>
            <w:vAlign w:val="bottom"/>
          </w:tcPr>
          <w:p>
            <w:pPr>
              <w:ind w:left="60"/>
              <w:spacing w:after="0"/>
              <w:rPr>
                <w:sz w:val="20"/>
                <w:szCs w:val="20"/>
                <w:color w:val="auto"/>
              </w:rPr>
            </w:pPr>
            <w:r>
              <w:rPr>
                <w:rFonts w:ascii="Arial" w:cs="Arial" w:eastAsia="Arial" w:hAnsi="Arial"/>
                <w:sz w:val="17"/>
                <w:szCs w:val="17"/>
                <w:color w:val="auto"/>
                <w:w w:val="90"/>
              </w:rPr>
              <w:t>Four year graded vesting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13214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2240" w:type="dxa"/>
            <w:vAlign w:val="bottom"/>
            <w:gridSpan w:val="2"/>
          </w:tcPr>
          <w:p>
            <w:pPr>
              <w:ind w:left="120"/>
              <w:spacing w:after="0"/>
              <w:rPr>
                <w:sz w:val="20"/>
                <w:szCs w:val="20"/>
                <w:color w:val="auto"/>
              </w:rPr>
            </w:pPr>
            <w:r>
              <w:rPr>
                <w:rFonts w:ascii="Arial" w:cs="Arial" w:eastAsia="Arial" w:hAnsi="Arial"/>
                <w:sz w:val="17"/>
                <w:szCs w:val="17"/>
                <w:color w:val="auto"/>
                <w:w w:val="99"/>
              </w:rPr>
              <w:t>• Relative TSR compared to</w:t>
            </w:r>
          </w:p>
        </w:tc>
      </w:tr>
      <w:tr>
        <w:trPr>
          <w:trHeight w:val="208"/>
        </w:trPr>
        <w:tc>
          <w:tcPr>
            <w:tcW w:w="220" w:type="dxa"/>
            <w:vAlign w:val="bottom"/>
          </w:tcPr>
          <w:p>
            <w:pPr>
              <w:spacing w:after="0"/>
              <w:rPr>
                <w:sz w:val="18"/>
                <w:szCs w:val="18"/>
                <w:color w:val="auto"/>
              </w:rPr>
            </w:pPr>
          </w:p>
        </w:tc>
        <w:tc>
          <w:tcPr>
            <w:tcW w:w="2020" w:type="dxa"/>
            <w:vAlign w:val="bottom"/>
          </w:tcPr>
          <w:p>
            <w:pPr>
              <w:ind w:left="20"/>
              <w:spacing w:after="0"/>
              <w:rPr>
                <w:sz w:val="20"/>
                <w:szCs w:val="20"/>
                <w:color w:val="auto"/>
              </w:rPr>
            </w:pPr>
            <w:r>
              <w:rPr>
                <w:rFonts w:ascii="Arial" w:cs="Arial" w:eastAsia="Arial" w:hAnsi="Arial"/>
                <w:sz w:val="17"/>
                <w:szCs w:val="17"/>
                <w:color w:val="auto"/>
              </w:rPr>
              <w:t>comparator group</w:t>
            </w:r>
          </w:p>
        </w:tc>
      </w:tr>
      <w:tr>
        <w:trPr>
          <w:trHeight w:val="208"/>
        </w:trPr>
        <w:tc>
          <w:tcPr>
            <w:tcW w:w="220" w:type="dxa"/>
            <w:vAlign w:val="bottom"/>
          </w:tcPr>
          <w:p>
            <w:pPr>
              <w:ind w:left="120"/>
              <w:spacing w:after="0"/>
              <w:rPr>
                <w:sz w:val="20"/>
                <w:szCs w:val="20"/>
                <w:color w:val="auto"/>
              </w:rPr>
            </w:pPr>
            <w:r>
              <w:rPr>
                <w:rFonts w:ascii="Arial" w:cs="Arial" w:eastAsia="Arial" w:hAnsi="Arial"/>
                <w:sz w:val="17"/>
                <w:szCs w:val="17"/>
                <w:color w:val="auto"/>
              </w:rPr>
              <w:t>•</w:t>
            </w:r>
          </w:p>
        </w:tc>
        <w:tc>
          <w:tcPr>
            <w:tcW w:w="2020" w:type="dxa"/>
            <w:vAlign w:val="bottom"/>
          </w:tcPr>
          <w:p>
            <w:pPr>
              <w:ind w:left="40"/>
              <w:spacing w:after="0"/>
              <w:rPr>
                <w:sz w:val="20"/>
                <w:szCs w:val="20"/>
                <w:color w:val="auto"/>
              </w:rPr>
            </w:pPr>
            <w:r>
              <w:rPr>
                <w:rFonts w:ascii="Arial" w:cs="Arial" w:eastAsia="Arial" w:hAnsi="Arial"/>
                <w:sz w:val="17"/>
                <w:szCs w:val="17"/>
                <w:color w:val="auto"/>
                <w:w w:val="96"/>
              </w:rPr>
              <w:t>Payouts capped at target if</w:t>
            </w:r>
          </w:p>
        </w:tc>
      </w:tr>
      <w:tr>
        <w:trPr>
          <w:trHeight w:val="221"/>
        </w:trPr>
        <w:tc>
          <w:tcPr>
            <w:tcW w:w="220" w:type="dxa"/>
            <w:vAlign w:val="bottom"/>
          </w:tcPr>
          <w:p>
            <w:pPr>
              <w:spacing w:after="0"/>
              <w:rPr>
                <w:sz w:val="19"/>
                <w:szCs w:val="19"/>
                <w:color w:val="auto"/>
              </w:rPr>
            </w:pPr>
          </w:p>
        </w:tc>
        <w:tc>
          <w:tcPr>
            <w:tcW w:w="2020" w:type="dxa"/>
            <w:vAlign w:val="bottom"/>
          </w:tcPr>
          <w:p>
            <w:pPr>
              <w:ind w:left="20"/>
              <w:spacing w:after="0"/>
              <w:rPr>
                <w:sz w:val="20"/>
                <w:szCs w:val="20"/>
                <w:color w:val="auto"/>
              </w:rPr>
            </w:pPr>
            <w:r>
              <w:rPr>
                <w:rFonts w:ascii="Arial" w:cs="Arial" w:eastAsia="Arial" w:hAnsi="Arial"/>
                <w:sz w:val="17"/>
                <w:szCs w:val="17"/>
                <w:color w:val="auto"/>
              </w:rPr>
              <w:t>absolute TSR is negative</w:t>
            </w:r>
          </w:p>
        </w:tc>
      </w:tr>
      <w:tr>
        <w:trPr>
          <w:trHeight w:val="65"/>
        </w:trPr>
        <w:tc>
          <w:tcPr>
            <w:tcW w:w="220" w:type="dxa"/>
            <w:vAlign w:val="bottom"/>
            <w:tcBorders>
              <w:bottom w:val="single" w:sz="8" w:color="0066BA"/>
            </w:tcBorders>
          </w:tcPr>
          <w:p>
            <w:pPr>
              <w:spacing w:after="0"/>
              <w:rPr>
                <w:sz w:val="5"/>
                <w:szCs w:val="5"/>
                <w:color w:val="auto"/>
              </w:rPr>
            </w:pPr>
          </w:p>
        </w:tc>
        <w:tc>
          <w:tcPr>
            <w:tcW w:w="2020" w:type="dxa"/>
            <w:vAlign w:val="bottom"/>
            <w:tcBorders>
              <w:bottom w:val="single" w:sz="8" w:color="0066BA"/>
            </w:tcBorders>
          </w:tcPr>
          <w:p>
            <w:pPr>
              <w:spacing w:after="0"/>
              <w:rPr>
                <w:sz w:val="5"/>
                <w:szCs w:val="5"/>
                <w:color w:val="auto"/>
              </w:rPr>
            </w:pPr>
          </w:p>
        </w:tc>
      </w:tr>
      <w:tr>
        <w:trPr>
          <w:trHeight w:val="253"/>
        </w:trPr>
        <w:tc>
          <w:tcPr>
            <w:tcW w:w="220" w:type="dxa"/>
            <w:vAlign w:val="bottom"/>
          </w:tcPr>
          <w:p>
            <w:pPr>
              <w:ind w:left="120"/>
              <w:spacing w:after="0"/>
              <w:rPr>
                <w:sz w:val="20"/>
                <w:szCs w:val="20"/>
                <w:color w:val="auto"/>
              </w:rPr>
            </w:pPr>
            <w:r>
              <w:rPr>
                <w:rFonts w:ascii="Arial" w:cs="Arial" w:eastAsia="Arial" w:hAnsi="Arial"/>
                <w:sz w:val="17"/>
                <w:szCs w:val="17"/>
                <w:color w:val="auto"/>
              </w:rPr>
              <w:t>•</w:t>
            </w:r>
          </w:p>
        </w:tc>
        <w:tc>
          <w:tcPr>
            <w:tcW w:w="2020" w:type="dxa"/>
            <w:vAlign w:val="bottom"/>
          </w:tcPr>
          <w:p>
            <w:pPr>
              <w:ind w:left="40"/>
              <w:spacing w:after="0"/>
              <w:rPr>
                <w:sz w:val="20"/>
                <w:szCs w:val="20"/>
                <w:color w:val="auto"/>
              </w:rPr>
            </w:pPr>
            <w:r>
              <w:rPr>
                <w:rFonts w:ascii="Arial" w:cs="Arial" w:eastAsia="Arial" w:hAnsi="Arial"/>
                <w:sz w:val="17"/>
                <w:szCs w:val="17"/>
                <w:color w:val="auto"/>
              </w:rPr>
              <w:t>Operating profit</w:t>
            </w:r>
          </w:p>
        </w:tc>
      </w:tr>
      <w:tr>
        <w:trPr>
          <w:trHeight w:val="690"/>
        </w:trPr>
        <w:tc>
          <w:tcPr>
            <w:tcW w:w="2240" w:type="dxa"/>
            <w:vAlign w:val="bottom"/>
            <w:tcBorders>
              <w:bottom w:val="single" w:sz="8" w:color="0066BA"/>
            </w:tcBorders>
            <w:gridSpan w:val="2"/>
          </w:tcPr>
          <w:p>
            <w:pPr>
              <w:spacing w:after="0"/>
              <w:rPr>
                <w:sz w:val="24"/>
                <w:szCs w:val="24"/>
                <w:color w:val="auto"/>
              </w:rPr>
            </w:pPr>
          </w:p>
        </w:tc>
      </w:tr>
      <w:tr>
        <w:trPr>
          <w:trHeight w:val="241"/>
        </w:trPr>
        <w:tc>
          <w:tcPr>
            <w:tcW w:w="2240" w:type="dxa"/>
            <w:vAlign w:val="bottom"/>
            <w:gridSpan w:val="2"/>
          </w:tcPr>
          <w:p>
            <w:pPr>
              <w:ind w:left="120"/>
              <w:spacing w:after="0"/>
              <w:rPr>
                <w:sz w:val="20"/>
                <w:szCs w:val="20"/>
                <w:color w:val="auto"/>
              </w:rPr>
            </w:pPr>
            <w:r>
              <w:rPr>
                <w:rFonts w:ascii="Arial" w:cs="Arial" w:eastAsia="Arial" w:hAnsi="Arial"/>
                <w:sz w:val="17"/>
                <w:szCs w:val="17"/>
                <w:color w:val="auto"/>
              </w:rPr>
              <w:t>• Absolute stock price</w:t>
            </w:r>
          </w:p>
        </w:tc>
      </w:tr>
      <w:tr>
        <w:trPr>
          <w:trHeight w:val="221"/>
        </w:trPr>
        <w:tc>
          <w:tcPr>
            <w:tcW w:w="220" w:type="dxa"/>
            <w:vAlign w:val="bottom"/>
          </w:tcPr>
          <w:p>
            <w:pPr>
              <w:spacing w:after="0"/>
              <w:rPr>
                <w:sz w:val="19"/>
                <w:szCs w:val="19"/>
                <w:color w:val="auto"/>
              </w:rPr>
            </w:pPr>
          </w:p>
        </w:tc>
        <w:tc>
          <w:tcPr>
            <w:tcW w:w="2020" w:type="dxa"/>
            <w:vAlign w:val="bottom"/>
          </w:tcPr>
          <w:p>
            <w:pPr>
              <w:ind w:left="20"/>
              <w:spacing w:after="0"/>
              <w:rPr>
                <w:sz w:val="20"/>
                <w:szCs w:val="20"/>
                <w:color w:val="auto"/>
              </w:rPr>
            </w:pPr>
            <w:r>
              <w:rPr>
                <w:rFonts w:ascii="Arial" w:cs="Arial" w:eastAsia="Arial" w:hAnsi="Arial"/>
                <w:sz w:val="17"/>
                <w:szCs w:val="17"/>
                <w:color w:val="auto"/>
              </w:rPr>
              <w:t>appreciation</w:t>
            </w:r>
          </w:p>
        </w:tc>
      </w:tr>
      <w:tr>
        <w:trPr>
          <w:trHeight w:val="481"/>
        </w:trPr>
        <w:tc>
          <w:tcPr>
            <w:tcW w:w="2240" w:type="dxa"/>
            <w:vAlign w:val="bottom"/>
            <w:tcBorders>
              <w:bottom w:val="single" w:sz="8" w:color="0066BA"/>
            </w:tcBorders>
            <w:gridSpan w:val="2"/>
          </w:tcPr>
          <w:p>
            <w:pPr>
              <w:spacing w:after="0"/>
              <w:rPr>
                <w:sz w:val="24"/>
                <w:szCs w:val="24"/>
                <w:color w:val="auto"/>
              </w:rPr>
            </w:pPr>
          </w:p>
        </w:tc>
      </w:tr>
      <w:tr>
        <w:trPr>
          <w:trHeight w:val="253"/>
        </w:trPr>
        <w:tc>
          <w:tcPr>
            <w:tcW w:w="2240" w:type="dxa"/>
            <w:vAlign w:val="bottom"/>
            <w:gridSpan w:val="2"/>
          </w:tcPr>
          <w:p>
            <w:pPr>
              <w:ind w:left="120"/>
              <w:spacing w:after="0"/>
              <w:rPr>
                <w:sz w:val="20"/>
                <w:szCs w:val="20"/>
                <w:color w:val="auto"/>
              </w:rPr>
            </w:pPr>
            <w:r>
              <w:rPr>
                <w:rFonts w:ascii="Arial" w:cs="Arial" w:eastAsia="Arial" w:hAnsi="Arial"/>
                <w:sz w:val="17"/>
                <w:szCs w:val="17"/>
                <w:color w:val="auto"/>
              </w:rPr>
              <w:t>• 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173355</wp:posOffset>
            </wp:positionV>
            <wp:extent cx="141287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412875" cy="8255"/>
                    </a:xfrm>
                    <a:prstGeom prst="rect">
                      <a:avLst/>
                    </a:prstGeom>
                    <a:noFill/>
                  </pic:spPr>
                </pic:pic>
              </a:graphicData>
            </a:graphic>
          </wp:anchor>
        </w:drawing>
      </w:r>
    </w:p>
    <w:p>
      <w:pPr>
        <w:spacing w:after="0" w:line="336" w:lineRule="exact"/>
        <w:rPr>
          <w:sz w:val="20"/>
          <w:szCs w:val="20"/>
          <w:color w:val="auto"/>
        </w:rPr>
      </w:pPr>
    </w:p>
    <w:p>
      <w:pPr>
        <w:sectPr>
          <w:pgSz w:w="11900" w:h="16838" w:orient="portrait"/>
          <w:cols w:equalWidth="0" w:num="4">
            <w:col w:w="2940" w:space="629"/>
            <w:col w:w="1971" w:space="560"/>
            <w:col w:w="2080" w:space="520"/>
            <w:col w:w="2240"/>
          </w:cols>
          <w:pgMar w:left="320" w:top="447" w:right="639" w:bottom="1440" w:gutter="0" w:footer="0" w:header="0"/>
          <w:type w:val="continuous"/>
        </w:sectPr>
      </w:pPr>
    </w:p>
    <w:p>
      <w:pPr>
        <w:ind w:left="320"/>
        <w:spacing w:after="0"/>
        <w:tabs>
          <w:tab w:leader="none" w:pos="2680" w:val="left"/>
        </w:tabs>
        <w:rPr>
          <w:sz w:val="20"/>
          <w:szCs w:val="20"/>
          <w:color w:val="auto"/>
        </w:rPr>
      </w:pPr>
      <w:r>
        <w:rPr>
          <w:rFonts w:ascii="Arial" w:cs="Arial" w:eastAsia="Arial" w:hAnsi="Arial"/>
          <w:sz w:val="13"/>
          <w:szCs w:val="13"/>
          <w:i w:val="1"/>
          <w:iCs w:val="1"/>
          <w:color w:val="auto"/>
        </w:rPr>
        <w:t>OPBT = Operating Profit Before Taxes.</w:t>
      </w:r>
      <w:r>
        <w:rPr>
          <w:sz w:val="20"/>
          <w:szCs w:val="20"/>
          <w:color w:val="auto"/>
        </w:rPr>
        <w:tab/>
      </w:r>
      <w:r>
        <w:rPr>
          <w:rFonts w:ascii="Arial" w:cs="Arial" w:eastAsia="Arial" w:hAnsi="Arial"/>
          <w:sz w:val="12"/>
          <w:szCs w:val="12"/>
          <w:i w:val="1"/>
          <w:iCs w:val="1"/>
          <w:color w:val="auto"/>
        </w:rPr>
        <w:t>TSR = Total Shareholder Return</w:t>
      </w:r>
    </w:p>
    <w:p>
      <w:pPr>
        <w:spacing w:after="0" w:line="200" w:lineRule="exact"/>
        <w:rPr>
          <w:sz w:val="20"/>
          <w:szCs w:val="20"/>
          <w:color w:val="auto"/>
        </w:rPr>
      </w:pPr>
    </w:p>
    <w:p>
      <w:pPr>
        <w:spacing w:after="0" w:line="266"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0066BA"/>
        </w:rPr>
        <w:t>Historical “Say on Pay”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-152400</wp:posOffset>
            </wp:positionV>
            <wp:extent cx="1544955" cy="11315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544955" cy="1131570"/>
                    </a:xfrm>
                    <a:prstGeom prst="rect">
                      <a:avLst/>
                    </a:prstGeom>
                    <a:noFill/>
                  </pic:spPr>
                </pic:pic>
              </a:graphicData>
            </a:graphic>
          </wp:anchor>
        </w:drawing>
      </w:r>
    </w:p>
    <w:p>
      <w:pPr>
        <w:spacing w:after="0" w:line="78" w:lineRule="exact"/>
        <w:rPr>
          <w:sz w:val="20"/>
          <w:szCs w:val="20"/>
          <w:color w:val="auto"/>
        </w:rPr>
      </w:pPr>
    </w:p>
    <w:p>
      <w:pPr>
        <w:ind w:left="320" w:right="5100"/>
        <w:spacing w:after="0" w:line="261" w:lineRule="auto"/>
        <w:rPr>
          <w:sz w:val="20"/>
          <w:szCs w:val="20"/>
          <w:color w:val="auto"/>
        </w:rPr>
      </w:pPr>
      <w:r>
        <w:rPr>
          <w:rFonts w:ascii="Arial" w:cs="Arial" w:eastAsia="Arial" w:hAnsi="Arial"/>
          <w:sz w:val="17"/>
          <w:szCs w:val="17"/>
          <w:color w:val="auto"/>
        </w:rPr>
        <w:t>Our pay programs have a history of strong shareholder support. Our Compensation Committee believes the results of last year’s “Say on Pay” vote and input from our shareholder engagement affirmed our shareholders’ support of our company’s executive compensation program. This informed our decision to maintain a consistent overall approach in setting executive compensation in fiscal 2021.</w:t>
      </w:r>
    </w:p>
    <w:p>
      <w:pPr>
        <w:spacing w:after="0" w:line="364" w:lineRule="exact"/>
        <w:rPr>
          <w:sz w:val="20"/>
          <w:szCs w:val="20"/>
          <w:color w:val="auto"/>
        </w:rPr>
      </w:pPr>
    </w:p>
    <w:p>
      <w:pPr>
        <w:ind w:left="320" w:right="1800"/>
        <w:spacing w:after="0" w:line="286" w:lineRule="auto"/>
        <w:rPr>
          <w:sz w:val="20"/>
          <w:szCs w:val="20"/>
          <w:color w:val="auto"/>
        </w:rPr>
      </w:pPr>
      <w:r>
        <w:rPr>
          <w:rFonts w:ascii="Arial" w:cs="Arial" w:eastAsia="Arial" w:hAnsi="Arial"/>
          <w:sz w:val="17"/>
          <w:szCs w:val="17"/>
          <w:color w:val="auto"/>
        </w:rPr>
        <w:t>Please see the Compensation Discussion and Analysis section beginning on page 32 of this proxy statement for a more detailed description of our executive compensation program, philosophy and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67310</wp:posOffset>
            </wp:positionV>
            <wp:extent cx="140335" cy="9251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40335" cy="925195"/>
                    </a:xfrm>
                    <a:prstGeom prst="rect">
                      <a:avLst/>
                    </a:prstGeom>
                    <a:noFill/>
                  </pic:spPr>
                </pic:pic>
              </a:graphicData>
            </a:graphic>
          </wp:anchor>
        </w:drawing>
      </w:r>
    </w:p>
    <w:p>
      <w:pPr>
        <w:sectPr>
          <w:pgSz w:w="11900" w:h="16838" w:orient="portrait"/>
          <w:cols w:equalWidth="0" w:num="1">
            <w:col w:w="10940"/>
          </w:cols>
          <w:pgMar w:left="320" w:top="447"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940"/>
          </w:cols>
          <w:pgMar w:left="320" w:top="447" w:right="639" w:bottom="1440" w:gutter="0" w:footer="0" w:header="0"/>
          <w:type w:val="continuous"/>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320"/>
        <w:spacing w:after="0"/>
        <w:rPr>
          <w:sz w:val="20"/>
          <w:szCs w:val="20"/>
          <w:color w:val="auto"/>
        </w:rPr>
      </w:pPr>
      <w:r>
        <w:rPr>
          <w:rFonts w:ascii="Arial" w:cs="Arial" w:eastAsia="Arial" w:hAnsi="Arial"/>
          <w:sz w:val="45"/>
          <w:szCs w:val="45"/>
          <w:color w:val="auto"/>
        </w:rPr>
        <w:t>CORPORATE RESPONSIBILITY</w:t>
      </w:r>
    </w:p>
    <w:p>
      <w:pPr>
        <w:spacing w:after="0" w:line="285"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0066BA"/>
        </w:rPr>
        <w:t>Our Approach</w:t>
      </w:r>
    </w:p>
    <w:p>
      <w:pPr>
        <w:spacing w:after="0" w:line="98" w:lineRule="exact"/>
        <w:rPr>
          <w:sz w:val="20"/>
          <w:szCs w:val="20"/>
          <w:color w:val="auto"/>
        </w:rPr>
      </w:pPr>
    </w:p>
    <w:p>
      <w:pPr>
        <w:ind w:left="320" w:right="260"/>
        <w:spacing w:after="0" w:line="319" w:lineRule="auto"/>
        <w:rPr>
          <w:sz w:val="20"/>
          <w:szCs w:val="20"/>
          <w:color w:val="auto"/>
        </w:rPr>
      </w:pPr>
      <w:r>
        <w:rPr>
          <w:rFonts w:ascii="Arial" w:cs="Arial" w:eastAsia="Arial" w:hAnsi="Arial"/>
          <w:sz w:val="16"/>
          <w:szCs w:val="16"/>
          <w:color w:val="auto"/>
        </w:rPr>
        <w:t>As a global company, we are passionately driven to be a leading responsible corporate citizen — “engineering good” through the relentless pursuit of innovative technologies in order for our customers to be more successful in a better connected, greener and healthier future.</w:t>
      </w:r>
    </w:p>
    <w:p>
      <w:pPr>
        <w:spacing w:after="0" w:line="31" w:lineRule="exact"/>
        <w:rPr>
          <w:sz w:val="20"/>
          <w:szCs w:val="20"/>
          <w:color w:val="auto"/>
        </w:rPr>
      </w:pPr>
    </w:p>
    <w:p>
      <w:pPr>
        <w:ind w:left="320" w:right="140"/>
        <w:spacing w:after="0" w:line="286" w:lineRule="auto"/>
        <w:rPr>
          <w:sz w:val="20"/>
          <w:szCs w:val="20"/>
          <w:color w:val="auto"/>
        </w:rPr>
      </w:pPr>
      <w:r>
        <w:rPr>
          <w:rFonts w:ascii="Arial" w:cs="Arial" w:eastAsia="Arial" w:hAnsi="Arial"/>
          <w:sz w:val="17"/>
          <w:szCs w:val="17"/>
          <w:color w:val="auto"/>
        </w:rPr>
        <w:t>We believe sustainability means delivering holistic solutions that make a positive, demonstrable impact on the world. The following core pillars are the foundation of our strategy for achieving our sustainability goals:</w:t>
      </w:r>
    </w:p>
    <w:p>
      <w:pPr>
        <w:spacing w:after="0" w:line="9" w:lineRule="exact"/>
        <w:rPr>
          <w:sz w:val="20"/>
          <w:szCs w:val="20"/>
          <w:color w:val="auto"/>
        </w:rPr>
      </w:pPr>
    </w:p>
    <w:p>
      <w:pPr>
        <w:ind w:left="520" w:right="260" w:hanging="204"/>
        <w:spacing w:after="0" w:line="279" w:lineRule="auto"/>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 xml:space="preserve">Protect and Regenerate the Environment: </w:t>
      </w:r>
      <w:r>
        <w:rPr>
          <w:rFonts w:ascii="Arial" w:cs="Arial" w:eastAsia="Arial" w:hAnsi="Arial"/>
          <w:sz w:val="17"/>
          <w:szCs w:val="17"/>
          <w:color w:val="auto"/>
        </w:rPr>
        <w:t>Deliver solutions that reduce our carbon and environmental footprint, as well as restore and replenish</w:t>
      </w:r>
      <w:r>
        <w:rPr>
          <w:rFonts w:ascii="Arial" w:cs="Arial" w:eastAsia="Arial" w:hAnsi="Arial"/>
          <w:sz w:val="17"/>
          <w:szCs w:val="17"/>
          <w:b w:val="1"/>
          <w:bCs w:val="1"/>
          <w:color w:val="auto"/>
        </w:rPr>
        <w:t xml:space="preserve"> </w:t>
      </w:r>
      <w:r>
        <w:rPr>
          <w:rFonts w:ascii="Arial" w:cs="Arial" w:eastAsia="Arial" w:hAnsi="Arial"/>
          <w:sz w:val="17"/>
          <w:szCs w:val="17"/>
          <w:color w:val="auto"/>
        </w:rPr>
        <w:t>our natural resources and ecosystems</w:t>
      </w:r>
    </w:p>
    <w:p>
      <w:pPr>
        <w:ind w:left="520" w:hanging="204"/>
        <w:spacing w:after="0"/>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Empower People: </w:t>
      </w:r>
      <w:r>
        <w:rPr>
          <w:rFonts w:ascii="Arial" w:cs="Arial" w:eastAsia="Arial" w:hAnsi="Arial"/>
          <w:sz w:val="16"/>
          <w:szCs w:val="16"/>
          <w:color w:val="auto"/>
        </w:rPr>
        <w:t>Create opportunities for people and make a meaningful impact on their lives — both at ADI and in the broader community</w:t>
      </w:r>
    </w:p>
    <w:p>
      <w:pPr>
        <w:spacing w:after="0" w:line="63" w:lineRule="exact"/>
        <w:rPr>
          <w:rFonts w:ascii="Arial" w:cs="Arial" w:eastAsia="Arial" w:hAnsi="Arial"/>
          <w:sz w:val="16"/>
          <w:szCs w:val="16"/>
          <w:color w:val="auto"/>
        </w:rPr>
      </w:pPr>
    </w:p>
    <w:p>
      <w:pPr>
        <w:ind w:left="520" w:right="160" w:hanging="204"/>
        <w:spacing w:after="0" w:line="293" w:lineRule="auto"/>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 xml:space="preserve">Impact Through Engagement: </w:t>
      </w:r>
      <w:r>
        <w:rPr>
          <w:rFonts w:ascii="Arial" w:cs="Arial" w:eastAsia="Arial" w:hAnsi="Arial"/>
          <w:sz w:val="17"/>
          <w:szCs w:val="17"/>
          <w:color w:val="auto"/>
        </w:rPr>
        <w:t>Leverage the ingenuity of ADI employees to drive positive change and help solve real-world problems that benefit</w:t>
      </w:r>
      <w:r>
        <w:rPr>
          <w:rFonts w:ascii="Arial" w:cs="Arial" w:eastAsia="Arial" w:hAnsi="Arial"/>
          <w:sz w:val="17"/>
          <w:szCs w:val="17"/>
          <w:b w:val="1"/>
          <w:bCs w:val="1"/>
          <w:color w:val="auto"/>
        </w:rPr>
        <w:t xml:space="preserve"> </w:t>
      </w:r>
      <w:r>
        <w:rPr>
          <w:rFonts w:ascii="Arial" w:cs="Arial" w:eastAsia="Arial" w:hAnsi="Arial"/>
          <w:sz w:val="17"/>
          <w:szCs w:val="17"/>
          <w:color w:val="auto"/>
        </w:rPr>
        <w:t>our lives, communities and planet</w:t>
      </w:r>
    </w:p>
    <w:p>
      <w:pPr>
        <w:spacing w:after="0" w:line="246"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0066BA"/>
        </w:rPr>
        <w:t>Sustainability Governance</w:t>
      </w:r>
    </w:p>
    <w:p>
      <w:pPr>
        <w:spacing w:after="0" w:line="85" w:lineRule="exact"/>
        <w:rPr>
          <w:sz w:val="20"/>
          <w:szCs w:val="20"/>
          <w:color w:val="auto"/>
        </w:rPr>
      </w:pPr>
    </w:p>
    <w:p>
      <w:pPr>
        <w:ind w:left="320" w:right="180"/>
        <w:spacing w:after="0" w:line="265" w:lineRule="auto"/>
        <w:rPr>
          <w:sz w:val="20"/>
          <w:szCs w:val="20"/>
          <w:color w:val="auto"/>
        </w:rPr>
      </w:pPr>
      <w:r>
        <w:rPr>
          <w:rFonts w:ascii="Arial" w:cs="Arial" w:eastAsia="Arial" w:hAnsi="Arial"/>
          <w:sz w:val="17"/>
          <w:szCs w:val="17"/>
          <w:color w:val="auto"/>
        </w:rPr>
        <w:t>Our Chief Executive Officer, alongside a senior management team that includes our Chief People Officer, Chief Financial Officer, Chief Legal &amp; Risk Officer, Senior Vice President, Automotive &amp; Energy, Communications and Aerospace Group and our recently appointed Senior Director, ESG and Sustainability Programs, leads our sustainability agenda. Our Chief Legal &amp; Risk Officer also chairs our Enterprise Risk Management Committee, which oversees risk management on a company-wide basis.</w:t>
      </w:r>
    </w:p>
    <w:p>
      <w:pPr>
        <w:spacing w:after="0" w:line="177" w:lineRule="exact"/>
        <w:rPr>
          <w:sz w:val="20"/>
          <w:szCs w:val="20"/>
          <w:color w:val="auto"/>
        </w:rPr>
      </w:pPr>
    </w:p>
    <w:p>
      <w:pPr>
        <w:ind w:left="320" w:right="60"/>
        <w:spacing w:after="0" w:line="270" w:lineRule="auto"/>
        <w:rPr>
          <w:sz w:val="20"/>
          <w:szCs w:val="20"/>
          <w:color w:val="auto"/>
        </w:rPr>
      </w:pPr>
      <w:r>
        <w:rPr>
          <w:rFonts w:ascii="Arial" w:cs="Arial" w:eastAsia="Arial" w:hAnsi="Arial"/>
          <w:sz w:val="17"/>
          <w:szCs w:val="17"/>
          <w:color w:val="auto"/>
        </w:rPr>
        <w:t>Our Board of Directors receives regular updates from management about our progress against our sustainability initiatives and regarding areas of material risk to ADI. Our Nominating and Corporate Governance Committee has specific oversight responsibility for our ESG-related programs and our Audit Committee oversees enterprise risk management.</w:t>
      </w:r>
    </w:p>
    <w:p>
      <w:pPr>
        <w:spacing w:after="0" w:line="265"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0066BA"/>
        </w:rPr>
        <w:t>Fiscal 2021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111760</wp:posOffset>
            </wp:positionV>
            <wp:extent cx="6740525" cy="2476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40525" cy="247650"/>
                    </a:xfrm>
                    <a:prstGeom prst="rect">
                      <a:avLst/>
                    </a:prstGeom>
                    <a:noFill/>
                  </pic:spPr>
                </pic:pic>
              </a:graphicData>
            </a:graphic>
          </wp:anchor>
        </w:drawing>
      </w:r>
    </w:p>
    <w:p>
      <w:pPr>
        <w:sectPr>
          <w:pgSz w:w="11900" w:h="16838" w:orient="portrait"/>
          <w:cols w:equalWidth="0" w:num="1">
            <w:col w:w="10940"/>
          </w:cols>
          <w:pgMar w:left="320" w:top="447" w:right="639" w:bottom="1440" w:gutter="0" w:footer="0" w:header="0"/>
        </w:sectPr>
      </w:pPr>
    </w:p>
    <w:p>
      <w:pPr>
        <w:spacing w:after="0" w:line="318"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FFFFFF"/>
        </w:rPr>
        <w:t>Disclosure &amp; Transparency</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tabs>
          <w:tab w:leader="none" w:pos="3580" w:val="left"/>
        </w:tabs>
        <w:rPr>
          <w:sz w:val="20"/>
          <w:szCs w:val="20"/>
          <w:color w:val="auto"/>
        </w:rPr>
      </w:pPr>
      <w:r>
        <w:rPr>
          <w:rFonts w:ascii="Arial" w:cs="Arial" w:eastAsia="Arial" w:hAnsi="Arial"/>
          <w:sz w:val="16"/>
          <w:szCs w:val="16"/>
          <w:b w:val="1"/>
          <w:bCs w:val="1"/>
          <w:color w:val="FFFFFF"/>
        </w:rPr>
        <w:t>Our Environment</w:t>
      </w:r>
      <w:r>
        <w:rPr>
          <w:sz w:val="20"/>
          <w:szCs w:val="20"/>
          <w:color w:val="auto"/>
        </w:rPr>
        <w:tab/>
      </w:r>
      <w:r>
        <w:rPr>
          <w:rFonts w:ascii="Arial" w:cs="Arial" w:eastAsia="Arial" w:hAnsi="Arial"/>
          <w:sz w:val="14"/>
          <w:szCs w:val="14"/>
          <w:b w:val="1"/>
          <w:bCs w:val="1"/>
          <w:color w:val="FFFFFF"/>
        </w:rPr>
        <w:t>Our People &amp; Society</w:t>
      </w:r>
    </w:p>
    <w:p>
      <w:pPr>
        <w:spacing w:after="0" w:line="90" w:lineRule="exact"/>
        <w:rPr>
          <w:sz w:val="20"/>
          <w:szCs w:val="20"/>
          <w:color w:val="auto"/>
        </w:rPr>
      </w:pPr>
    </w:p>
    <w:p>
      <w:pPr>
        <w:sectPr>
          <w:pgSz w:w="11900" w:h="16838" w:orient="portrait"/>
          <w:cols w:equalWidth="0" w:num="2">
            <w:col w:w="3280" w:space="720"/>
            <w:col w:w="6940"/>
          </w:cols>
          <w:pgMar w:left="320" w:top="447" w:right="639" w:bottom="1440" w:gutter="0" w:footer="0" w:header="0"/>
          <w:type w:val="continuous"/>
        </w:sectPr>
      </w:pPr>
    </w:p>
    <w:p>
      <w:pPr>
        <w:spacing w:after="0" w:line="1" w:lineRule="exact"/>
        <w:rPr>
          <w:sz w:val="20"/>
          <w:szCs w:val="20"/>
          <w:color w:val="auto"/>
        </w:rPr>
      </w:pPr>
    </w:p>
    <w:p>
      <w:pPr>
        <w:ind w:left="460" w:right="340" w:hanging="144"/>
        <w:spacing w:after="0" w:line="286" w:lineRule="auto"/>
        <w:tabs>
          <w:tab w:leader="none" w:pos="469" w:val="left"/>
        </w:tabs>
        <w:numPr>
          <w:ilvl w:val="0"/>
          <w:numId w:val="17"/>
        </w:numPr>
        <w:rPr>
          <w:rFonts w:ascii="Arial" w:cs="Arial" w:eastAsia="Arial" w:hAnsi="Arial"/>
          <w:sz w:val="17"/>
          <w:szCs w:val="17"/>
          <w:color w:val="auto"/>
        </w:rPr>
      </w:pPr>
      <w:r>
        <w:rPr>
          <w:rFonts w:ascii="Arial" w:cs="Arial" w:eastAsia="Arial" w:hAnsi="Arial"/>
          <w:sz w:val="17"/>
          <w:szCs w:val="17"/>
          <w:color w:val="auto"/>
        </w:rPr>
        <w:t>Published the company’s second Corporate Responsibility Report</w:t>
      </w:r>
    </w:p>
    <w:p>
      <w:pPr>
        <w:spacing w:after="0" w:line="41" w:lineRule="exact"/>
        <w:rPr>
          <w:rFonts w:ascii="Arial" w:cs="Arial" w:eastAsia="Arial" w:hAnsi="Arial"/>
          <w:sz w:val="17"/>
          <w:szCs w:val="17"/>
          <w:color w:val="auto"/>
        </w:rPr>
      </w:pPr>
    </w:p>
    <w:p>
      <w:pPr>
        <w:ind w:left="460" w:right="40" w:hanging="144"/>
        <w:spacing w:after="0" w:line="263" w:lineRule="auto"/>
        <w:tabs>
          <w:tab w:leader="none" w:pos="469"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Corporate Responsibility Report is prepared in accordance with the Global Reporting Initiative (GRI): Core Option and we report separately to the CDP Climate Change and Water Security projects</w:t>
      </w:r>
    </w:p>
    <w:p>
      <w:pPr>
        <w:spacing w:after="0" w:line="60" w:lineRule="exact"/>
        <w:rPr>
          <w:rFonts w:ascii="Arial" w:cs="Arial" w:eastAsia="Arial" w:hAnsi="Arial"/>
          <w:sz w:val="17"/>
          <w:szCs w:val="17"/>
          <w:color w:val="auto"/>
        </w:rPr>
      </w:pPr>
    </w:p>
    <w:p>
      <w:pPr>
        <w:ind w:left="460" w:right="160" w:hanging="144"/>
        <w:spacing w:after="0" w:line="287" w:lineRule="auto"/>
        <w:tabs>
          <w:tab w:leader="none" w:pos="459"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Aligned our Corporate Responsibility Report with two additional sustainability frameworks (TCFD and SASB), and we will continue to assess other evolving frameworks</w:t>
      </w:r>
    </w:p>
    <w:p>
      <w:pPr>
        <w:spacing w:after="0" w:line="43" w:lineRule="exact"/>
        <w:rPr>
          <w:rFonts w:ascii="Arial" w:cs="Arial" w:eastAsia="Arial" w:hAnsi="Arial"/>
          <w:sz w:val="16"/>
          <w:szCs w:val="16"/>
          <w:color w:val="auto"/>
        </w:rPr>
      </w:pPr>
    </w:p>
    <w:p>
      <w:pPr>
        <w:ind w:left="460" w:hanging="144"/>
        <w:spacing w:after="0" w:line="356" w:lineRule="auto"/>
        <w:tabs>
          <w:tab w:leader="none" w:pos="469" w:val="left"/>
        </w:tabs>
        <w:numPr>
          <w:ilvl w:val="0"/>
          <w:numId w:val="17"/>
        </w:numPr>
        <w:rPr>
          <w:rFonts w:ascii="Arial" w:cs="Arial" w:eastAsia="Arial" w:hAnsi="Arial"/>
          <w:sz w:val="15"/>
          <w:szCs w:val="15"/>
          <w:color w:val="auto"/>
        </w:rPr>
      </w:pPr>
      <w:r>
        <w:rPr>
          <w:rFonts w:ascii="Arial" w:cs="Arial" w:eastAsia="Arial" w:hAnsi="Arial"/>
          <w:sz w:val="15"/>
          <w:szCs w:val="15"/>
          <w:color w:val="auto"/>
        </w:rPr>
        <w:t>Published online our most recent EEO-1 reports in the interest of increased transparency</w:t>
      </w:r>
    </w:p>
    <w:p>
      <w:pPr>
        <w:spacing w:after="0" w:line="20" w:lineRule="exact"/>
        <w:rPr>
          <w:sz w:val="20"/>
          <w:szCs w:val="20"/>
          <w:color w:val="auto"/>
        </w:rPr>
      </w:pPr>
      <w:r>
        <w:rPr>
          <w:sz w:val="20"/>
          <w:szCs w:val="20"/>
          <w:color w:val="auto"/>
        </w:rPr>
        <w:br w:type="column"/>
      </w:r>
    </w:p>
    <w:p>
      <w:pPr>
        <w:ind w:left="147" w:hanging="147"/>
        <w:spacing w:after="0" w:line="270" w:lineRule="auto"/>
        <w:tabs>
          <w:tab w:leader="none" w:pos="156" w:val="left"/>
        </w:tabs>
        <w:numPr>
          <w:ilvl w:val="0"/>
          <w:numId w:val="18"/>
        </w:numPr>
        <w:rPr>
          <w:rFonts w:ascii="Arial" w:cs="Arial" w:eastAsia="Arial" w:hAnsi="Arial"/>
          <w:sz w:val="17"/>
          <w:szCs w:val="17"/>
          <w:color w:val="auto"/>
        </w:rPr>
      </w:pPr>
      <w:r>
        <w:rPr>
          <w:rFonts w:ascii="Arial" w:cs="Arial" w:eastAsia="Arial" w:hAnsi="Arial"/>
          <w:sz w:val="17"/>
          <w:szCs w:val="17"/>
          <w:color w:val="auto"/>
        </w:rPr>
        <w:t>Science Based Targets initiative, SBTi, approved our science-based emission reductions targets</w:t>
      </w:r>
    </w:p>
    <w:p>
      <w:pPr>
        <w:spacing w:after="0" w:line="55" w:lineRule="exact"/>
        <w:rPr>
          <w:rFonts w:ascii="Arial" w:cs="Arial" w:eastAsia="Arial" w:hAnsi="Arial"/>
          <w:sz w:val="17"/>
          <w:szCs w:val="17"/>
          <w:color w:val="auto"/>
        </w:rPr>
      </w:pPr>
    </w:p>
    <w:p>
      <w:pPr>
        <w:ind w:left="147" w:hanging="147"/>
        <w:spacing w:after="0" w:line="287" w:lineRule="auto"/>
        <w:tabs>
          <w:tab w:leader="none" w:pos="156" w:val="left"/>
        </w:tabs>
        <w:numPr>
          <w:ilvl w:val="0"/>
          <w:numId w:val="18"/>
        </w:numPr>
        <w:rPr>
          <w:rFonts w:ascii="Arial" w:cs="Arial" w:eastAsia="Arial" w:hAnsi="Arial"/>
          <w:sz w:val="16"/>
          <w:szCs w:val="16"/>
          <w:color w:val="auto"/>
        </w:rPr>
      </w:pPr>
      <w:r>
        <w:rPr>
          <w:rFonts w:ascii="Arial" w:cs="Arial" w:eastAsia="Arial" w:hAnsi="Arial"/>
          <w:sz w:val="16"/>
          <w:szCs w:val="16"/>
          <w:color w:val="auto"/>
        </w:rPr>
        <w:t>Set goals to become carbon neutral by 2030 and achieve net zero emissions by 2050 or sooner, joining the U.N. Global Compact and their campaign, Business Ambition for 1.5°C</w:t>
      </w:r>
    </w:p>
    <w:p>
      <w:pPr>
        <w:spacing w:after="0" w:line="43" w:lineRule="exact"/>
        <w:rPr>
          <w:rFonts w:ascii="Arial" w:cs="Arial" w:eastAsia="Arial" w:hAnsi="Arial"/>
          <w:sz w:val="16"/>
          <w:szCs w:val="16"/>
          <w:color w:val="auto"/>
        </w:rPr>
      </w:pPr>
    </w:p>
    <w:p>
      <w:pPr>
        <w:ind w:left="147" w:right="60" w:hanging="147"/>
        <w:spacing w:after="0" w:line="261" w:lineRule="auto"/>
        <w:tabs>
          <w:tab w:leader="none" w:pos="156" w:val="left"/>
        </w:tabs>
        <w:numPr>
          <w:ilvl w:val="0"/>
          <w:numId w:val="18"/>
        </w:numPr>
        <w:rPr>
          <w:rFonts w:ascii="Arial" w:cs="Arial" w:eastAsia="Arial" w:hAnsi="Arial"/>
          <w:sz w:val="17"/>
          <w:szCs w:val="17"/>
          <w:color w:val="auto"/>
        </w:rPr>
      </w:pPr>
      <w:r>
        <w:rPr>
          <w:rFonts w:ascii="Arial" w:cs="Arial" w:eastAsia="Arial" w:hAnsi="Arial"/>
          <w:sz w:val="17"/>
          <w:szCs w:val="17"/>
          <w:color w:val="auto"/>
        </w:rPr>
        <w:t>First U.S. technology company to deploy a sustainable finance instrument with an inaugural green bond issuance, followed by the issuance of a sustainability-linked revolving credit facility and a sustainability-linked bond offering</w:t>
      </w:r>
    </w:p>
    <w:p>
      <w:pPr>
        <w:spacing w:after="0" w:line="64" w:lineRule="exact"/>
        <w:rPr>
          <w:rFonts w:ascii="Arial" w:cs="Arial" w:eastAsia="Arial" w:hAnsi="Arial"/>
          <w:sz w:val="17"/>
          <w:szCs w:val="17"/>
          <w:color w:val="auto"/>
        </w:rPr>
      </w:pPr>
    </w:p>
    <w:p>
      <w:pPr>
        <w:ind w:left="147" w:right="20" w:hanging="147"/>
        <w:spacing w:after="0" w:line="261" w:lineRule="auto"/>
        <w:tabs>
          <w:tab w:leader="none" w:pos="156"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Continued to innovate and develop solutions with meaningful environmental benefits, including our Battery Management Solutions, Energy Storage Systems and leveraged our intelligent sensing systems to make data centers greener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-2296160</wp:posOffset>
            </wp:positionH>
            <wp:positionV relativeFrom="paragraph">
              <wp:posOffset>106680</wp:posOffset>
            </wp:positionV>
            <wp:extent cx="67405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44" w:right="100" w:hanging="144"/>
        <w:spacing w:after="0" w:line="271" w:lineRule="auto"/>
        <w:tabs>
          <w:tab w:leader="none" w:pos="152" w:val="left"/>
        </w:tabs>
        <w:numPr>
          <w:ilvl w:val="0"/>
          <w:numId w:val="19"/>
        </w:numPr>
        <w:rPr>
          <w:rFonts w:ascii="Arial" w:cs="Arial" w:eastAsia="Arial" w:hAnsi="Arial"/>
          <w:sz w:val="17"/>
          <w:szCs w:val="17"/>
          <w:color w:val="auto"/>
        </w:rPr>
      </w:pPr>
      <w:r>
        <w:rPr>
          <w:rFonts w:ascii="Arial" w:cs="Arial" w:eastAsia="Arial" w:hAnsi="Arial"/>
          <w:sz w:val="17"/>
          <w:szCs w:val="17"/>
          <w:color w:val="auto"/>
        </w:rPr>
        <w:t>Grew ADI’s female engineering population</w:t>
      </w:r>
      <w:r>
        <w:rPr>
          <w:rFonts w:ascii="Arial" w:cs="Arial" w:eastAsia="Arial" w:hAnsi="Arial"/>
          <w:sz w:val="14"/>
          <w:szCs w:val="14"/>
          <w:color w:val="auto"/>
        </w:rPr>
        <w:t>1</w:t>
      </w:r>
      <w:r>
        <w:rPr>
          <w:rFonts w:ascii="Arial" w:cs="Arial" w:eastAsia="Arial" w:hAnsi="Arial"/>
          <w:sz w:val="17"/>
          <w:szCs w:val="17"/>
          <w:color w:val="auto"/>
        </w:rPr>
        <w:t xml:space="preserve"> by 20% over the last 3 years, experienced 5% YoY growth in ‘FY21</w:t>
      </w:r>
    </w:p>
    <w:p>
      <w:pPr>
        <w:spacing w:after="0" w:line="54" w:lineRule="exact"/>
        <w:rPr>
          <w:rFonts w:ascii="Arial" w:cs="Arial" w:eastAsia="Arial" w:hAnsi="Arial"/>
          <w:sz w:val="17"/>
          <w:szCs w:val="17"/>
          <w:color w:val="auto"/>
        </w:rPr>
      </w:pPr>
    </w:p>
    <w:p>
      <w:pPr>
        <w:jc w:val="both"/>
        <w:ind w:left="144" w:right="240" w:hanging="144"/>
        <w:spacing w:after="0" w:line="323" w:lineRule="auto"/>
        <w:tabs>
          <w:tab w:leader="none" w:pos="152" w:val="left"/>
        </w:tabs>
        <w:numPr>
          <w:ilvl w:val="0"/>
          <w:numId w:val="19"/>
        </w:numPr>
        <w:rPr>
          <w:rFonts w:ascii="Arial" w:cs="Arial" w:eastAsia="Arial" w:hAnsi="Arial"/>
          <w:sz w:val="15"/>
          <w:szCs w:val="15"/>
          <w:color w:val="auto"/>
        </w:rPr>
      </w:pPr>
      <w:r>
        <w:rPr>
          <w:rFonts w:ascii="Arial" w:cs="Arial" w:eastAsia="Arial" w:hAnsi="Arial"/>
          <w:sz w:val="15"/>
          <w:szCs w:val="15"/>
          <w:color w:val="auto"/>
        </w:rPr>
        <w:t>Partnered with Historically Black Colleges and Universities (HBCUs) to enhance their engineering curriculum and research efforts</w:t>
      </w:r>
    </w:p>
    <w:p>
      <w:pPr>
        <w:spacing w:after="0" w:line="19" w:lineRule="exact"/>
        <w:rPr>
          <w:rFonts w:ascii="Arial" w:cs="Arial" w:eastAsia="Arial" w:hAnsi="Arial"/>
          <w:sz w:val="15"/>
          <w:szCs w:val="15"/>
          <w:color w:val="auto"/>
        </w:rPr>
      </w:pPr>
    </w:p>
    <w:p>
      <w:pPr>
        <w:ind w:left="144" w:right="80" w:hanging="144"/>
        <w:spacing w:after="0" w:line="263" w:lineRule="auto"/>
        <w:tabs>
          <w:tab w:leader="none" w:pos="152"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Provided $1.8 million in community grants and matched $720,000 in employee donations in FY’21 through the Analog Devices Foundation, supporting 900+ unique organizations</w:t>
      </w:r>
    </w:p>
    <w:p>
      <w:pPr>
        <w:spacing w:after="0" w:line="60" w:lineRule="exact"/>
        <w:rPr>
          <w:rFonts w:ascii="Arial" w:cs="Arial" w:eastAsia="Arial" w:hAnsi="Arial"/>
          <w:sz w:val="17"/>
          <w:szCs w:val="17"/>
          <w:color w:val="auto"/>
        </w:rPr>
      </w:pPr>
    </w:p>
    <w:p>
      <w:pPr>
        <w:ind w:left="144" w:right="120" w:hanging="144"/>
        <w:spacing w:after="0" w:line="287" w:lineRule="auto"/>
        <w:tabs>
          <w:tab w:leader="none" w:pos="152"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Supported Gavi, the Vaccine Alliance, with a $1 million donation for COVAX efforts to help ensure people in all corners of the world have access to COVID-19 vaccines</w:t>
      </w:r>
    </w:p>
    <w:p>
      <w:pPr>
        <w:spacing w:after="0" w:line="1011" w:lineRule="exact"/>
        <w:rPr>
          <w:sz w:val="20"/>
          <w:szCs w:val="20"/>
          <w:color w:val="auto"/>
        </w:rPr>
      </w:pPr>
    </w:p>
    <w:p>
      <w:pPr>
        <w:sectPr>
          <w:pgSz w:w="11900" w:h="16838" w:orient="portrait"/>
          <w:cols w:equalWidth="0" w:num="3">
            <w:col w:w="3800" w:space="133"/>
            <w:col w:w="3487" w:space="116"/>
            <w:col w:w="3404"/>
          </w:cols>
          <w:pgMar w:left="320" w:top="447" w:right="639" w:bottom="1440" w:gutter="0" w:footer="0" w:header="0"/>
          <w:type w:val="continuous"/>
        </w:sectPr>
      </w:pPr>
    </w:p>
    <w:p>
      <w:pPr>
        <w:spacing w:after="0" w:line="34" w:lineRule="exact"/>
        <w:rPr>
          <w:sz w:val="20"/>
          <w:szCs w:val="20"/>
          <w:color w:val="auto"/>
        </w:rPr>
      </w:pPr>
    </w:p>
    <w:p>
      <w:pPr>
        <w:ind w:left="740" w:hanging="424"/>
        <w:spacing w:after="0"/>
        <w:tabs>
          <w:tab w:leader="none" w:pos="7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Includes exempt engineering roles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6801485</wp:posOffset>
            </wp:positionH>
            <wp:positionV relativeFrom="paragraph">
              <wp:posOffset>121285</wp:posOffset>
            </wp:positionV>
            <wp:extent cx="140335" cy="9251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40335" cy="925195"/>
                    </a:xfrm>
                    <a:prstGeom prst="rect">
                      <a:avLst/>
                    </a:prstGeom>
                    <a:noFill/>
                  </pic:spPr>
                </pic:pic>
              </a:graphicData>
            </a:graphic>
          </wp:anchor>
        </w:drawing>
      </w:r>
    </w:p>
    <w:p>
      <w:pPr>
        <w:sectPr>
          <w:pgSz w:w="11900" w:h="16838" w:orient="portrait"/>
          <w:cols w:equalWidth="0" w:num="1">
            <w:col w:w="10940"/>
          </w:cols>
          <w:pgMar w:left="320" w:top="447"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84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0940"/>
          </w:cols>
          <w:pgMar w:left="320" w:top="447" w:right="639" w:bottom="1440" w:gutter="0" w:footer="0" w:header="0"/>
          <w:type w:val="continuous"/>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ind w:left="320"/>
        <w:spacing w:after="0"/>
        <w:rPr>
          <w:sz w:val="20"/>
          <w:szCs w:val="20"/>
          <w:color w:val="auto"/>
        </w:rPr>
      </w:pPr>
      <w:r>
        <w:rPr>
          <w:rFonts w:ascii="Arial" w:cs="Arial" w:eastAsia="Arial" w:hAnsi="Arial"/>
          <w:sz w:val="23"/>
          <w:szCs w:val="23"/>
          <w:b w:val="1"/>
          <w:bCs w:val="1"/>
          <w:color w:val="0066BA"/>
        </w:rPr>
        <w:t>Innovating for Environmental Sustainability</w:t>
      </w:r>
    </w:p>
    <w:p>
      <w:pPr>
        <w:spacing w:after="0" w:line="98" w:lineRule="exact"/>
        <w:rPr>
          <w:sz w:val="20"/>
          <w:szCs w:val="20"/>
          <w:color w:val="auto"/>
        </w:rPr>
      </w:pPr>
    </w:p>
    <w:p>
      <w:pPr>
        <w:ind w:left="320"/>
        <w:spacing w:after="0" w:line="270" w:lineRule="auto"/>
        <w:rPr>
          <w:sz w:val="20"/>
          <w:szCs w:val="20"/>
          <w:color w:val="auto"/>
        </w:rPr>
      </w:pPr>
      <w:r>
        <w:rPr>
          <w:rFonts w:ascii="Arial" w:cs="Arial" w:eastAsia="Arial" w:hAnsi="Arial"/>
          <w:sz w:val="17"/>
          <w:szCs w:val="17"/>
          <w:color w:val="auto"/>
        </w:rPr>
        <w:t>Our technologies reduce greenhouse gas emissions and waste, contributing to a lower carbon economy. ADI views achieving environmental sustainability as not only a responsibility for businesses and a necessity for a healthy planet, but also a business opportunity for energy efficient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133985</wp:posOffset>
            </wp:positionV>
            <wp:extent cx="6740525" cy="2228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40525" cy="222885"/>
                    </a:xfrm>
                    <a:prstGeom prst="rect">
                      <a:avLst/>
                    </a:prstGeom>
                    <a:noFill/>
                  </pic:spPr>
                </pic:pic>
              </a:graphicData>
            </a:graphic>
          </wp:anchor>
        </w:drawing>
      </w:r>
    </w:p>
    <w:p>
      <w:pPr>
        <w:sectPr>
          <w:pgSz w:w="11900" w:h="16838" w:orient="portrait"/>
          <w:cols w:equalWidth="0" w:num="1">
            <w:col w:w="10260"/>
          </w:cols>
          <w:pgMar w:left="320" w:top="447" w:right="1319" w:bottom="1440" w:gutter="0" w:footer="0" w:header="0"/>
        </w:sectPr>
      </w:pPr>
    </w:p>
    <w:p>
      <w:pPr>
        <w:spacing w:after="0" w:line="327"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FFFFFF"/>
        </w:rPr>
        <w:t>Electrification</w:t>
      </w:r>
    </w:p>
    <w:p>
      <w:pPr>
        <w:spacing w:after="0" w:line="200" w:lineRule="exact"/>
        <w:rPr>
          <w:sz w:val="20"/>
          <w:szCs w:val="20"/>
          <w:color w:val="auto"/>
        </w:rPr>
      </w:pPr>
    </w:p>
    <w:p>
      <w:pPr>
        <w:spacing w:after="0" w:line="292"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0066BA"/>
        </w:rPr>
        <w:t>Electric Vehicles (EVs)</w:t>
      </w:r>
    </w:p>
    <w:p>
      <w:pPr>
        <w:spacing w:after="0" w:line="80" w:lineRule="exact"/>
        <w:rPr>
          <w:sz w:val="20"/>
          <w:szCs w:val="20"/>
          <w:color w:val="auto"/>
        </w:rPr>
      </w:pPr>
    </w:p>
    <w:p>
      <w:pPr>
        <w:ind w:left="520" w:right="737" w:hanging="135"/>
        <w:spacing w:after="0" w:line="339" w:lineRule="auto"/>
        <w:tabs>
          <w:tab w:leader="none" w:pos="515" w:val="left"/>
        </w:tabs>
        <w:numPr>
          <w:ilvl w:val="0"/>
          <w:numId w:val="21"/>
        </w:numPr>
        <w:rPr>
          <w:rFonts w:ascii="Arial" w:cs="Arial" w:eastAsia="Arial" w:hAnsi="Arial"/>
          <w:sz w:val="13"/>
          <w:szCs w:val="13"/>
          <w:color w:val="auto"/>
        </w:rPr>
      </w:pPr>
      <w:r>
        <w:rPr>
          <w:rFonts w:ascii="Arial" w:cs="Arial" w:eastAsia="Arial" w:hAnsi="Arial"/>
          <w:sz w:val="13"/>
          <w:szCs w:val="13"/>
          <w:color w:val="auto"/>
        </w:rPr>
        <w:t>ADI’s battery management systems enable EVs to achieve longer drive range and less charge time at lower costs</w:t>
      </w:r>
    </w:p>
    <w:p>
      <w:pPr>
        <w:ind w:left="520" w:right="757" w:hanging="135"/>
        <w:spacing w:after="0" w:line="258" w:lineRule="auto"/>
        <w:tabs>
          <w:tab w:leader="none" w:pos="523" w:val="left"/>
        </w:tabs>
        <w:numPr>
          <w:ilvl w:val="0"/>
          <w:numId w:val="21"/>
        </w:numPr>
        <w:rPr>
          <w:rFonts w:ascii="Arial" w:cs="Arial" w:eastAsia="Arial" w:hAnsi="Arial"/>
          <w:sz w:val="14"/>
          <w:szCs w:val="14"/>
          <w:color w:val="auto"/>
        </w:rPr>
      </w:pPr>
      <w:r>
        <w:rPr>
          <w:rFonts w:ascii="Arial" w:cs="Arial" w:eastAsia="Arial" w:hAnsi="Arial"/>
          <w:sz w:val="14"/>
          <w:szCs w:val="14"/>
          <w:color w:val="0066BA"/>
        </w:rPr>
        <w:t xml:space="preserve">Impact: </w:t>
      </w:r>
      <w:r>
        <w:rPr>
          <w:rFonts w:ascii="Arial" w:cs="Arial" w:eastAsia="Arial" w:hAnsi="Arial"/>
          <w:sz w:val="14"/>
          <w:szCs w:val="14"/>
          <w:color w:val="000000"/>
        </w:rPr>
        <w:t>EVs equipped with</w:t>
      </w:r>
      <w:r>
        <w:rPr>
          <w:rFonts w:ascii="Arial" w:cs="Arial" w:eastAsia="Arial" w:hAnsi="Arial"/>
          <w:sz w:val="14"/>
          <w:szCs w:val="14"/>
          <w:color w:val="0066BA"/>
        </w:rPr>
        <w:t xml:space="preserve"> </w:t>
      </w:r>
      <w:r>
        <w:rPr>
          <w:rFonts w:ascii="Arial" w:cs="Arial" w:eastAsia="Arial" w:hAnsi="Arial"/>
          <w:sz w:val="14"/>
          <w:szCs w:val="14"/>
          <w:color w:val="000000"/>
        </w:rPr>
        <w:t>ADI’s BMS solutions reduced CO</w:t>
      </w:r>
      <w:r>
        <w:rPr>
          <w:rFonts w:ascii="Arial" w:cs="Arial" w:eastAsia="Arial" w:hAnsi="Arial"/>
          <w:sz w:val="23"/>
          <w:szCs w:val="23"/>
          <w:color w:val="000000"/>
          <w:vertAlign w:val="subscript"/>
        </w:rPr>
        <w:t>2</w:t>
      </w:r>
      <w:r>
        <w:rPr>
          <w:rFonts w:ascii="Arial" w:cs="Arial" w:eastAsia="Arial" w:hAnsi="Arial"/>
          <w:sz w:val="14"/>
          <w:szCs w:val="14"/>
          <w:color w:val="000000"/>
        </w:rPr>
        <w:t xml:space="preserve"> emissions by nearly 100 million tons in 2021</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FFFFFF"/>
        </w:rPr>
        <w:t>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-2273300</wp:posOffset>
            </wp:positionH>
            <wp:positionV relativeFrom="paragraph">
              <wp:posOffset>32385</wp:posOffset>
            </wp:positionV>
            <wp:extent cx="6740525" cy="37750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40525" cy="377507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0066BA"/>
        </w:rPr>
        <w:t>Data Centers</w:t>
      </w:r>
    </w:p>
    <w:p>
      <w:pPr>
        <w:spacing w:after="0" w:line="80" w:lineRule="exact"/>
        <w:rPr>
          <w:sz w:val="20"/>
          <w:szCs w:val="20"/>
          <w:color w:val="auto"/>
        </w:rPr>
      </w:pPr>
    </w:p>
    <w:p>
      <w:pPr>
        <w:ind w:left="143" w:right="760" w:hanging="143"/>
        <w:spacing w:after="0" w:line="305" w:lineRule="auto"/>
        <w:tabs>
          <w:tab w:leader="none" w:pos="138" w:val="left"/>
        </w:tabs>
        <w:numPr>
          <w:ilvl w:val="0"/>
          <w:numId w:val="22"/>
        </w:numPr>
        <w:rPr>
          <w:rFonts w:ascii="Arial" w:cs="Arial" w:eastAsia="Arial" w:hAnsi="Arial"/>
          <w:sz w:val="14"/>
          <w:szCs w:val="14"/>
          <w:color w:val="auto"/>
        </w:rPr>
      </w:pPr>
      <w:r>
        <w:rPr>
          <w:rFonts w:ascii="Arial" w:cs="Arial" w:eastAsia="Arial" w:hAnsi="Arial"/>
          <w:sz w:val="14"/>
          <w:szCs w:val="14"/>
          <w:color w:val="auto"/>
        </w:rPr>
        <w:t>ADI’s power solutions for high density servers, storage and network equipment improve energy efficiency and operating costs</w:t>
      </w:r>
    </w:p>
    <w:p>
      <w:pPr>
        <w:spacing w:after="0" w:line="17" w:lineRule="exact"/>
        <w:rPr>
          <w:rFonts w:ascii="Arial" w:cs="Arial" w:eastAsia="Arial" w:hAnsi="Arial"/>
          <w:sz w:val="14"/>
          <w:szCs w:val="14"/>
          <w:color w:val="auto"/>
        </w:rPr>
      </w:pPr>
    </w:p>
    <w:p>
      <w:pPr>
        <w:ind w:left="143" w:right="880" w:hanging="143"/>
        <w:spacing w:after="0" w:line="302" w:lineRule="auto"/>
        <w:tabs>
          <w:tab w:leader="none" w:pos="146" w:val="left"/>
        </w:tabs>
        <w:numPr>
          <w:ilvl w:val="0"/>
          <w:numId w:val="22"/>
        </w:numPr>
        <w:rPr>
          <w:rFonts w:ascii="Arial" w:cs="Arial" w:eastAsia="Arial" w:hAnsi="Arial"/>
          <w:sz w:val="14"/>
          <w:szCs w:val="14"/>
          <w:color w:val="auto"/>
        </w:rPr>
      </w:pPr>
      <w:r>
        <w:rPr>
          <w:rFonts w:ascii="Arial" w:cs="Arial" w:eastAsia="Arial" w:hAnsi="Arial"/>
          <w:sz w:val="14"/>
          <w:szCs w:val="14"/>
          <w:color w:val="0066BA"/>
        </w:rPr>
        <w:t xml:space="preserve">Impact: </w:t>
      </w:r>
      <w:r>
        <w:rPr>
          <w:rFonts w:ascii="Arial" w:cs="Arial" w:eastAsia="Arial" w:hAnsi="Arial"/>
          <w:sz w:val="14"/>
          <w:szCs w:val="14"/>
          <w:color w:val="000000"/>
        </w:rPr>
        <w:t>ADI is on the leading</w:t>
      </w:r>
      <w:r>
        <w:rPr>
          <w:rFonts w:ascii="Arial" w:cs="Arial" w:eastAsia="Arial" w:hAnsi="Arial"/>
          <w:sz w:val="14"/>
          <w:szCs w:val="14"/>
          <w:color w:val="0066BA"/>
        </w:rPr>
        <w:t xml:space="preserve"> </w:t>
      </w:r>
      <w:r>
        <w:rPr>
          <w:rFonts w:ascii="Arial" w:cs="Arial" w:eastAsia="Arial" w:hAnsi="Arial"/>
          <w:sz w:val="14"/>
          <w:szCs w:val="14"/>
          <w:color w:val="000000"/>
        </w:rPr>
        <w:t>edge of transition to 48 volts, delivering systems solutions that reduce wasted power by 15% compared with the industry standard</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Industry 4.0</w:t>
      </w:r>
    </w:p>
    <w:p>
      <w:pPr>
        <w:spacing w:after="0" w:line="200" w:lineRule="exact"/>
        <w:rPr>
          <w:sz w:val="20"/>
          <w:szCs w:val="20"/>
          <w:color w:val="auto"/>
        </w:rPr>
      </w:pPr>
    </w:p>
    <w:p>
      <w:pPr>
        <w:spacing w:after="0" w:line="292" w:lineRule="exact"/>
        <w:rPr>
          <w:sz w:val="20"/>
          <w:szCs w:val="20"/>
          <w:color w:val="auto"/>
        </w:rPr>
      </w:pPr>
    </w:p>
    <w:p>
      <w:pPr>
        <w:jc w:val="center"/>
        <w:ind w:right="1400"/>
        <w:spacing w:after="0"/>
        <w:rPr>
          <w:sz w:val="20"/>
          <w:szCs w:val="20"/>
          <w:color w:val="auto"/>
        </w:rPr>
      </w:pPr>
      <w:r>
        <w:rPr>
          <w:rFonts w:ascii="Arial" w:cs="Arial" w:eastAsia="Arial" w:hAnsi="Arial"/>
          <w:sz w:val="14"/>
          <w:szCs w:val="14"/>
          <w:b w:val="1"/>
          <w:bCs w:val="1"/>
          <w:color w:val="0066BA"/>
        </w:rPr>
        <w:t>Factory Automation</w:t>
      </w:r>
    </w:p>
    <w:p>
      <w:pPr>
        <w:spacing w:after="0" w:line="103" w:lineRule="exact"/>
        <w:rPr>
          <w:sz w:val="20"/>
          <w:szCs w:val="20"/>
          <w:color w:val="auto"/>
        </w:rPr>
      </w:pPr>
    </w:p>
    <w:p>
      <w:pPr>
        <w:ind w:left="140" w:right="580" w:hanging="139"/>
        <w:spacing w:after="0" w:line="305" w:lineRule="auto"/>
        <w:tabs>
          <w:tab w:leader="none" w:pos="143" w:val="left"/>
        </w:tabs>
        <w:numPr>
          <w:ilvl w:val="0"/>
          <w:numId w:val="23"/>
        </w:numPr>
        <w:rPr>
          <w:rFonts w:ascii="Arial" w:cs="Arial" w:eastAsia="Arial" w:hAnsi="Arial"/>
          <w:sz w:val="14"/>
          <w:szCs w:val="14"/>
          <w:color w:val="auto"/>
        </w:rPr>
      </w:pPr>
      <w:r>
        <w:rPr>
          <w:rFonts w:ascii="Arial" w:cs="Arial" w:eastAsia="Arial" w:hAnsi="Arial"/>
          <w:sz w:val="14"/>
          <w:szCs w:val="14"/>
          <w:color w:val="auto"/>
        </w:rPr>
        <w:t>Precision sensing and drive technologies from ADI enable variable-speed motors to operate factory lines with more efficient energy usage</w:t>
      </w:r>
    </w:p>
    <w:p>
      <w:pPr>
        <w:spacing w:after="0" w:line="17" w:lineRule="exact"/>
        <w:rPr>
          <w:rFonts w:ascii="Arial" w:cs="Arial" w:eastAsia="Arial" w:hAnsi="Arial"/>
          <w:sz w:val="14"/>
          <w:szCs w:val="14"/>
          <w:color w:val="auto"/>
        </w:rPr>
      </w:pPr>
    </w:p>
    <w:p>
      <w:pPr>
        <w:ind w:left="140" w:right="500" w:hanging="139"/>
        <w:spacing w:after="0" w:line="305" w:lineRule="auto"/>
        <w:tabs>
          <w:tab w:leader="none" w:pos="143" w:val="left"/>
        </w:tabs>
        <w:numPr>
          <w:ilvl w:val="0"/>
          <w:numId w:val="23"/>
        </w:numPr>
        <w:rPr>
          <w:rFonts w:ascii="Arial" w:cs="Arial" w:eastAsia="Arial" w:hAnsi="Arial"/>
          <w:sz w:val="14"/>
          <w:szCs w:val="14"/>
          <w:color w:val="auto"/>
        </w:rPr>
      </w:pPr>
      <w:r>
        <w:rPr>
          <w:rFonts w:ascii="Arial" w:cs="Arial" w:eastAsia="Arial" w:hAnsi="Arial"/>
          <w:sz w:val="14"/>
          <w:szCs w:val="14"/>
          <w:color w:val="0066BA"/>
        </w:rPr>
        <w:t xml:space="preserve">Impact: </w:t>
      </w:r>
      <w:r>
        <w:rPr>
          <w:rFonts w:ascii="Arial" w:cs="Arial" w:eastAsia="Arial" w:hAnsi="Arial"/>
          <w:sz w:val="14"/>
          <w:szCs w:val="14"/>
          <w:color w:val="000000"/>
        </w:rPr>
        <w:t>40% reduced motor</w:t>
      </w:r>
      <w:r>
        <w:rPr>
          <w:rFonts w:ascii="Arial" w:cs="Arial" w:eastAsia="Arial" w:hAnsi="Arial"/>
          <w:sz w:val="14"/>
          <w:szCs w:val="14"/>
          <w:color w:val="0066BA"/>
        </w:rPr>
        <w:t xml:space="preserve"> </w:t>
      </w:r>
      <w:r>
        <w:rPr>
          <w:rFonts w:ascii="Arial" w:cs="Arial" w:eastAsia="Arial" w:hAnsi="Arial"/>
          <w:sz w:val="14"/>
          <w:szCs w:val="14"/>
          <w:color w:val="000000"/>
        </w:rPr>
        <w:t>energy consumption in factory lines using ADI’s precision signal chain and power management technology</w:t>
      </w:r>
    </w:p>
    <w:p>
      <w:pPr>
        <w:spacing w:after="0" w:line="392" w:lineRule="exact"/>
        <w:rPr>
          <w:sz w:val="20"/>
          <w:szCs w:val="20"/>
          <w:color w:val="auto"/>
        </w:rPr>
      </w:pPr>
    </w:p>
    <w:p>
      <w:pPr>
        <w:sectPr>
          <w:pgSz w:w="11900" w:h="16838" w:orient="portrait"/>
          <w:cols w:equalWidth="0" w:num="3">
            <w:col w:w="3177" w:space="720"/>
            <w:col w:w="2883" w:space="720"/>
            <w:col w:w="2760"/>
          </w:cols>
          <w:pgMar w:left="320" w:top="447" w:right="1319" w:bottom="1440" w:gutter="0" w:footer="0" w:header="0"/>
          <w:type w:val="continuous"/>
        </w:sectPr>
      </w:pPr>
    </w:p>
    <w:p>
      <w:pPr>
        <w:spacing w:after="0" w:line="285"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0066BA"/>
        </w:rPr>
        <w:t>Renewable Energy</w:t>
      </w:r>
    </w:p>
    <w:p>
      <w:pPr>
        <w:spacing w:after="0" w:line="80" w:lineRule="exact"/>
        <w:rPr>
          <w:sz w:val="20"/>
          <w:szCs w:val="20"/>
          <w:color w:val="auto"/>
        </w:rPr>
      </w:pPr>
    </w:p>
    <w:p>
      <w:pPr>
        <w:ind w:left="520" w:right="637" w:hanging="135"/>
        <w:spacing w:after="0" w:line="302" w:lineRule="auto"/>
        <w:tabs>
          <w:tab w:leader="none" w:pos="523" w:val="left"/>
        </w:tabs>
        <w:numPr>
          <w:ilvl w:val="0"/>
          <w:numId w:val="24"/>
        </w:numPr>
        <w:rPr>
          <w:rFonts w:ascii="Arial" w:cs="Arial" w:eastAsia="Arial" w:hAnsi="Arial"/>
          <w:sz w:val="14"/>
          <w:szCs w:val="14"/>
          <w:color w:val="auto"/>
        </w:rPr>
      </w:pPr>
      <w:r>
        <w:rPr>
          <w:rFonts w:ascii="Arial" w:cs="Arial" w:eastAsia="Arial" w:hAnsi="Arial"/>
          <w:sz w:val="14"/>
          <w:szCs w:val="14"/>
          <w:color w:val="auto"/>
        </w:rPr>
        <w:t>Energy Storage Systems capture renewable energy, store and redeploy it to provide efficient grid distribution and help EV charging stations run off cleaner energy</w:t>
      </w:r>
    </w:p>
    <w:p>
      <w:pPr>
        <w:spacing w:after="0" w:line="20" w:lineRule="exact"/>
        <w:rPr>
          <w:rFonts w:ascii="Arial" w:cs="Arial" w:eastAsia="Arial" w:hAnsi="Arial"/>
          <w:sz w:val="14"/>
          <w:szCs w:val="14"/>
          <w:color w:val="auto"/>
        </w:rPr>
      </w:pPr>
    </w:p>
    <w:p>
      <w:pPr>
        <w:ind w:left="520" w:right="597" w:hanging="135"/>
        <w:spacing w:after="0" w:line="292" w:lineRule="auto"/>
        <w:tabs>
          <w:tab w:leader="none" w:pos="523" w:val="left"/>
        </w:tabs>
        <w:numPr>
          <w:ilvl w:val="0"/>
          <w:numId w:val="24"/>
        </w:numPr>
        <w:rPr>
          <w:rFonts w:ascii="Arial" w:cs="Arial" w:eastAsia="Arial" w:hAnsi="Arial"/>
          <w:sz w:val="14"/>
          <w:szCs w:val="14"/>
          <w:color w:val="auto"/>
        </w:rPr>
      </w:pPr>
      <w:r>
        <w:rPr>
          <w:rFonts w:ascii="Arial" w:cs="Arial" w:eastAsia="Arial" w:hAnsi="Arial"/>
          <w:sz w:val="14"/>
          <w:szCs w:val="14"/>
          <w:color w:val="0066BA"/>
        </w:rPr>
        <w:t xml:space="preserve">Impact: </w:t>
      </w:r>
      <w:r>
        <w:rPr>
          <w:rFonts w:ascii="Arial" w:cs="Arial" w:eastAsia="Arial" w:hAnsi="Arial"/>
          <w:sz w:val="14"/>
          <w:szCs w:val="14"/>
          <w:color w:val="000000"/>
        </w:rPr>
        <w:t>30% more battery life</w:t>
      </w:r>
      <w:r>
        <w:rPr>
          <w:rFonts w:ascii="Arial" w:cs="Arial" w:eastAsia="Arial" w:hAnsi="Arial"/>
          <w:sz w:val="14"/>
          <w:szCs w:val="14"/>
          <w:color w:val="0066BA"/>
        </w:rPr>
        <w:t xml:space="preserve"> </w:t>
      </w:r>
      <w:r>
        <w:rPr>
          <w:rFonts w:ascii="Arial" w:cs="Arial" w:eastAsia="Arial" w:hAnsi="Arial"/>
          <w:sz w:val="14"/>
          <w:szCs w:val="14"/>
          <w:color w:val="000000"/>
        </w:rPr>
        <w:t>in ADI’s energy storage systems, combining accuracy with efficient power conversion</w:t>
      </w:r>
    </w:p>
    <w:p>
      <w:pPr>
        <w:ind w:left="520"/>
        <w:spacing w:after="0"/>
        <w:rPr>
          <w:rFonts w:ascii="Arial" w:cs="Arial" w:eastAsia="Arial" w:hAnsi="Arial"/>
          <w:sz w:val="14"/>
          <w:szCs w:val="14"/>
          <w:color w:val="auto"/>
        </w:rPr>
      </w:pPr>
      <w:r>
        <w:rPr>
          <w:rFonts w:ascii="Arial" w:cs="Arial" w:eastAsia="Arial" w:hAnsi="Arial"/>
          <w:sz w:val="16"/>
          <w:szCs w:val="16"/>
          <w:color w:val="auto"/>
        </w:rPr>
        <w:t>and isolation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118110</wp:posOffset>
            </wp:positionV>
            <wp:extent cx="140335" cy="9251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40335" cy="925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0066BA"/>
        </w:rPr>
        <w:t>5G Networks</w:t>
      </w:r>
    </w:p>
    <w:p>
      <w:pPr>
        <w:spacing w:after="0" w:line="80" w:lineRule="exact"/>
        <w:rPr>
          <w:sz w:val="20"/>
          <w:szCs w:val="20"/>
          <w:color w:val="auto"/>
        </w:rPr>
      </w:pPr>
    </w:p>
    <w:p>
      <w:pPr>
        <w:ind w:left="143" w:right="740" w:hanging="143"/>
        <w:spacing w:after="0" w:line="292" w:lineRule="auto"/>
        <w:tabs>
          <w:tab w:leader="none" w:pos="146" w:val="left"/>
        </w:tabs>
        <w:numPr>
          <w:ilvl w:val="0"/>
          <w:numId w:val="25"/>
        </w:numPr>
        <w:rPr>
          <w:rFonts w:ascii="Arial" w:cs="Arial" w:eastAsia="Arial" w:hAnsi="Arial"/>
          <w:sz w:val="14"/>
          <w:szCs w:val="14"/>
          <w:color w:val="auto"/>
        </w:rPr>
      </w:pPr>
      <w:r>
        <w:rPr>
          <w:rFonts w:ascii="Arial" w:cs="Arial" w:eastAsia="Arial" w:hAnsi="Arial"/>
          <w:sz w:val="14"/>
          <w:szCs w:val="14"/>
          <w:color w:val="auto"/>
        </w:rPr>
        <w:t>Exponential growth in network traffic would increase emissions to 600M tonnes by 2030 if</w:t>
      </w:r>
    </w:p>
    <w:p>
      <w:pPr>
        <w:spacing w:after="0" w:line="1" w:lineRule="exact"/>
        <w:rPr>
          <w:rFonts w:ascii="Arial" w:cs="Arial" w:eastAsia="Arial" w:hAnsi="Arial"/>
          <w:sz w:val="14"/>
          <w:szCs w:val="14"/>
          <w:color w:val="auto"/>
        </w:rPr>
      </w:pPr>
    </w:p>
    <w:p>
      <w:pPr>
        <w:ind w:left="143" w:right="860"/>
        <w:spacing w:after="0" w:line="261" w:lineRule="auto"/>
        <w:rPr>
          <w:rFonts w:ascii="Arial" w:cs="Arial" w:eastAsia="Arial" w:hAnsi="Arial"/>
          <w:sz w:val="14"/>
          <w:szCs w:val="14"/>
          <w:color w:val="auto"/>
        </w:rPr>
      </w:pPr>
      <w:r>
        <w:rPr>
          <w:rFonts w:ascii="Arial" w:cs="Arial" w:eastAsia="Arial" w:hAnsi="Arial"/>
          <w:sz w:val="16"/>
          <w:szCs w:val="16"/>
          <w:color w:val="auto"/>
        </w:rPr>
        <w:t>5G networks weren’t 90% more energy efficient than 4G networks</w:t>
      </w:r>
    </w:p>
    <w:p>
      <w:pPr>
        <w:spacing w:after="0" w:line="46" w:lineRule="exact"/>
        <w:rPr>
          <w:rFonts w:ascii="Arial" w:cs="Arial" w:eastAsia="Arial" w:hAnsi="Arial"/>
          <w:sz w:val="14"/>
          <w:szCs w:val="14"/>
          <w:color w:val="auto"/>
        </w:rPr>
      </w:pPr>
    </w:p>
    <w:p>
      <w:pPr>
        <w:ind w:left="143" w:right="620" w:hanging="143"/>
        <w:spacing w:after="0" w:line="305" w:lineRule="auto"/>
        <w:tabs>
          <w:tab w:leader="none" w:pos="146" w:val="left"/>
        </w:tabs>
        <w:numPr>
          <w:ilvl w:val="0"/>
          <w:numId w:val="25"/>
        </w:numPr>
        <w:rPr>
          <w:rFonts w:ascii="Arial" w:cs="Arial" w:eastAsia="Arial" w:hAnsi="Arial"/>
          <w:sz w:val="14"/>
          <w:szCs w:val="14"/>
          <w:color w:val="auto"/>
        </w:rPr>
      </w:pPr>
      <w:r>
        <w:rPr>
          <w:rFonts w:ascii="Arial" w:cs="Arial" w:eastAsia="Arial" w:hAnsi="Arial"/>
          <w:sz w:val="14"/>
          <w:szCs w:val="14"/>
          <w:color w:val="0066BA"/>
        </w:rPr>
        <w:t xml:space="preserve">Impact: </w:t>
      </w:r>
      <w:r>
        <w:rPr>
          <w:rFonts w:ascii="Arial" w:cs="Arial" w:eastAsia="Arial" w:hAnsi="Arial"/>
          <w:sz w:val="14"/>
          <w:szCs w:val="14"/>
          <w:color w:val="000000"/>
        </w:rPr>
        <w:t>540M tonnes of avoided</w:t>
      </w:r>
      <w:r>
        <w:rPr>
          <w:rFonts w:ascii="Arial" w:cs="Arial" w:eastAsia="Arial" w:hAnsi="Arial"/>
          <w:sz w:val="14"/>
          <w:szCs w:val="14"/>
          <w:color w:val="0066BA"/>
        </w:rPr>
        <w:t xml:space="preserve"> </w:t>
      </w:r>
      <w:r>
        <w:rPr>
          <w:rFonts w:ascii="Arial" w:cs="Arial" w:eastAsia="Arial" w:hAnsi="Arial"/>
          <w:sz w:val="14"/>
          <w:szCs w:val="14"/>
          <w:color w:val="000000"/>
        </w:rPr>
        <w:t>emissions. ADI’s transceivers and algorithms allow miniaturization that enables beamforming and densification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-2273300</wp:posOffset>
            </wp:positionH>
            <wp:positionV relativeFrom="paragraph">
              <wp:posOffset>-14605</wp:posOffset>
            </wp:positionV>
            <wp:extent cx="67405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40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0066BA"/>
        </w:rPr>
        <w:t>Predictive Maintenance</w:t>
      </w:r>
    </w:p>
    <w:p>
      <w:pPr>
        <w:spacing w:after="0" w:line="80" w:lineRule="exact"/>
        <w:rPr>
          <w:sz w:val="20"/>
          <w:szCs w:val="20"/>
          <w:color w:val="auto"/>
        </w:rPr>
      </w:pPr>
    </w:p>
    <w:p>
      <w:pPr>
        <w:ind w:left="140" w:right="740" w:hanging="139"/>
        <w:spacing w:after="0" w:line="227" w:lineRule="auto"/>
        <w:tabs>
          <w:tab w:leader="none" w:pos="135" w:val="left"/>
        </w:tabs>
        <w:numPr>
          <w:ilvl w:val="0"/>
          <w:numId w:val="26"/>
        </w:numPr>
        <w:rPr>
          <w:rFonts w:ascii="Arial" w:cs="Arial" w:eastAsia="Arial" w:hAnsi="Arial"/>
          <w:sz w:val="16"/>
          <w:szCs w:val="16"/>
          <w:color w:val="auto"/>
        </w:rPr>
      </w:pPr>
      <w:r>
        <w:rPr>
          <w:rFonts w:ascii="Arial" w:cs="Arial" w:eastAsia="Arial" w:hAnsi="Arial"/>
          <w:sz w:val="16"/>
          <w:szCs w:val="16"/>
          <w:color w:val="auto"/>
        </w:rPr>
        <w:t>ADI’s AI-driven sensing interpretation platform OtoSense</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provides real-time machine health insights at the edge</w:t>
      </w:r>
    </w:p>
    <w:p>
      <w:pPr>
        <w:spacing w:after="0" w:line="61" w:lineRule="exact"/>
        <w:rPr>
          <w:rFonts w:ascii="Arial" w:cs="Arial" w:eastAsia="Arial" w:hAnsi="Arial"/>
          <w:sz w:val="16"/>
          <w:szCs w:val="16"/>
          <w:color w:val="auto"/>
        </w:rPr>
      </w:pPr>
    </w:p>
    <w:p>
      <w:pPr>
        <w:ind w:left="140" w:right="740" w:hanging="139"/>
        <w:spacing w:after="0" w:line="262" w:lineRule="auto"/>
        <w:tabs>
          <w:tab w:leader="none" w:pos="143" w:val="left"/>
        </w:tabs>
        <w:numPr>
          <w:ilvl w:val="0"/>
          <w:numId w:val="26"/>
        </w:numPr>
        <w:rPr>
          <w:rFonts w:ascii="Arial" w:cs="Arial" w:eastAsia="Arial" w:hAnsi="Arial"/>
          <w:sz w:val="14"/>
          <w:szCs w:val="14"/>
          <w:color w:val="auto"/>
        </w:rPr>
      </w:pPr>
      <w:r>
        <w:rPr>
          <w:rFonts w:ascii="Arial" w:cs="Arial" w:eastAsia="Arial" w:hAnsi="Arial"/>
          <w:sz w:val="14"/>
          <w:szCs w:val="14"/>
          <w:color w:val="0066BA"/>
        </w:rPr>
        <w:t xml:space="preserve">Impact: </w:t>
      </w:r>
      <w:r>
        <w:rPr>
          <w:rFonts w:ascii="Arial" w:cs="Arial" w:eastAsia="Arial" w:hAnsi="Arial"/>
          <w:sz w:val="14"/>
          <w:szCs w:val="14"/>
          <w:color w:val="000000"/>
        </w:rPr>
        <w:t>98% reduced energy</w:t>
      </w:r>
      <w:r>
        <w:rPr>
          <w:rFonts w:ascii="Arial" w:cs="Arial" w:eastAsia="Arial" w:hAnsi="Arial"/>
          <w:sz w:val="14"/>
          <w:szCs w:val="14"/>
          <w:color w:val="0066BA"/>
        </w:rPr>
        <w:t xml:space="preserve"> </w:t>
      </w:r>
      <w:r>
        <w:rPr>
          <w:rFonts w:ascii="Arial" w:cs="Arial" w:eastAsia="Arial" w:hAnsi="Arial"/>
          <w:sz w:val="14"/>
          <w:szCs w:val="14"/>
          <w:color w:val="000000"/>
        </w:rPr>
        <w:t>consumption enabled by ADI-OtoSense</w:t>
      </w:r>
      <w:r>
        <w:rPr>
          <w:rFonts w:ascii="Arial" w:cs="Arial" w:eastAsia="Arial" w:hAnsi="Arial"/>
          <w:sz w:val="23"/>
          <w:szCs w:val="23"/>
          <w:color w:val="000000"/>
          <w:vertAlign w:val="superscript"/>
        </w:rPr>
        <w:t>®</w:t>
      </w:r>
      <w:r>
        <w:rPr>
          <w:rFonts w:ascii="Arial" w:cs="Arial" w:eastAsia="Arial" w:hAnsi="Arial"/>
          <w:sz w:val="14"/>
          <w:szCs w:val="14"/>
          <w:color w:val="000000"/>
        </w:rPr>
        <w:t xml:space="preserve"> edge computing, compared to traditional services using a cloud</w:t>
      </w:r>
    </w:p>
    <w:p>
      <w:pPr>
        <w:spacing w:after="0" w:line="426" w:lineRule="exact"/>
        <w:rPr>
          <w:sz w:val="20"/>
          <w:szCs w:val="20"/>
          <w:color w:val="auto"/>
        </w:rPr>
      </w:pPr>
    </w:p>
    <w:p>
      <w:pPr>
        <w:sectPr>
          <w:pgSz w:w="11900" w:h="16838" w:orient="portrait"/>
          <w:cols w:equalWidth="0" w:num="3">
            <w:col w:w="3177" w:space="720"/>
            <w:col w:w="2883" w:space="720"/>
            <w:col w:w="2760"/>
          </w:cols>
          <w:pgMar w:left="320" w:top="447" w:right="1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0260"/>
          </w:cols>
          <w:pgMar w:left="320" w:top="447" w:right="1319" w:bottom="1440" w:gutter="0" w:footer="0" w:header="0"/>
          <w:type w:val="continuous"/>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480"/>
        <w:spacing w:after="0"/>
        <w:rPr>
          <w:sz w:val="20"/>
          <w:szCs w:val="20"/>
          <w:color w:val="auto"/>
        </w:rPr>
      </w:pPr>
      <w:r>
        <w:rPr>
          <w:rFonts w:ascii="Arial" w:cs="Arial" w:eastAsia="Arial" w:hAnsi="Arial"/>
          <w:sz w:val="55"/>
          <w:szCs w:val="55"/>
          <w:color w:val="0066BA"/>
        </w:rPr>
        <w:t>Proposal 1</w:t>
      </w:r>
    </w:p>
    <w:p>
      <w:pPr>
        <w:spacing w:after="0" w:line="119" w:lineRule="exact"/>
        <w:rPr>
          <w:sz w:val="20"/>
          <w:szCs w:val="20"/>
          <w:color w:val="auto"/>
        </w:rPr>
      </w:pPr>
    </w:p>
    <w:p>
      <w:pPr>
        <w:ind w:left="480"/>
        <w:spacing w:after="0"/>
        <w:rPr>
          <w:sz w:val="20"/>
          <w:szCs w:val="20"/>
          <w:color w:val="auto"/>
        </w:rPr>
      </w:pPr>
      <w:r>
        <w:rPr>
          <w:sz w:val="1"/>
          <w:szCs w:val="1"/>
          <w:color w:val="auto"/>
        </w:rPr>
        <w:drawing>
          <wp:inline distT="0" distB="0" distL="0" distR="0">
            <wp:extent cx="264160" cy="26416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64160" cy="264160"/>
                    </a:xfrm>
                    <a:prstGeom prst="rect">
                      <a:avLst/>
                    </a:prstGeom>
                    <a:noFill/>
                    <a:ln>
                      <a:noFill/>
                    </a:ln>
                  </pic:spPr>
                </pic:pic>
              </a:graphicData>
            </a:graphic>
          </wp:inline>
        </w:drawing>
      </w:r>
      <w:r>
        <w:rPr>
          <w:rFonts w:ascii="Arial" w:cs="Arial" w:eastAsia="Arial" w:hAnsi="Arial"/>
          <w:sz w:val="49"/>
          <w:szCs w:val="49"/>
          <w:color w:val="auto"/>
        </w:rPr>
        <w:t xml:space="preserv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146050</wp:posOffset>
            </wp:positionV>
            <wp:extent cx="549338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4933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480" w:type="dxa"/>
        <w:tblCellMar>
          <w:top w:w="0" w:type="dxa"/>
          <w:left w:w="0" w:type="dxa"/>
          <w:bottom w:w="0" w:type="dxa"/>
          <w:right w:w="0" w:type="dxa"/>
        </w:tblCellMar>
      </w:tblPr>
      <w:tr>
        <w:trPr>
          <w:trHeight w:val="333"/>
        </w:trPr>
        <w:tc>
          <w:tcPr>
            <w:tcW w:w="8080" w:type="dxa"/>
            <w:vAlign w:val="bottom"/>
          </w:tcPr>
          <w:p>
            <w:pPr>
              <w:spacing w:after="0"/>
              <w:rPr>
                <w:sz w:val="20"/>
                <w:szCs w:val="20"/>
                <w:color w:val="auto"/>
              </w:rPr>
            </w:pPr>
            <w:r>
              <w:rPr>
                <w:rFonts w:ascii="Arial" w:cs="Arial" w:eastAsia="Arial" w:hAnsi="Arial"/>
                <w:sz w:val="29"/>
                <w:szCs w:val="29"/>
                <w:color w:val="0066BA"/>
                <w:w w:val="99"/>
              </w:rPr>
              <w:t>Our Board of Directors unanimously recommends that you vote</w:t>
            </w:r>
          </w:p>
        </w:tc>
        <w:tc>
          <w:tcPr>
            <w:tcW w:w="1200" w:type="dxa"/>
            <w:vAlign w:val="bottom"/>
            <w:shd w:val="clear" w:color="auto" w:fill="0066BA"/>
          </w:tcPr>
          <w:p>
            <w:pPr>
              <w:ind w:left="440"/>
              <w:spacing w:after="0"/>
              <w:rPr>
                <w:sz w:val="20"/>
                <w:szCs w:val="20"/>
                <w:color w:val="auto"/>
              </w:rPr>
            </w:pPr>
            <w:r>
              <w:rPr>
                <w:rFonts w:ascii="Arial" w:cs="Arial" w:eastAsia="Arial" w:hAnsi="Arial"/>
                <w:sz w:val="29"/>
                <w:szCs w:val="29"/>
                <w:color w:val="FFFFFF"/>
                <w:shd w:val="clear" w:color="auto" w:fill="0066BA"/>
              </w:rPr>
              <w:t>FOR</w:t>
            </w:r>
          </w:p>
        </w:tc>
        <w:tc>
          <w:tcPr>
            <w:tcW w:w="480" w:type="dxa"/>
            <w:vAlign w:val="bottom"/>
          </w:tcPr>
          <w:p>
            <w:pPr>
              <w:ind w:left="80"/>
              <w:spacing w:after="0"/>
              <w:rPr>
                <w:sz w:val="20"/>
                <w:szCs w:val="20"/>
                <w:color w:val="auto"/>
              </w:rPr>
            </w:pPr>
            <w:r>
              <w:rPr>
                <w:rFonts w:ascii="Arial" w:cs="Arial" w:eastAsia="Arial" w:hAnsi="Arial"/>
                <w:sz w:val="29"/>
                <w:szCs w:val="29"/>
                <w:color w:val="0066BA"/>
                <w:w w:val="94"/>
              </w:rPr>
              <w:t>the</w:t>
            </w:r>
          </w:p>
        </w:tc>
      </w:tr>
      <w:tr>
        <w:trPr>
          <w:trHeight w:val="359"/>
        </w:trPr>
        <w:tc>
          <w:tcPr>
            <w:tcW w:w="8080" w:type="dxa"/>
            <w:vAlign w:val="bottom"/>
          </w:tcPr>
          <w:p>
            <w:pPr>
              <w:spacing w:after="0"/>
              <w:rPr>
                <w:sz w:val="20"/>
                <w:szCs w:val="20"/>
                <w:color w:val="auto"/>
              </w:rPr>
            </w:pPr>
            <w:r>
              <w:rPr>
                <w:rFonts w:ascii="Arial" w:cs="Arial" w:eastAsia="Arial" w:hAnsi="Arial"/>
                <w:sz w:val="29"/>
                <w:szCs w:val="29"/>
                <w:color w:val="0066BA"/>
              </w:rPr>
              <w:t>election of each of the below nominees.</w:t>
            </w: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271"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33333"/>
        </w:rPr>
        <w:t>Election Process</w:t>
      </w:r>
    </w:p>
    <w:p>
      <w:pPr>
        <w:spacing w:after="0" w:line="119" w:lineRule="exact"/>
        <w:rPr>
          <w:sz w:val="20"/>
          <w:szCs w:val="20"/>
          <w:color w:val="auto"/>
        </w:rPr>
      </w:pPr>
    </w:p>
    <w:p>
      <w:pPr>
        <w:ind w:left="480" w:right="200"/>
        <w:spacing w:after="0" w:line="276" w:lineRule="auto"/>
        <w:rPr>
          <w:sz w:val="20"/>
          <w:szCs w:val="20"/>
          <w:color w:val="auto"/>
        </w:rPr>
      </w:pPr>
      <w:r>
        <w:rPr>
          <w:rFonts w:ascii="Arial" w:cs="Arial" w:eastAsia="Arial" w:hAnsi="Arial"/>
          <w:sz w:val="16"/>
          <w:szCs w:val="16"/>
          <w:b w:val="1"/>
          <w:bCs w:val="1"/>
          <w:color w:val="auto"/>
        </w:rPr>
        <w:t>All members of our Board of Directors are elected annually by our shareholders and currently consists of 13 directors, of whom 1</w:t>
      </w:r>
      <w:r>
        <w:rPr>
          <w:rFonts w:ascii="Arial" w:cs="Arial" w:eastAsia="Arial" w:hAnsi="Arial"/>
          <w:sz w:val="16"/>
          <w:szCs w:val="16"/>
          <w:color w:val="auto"/>
        </w:rPr>
        <w:t>0 are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to be “independent directors” as defined and in accordance with the Nasdaq Stock Market, Inc. Marketplace Rules, or Nasdaq Rules. Tunç Doluca and Mercedes Johnson joined our Board on August 26, 2021, in connection with our acquisition of Maxim Integrated. On January 18, 2022, Dr. Little informed our Nominating and Corporate Governance Committee of his intent to retire from our Board and not stand for re-election. Consequently, Dr. Little’s term as a director will expire at the Annual Meeting on March 9, 2022. Our Nominating and Corporate Governance Committee recommended, and our Board has determined, to nominate all other current directors for reelection in 2022. As such, at the Annual Meeting, our shareholders will have an opportunity to vote for each of the 12 nominees listed below. If the current nominees are elected, we will have 12 members serving on our Board, of whom 9 are deemed to be “independent directors” in accordance with Nasdaq Rules, and the number of directors composing our Board will be reduced to 12. The persons named in the proxy card, upon receipt of a properly executed proxy, will vote for each of these nominees, unless you instruct them to vote otherwise on the proxy card (whether executed by you or through Internet or telephonic voting). Each of the nominees has indicated his or her willingness to serve, if elected. However, if any or all of the nominees should be unable or unwilling to serve, the proxies may be voted for a substitute nominee designated by our Board of Directors or our Board of Directors may reduce the number of directors.</w:t>
      </w:r>
    </w:p>
    <w:p>
      <w:pPr>
        <w:spacing w:after="0" w:line="253"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33333"/>
        </w:rPr>
        <w:t>Director Criteria, Qualifications and Experience</w:t>
      </w:r>
    </w:p>
    <w:p>
      <w:pPr>
        <w:spacing w:after="0" w:line="125" w:lineRule="exact"/>
        <w:rPr>
          <w:sz w:val="20"/>
          <w:szCs w:val="20"/>
          <w:color w:val="auto"/>
        </w:rPr>
      </w:pPr>
    </w:p>
    <w:p>
      <w:pPr>
        <w:ind w:left="480" w:right="300"/>
        <w:spacing w:after="0" w:line="263" w:lineRule="auto"/>
        <w:rPr>
          <w:sz w:val="20"/>
          <w:szCs w:val="20"/>
          <w:color w:val="auto"/>
        </w:rPr>
      </w:pPr>
      <w:r>
        <w:rPr>
          <w:rFonts w:ascii="Arial" w:cs="Arial" w:eastAsia="Arial" w:hAnsi="Arial"/>
          <w:sz w:val="17"/>
          <w:szCs w:val="17"/>
          <w:color w:val="auto"/>
        </w:rPr>
        <w:t>The Board of Directors is committed to ensuring that it is composed of a highly capable group of directors who collectively span a broad range of leadership skills and provide a significant breadth of experience, knowledge and abilities, relevant to the Company’s strategic vision, long-term objectives and business activities to effectively represent the interests of shareholders, exercise sound judgment and reflect our corporate values of integrity, honesty and adherence to high ethical standards. Key factors that the Board of Directors and the Nominating and Corporate Governance Committee consider when selecting director nominees include:</w:t>
      </w:r>
    </w:p>
    <w:p>
      <w:pPr>
        <w:spacing w:after="0" w:line="268"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4940" w:type="dxa"/>
            <w:vAlign w:val="bottom"/>
            <w:shd w:val="clear" w:color="auto" w:fill="E5EFF8"/>
          </w:tcPr>
          <w:p>
            <w:pPr>
              <w:ind w:left="60"/>
              <w:spacing w:after="0"/>
              <w:rPr>
                <w:sz w:val="20"/>
                <w:szCs w:val="20"/>
                <w:color w:val="auto"/>
              </w:rPr>
            </w:pPr>
            <w:r>
              <w:rPr>
                <w:rFonts w:ascii="Arial" w:cs="Arial" w:eastAsia="Arial" w:hAnsi="Arial"/>
                <w:sz w:val="19"/>
                <w:szCs w:val="19"/>
                <w:b w:val="1"/>
                <w:bCs w:val="1"/>
                <w:color w:val="auto"/>
              </w:rPr>
              <w:t>Diversity of Director Nominees</w:t>
            </w:r>
          </w:p>
        </w:tc>
        <w:tc>
          <w:tcPr>
            <w:tcW w:w="300" w:type="dxa"/>
            <w:vAlign w:val="bottom"/>
          </w:tcPr>
          <w:p>
            <w:pPr>
              <w:spacing w:after="0"/>
              <w:rPr>
                <w:sz w:val="20"/>
                <w:szCs w:val="20"/>
                <w:color w:val="auto"/>
              </w:rPr>
            </w:pPr>
          </w:p>
        </w:tc>
        <w:tc>
          <w:tcPr>
            <w:tcW w:w="5040" w:type="dxa"/>
            <w:vAlign w:val="bottom"/>
            <w:shd w:val="clear" w:color="auto" w:fill="E5EFF8"/>
          </w:tcPr>
          <w:p>
            <w:pPr>
              <w:ind w:left="60"/>
              <w:spacing w:after="0"/>
              <w:rPr>
                <w:sz w:val="20"/>
                <w:szCs w:val="20"/>
                <w:color w:val="auto"/>
              </w:rPr>
            </w:pPr>
            <w:r>
              <w:rPr>
                <w:rFonts w:ascii="Arial" w:cs="Arial" w:eastAsia="Arial" w:hAnsi="Arial"/>
                <w:sz w:val="19"/>
                <w:szCs w:val="19"/>
                <w:b w:val="1"/>
                <w:bCs w:val="1"/>
                <w:color w:val="auto"/>
              </w:rPr>
              <w:t>Independence of Director Nominees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74295</wp:posOffset>
            </wp:positionV>
            <wp:extent cx="115570" cy="1155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556260</wp:posOffset>
            </wp:positionH>
            <wp:positionV relativeFrom="paragraph">
              <wp:posOffset>74295</wp:posOffset>
            </wp:positionV>
            <wp:extent cx="115570" cy="1155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754380</wp:posOffset>
            </wp:positionH>
            <wp:positionV relativeFrom="paragraph">
              <wp:posOffset>74295</wp:posOffset>
            </wp:positionV>
            <wp:extent cx="115570" cy="1155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952500</wp:posOffset>
            </wp:positionH>
            <wp:positionV relativeFrom="paragraph">
              <wp:posOffset>74295</wp:posOffset>
            </wp:positionV>
            <wp:extent cx="115570" cy="1155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1150620</wp:posOffset>
            </wp:positionH>
            <wp:positionV relativeFrom="paragraph">
              <wp:posOffset>74295</wp:posOffset>
            </wp:positionV>
            <wp:extent cx="115570" cy="1155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74295</wp:posOffset>
            </wp:positionV>
            <wp:extent cx="115570" cy="1155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1547495</wp:posOffset>
            </wp:positionH>
            <wp:positionV relativeFrom="paragraph">
              <wp:posOffset>74295</wp:posOffset>
            </wp:positionV>
            <wp:extent cx="115570" cy="1155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74295</wp:posOffset>
            </wp:positionV>
            <wp:extent cx="115570" cy="1155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1943735</wp:posOffset>
            </wp:positionH>
            <wp:positionV relativeFrom="paragraph">
              <wp:posOffset>74295</wp:posOffset>
            </wp:positionV>
            <wp:extent cx="115570" cy="1155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2141855</wp:posOffset>
            </wp:positionH>
            <wp:positionV relativeFrom="paragraph">
              <wp:posOffset>74295</wp:posOffset>
            </wp:positionV>
            <wp:extent cx="115570" cy="1155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2340610</wp:posOffset>
            </wp:positionH>
            <wp:positionV relativeFrom="paragraph">
              <wp:posOffset>74295</wp:posOffset>
            </wp:positionV>
            <wp:extent cx="115570" cy="1155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2538730</wp:posOffset>
            </wp:positionH>
            <wp:positionV relativeFrom="paragraph">
              <wp:posOffset>74295</wp:posOffset>
            </wp:positionV>
            <wp:extent cx="115570" cy="1155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3695065</wp:posOffset>
            </wp:positionH>
            <wp:positionV relativeFrom="paragraph">
              <wp:posOffset>74295</wp:posOffset>
            </wp:positionV>
            <wp:extent cx="115570" cy="1155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3893185</wp:posOffset>
            </wp:positionH>
            <wp:positionV relativeFrom="paragraph">
              <wp:posOffset>74295</wp:posOffset>
            </wp:positionV>
            <wp:extent cx="115570" cy="1155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74295</wp:posOffset>
            </wp:positionV>
            <wp:extent cx="115570" cy="1155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4290060</wp:posOffset>
            </wp:positionH>
            <wp:positionV relativeFrom="paragraph">
              <wp:posOffset>74295</wp:posOffset>
            </wp:positionV>
            <wp:extent cx="115570" cy="1155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74295</wp:posOffset>
            </wp:positionV>
            <wp:extent cx="115570" cy="1155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4686300</wp:posOffset>
            </wp:positionH>
            <wp:positionV relativeFrom="paragraph">
              <wp:posOffset>74295</wp:posOffset>
            </wp:positionV>
            <wp:extent cx="115570" cy="1155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4884420</wp:posOffset>
            </wp:positionH>
            <wp:positionV relativeFrom="paragraph">
              <wp:posOffset>74295</wp:posOffset>
            </wp:positionV>
            <wp:extent cx="115570" cy="1155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5083175</wp:posOffset>
            </wp:positionH>
            <wp:positionV relativeFrom="paragraph">
              <wp:posOffset>74295</wp:posOffset>
            </wp:positionV>
            <wp:extent cx="115570" cy="1155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74295</wp:posOffset>
            </wp:positionV>
            <wp:extent cx="115570" cy="1155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5479415</wp:posOffset>
            </wp:positionH>
            <wp:positionV relativeFrom="paragraph">
              <wp:posOffset>74295</wp:posOffset>
            </wp:positionV>
            <wp:extent cx="115570" cy="1155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5677535</wp:posOffset>
            </wp:positionH>
            <wp:positionV relativeFrom="paragraph">
              <wp:posOffset>74295</wp:posOffset>
            </wp:positionV>
            <wp:extent cx="115570" cy="1155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5876290</wp:posOffset>
            </wp:positionH>
            <wp:positionV relativeFrom="paragraph">
              <wp:posOffset>74295</wp:posOffset>
            </wp:positionV>
            <wp:extent cx="115570" cy="1155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ectPr>
          <w:pgSz w:w="11900" w:h="16838" w:orient="portrait"/>
          <w:cols w:equalWidth="0" w:num="1">
            <w:col w:w="10940"/>
          </w:cols>
          <w:pgMar w:left="320" w:top="447" w:right="639" w:bottom="1440" w:gutter="0" w:footer="0" w:header="0"/>
        </w:sectPr>
      </w:pPr>
    </w:p>
    <w:p>
      <w:pPr>
        <w:spacing w:after="0" w:line="377" w:lineRule="exact"/>
        <w:rPr>
          <w:sz w:val="20"/>
          <w:szCs w:val="20"/>
          <w:color w:val="auto"/>
        </w:rPr>
      </w:pPr>
    </w:p>
    <w:p>
      <w:pPr>
        <w:ind w:left="480"/>
        <w:spacing w:after="0"/>
        <w:rPr>
          <w:sz w:val="20"/>
          <w:szCs w:val="20"/>
          <w:color w:val="auto"/>
        </w:rPr>
      </w:pPr>
      <w:r>
        <w:rPr>
          <w:rFonts w:ascii="Arial" w:cs="Arial" w:eastAsia="Arial" w:hAnsi="Arial"/>
          <w:sz w:val="33"/>
          <w:szCs w:val="33"/>
          <w:color w:val="0066BA"/>
        </w:rPr>
        <w:t>4 of 12</w:t>
      </w:r>
    </w:p>
    <w:p>
      <w:pPr>
        <w:ind w:left="520"/>
        <w:spacing w:after="0"/>
        <w:rPr>
          <w:sz w:val="20"/>
          <w:szCs w:val="20"/>
          <w:color w:val="auto"/>
        </w:rPr>
      </w:pPr>
      <w:r>
        <w:rPr>
          <w:rFonts w:ascii="Arial" w:cs="Arial" w:eastAsia="Arial" w:hAnsi="Arial"/>
          <w:sz w:val="16"/>
          <w:szCs w:val="16"/>
          <w:color w:val="auto"/>
        </w:rPr>
        <w:t>Directors are female, or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154305</wp:posOffset>
            </wp:positionV>
            <wp:extent cx="115570" cy="1155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556260</wp:posOffset>
            </wp:positionH>
            <wp:positionV relativeFrom="paragraph">
              <wp:posOffset>154305</wp:posOffset>
            </wp:positionV>
            <wp:extent cx="115570" cy="1155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754380</wp:posOffset>
            </wp:positionH>
            <wp:positionV relativeFrom="paragraph">
              <wp:posOffset>154305</wp:posOffset>
            </wp:positionV>
            <wp:extent cx="115570" cy="1155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952500</wp:posOffset>
            </wp:positionH>
            <wp:positionV relativeFrom="paragraph">
              <wp:posOffset>154305</wp:posOffset>
            </wp:positionV>
            <wp:extent cx="115570" cy="1155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1150620</wp:posOffset>
            </wp:positionH>
            <wp:positionV relativeFrom="paragraph">
              <wp:posOffset>154305</wp:posOffset>
            </wp:positionV>
            <wp:extent cx="115570" cy="1155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154305</wp:posOffset>
            </wp:positionV>
            <wp:extent cx="115570" cy="1155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1547495</wp:posOffset>
            </wp:positionH>
            <wp:positionV relativeFrom="paragraph">
              <wp:posOffset>154305</wp:posOffset>
            </wp:positionV>
            <wp:extent cx="115570" cy="1155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154305</wp:posOffset>
            </wp:positionV>
            <wp:extent cx="115570" cy="1155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1943735</wp:posOffset>
            </wp:positionH>
            <wp:positionV relativeFrom="paragraph">
              <wp:posOffset>154305</wp:posOffset>
            </wp:positionV>
            <wp:extent cx="115570" cy="1155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2141855</wp:posOffset>
            </wp:positionH>
            <wp:positionV relativeFrom="paragraph">
              <wp:posOffset>154305</wp:posOffset>
            </wp:positionV>
            <wp:extent cx="115570" cy="1155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2340610</wp:posOffset>
            </wp:positionH>
            <wp:positionV relativeFrom="paragraph">
              <wp:posOffset>154305</wp:posOffset>
            </wp:positionV>
            <wp:extent cx="115570" cy="1155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15570" cy="115570"/>
                    </a:xfrm>
                    <a:prstGeom prst="rect">
                      <a:avLst/>
                    </a:prstGeom>
                    <a:noFill/>
                  </pic:spPr>
                </pic:pic>
              </a:graphicData>
            </a:graphic>
          </wp:anchor>
        </w:drawing>
        <w:drawing>
          <wp:anchor simplePos="0" relativeHeight="251657728" behindDoc="1" locked="0" layoutInCell="0" allowOverlap="1">
            <wp:simplePos x="0" y="0"/>
            <wp:positionH relativeFrom="column">
              <wp:posOffset>2538730</wp:posOffset>
            </wp:positionH>
            <wp:positionV relativeFrom="paragraph">
              <wp:posOffset>154305</wp:posOffset>
            </wp:positionV>
            <wp:extent cx="115570" cy="1155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480"/>
        <w:spacing w:after="0"/>
        <w:rPr>
          <w:sz w:val="20"/>
          <w:szCs w:val="20"/>
          <w:color w:val="auto"/>
        </w:rPr>
      </w:pPr>
      <w:r>
        <w:rPr>
          <w:rFonts w:ascii="Arial" w:cs="Arial" w:eastAsia="Arial" w:hAnsi="Arial"/>
          <w:sz w:val="33"/>
          <w:szCs w:val="33"/>
          <w:color w:val="0066BA"/>
        </w:rPr>
        <w:t>3 of 12</w:t>
      </w:r>
    </w:p>
    <w:p>
      <w:pPr>
        <w:ind w:left="520"/>
        <w:spacing w:after="0"/>
        <w:rPr>
          <w:sz w:val="20"/>
          <w:szCs w:val="20"/>
          <w:color w:val="auto"/>
        </w:rPr>
      </w:pPr>
      <w:r>
        <w:rPr>
          <w:rFonts w:ascii="Arial" w:cs="Arial" w:eastAsia="Arial" w:hAnsi="Arial"/>
          <w:sz w:val="16"/>
          <w:szCs w:val="16"/>
          <w:color w:val="auto"/>
        </w:rPr>
        <w:t>Directors are ethnically diverse, or 25%</w:t>
      </w:r>
    </w:p>
    <w:p>
      <w:pPr>
        <w:spacing w:after="0" w:line="205" w:lineRule="exact"/>
        <w:rPr>
          <w:sz w:val="20"/>
          <w:szCs w:val="20"/>
          <w:color w:val="auto"/>
        </w:rPr>
      </w:pPr>
    </w:p>
    <w:p>
      <w:pPr>
        <w:ind w:left="480"/>
        <w:spacing w:after="0" w:line="263" w:lineRule="auto"/>
        <w:rPr>
          <w:sz w:val="20"/>
          <w:szCs w:val="20"/>
          <w:color w:val="auto"/>
        </w:rPr>
      </w:pPr>
      <w:r>
        <w:rPr>
          <w:rFonts w:ascii="Arial" w:cs="Arial" w:eastAsia="Arial" w:hAnsi="Arial"/>
          <w:sz w:val="17"/>
          <w:szCs w:val="17"/>
          <w:color w:val="auto"/>
        </w:rPr>
        <w:t>While the Board of Directors does not have a specific diversity policy, our Corporate Governance Guidelines provide that gender, racial, and ethnic diversity, consistent with the requirement for relevant and diverse experience, skills, and industry familiarity, are important search criteria.</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ind w:left="20"/>
        <w:spacing w:after="0"/>
        <w:rPr>
          <w:sz w:val="20"/>
          <w:szCs w:val="20"/>
          <w:color w:val="auto"/>
        </w:rPr>
      </w:pPr>
      <w:r>
        <w:rPr>
          <w:rFonts w:ascii="Arial" w:cs="Arial" w:eastAsia="Arial" w:hAnsi="Arial"/>
          <w:sz w:val="33"/>
          <w:szCs w:val="33"/>
          <w:color w:val="0066BA"/>
        </w:rPr>
        <w:t>9 of 12</w:t>
      </w:r>
    </w:p>
    <w:p>
      <w:pPr>
        <w:ind w:left="60"/>
        <w:spacing w:after="0"/>
        <w:rPr>
          <w:sz w:val="20"/>
          <w:szCs w:val="20"/>
          <w:color w:val="auto"/>
        </w:rPr>
      </w:pPr>
      <w:r>
        <w:rPr>
          <w:rFonts w:ascii="Arial" w:cs="Arial" w:eastAsia="Arial" w:hAnsi="Arial"/>
          <w:sz w:val="16"/>
          <w:szCs w:val="16"/>
          <w:color w:val="auto"/>
        </w:rPr>
        <w:t>Directors are Independent, or 75%</w:t>
      </w:r>
    </w:p>
    <w:p>
      <w:pPr>
        <w:spacing w:after="0" w:line="205"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Under Nasdaq Rules, a majority of the members of our Board must be independent directors. To be considered independent, a director must be independent as determined under applicable Nasdaq Rules, and in the Board’s judgment, the director must not have a relationship with the Company that would interfere with the exercise of independent judgment in carrying out the responsibilities of a director.</w:t>
      </w:r>
    </w:p>
    <w:p>
      <w:pPr>
        <w:spacing w:after="0" w:line="1045" w:lineRule="exact"/>
        <w:rPr>
          <w:sz w:val="20"/>
          <w:szCs w:val="20"/>
          <w:color w:val="auto"/>
        </w:rPr>
      </w:pPr>
    </w:p>
    <w:p>
      <w:pPr>
        <w:sectPr>
          <w:pgSz w:w="11900" w:h="16838" w:orient="portrait"/>
          <w:cols w:equalWidth="0" w:num="2">
            <w:col w:w="5360" w:space="360"/>
            <w:col w:w="5220"/>
          </w:cols>
          <w:pgMar w:left="320" w:top="447" w:right="639" w:bottom="1440" w:gutter="0" w:footer="0" w:header="0"/>
          <w:type w:val="continuous"/>
        </w:sectPr>
      </w:pPr>
    </w:p>
    <w:p>
      <w:pPr>
        <w:spacing w:after="0" w:line="369" w:lineRule="exact"/>
        <w:rPr>
          <w:sz w:val="20"/>
          <w:szCs w:val="20"/>
          <w:color w:val="auto"/>
        </w:rPr>
      </w:pPr>
    </w:p>
    <w:p>
      <w:pPr>
        <w:ind w:left="1076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940"/>
          </w:cols>
          <w:pgMar w:left="320" w:top="447" w:right="639" w:bottom="1440" w:gutter="0" w:footer="0" w:header="0"/>
          <w:type w:val="continuous"/>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600"/>
        <w:spacing w:after="0"/>
        <w:rPr>
          <w:sz w:val="20"/>
          <w:szCs w:val="20"/>
          <w:color w:val="auto"/>
        </w:rPr>
      </w:pPr>
      <w:r>
        <w:rPr>
          <w:rFonts w:ascii="Arial" w:cs="Arial" w:eastAsia="Arial" w:hAnsi="Arial"/>
          <w:sz w:val="19"/>
          <w:szCs w:val="19"/>
          <w:b w:val="1"/>
          <w:bCs w:val="1"/>
          <w:color w:val="auto"/>
        </w:rPr>
        <w:t>Experience of 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-128905</wp:posOffset>
            </wp:positionV>
            <wp:extent cx="6534150" cy="148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534150" cy="148590"/>
                    </a:xfrm>
                    <a:prstGeom prst="rect">
                      <a:avLst/>
                    </a:prstGeom>
                    <a:noFill/>
                  </pic:spPr>
                </pic:pic>
              </a:graphicData>
            </a:graphic>
          </wp:anchor>
        </w:drawing>
      </w:r>
    </w:p>
    <w:p>
      <w:pPr>
        <w:spacing w:after="0" w:line="119" w:lineRule="exact"/>
        <w:rPr>
          <w:sz w:val="20"/>
          <w:szCs w:val="20"/>
          <w:color w:val="auto"/>
        </w:rPr>
      </w:pPr>
    </w:p>
    <w:p>
      <w:pPr>
        <w:ind w:left="540"/>
        <w:spacing w:after="0"/>
        <w:rPr>
          <w:sz w:val="20"/>
          <w:szCs w:val="20"/>
          <w:color w:val="auto"/>
        </w:rPr>
      </w:pPr>
      <w:r>
        <w:rPr>
          <w:rFonts w:ascii="Arial" w:cs="Arial" w:eastAsia="Arial" w:hAnsi="Arial"/>
          <w:sz w:val="14"/>
          <w:szCs w:val="14"/>
          <w:color w:val="0066BA"/>
        </w:rPr>
        <w:t>Experience/Expertise</w:t>
      </w:r>
    </w:p>
    <w:p>
      <w:pPr>
        <w:spacing w:after="0" w:line="4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CEO Experience</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Experienced leadership of complex global businesses</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Industry Experience</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Insight into key issues affecting our Company</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Technology Leadership</w:t>
      </w:r>
    </w:p>
    <w:p>
      <w:pPr>
        <w:spacing w:after="0" w:line="15" w:lineRule="exact"/>
        <w:rPr>
          <w:sz w:val="20"/>
          <w:szCs w:val="20"/>
          <w:color w:val="auto"/>
        </w:rPr>
      </w:pPr>
    </w:p>
    <w:p>
      <w:pPr>
        <w:ind w:left="540" w:right="140"/>
        <w:spacing w:after="0" w:line="269" w:lineRule="auto"/>
        <w:rPr>
          <w:sz w:val="20"/>
          <w:szCs w:val="20"/>
          <w:color w:val="auto"/>
        </w:rPr>
      </w:pPr>
      <w:r>
        <w:rPr>
          <w:rFonts w:ascii="Arial" w:cs="Arial" w:eastAsia="Arial" w:hAnsi="Arial"/>
          <w:sz w:val="16"/>
          <w:szCs w:val="16"/>
          <w:color w:val="auto"/>
        </w:rPr>
        <w:t>Expertise and thought leadership relating to technological innovation in our industry and our end markets</w:t>
      </w:r>
    </w:p>
    <w:p>
      <w:pPr>
        <w:spacing w:after="0" w:line="5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Governance/Public Company Board Expertise</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4"/>
          <w:szCs w:val="14"/>
          <w:color w:val="auto"/>
        </w:rPr>
        <w:t>Knowledge of public company governance issues and policies to enhance Board practices</w:t>
      </w:r>
    </w:p>
    <w:p>
      <w:pPr>
        <w:spacing w:after="0" w:line="10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Financial Expertise</w:t>
      </w:r>
    </w:p>
    <w:p>
      <w:pPr>
        <w:spacing w:after="0" w:line="15" w:lineRule="exact"/>
        <w:rPr>
          <w:sz w:val="20"/>
          <w:szCs w:val="20"/>
          <w:color w:val="auto"/>
        </w:rPr>
      </w:pPr>
    </w:p>
    <w:p>
      <w:pPr>
        <w:ind w:left="540" w:right="80"/>
        <w:spacing w:after="0" w:line="269" w:lineRule="auto"/>
        <w:rPr>
          <w:sz w:val="20"/>
          <w:szCs w:val="20"/>
          <w:color w:val="auto"/>
        </w:rPr>
      </w:pPr>
      <w:r>
        <w:rPr>
          <w:rFonts w:ascii="Arial" w:cs="Arial" w:eastAsia="Arial" w:hAnsi="Arial"/>
          <w:sz w:val="16"/>
          <w:szCs w:val="16"/>
          <w:color w:val="auto"/>
        </w:rPr>
        <w:t>Oversight of our company’s audit function and preparation of financial statements and capital market expertise</w:t>
      </w:r>
    </w:p>
    <w:p>
      <w:pPr>
        <w:spacing w:after="0" w:line="5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International Experience</w:t>
      </w:r>
    </w:p>
    <w:p>
      <w:pPr>
        <w:spacing w:after="0" w:line="15" w:lineRule="exact"/>
        <w:rPr>
          <w:sz w:val="20"/>
          <w:szCs w:val="20"/>
          <w:color w:val="auto"/>
        </w:rPr>
      </w:pPr>
    </w:p>
    <w:p>
      <w:pPr>
        <w:ind w:left="540" w:right="240"/>
        <w:spacing w:after="0" w:line="269" w:lineRule="auto"/>
        <w:rPr>
          <w:sz w:val="20"/>
          <w:szCs w:val="20"/>
          <w:color w:val="auto"/>
        </w:rPr>
      </w:pPr>
      <w:r>
        <w:rPr>
          <w:rFonts w:ascii="Arial" w:cs="Arial" w:eastAsia="Arial" w:hAnsi="Arial"/>
          <w:sz w:val="16"/>
          <w:szCs w:val="16"/>
          <w:color w:val="auto"/>
        </w:rPr>
        <w:t>Insight into the many factors involved in overseeing management of our Company’s global footprint</w:t>
      </w:r>
    </w:p>
    <w:p>
      <w:pPr>
        <w:spacing w:after="0" w:line="5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Strategy Experience</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Oversight of management’s development and implementation of strategic priorities</w:t>
      </w:r>
    </w:p>
    <w:p>
      <w:pPr>
        <w:spacing w:after="0" w:line="8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Risk Management Expertise</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4"/>
          <w:szCs w:val="14"/>
          <w:color w:val="auto"/>
        </w:rPr>
        <w:t>Oversight of risks facing our Company and a comprehensive approach to risk management</w:t>
      </w:r>
    </w:p>
    <w:p>
      <w:pPr>
        <w:spacing w:after="0" w:line="10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Cybersecurity Expertise</w:t>
      </w:r>
    </w:p>
    <w:p>
      <w:pPr>
        <w:spacing w:after="0" w:line="15" w:lineRule="exact"/>
        <w:rPr>
          <w:sz w:val="20"/>
          <w:szCs w:val="20"/>
          <w:color w:val="auto"/>
        </w:rPr>
      </w:pPr>
    </w:p>
    <w:p>
      <w:pPr>
        <w:ind w:left="540"/>
        <w:spacing w:after="0" w:line="269" w:lineRule="auto"/>
        <w:rPr>
          <w:sz w:val="20"/>
          <w:szCs w:val="20"/>
          <w:color w:val="auto"/>
        </w:rPr>
      </w:pPr>
      <w:r>
        <w:rPr>
          <w:rFonts w:ascii="Arial" w:cs="Arial" w:eastAsia="Arial" w:hAnsi="Arial"/>
          <w:sz w:val="16"/>
          <w:szCs w:val="16"/>
          <w:color w:val="auto"/>
        </w:rPr>
        <w:t>Oversight of our Company’s efforts to maintain our customers’ trust and protect the security of their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3"/>
          <w:szCs w:val="13"/>
          <w:color w:val="0066BA"/>
        </w:rPr>
        <w:t>Number of Directors</w:t>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29"/>
          <w:szCs w:val="29"/>
          <w:color w:val="0066BA"/>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-110490</wp:posOffset>
            </wp:positionV>
            <wp:extent cx="2114550" cy="1155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14550" cy="115570"/>
                    </a:xfrm>
                    <a:prstGeom prst="rect">
                      <a:avLst/>
                    </a:prstGeom>
                    <a:noFill/>
                  </pic:spPr>
                </pic:pic>
              </a:graphicData>
            </a:graphic>
          </wp:anchor>
        </w:drawing>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29"/>
          <w:szCs w:val="29"/>
          <w:color w:val="0066BA"/>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-110490</wp:posOffset>
            </wp:positionV>
            <wp:extent cx="2114550" cy="1155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14550" cy="115570"/>
                    </a:xfrm>
                    <a:prstGeom prst="rect">
                      <a:avLst/>
                    </a:prstGeom>
                    <a:noFill/>
                  </pic:spPr>
                </pic:pic>
              </a:graphicData>
            </a:graphic>
          </wp:anchor>
        </w:drawing>
      </w:r>
    </w:p>
    <w:p>
      <w:pPr>
        <w:spacing w:after="0" w:line="310" w:lineRule="exact"/>
        <w:rPr>
          <w:sz w:val="20"/>
          <w:szCs w:val="20"/>
          <w:color w:val="auto"/>
        </w:rPr>
      </w:pPr>
    </w:p>
    <w:p>
      <w:pPr>
        <w:ind w:left="80"/>
        <w:spacing w:after="0"/>
        <w:rPr>
          <w:sz w:val="20"/>
          <w:szCs w:val="20"/>
          <w:color w:val="auto"/>
        </w:rPr>
      </w:pPr>
      <w:r>
        <w:rPr>
          <w:rFonts w:ascii="Arial" w:cs="Arial" w:eastAsia="Arial" w:hAnsi="Arial"/>
          <w:sz w:val="29"/>
          <w:szCs w:val="29"/>
          <w:color w:val="0066BA"/>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-110490</wp:posOffset>
            </wp:positionV>
            <wp:extent cx="2114550" cy="1155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14550" cy="115570"/>
                    </a:xfrm>
                    <a:prstGeom prst="rect">
                      <a:avLst/>
                    </a:prstGeom>
                    <a:noFill/>
                  </pic:spPr>
                </pic:pic>
              </a:graphicData>
            </a:graphic>
          </wp:anchor>
        </w:drawing>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29"/>
          <w:szCs w:val="29"/>
          <w:color w:val="0066BA"/>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-110490</wp:posOffset>
            </wp:positionV>
            <wp:extent cx="2114550" cy="1155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14550" cy="115570"/>
                    </a:xfrm>
                    <a:prstGeom prst="rect">
                      <a:avLst/>
                    </a:prstGeom>
                    <a:noFill/>
                  </pic:spPr>
                </pic:pic>
              </a:graphicData>
            </a:graphic>
          </wp:anchor>
        </w:drawing>
      </w:r>
    </w:p>
    <w:p>
      <w:pPr>
        <w:spacing w:after="0" w:line="310" w:lineRule="exact"/>
        <w:rPr>
          <w:sz w:val="20"/>
          <w:szCs w:val="20"/>
          <w:color w:val="auto"/>
        </w:rPr>
      </w:pPr>
    </w:p>
    <w:p>
      <w:pPr>
        <w:jc w:val="center"/>
        <w:ind w:right="3680"/>
        <w:spacing w:after="0"/>
        <w:rPr>
          <w:sz w:val="20"/>
          <w:szCs w:val="20"/>
          <w:color w:val="auto"/>
        </w:rPr>
      </w:pPr>
      <w:r>
        <w:rPr>
          <w:rFonts w:ascii="Arial" w:cs="Arial" w:eastAsia="Arial" w:hAnsi="Arial"/>
          <w:sz w:val="29"/>
          <w:szCs w:val="29"/>
          <w:color w:val="0066BA"/>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-110490</wp:posOffset>
            </wp:positionV>
            <wp:extent cx="2114550" cy="1155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14550" cy="115570"/>
                    </a:xfrm>
                    <a:prstGeom prst="rect">
                      <a:avLst/>
                    </a:prstGeom>
                    <a:noFill/>
                  </pic:spPr>
                </pic:pic>
              </a:graphicData>
            </a:graphic>
          </wp:anchor>
        </w:drawing>
      </w:r>
    </w:p>
    <w:p>
      <w:pPr>
        <w:spacing w:after="0" w:line="310" w:lineRule="exact"/>
        <w:rPr>
          <w:sz w:val="20"/>
          <w:szCs w:val="20"/>
          <w:color w:val="auto"/>
        </w:rPr>
      </w:pPr>
    </w:p>
    <w:p>
      <w:pPr>
        <w:ind w:left="80"/>
        <w:spacing w:after="0"/>
        <w:rPr>
          <w:sz w:val="20"/>
          <w:szCs w:val="20"/>
          <w:color w:val="auto"/>
        </w:rPr>
      </w:pPr>
      <w:r>
        <w:rPr>
          <w:rFonts w:ascii="Arial" w:cs="Arial" w:eastAsia="Arial" w:hAnsi="Arial"/>
          <w:sz w:val="29"/>
          <w:szCs w:val="29"/>
          <w:color w:val="0066BA"/>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-110490</wp:posOffset>
            </wp:positionV>
            <wp:extent cx="2114550" cy="1155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14550" cy="115570"/>
                    </a:xfrm>
                    <a:prstGeom prst="rect">
                      <a:avLst/>
                    </a:prstGeom>
                    <a:noFill/>
                  </pic:spPr>
                </pic:pic>
              </a:graphicData>
            </a:graphic>
          </wp:anchor>
        </w:drawing>
      </w:r>
    </w:p>
    <w:p>
      <w:pPr>
        <w:spacing w:after="0" w:line="115" w:lineRule="exact"/>
        <w:rPr>
          <w:sz w:val="20"/>
          <w:szCs w:val="20"/>
          <w:color w:val="auto"/>
        </w:rPr>
      </w:pPr>
    </w:p>
    <w:p>
      <w:pPr>
        <w:ind w:left="80"/>
        <w:spacing w:after="0"/>
        <w:rPr>
          <w:sz w:val="20"/>
          <w:szCs w:val="20"/>
          <w:color w:val="auto"/>
        </w:rPr>
      </w:pPr>
      <w:r>
        <w:rPr>
          <w:rFonts w:ascii="Arial" w:cs="Arial" w:eastAsia="Arial" w:hAnsi="Arial"/>
          <w:sz w:val="29"/>
          <w:szCs w:val="29"/>
          <w:color w:val="0066BA"/>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-110490</wp:posOffset>
            </wp:positionV>
            <wp:extent cx="2114550" cy="1155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14550" cy="115570"/>
                    </a:xfrm>
                    <a:prstGeom prst="rect">
                      <a:avLst/>
                    </a:prstGeom>
                    <a:noFill/>
                  </pic:spPr>
                </pic:pic>
              </a:graphicData>
            </a:graphic>
          </wp:anchor>
        </w:drawing>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29"/>
          <w:szCs w:val="29"/>
          <w:color w:val="0066BA"/>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-110490</wp:posOffset>
            </wp:positionV>
            <wp:extent cx="2114550" cy="1155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14550" cy="115570"/>
                    </a:xfrm>
                    <a:prstGeom prst="rect">
                      <a:avLst/>
                    </a:prstGeom>
                    <a:noFill/>
                  </pic:spPr>
                </pic:pic>
              </a:graphicData>
            </a:graphic>
          </wp:anchor>
        </w:drawing>
      </w:r>
    </w:p>
    <w:p>
      <w:pPr>
        <w:spacing w:after="0" w:line="310" w:lineRule="exact"/>
        <w:rPr>
          <w:sz w:val="20"/>
          <w:szCs w:val="20"/>
          <w:color w:val="auto"/>
        </w:rPr>
      </w:pPr>
    </w:p>
    <w:p>
      <w:pPr>
        <w:jc w:val="center"/>
        <w:ind w:right="3680"/>
        <w:spacing w:after="0"/>
        <w:rPr>
          <w:sz w:val="20"/>
          <w:szCs w:val="20"/>
          <w:color w:val="auto"/>
        </w:rPr>
      </w:pPr>
      <w:r>
        <w:rPr>
          <w:rFonts w:ascii="Arial" w:cs="Arial" w:eastAsia="Arial" w:hAnsi="Arial"/>
          <w:sz w:val="29"/>
          <w:szCs w:val="29"/>
          <w:color w:val="0066BA"/>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-110490</wp:posOffset>
            </wp:positionV>
            <wp:extent cx="2114550" cy="1155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14550" cy="115570"/>
                    </a:xfrm>
                    <a:prstGeom prst="rect">
                      <a:avLst/>
                    </a:prstGeom>
                    <a:noFill/>
                  </pic:spPr>
                </pic:pic>
              </a:graphicData>
            </a:graphic>
          </wp:anchor>
        </w:drawing>
      </w:r>
    </w:p>
    <w:p>
      <w:pPr>
        <w:spacing w:after="0" w:line="125" w:lineRule="exact"/>
        <w:rPr>
          <w:sz w:val="20"/>
          <w:szCs w:val="20"/>
          <w:color w:val="auto"/>
        </w:rPr>
      </w:pPr>
    </w:p>
    <w:p>
      <w:pPr>
        <w:sectPr>
          <w:pgSz w:w="11900" w:h="16838" w:orient="portrait"/>
          <w:cols w:equalWidth="0" w:num="2">
            <w:col w:w="6480" w:space="120"/>
            <w:col w:w="4160"/>
          </w:cols>
          <w:pgMar w:left="320" w:top="447" w:right="819" w:bottom="1440" w:gutter="0" w:footer="0" w:header="0"/>
        </w:sectPr>
      </w:pPr>
    </w:p>
    <w:p>
      <w:pPr>
        <w:ind w:left="480"/>
        <w:spacing w:after="0" w:line="259" w:lineRule="auto"/>
        <w:rPr>
          <w:sz w:val="20"/>
          <w:szCs w:val="20"/>
          <w:color w:val="auto"/>
        </w:rPr>
      </w:pPr>
      <w:r>
        <w:rPr>
          <w:rFonts w:ascii="Arial" w:cs="Arial" w:eastAsia="Arial" w:hAnsi="Arial"/>
          <w:sz w:val="17"/>
          <w:szCs w:val="17"/>
          <w:color w:val="auto"/>
        </w:rPr>
        <w:t>The following paragraphs provide information as of the date of this proxy statement about each nominee. The information presented includes information each director nominee has given us about his or her age, all positions he or she holds, his or her principal occupation and business experience, and the names of other publicly-held companies of which he or she currently serves as a director or has served as a director during the past five years. In addition to the information presented below regarding each nominee’s specific experience, qualifications, attributes and skills that led our Board of Directors to the conclusion that he or she should serve as a director, we also believe that all of our director nominees have a reputation for integrity, honesty and adherence to high ethical standards. They each have demonstrated business acumen and an ability to exercise sound judgment, as well as a commitment of service to ADI and our Board of Directors. Finally, we value their significant experience on other public company boards of directors and board committees.</w:t>
      </w:r>
    </w:p>
    <w:p>
      <w:pPr>
        <w:spacing w:after="0" w:line="82" w:lineRule="exact"/>
        <w:rPr>
          <w:sz w:val="20"/>
          <w:szCs w:val="20"/>
          <w:color w:val="auto"/>
        </w:rPr>
      </w:pPr>
    </w:p>
    <w:p>
      <w:pPr>
        <w:ind w:left="480" w:right="100"/>
        <w:spacing w:after="0" w:line="270" w:lineRule="auto"/>
        <w:rPr>
          <w:sz w:val="20"/>
          <w:szCs w:val="20"/>
          <w:color w:val="auto"/>
        </w:rPr>
      </w:pPr>
      <w:r>
        <w:rPr>
          <w:rFonts w:ascii="Arial" w:cs="Arial" w:eastAsia="Arial" w:hAnsi="Arial"/>
          <w:sz w:val="17"/>
          <w:szCs w:val="17"/>
          <w:color w:val="auto"/>
        </w:rPr>
        <w:t>Information about the number of shares of common stock beneficially owned by each director nominee appears below under the heading “Security Ownership of Directors and Executive Officers.” See also “Certain Relationships and Related Transactions.” There are no family relationships among any of the directors and executive officers of ADI.</w:t>
      </w:r>
    </w:p>
    <w:p>
      <w:pPr>
        <w:spacing w:after="0" w:line="200" w:lineRule="exact"/>
        <w:rPr>
          <w:sz w:val="20"/>
          <w:szCs w:val="20"/>
          <w:color w:val="auto"/>
        </w:rPr>
      </w:pPr>
    </w:p>
    <w:p>
      <w:pPr>
        <w:spacing w:after="0" w:line="23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760"/>
          </w:cols>
          <w:pgMar w:left="320" w:top="447" w:right="819" w:bottom="1440" w:gutter="0" w:footer="0" w:header="0"/>
          <w:type w:val="continuous"/>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201295</wp:posOffset>
            </wp:positionV>
            <wp:extent cx="6534150" cy="14541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534150" cy="14541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480"/>
        <w:spacing w:after="0"/>
        <w:rPr>
          <w:sz w:val="20"/>
          <w:szCs w:val="20"/>
          <w:color w:val="auto"/>
        </w:rPr>
      </w:pPr>
      <w:r>
        <w:rPr>
          <w:rFonts w:ascii="Arial" w:cs="Arial" w:eastAsia="Arial" w:hAnsi="Arial"/>
          <w:sz w:val="38"/>
          <w:szCs w:val="38"/>
          <w:color w:val="0066BA"/>
        </w:rPr>
        <w:t>Ray Stata</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Outgoing Chair of the Board of Directors</w:t>
      </w:r>
    </w:p>
    <w:p>
      <w:pPr>
        <w:spacing w:after="0" w:line="105" w:lineRule="exact"/>
        <w:rPr>
          <w:sz w:val="20"/>
          <w:szCs w:val="20"/>
          <w:color w:val="auto"/>
        </w:rPr>
      </w:pPr>
    </w:p>
    <w:p>
      <w:pPr>
        <w:ind w:left="480"/>
        <w:spacing w:after="0"/>
        <w:tabs>
          <w:tab w:leader="none" w:pos="2220" w:val="left"/>
          <w:tab w:leader="none" w:pos="3120" w:val="left"/>
        </w:tabs>
        <w:rPr>
          <w:sz w:val="20"/>
          <w:szCs w:val="20"/>
          <w:color w:val="auto"/>
        </w:rPr>
      </w:pPr>
      <w:r>
        <w:rPr>
          <w:rFonts w:ascii="Arial" w:cs="Arial" w:eastAsia="Arial" w:hAnsi="Arial"/>
          <w:sz w:val="17"/>
          <w:szCs w:val="17"/>
          <w:color w:val="0066BA"/>
        </w:rPr>
        <w:t xml:space="preserve">Director since: </w:t>
      </w:r>
      <w:r>
        <w:rPr>
          <w:rFonts w:ascii="Arial" w:cs="Arial" w:eastAsia="Arial" w:hAnsi="Arial"/>
          <w:sz w:val="17"/>
          <w:szCs w:val="17"/>
          <w:color w:val="000000"/>
        </w:rPr>
        <w:t>1965</w:t>
      </w:r>
      <w:r>
        <w:rPr>
          <w:sz w:val="20"/>
          <w:szCs w:val="20"/>
          <w:color w:val="auto"/>
        </w:rPr>
        <w:tab/>
      </w:r>
      <w:r>
        <w:rPr>
          <w:rFonts w:ascii="Arial" w:cs="Arial" w:eastAsia="Arial" w:hAnsi="Arial"/>
          <w:sz w:val="17"/>
          <w:szCs w:val="17"/>
          <w:color w:val="0066BA"/>
        </w:rPr>
        <w:t xml:space="preserve">Age: </w:t>
      </w:r>
      <w:r>
        <w:rPr>
          <w:rFonts w:ascii="Arial" w:cs="Arial" w:eastAsia="Arial" w:hAnsi="Arial"/>
          <w:sz w:val="17"/>
          <w:szCs w:val="17"/>
          <w:color w:val="000000"/>
        </w:rPr>
        <w:t>87</w:t>
      </w:r>
      <w:r>
        <w:rPr>
          <w:sz w:val="20"/>
          <w:szCs w:val="20"/>
          <w:color w:val="auto"/>
        </w:rPr>
        <w:tab/>
      </w:r>
      <w:r>
        <w:rPr>
          <w:rFonts w:ascii="Arial" w:cs="Arial" w:eastAsia="Arial" w:hAnsi="Arial"/>
          <w:sz w:val="15"/>
          <w:szCs w:val="15"/>
          <w:color w:val="0066BA"/>
        </w:rPr>
        <w:t xml:space="preserve">Committee(s): </w:t>
      </w:r>
      <w:r>
        <w:rPr>
          <w:rFonts w:ascii="Arial" w:cs="Arial" w:eastAsia="Arial" w:hAnsi="Arial"/>
          <w:sz w:val="15"/>
          <w:szCs w:val="15"/>
          <w:color w:val="000000"/>
        </w:rPr>
        <w:t>None</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7"/>
          <w:szCs w:val="17"/>
          <w:color w:val="0066BA"/>
        </w:rPr>
        <w:t>Professional Experience and Background</w:t>
      </w:r>
    </w:p>
    <w:p>
      <w:pPr>
        <w:spacing w:after="0" w:line="25" w:lineRule="exact"/>
        <w:rPr>
          <w:sz w:val="20"/>
          <w:szCs w:val="20"/>
          <w:color w:val="auto"/>
        </w:rPr>
      </w:pPr>
    </w:p>
    <w:p>
      <w:pPr>
        <w:ind w:left="480" w:right="2560"/>
        <w:spacing w:after="0" w:line="260" w:lineRule="auto"/>
        <w:rPr>
          <w:sz w:val="20"/>
          <w:szCs w:val="20"/>
          <w:color w:val="auto"/>
        </w:rPr>
      </w:pPr>
      <w:r>
        <w:rPr>
          <w:rFonts w:ascii="Arial" w:cs="Arial" w:eastAsia="Arial" w:hAnsi="Arial"/>
          <w:sz w:val="17"/>
          <w:szCs w:val="17"/>
          <w:color w:val="auto"/>
        </w:rPr>
        <w:t>Mr. Stata has served as our Chair of the Board of Directors since 1973 and served as an executive officer of ADI from its inception until April 2012. Mr. Stata will be stepping down as the Chair of our Board of Directors at the Annual Meeting on March 9, 2022. Mr. Stata served as our Chief Executive Officer from 1973 to November 1996 and as our President from 1971 to November 1991.</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7"/>
          <w:szCs w:val="17"/>
          <w:color w:val="0066BA"/>
        </w:rPr>
        <w:t>Key Qualifications and Expertise</w:t>
      </w:r>
    </w:p>
    <w:p>
      <w:pPr>
        <w:spacing w:after="0" w:line="25" w:lineRule="exact"/>
        <w:rPr>
          <w:sz w:val="20"/>
          <w:szCs w:val="20"/>
          <w:color w:val="auto"/>
        </w:rPr>
      </w:pPr>
    </w:p>
    <w:p>
      <w:pPr>
        <w:ind w:left="480" w:right="2860"/>
        <w:spacing w:after="0" w:line="271" w:lineRule="auto"/>
        <w:rPr>
          <w:sz w:val="20"/>
          <w:szCs w:val="20"/>
          <w:color w:val="auto"/>
        </w:rPr>
      </w:pPr>
      <w:r>
        <w:rPr>
          <w:rFonts w:ascii="Arial" w:cs="Arial" w:eastAsia="Arial" w:hAnsi="Arial"/>
          <w:sz w:val="17"/>
          <w:szCs w:val="17"/>
          <w:color w:val="auto"/>
        </w:rPr>
        <w:t>Mr. Stata has more than 50 years of experience and leadership in the semiconductor industry, including as our founder, our Chair for 44 years and formerly as our President for 20 years.</w:t>
      </w:r>
    </w:p>
    <w:p>
      <w:pPr>
        <w:spacing w:after="0" w:line="80" w:lineRule="exact"/>
        <w:rPr>
          <w:sz w:val="20"/>
          <w:szCs w:val="20"/>
          <w:color w:val="auto"/>
        </w:rPr>
      </w:pPr>
    </w:p>
    <w:p>
      <w:pPr>
        <w:ind w:left="480"/>
        <w:spacing w:after="0"/>
        <w:rPr>
          <w:sz w:val="20"/>
          <w:szCs w:val="20"/>
          <w:color w:val="auto"/>
        </w:rPr>
      </w:pPr>
      <w:r>
        <w:rPr>
          <w:rFonts w:ascii="Arial" w:cs="Arial" w:eastAsia="Arial" w:hAnsi="Arial"/>
          <w:sz w:val="17"/>
          <w:szCs w:val="17"/>
          <w:color w:val="0066BA"/>
        </w:rPr>
        <w:t>Other Public Company Boards:</w:t>
      </w:r>
    </w:p>
    <w:p>
      <w:pPr>
        <w:spacing w:after="0" w:line="91" w:lineRule="exact"/>
        <w:rPr>
          <w:sz w:val="20"/>
          <w:szCs w:val="20"/>
          <w:color w:val="auto"/>
        </w:rPr>
      </w:pPr>
    </w:p>
    <w:p>
      <w:pPr>
        <w:ind w:left="480"/>
        <w:spacing w:after="0"/>
        <w:tabs>
          <w:tab w:leader="none" w:pos="2140" w:val="left"/>
        </w:tabs>
        <w:rPr>
          <w:sz w:val="20"/>
          <w:szCs w:val="20"/>
          <w:color w:val="auto"/>
        </w:rPr>
      </w:pPr>
      <w:r>
        <w:rPr>
          <w:rFonts w:ascii="Arial" w:cs="Arial" w:eastAsia="Arial" w:hAnsi="Arial"/>
          <w:sz w:val="17"/>
          <w:szCs w:val="17"/>
          <w:color w:val="0066BA"/>
        </w:rPr>
        <w:t xml:space="preserve">Current: </w:t>
      </w:r>
      <w:r>
        <w:rPr>
          <w:rFonts w:ascii="Arial" w:cs="Arial" w:eastAsia="Arial" w:hAnsi="Arial"/>
          <w:sz w:val="17"/>
          <w:szCs w:val="17"/>
          <w:color w:val="000000"/>
        </w:rPr>
        <w:t>None</w:t>
      </w:r>
      <w:r>
        <w:rPr>
          <w:sz w:val="20"/>
          <w:szCs w:val="20"/>
          <w:color w:val="auto"/>
        </w:rPr>
        <w:tab/>
      </w:r>
      <w:r>
        <w:rPr>
          <w:rFonts w:ascii="Arial" w:cs="Arial" w:eastAsia="Arial" w:hAnsi="Arial"/>
          <w:sz w:val="15"/>
          <w:szCs w:val="15"/>
          <w:color w:val="0066BA"/>
        </w:rPr>
        <w:t xml:space="preserve">Past 5 Years: </w:t>
      </w:r>
      <w:r>
        <w:rPr>
          <w:rFonts w:ascii="Arial" w:cs="Arial" w:eastAsia="Arial" w:hAnsi="Arial"/>
          <w:sz w:val="15"/>
          <w:szCs w:val="15"/>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329565</wp:posOffset>
            </wp:positionV>
            <wp:extent cx="6534150" cy="14541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534150" cy="1454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80"/>
        <w:spacing w:after="0"/>
        <w:rPr>
          <w:sz w:val="20"/>
          <w:szCs w:val="20"/>
          <w:color w:val="auto"/>
        </w:rPr>
      </w:pPr>
      <w:r>
        <w:rPr>
          <w:rFonts w:ascii="Arial" w:cs="Arial" w:eastAsia="Arial" w:hAnsi="Arial"/>
          <w:sz w:val="38"/>
          <w:szCs w:val="38"/>
          <w:color w:val="0066BA"/>
        </w:rPr>
        <w:t>Vincent Roche</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Incoming Chair of the Board of Directors and Chief Executive Officer</w:t>
      </w:r>
    </w:p>
    <w:p>
      <w:pPr>
        <w:spacing w:after="0" w:line="105" w:lineRule="exact"/>
        <w:rPr>
          <w:sz w:val="20"/>
          <w:szCs w:val="20"/>
          <w:color w:val="auto"/>
        </w:rPr>
      </w:pPr>
    </w:p>
    <w:p>
      <w:pPr>
        <w:ind w:left="480"/>
        <w:spacing w:after="0"/>
        <w:tabs>
          <w:tab w:leader="none" w:pos="2220" w:val="left"/>
          <w:tab w:leader="none" w:pos="3120" w:val="left"/>
        </w:tabs>
        <w:rPr>
          <w:sz w:val="20"/>
          <w:szCs w:val="20"/>
          <w:color w:val="auto"/>
        </w:rPr>
      </w:pPr>
      <w:r>
        <w:rPr>
          <w:rFonts w:ascii="Arial" w:cs="Arial" w:eastAsia="Arial" w:hAnsi="Arial"/>
          <w:sz w:val="17"/>
          <w:szCs w:val="17"/>
          <w:color w:val="0066BA"/>
        </w:rPr>
        <w:t xml:space="preserve">Director since: </w:t>
      </w:r>
      <w:r>
        <w:rPr>
          <w:rFonts w:ascii="Arial" w:cs="Arial" w:eastAsia="Arial" w:hAnsi="Arial"/>
          <w:sz w:val="17"/>
          <w:szCs w:val="17"/>
          <w:color w:val="000000"/>
        </w:rPr>
        <w:t>2013</w:t>
      </w:r>
      <w:r>
        <w:rPr>
          <w:sz w:val="20"/>
          <w:szCs w:val="20"/>
          <w:color w:val="auto"/>
        </w:rPr>
        <w:tab/>
      </w:r>
      <w:r>
        <w:rPr>
          <w:rFonts w:ascii="Arial" w:cs="Arial" w:eastAsia="Arial" w:hAnsi="Arial"/>
          <w:sz w:val="17"/>
          <w:szCs w:val="17"/>
          <w:color w:val="0066BA"/>
        </w:rPr>
        <w:t xml:space="preserve">Age: </w:t>
      </w:r>
      <w:r>
        <w:rPr>
          <w:rFonts w:ascii="Arial" w:cs="Arial" w:eastAsia="Arial" w:hAnsi="Arial"/>
          <w:sz w:val="17"/>
          <w:szCs w:val="17"/>
          <w:color w:val="000000"/>
        </w:rPr>
        <w:t>61</w:t>
      </w:r>
      <w:r>
        <w:rPr>
          <w:sz w:val="20"/>
          <w:szCs w:val="20"/>
          <w:color w:val="auto"/>
        </w:rPr>
        <w:tab/>
      </w:r>
      <w:r>
        <w:rPr>
          <w:rFonts w:ascii="Arial" w:cs="Arial" w:eastAsia="Arial" w:hAnsi="Arial"/>
          <w:sz w:val="15"/>
          <w:szCs w:val="15"/>
          <w:color w:val="0066BA"/>
        </w:rPr>
        <w:t xml:space="preserve">Committee(s): </w:t>
      </w:r>
      <w:r>
        <w:rPr>
          <w:rFonts w:ascii="Arial" w:cs="Arial" w:eastAsia="Arial" w:hAnsi="Arial"/>
          <w:sz w:val="15"/>
          <w:szCs w:val="15"/>
          <w:color w:val="000000"/>
        </w:rPr>
        <w:t>None</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7"/>
          <w:szCs w:val="17"/>
          <w:color w:val="0066BA"/>
        </w:rPr>
        <w:t>Professional Experience and Background</w:t>
      </w:r>
    </w:p>
    <w:p>
      <w:pPr>
        <w:spacing w:after="0" w:line="25" w:lineRule="exact"/>
        <w:rPr>
          <w:sz w:val="20"/>
          <w:szCs w:val="20"/>
          <w:color w:val="auto"/>
        </w:rPr>
      </w:pPr>
    </w:p>
    <w:p>
      <w:pPr>
        <w:ind w:left="480" w:right="2480"/>
        <w:spacing w:after="0" w:line="276" w:lineRule="auto"/>
        <w:rPr>
          <w:sz w:val="20"/>
          <w:szCs w:val="20"/>
          <w:color w:val="auto"/>
        </w:rPr>
      </w:pPr>
      <w:r>
        <w:rPr>
          <w:rFonts w:ascii="Arial" w:cs="Arial" w:eastAsia="Arial" w:hAnsi="Arial"/>
          <w:sz w:val="16"/>
          <w:szCs w:val="16"/>
          <w:color w:val="auto"/>
        </w:rPr>
        <w:t>Mr. Roche has served as President of ADI since 2012 and was appointed Chief Executive Officer and elected as a Director in 2013. At the Annual Meeting, Mr. Roche will also become the Chair of our Board. Mr. Roche’s tenure as CEO began in 2013 through the end of fiscal 2021, the Company’s total shareholder returns has increased 371% (vs. S&amp;P total shareholder return of 237% over the same time period), our market capitalization has increased by more than $80 billion and our revenue has more than doubled to $7.3 billion. Mr. Roche began his career at ADI in 1988 and has served in key positions spanning corporate leadership, worldwide sales, strategic marketing, business development, and product management over his more than 30-year tenure at ADI. Mr. Roche was recognized by Forbes in 2019 as one of America’s Most Innovative Leaders.</w:t>
      </w:r>
    </w:p>
    <w:p>
      <w:pPr>
        <w:spacing w:after="0" w:line="77" w:lineRule="exact"/>
        <w:rPr>
          <w:sz w:val="20"/>
          <w:szCs w:val="20"/>
          <w:color w:val="auto"/>
        </w:rPr>
      </w:pPr>
    </w:p>
    <w:p>
      <w:pPr>
        <w:ind w:left="480"/>
        <w:spacing w:after="0"/>
        <w:rPr>
          <w:sz w:val="20"/>
          <w:szCs w:val="20"/>
          <w:color w:val="auto"/>
        </w:rPr>
      </w:pPr>
      <w:r>
        <w:rPr>
          <w:rFonts w:ascii="Arial" w:cs="Arial" w:eastAsia="Arial" w:hAnsi="Arial"/>
          <w:sz w:val="17"/>
          <w:szCs w:val="17"/>
          <w:color w:val="0066BA"/>
        </w:rPr>
        <w:t>Key Qualifications and Expertise</w:t>
      </w:r>
    </w:p>
    <w:p>
      <w:pPr>
        <w:spacing w:after="0" w:line="25" w:lineRule="exact"/>
        <w:rPr>
          <w:sz w:val="20"/>
          <w:szCs w:val="20"/>
          <w:color w:val="auto"/>
        </w:rPr>
      </w:pPr>
    </w:p>
    <w:p>
      <w:pPr>
        <w:ind w:left="480" w:right="3080"/>
        <w:spacing w:after="0" w:line="271" w:lineRule="auto"/>
        <w:rPr>
          <w:sz w:val="20"/>
          <w:szCs w:val="20"/>
          <w:color w:val="auto"/>
        </w:rPr>
      </w:pPr>
      <w:r>
        <w:rPr>
          <w:rFonts w:ascii="Arial" w:cs="Arial" w:eastAsia="Arial" w:hAnsi="Arial"/>
          <w:sz w:val="17"/>
          <w:szCs w:val="17"/>
          <w:color w:val="auto"/>
        </w:rPr>
        <w:t>Mr. Roche’s leadership role in the Company and his deep knowledge of the Company’s products, markets, customers, culture and organization.</w:t>
      </w:r>
    </w:p>
    <w:p>
      <w:pPr>
        <w:spacing w:after="0" w:line="80" w:lineRule="exact"/>
        <w:rPr>
          <w:sz w:val="20"/>
          <w:szCs w:val="20"/>
          <w:color w:val="auto"/>
        </w:rPr>
      </w:pPr>
    </w:p>
    <w:p>
      <w:pPr>
        <w:ind w:left="480"/>
        <w:spacing w:after="0"/>
        <w:rPr>
          <w:sz w:val="20"/>
          <w:szCs w:val="20"/>
          <w:color w:val="auto"/>
        </w:rPr>
      </w:pPr>
      <w:r>
        <w:rPr>
          <w:rFonts w:ascii="Arial" w:cs="Arial" w:eastAsia="Arial" w:hAnsi="Arial"/>
          <w:sz w:val="17"/>
          <w:szCs w:val="17"/>
          <w:color w:val="0066BA"/>
        </w:rPr>
        <w:t>Other Public Company Boards:</w:t>
      </w:r>
    </w:p>
    <w:p>
      <w:pPr>
        <w:spacing w:after="0" w:line="91" w:lineRule="exact"/>
        <w:rPr>
          <w:sz w:val="20"/>
          <w:szCs w:val="20"/>
          <w:color w:val="auto"/>
        </w:rPr>
      </w:pPr>
    </w:p>
    <w:p>
      <w:pPr>
        <w:ind w:left="480"/>
        <w:spacing w:after="0"/>
        <w:tabs>
          <w:tab w:leader="none" w:pos="2140" w:val="left"/>
        </w:tabs>
        <w:rPr>
          <w:sz w:val="20"/>
          <w:szCs w:val="20"/>
          <w:color w:val="auto"/>
        </w:rPr>
      </w:pPr>
      <w:r>
        <w:rPr>
          <w:rFonts w:ascii="Arial" w:cs="Arial" w:eastAsia="Arial" w:hAnsi="Arial"/>
          <w:sz w:val="17"/>
          <w:szCs w:val="17"/>
          <w:color w:val="0066BA"/>
        </w:rPr>
        <w:t xml:space="preserve">Current: </w:t>
      </w:r>
      <w:r>
        <w:rPr>
          <w:rFonts w:ascii="Arial" w:cs="Arial" w:eastAsia="Arial" w:hAnsi="Arial"/>
          <w:sz w:val="17"/>
          <w:szCs w:val="17"/>
          <w:color w:val="000000"/>
        </w:rPr>
        <w:t>None</w:t>
      </w:r>
      <w:r>
        <w:rPr>
          <w:sz w:val="20"/>
          <w:szCs w:val="20"/>
          <w:color w:val="auto"/>
        </w:rPr>
        <w:tab/>
      </w:r>
      <w:r>
        <w:rPr>
          <w:rFonts w:ascii="Arial" w:cs="Arial" w:eastAsia="Arial" w:hAnsi="Arial"/>
          <w:sz w:val="15"/>
          <w:szCs w:val="15"/>
          <w:color w:val="0066BA"/>
        </w:rPr>
        <w:t xml:space="preserve">Past 5 Years: </w:t>
      </w:r>
      <w:r>
        <w:rPr>
          <w:rFonts w:ascii="Arial" w:cs="Arial" w:eastAsia="Arial" w:hAnsi="Arial"/>
          <w:sz w:val="15"/>
          <w:szCs w:val="15"/>
          <w:color w:val="000000"/>
        </w:rPr>
        <w:t>Acacia Communications, Inc. (until March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329565</wp:posOffset>
            </wp:positionV>
            <wp:extent cx="6534150" cy="14541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534150" cy="1454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80"/>
        <w:spacing w:after="0"/>
        <w:rPr>
          <w:sz w:val="20"/>
          <w:szCs w:val="20"/>
          <w:color w:val="auto"/>
        </w:rPr>
      </w:pPr>
      <w:r>
        <w:rPr>
          <w:rFonts w:ascii="Arial" w:cs="Arial" w:eastAsia="Arial" w:hAnsi="Arial"/>
          <w:sz w:val="38"/>
          <w:szCs w:val="38"/>
          <w:color w:val="0066BA"/>
        </w:rPr>
        <w:t>James A. Champy</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Presiding Director</w:t>
      </w:r>
    </w:p>
    <w:p>
      <w:pPr>
        <w:spacing w:after="0" w:line="105" w:lineRule="exact"/>
        <w:rPr>
          <w:sz w:val="20"/>
          <w:szCs w:val="20"/>
          <w:color w:val="auto"/>
        </w:rPr>
      </w:pPr>
    </w:p>
    <w:p>
      <w:pPr>
        <w:ind w:left="480"/>
        <w:spacing w:after="0"/>
        <w:tabs>
          <w:tab w:leader="none" w:pos="3080" w:val="left"/>
        </w:tabs>
        <w:rPr>
          <w:sz w:val="20"/>
          <w:szCs w:val="20"/>
          <w:color w:val="auto"/>
        </w:rPr>
      </w:pPr>
      <w:r>
        <w:rPr>
          <w:rFonts w:ascii="Arial" w:cs="Arial" w:eastAsia="Arial" w:hAnsi="Arial"/>
          <w:sz w:val="17"/>
          <w:szCs w:val="17"/>
          <w:color w:val="0066BA"/>
        </w:rPr>
        <w:t xml:space="preserve">Independent Director since: </w:t>
      </w:r>
      <w:r>
        <w:rPr>
          <w:rFonts w:ascii="Arial" w:cs="Arial" w:eastAsia="Arial" w:hAnsi="Arial"/>
          <w:sz w:val="17"/>
          <w:szCs w:val="17"/>
          <w:color w:val="000000"/>
        </w:rPr>
        <w:t>2003</w:t>
      </w:r>
      <w:r>
        <w:rPr>
          <w:sz w:val="20"/>
          <w:szCs w:val="20"/>
          <w:color w:val="auto"/>
        </w:rPr>
        <w:tab/>
      </w:r>
      <w:r>
        <w:rPr>
          <w:rFonts w:ascii="Arial" w:cs="Arial" w:eastAsia="Arial" w:hAnsi="Arial"/>
          <w:sz w:val="16"/>
          <w:szCs w:val="16"/>
          <w:color w:val="0066BA"/>
        </w:rPr>
        <w:t xml:space="preserve">Age: </w:t>
      </w:r>
      <w:r>
        <w:rPr>
          <w:rFonts w:ascii="Arial" w:cs="Arial" w:eastAsia="Arial" w:hAnsi="Arial"/>
          <w:sz w:val="16"/>
          <w:szCs w:val="16"/>
          <w:color w:val="000000"/>
        </w:rPr>
        <w:t>79</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7"/>
          <w:szCs w:val="17"/>
          <w:color w:val="0066BA"/>
        </w:rPr>
        <w:t xml:space="preserve">Committee(s): </w:t>
      </w:r>
      <w:r>
        <w:rPr>
          <w:rFonts w:ascii="Arial" w:cs="Arial" w:eastAsia="Arial" w:hAnsi="Arial"/>
          <w:sz w:val="17"/>
          <w:szCs w:val="17"/>
          <w:color w:val="000000"/>
        </w:rPr>
        <w:t>Nominating and Corporate Governance</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7"/>
          <w:szCs w:val="17"/>
          <w:color w:val="0066BA"/>
        </w:rPr>
        <w:t>Professional Experience and Background</w:t>
      </w:r>
    </w:p>
    <w:p>
      <w:pPr>
        <w:spacing w:after="0" w:line="25" w:lineRule="exact"/>
        <w:rPr>
          <w:sz w:val="20"/>
          <w:szCs w:val="20"/>
          <w:color w:val="auto"/>
        </w:rPr>
      </w:pPr>
    </w:p>
    <w:p>
      <w:pPr>
        <w:ind w:left="480" w:right="2400"/>
        <w:spacing w:after="0" w:line="259" w:lineRule="auto"/>
        <w:rPr>
          <w:sz w:val="20"/>
          <w:szCs w:val="20"/>
          <w:color w:val="auto"/>
        </w:rPr>
      </w:pPr>
      <w:r>
        <w:rPr>
          <w:rFonts w:ascii="Arial" w:cs="Arial" w:eastAsia="Arial" w:hAnsi="Arial"/>
          <w:sz w:val="17"/>
          <w:szCs w:val="17"/>
          <w:color w:val="auto"/>
        </w:rPr>
        <w:t>Mr. Champy retired in 2010 as Vice President of the Dell/Perot Systems business unit of Dell, Inc., a computer and technology services company. He was previously a Vice President and the Chairman of Consulting at Perot Systems Corporation from 1996 to November 2009. He served as a director of Perot Systems Corporation from 1996 to 2004. Mr. Champy is the author of several business books and is a Life Member of the MIT Corporation, the governing body of the Massachusetts Institute of Technology.</w:t>
      </w:r>
    </w:p>
    <w:p>
      <w:pPr>
        <w:spacing w:after="0" w:line="91" w:lineRule="exact"/>
        <w:rPr>
          <w:sz w:val="20"/>
          <w:szCs w:val="20"/>
          <w:color w:val="auto"/>
        </w:rPr>
      </w:pPr>
    </w:p>
    <w:p>
      <w:pPr>
        <w:ind w:left="480"/>
        <w:spacing w:after="0"/>
        <w:rPr>
          <w:sz w:val="20"/>
          <w:szCs w:val="20"/>
          <w:color w:val="auto"/>
        </w:rPr>
      </w:pPr>
      <w:r>
        <w:rPr>
          <w:rFonts w:ascii="Arial" w:cs="Arial" w:eastAsia="Arial" w:hAnsi="Arial"/>
          <w:sz w:val="17"/>
          <w:szCs w:val="17"/>
          <w:color w:val="0066BA"/>
        </w:rPr>
        <w:t>Key Qualifications and Expertise</w:t>
      </w:r>
    </w:p>
    <w:p>
      <w:pPr>
        <w:spacing w:after="0" w:line="2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Mr. Champy’s expertise in corporate strategy development and his organizational acumen.</w:t>
      </w:r>
    </w:p>
    <w:p>
      <w:pPr>
        <w:spacing w:after="0" w:line="78" w:lineRule="exact"/>
        <w:rPr>
          <w:sz w:val="20"/>
          <w:szCs w:val="20"/>
          <w:color w:val="auto"/>
        </w:rPr>
      </w:pPr>
    </w:p>
    <w:p>
      <w:pPr>
        <w:ind w:left="480"/>
        <w:spacing w:after="0"/>
        <w:rPr>
          <w:sz w:val="20"/>
          <w:szCs w:val="20"/>
          <w:color w:val="auto"/>
        </w:rPr>
      </w:pPr>
      <w:r>
        <w:rPr>
          <w:rFonts w:ascii="Arial" w:cs="Arial" w:eastAsia="Arial" w:hAnsi="Arial"/>
          <w:sz w:val="17"/>
          <w:szCs w:val="17"/>
          <w:color w:val="0066BA"/>
        </w:rPr>
        <w:t>Other Public Company Boards:</w:t>
      </w:r>
    </w:p>
    <w:p>
      <w:pPr>
        <w:spacing w:after="0" w:line="91" w:lineRule="exact"/>
        <w:rPr>
          <w:sz w:val="20"/>
          <w:szCs w:val="20"/>
          <w:color w:val="auto"/>
        </w:rPr>
      </w:pPr>
    </w:p>
    <w:p>
      <w:pPr>
        <w:ind w:left="480"/>
        <w:spacing w:after="0"/>
        <w:tabs>
          <w:tab w:leader="none" w:pos="2140" w:val="left"/>
        </w:tabs>
        <w:rPr>
          <w:sz w:val="20"/>
          <w:szCs w:val="20"/>
          <w:color w:val="auto"/>
        </w:rPr>
      </w:pPr>
      <w:r>
        <w:rPr>
          <w:rFonts w:ascii="Arial" w:cs="Arial" w:eastAsia="Arial" w:hAnsi="Arial"/>
          <w:sz w:val="17"/>
          <w:szCs w:val="17"/>
          <w:color w:val="0066BA"/>
        </w:rPr>
        <w:t xml:space="preserve">Current: </w:t>
      </w:r>
      <w:r>
        <w:rPr>
          <w:rFonts w:ascii="Arial" w:cs="Arial" w:eastAsia="Arial" w:hAnsi="Arial"/>
          <w:sz w:val="17"/>
          <w:szCs w:val="17"/>
          <w:color w:val="000000"/>
        </w:rPr>
        <w:t>None</w:t>
      </w:r>
      <w:r>
        <w:rPr>
          <w:sz w:val="20"/>
          <w:szCs w:val="20"/>
          <w:color w:val="auto"/>
        </w:rPr>
        <w:tab/>
      </w:r>
      <w:r>
        <w:rPr>
          <w:rFonts w:ascii="Arial" w:cs="Arial" w:eastAsia="Arial" w:hAnsi="Arial"/>
          <w:sz w:val="15"/>
          <w:szCs w:val="15"/>
          <w:color w:val="0066BA"/>
        </w:rPr>
        <w:t xml:space="preserve">Past 5 Years: </w:t>
      </w:r>
      <w:r>
        <w:rPr>
          <w:rFonts w:ascii="Arial" w:cs="Arial" w:eastAsia="Arial" w:hAnsi="Arial"/>
          <w:sz w:val="15"/>
          <w:szCs w:val="15"/>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180975</wp:posOffset>
            </wp:positionV>
            <wp:extent cx="654240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542405" cy="8255"/>
                    </a:xfrm>
                    <a:prstGeom prst="rect">
                      <a:avLst/>
                    </a:prstGeom>
                    <a:noFill/>
                  </pic:spPr>
                </pic:pic>
              </a:graphicData>
            </a:graphic>
          </wp:anchor>
        </w:drawing>
      </w:r>
    </w:p>
    <w:p>
      <w:pPr>
        <w:sectPr>
          <w:pgSz w:w="11900" w:h="16838" w:orient="portrait"/>
          <w:cols w:equalWidth="0" w:num="1">
            <w:col w:w="10940"/>
          </w:cols>
          <w:pgMar w:left="320" w:top="447" w:right="639" w:bottom="8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076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940"/>
          </w:cols>
          <w:pgMar w:left="320" w:top="447" w:right="639" w:bottom="871" w:gutter="0" w:footer="0" w:header="0"/>
          <w:type w:val="continuous"/>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201295</wp:posOffset>
            </wp:positionV>
            <wp:extent cx="6534150" cy="14541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534150" cy="14541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480"/>
        <w:spacing w:after="0"/>
        <w:rPr>
          <w:sz w:val="20"/>
          <w:szCs w:val="20"/>
          <w:color w:val="auto"/>
        </w:rPr>
      </w:pPr>
      <w:r>
        <w:rPr>
          <w:rFonts w:ascii="Arial" w:cs="Arial" w:eastAsia="Arial" w:hAnsi="Arial"/>
          <w:sz w:val="38"/>
          <w:szCs w:val="38"/>
          <w:color w:val="0066BA"/>
        </w:rPr>
        <w:t>Anantha P. Chandrakasan</w:t>
      </w:r>
    </w:p>
    <w:p>
      <w:pPr>
        <w:spacing w:after="0" w:line="104" w:lineRule="exact"/>
        <w:rPr>
          <w:sz w:val="20"/>
          <w:szCs w:val="20"/>
          <w:color w:val="auto"/>
        </w:rPr>
      </w:pPr>
    </w:p>
    <w:p>
      <w:pPr>
        <w:ind w:left="480"/>
        <w:spacing w:after="0"/>
        <w:tabs>
          <w:tab w:leader="none" w:pos="3160" w:val="left"/>
        </w:tabs>
        <w:rPr>
          <w:sz w:val="20"/>
          <w:szCs w:val="20"/>
          <w:color w:val="auto"/>
        </w:rPr>
      </w:pPr>
      <w:r>
        <w:rPr>
          <w:rFonts w:ascii="Arial" w:cs="Arial" w:eastAsia="Arial" w:hAnsi="Arial"/>
          <w:sz w:val="17"/>
          <w:szCs w:val="17"/>
          <w:color w:val="0066BA"/>
        </w:rPr>
        <w:t xml:space="preserve">Independent Director since: </w:t>
      </w:r>
      <w:r>
        <w:rPr>
          <w:rFonts w:ascii="Arial" w:cs="Arial" w:eastAsia="Arial" w:hAnsi="Arial"/>
          <w:sz w:val="17"/>
          <w:szCs w:val="17"/>
          <w:color w:val="000000"/>
        </w:rPr>
        <w:t>2019</w:t>
      </w:r>
      <w:r>
        <w:rPr>
          <w:sz w:val="20"/>
          <w:szCs w:val="20"/>
          <w:color w:val="auto"/>
        </w:rPr>
        <w:tab/>
      </w:r>
      <w:r>
        <w:rPr>
          <w:rFonts w:ascii="Arial" w:cs="Arial" w:eastAsia="Arial" w:hAnsi="Arial"/>
          <w:sz w:val="16"/>
          <w:szCs w:val="16"/>
          <w:color w:val="0066BA"/>
        </w:rPr>
        <w:t xml:space="preserve">Age: </w:t>
      </w:r>
      <w:r>
        <w:rPr>
          <w:rFonts w:ascii="Arial" w:cs="Arial" w:eastAsia="Arial" w:hAnsi="Arial"/>
          <w:sz w:val="16"/>
          <w:szCs w:val="16"/>
          <w:color w:val="000000"/>
        </w:rPr>
        <w:t>53</w:t>
      </w:r>
    </w:p>
    <w:p>
      <w:pPr>
        <w:spacing w:after="0" w:line="25" w:lineRule="exact"/>
        <w:rPr>
          <w:sz w:val="20"/>
          <w:szCs w:val="20"/>
          <w:color w:val="auto"/>
        </w:rPr>
      </w:pPr>
    </w:p>
    <w:p>
      <w:pPr>
        <w:ind w:left="480"/>
        <w:spacing w:after="0"/>
        <w:rPr>
          <w:sz w:val="20"/>
          <w:szCs w:val="20"/>
          <w:color w:val="auto"/>
        </w:rPr>
      </w:pPr>
      <w:r>
        <w:rPr>
          <w:rFonts w:ascii="Arial" w:cs="Arial" w:eastAsia="Arial" w:hAnsi="Arial"/>
          <w:sz w:val="17"/>
          <w:szCs w:val="17"/>
          <w:color w:val="0066BA"/>
        </w:rPr>
        <w:t xml:space="preserve">Committee(s): </w:t>
      </w:r>
      <w:r>
        <w:rPr>
          <w:rFonts w:ascii="Arial" w:cs="Arial" w:eastAsia="Arial" w:hAnsi="Arial"/>
          <w:sz w:val="17"/>
          <w:szCs w:val="17"/>
          <w:color w:val="000000"/>
        </w:rPr>
        <w:t>Nominating and Corporate Governance</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7"/>
          <w:szCs w:val="17"/>
          <w:color w:val="0066BA"/>
        </w:rPr>
        <w:t>Professional Experience and Background</w:t>
      </w:r>
    </w:p>
    <w:p>
      <w:pPr>
        <w:spacing w:after="0" w:line="25" w:lineRule="exact"/>
        <w:rPr>
          <w:sz w:val="20"/>
          <w:szCs w:val="20"/>
          <w:color w:val="auto"/>
        </w:rPr>
      </w:pPr>
    </w:p>
    <w:p>
      <w:pPr>
        <w:ind w:left="480" w:right="1639"/>
        <w:spacing w:after="0" w:line="271" w:lineRule="auto"/>
        <w:rPr>
          <w:sz w:val="20"/>
          <w:szCs w:val="20"/>
          <w:color w:val="auto"/>
        </w:rPr>
      </w:pPr>
      <w:r>
        <w:rPr>
          <w:rFonts w:ascii="Arial" w:cs="Arial" w:eastAsia="Arial" w:hAnsi="Arial"/>
          <w:sz w:val="16"/>
          <w:szCs w:val="16"/>
          <w:color w:val="auto"/>
        </w:rPr>
        <w:t>Dr. Chandrakasan has served as the Dean of the School of Engineering at the Massachusetts Institute of Technology, or MIT, a private research university, since July 2017, and is the Vannevar Bush Professor of Electrical Engineering and Computer Science. In addition, Dr. Chandrakasan co-chairs the MIT–IBM Watson AI Lab, the MIT-Takeda Program, and the MIT and Accenture Convergence Initiative for Industry and Technology.</w:t>
      </w:r>
    </w:p>
    <w:p>
      <w:pPr>
        <w:spacing w:after="0" w:line="2" w:lineRule="exact"/>
        <w:rPr>
          <w:sz w:val="20"/>
          <w:szCs w:val="20"/>
          <w:color w:val="auto"/>
        </w:rPr>
      </w:pPr>
    </w:p>
    <w:p>
      <w:pPr>
        <w:ind w:left="480" w:right="1599"/>
        <w:spacing w:after="0" w:line="258" w:lineRule="auto"/>
        <w:rPr>
          <w:sz w:val="20"/>
          <w:szCs w:val="20"/>
          <w:color w:val="auto"/>
        </w:rPr>
      </w:pPr>
      <w:r>
        <w:rPr>
          <w:rFonts w:ascii="Arial" w:cs="Arial" w:eastAsia="Arial" w:hAnsi="Arial"/>
          <w:sz w:val="17"/>
          <w:szCs w:val="17"/>
          <w:color w:val="auto"/>
        </w:rPr>
        <w:t>Dr. Chandrakasan currently serves on the Board of Directors of the Singapore-MIT Alliance for Research and Technology, or SMART. Dr. Chandrakasan joined the MIT faculty in 1994. He was the director of the Microsystems Technology Laboratories (MTL) from 2006 until he became the head of the Department of Electrical Engineering and Computer Science in 2011, a position that concluded with his appointment as Dean in July 2017. He is an Institute of Electrical and Electronics Engineers (IEEE) fellow, and was elected to the National Academy of Engineering in 2015 and to the American Academy of Arts &amp; Sciences in 2019.</w:t>
      </w:r>
    </w:p>
    <w:p>
      <w:pPr>
        <w:spacing w:after="0" w:line="93" w:lineRule="exact"/>
        <w:rPr>
          <w:sz w:val="20"/>
          <w:szCs w:val="20"/>
          <w:color w:val="auto"/>
        </w:rPr>
      </w:pPr>
    </w:p>
    <w:p>
      <w:pPr>
        <w:ind w:left="480"/>
        <w:spacing w:after="0"/>
        <w:rPr>
          <w:sz w:val="20"/>
          <w:szCs w:val="20"/>
          <w:color w:val="auto"/>
        </w:rPr>
      </w:pPr>
      <w:r>
        <w:rPr>
          <w:rFonts w:ascii="Arial" w:cs="Arial" w:eastAsia="Arial" w:hAnsi="Arial"/>
          <w:sz w:val="17"/>
          <w:szCs w:val="17"/>
          <w:color w:val="0066BA"/>
        </w:rPr>
        <w:t>Key Qualifications and Expertise</w:t>
      </w:r>
    </w:p>
    <w:p>
      <w:pPr>
        <w:spacing w:after="0" w:line="2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Dr. Chandrakasan’s deep understanding of complex technologies and experience driving innovation.</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7"/>
          <w:szCs w:val="17"/>
          <w:color w:val="0066BA"/>
        </w:rPr>
        <w:t>Other Public Company Boards:</w:t>
      </w:r>
    </w:p>
    <w:p>
      <w:pPr>
        <w:spacing w:after="0" w:line="91" w:lineRule="exact"/>
        <w:rPr>
          <w:sz w:val="20"/>
          <w:szCs w:val="20"/>
          <w:color w:val="auto"/>
        </w:rPr>
      </w:pPr>
    </w:p>
    <w:p>
      <w:pPr>
        <w:ind w:left="480"/>
        <w:spacing w:after="0"/>
        <w:tabs>
          <w:tab w:leader="none" w:pos="2140" w:val="left"/>
        </w:tabs>
        <w:rPr>
          <w:sz w:val="20"/>
          <w:szCs w:val="20"/>
          <w:color w:val="auto"/>
        </w:rPr>
      </w:pPr>
      <w:r>
        <w:rPr>
          <w:rFonts w:ascii="Arial" w:cs="Arial" w:eastAsia="Arial" w:hAnsi="Arial"/>
          <w:sz w:val="17"/>
          <w:szCs w:val="17"/>
          <w:color w:val="0066BA"/>
        </w:rPr>
        <w:t xml:space="preserve">Current: </w:t>
      </w:r>
      <w:r>
        <w:rPr>
          <w:rFonts w:ascii="Arial" w:cs="Arial" w:eastAsia="Arial" w:hAnsi="Arial"/>
          <w:sz w:val="17"/>
          <w:szCs w:val="17"/>
          <w:color w:val="000000"/>
        </w:rPr>
        <w:t>None</w:t>
      </w:r>
      <w:r>
        <w:rPr>
          <w:sz w:val="20"/>
          <w:szCs w:val="20"/>
          <w:color w:val="auto"/>
        </w:rPr>
        <w:tab/>
      </w:r>
      <w:r>
        <w:rPr>
          <w:rFonts w:ascii="Arial" w:cs="Arial" w:eastAsia="Arial" w:hAnsi="Arial"/>
          <w:sz w:val="15"/>
          <w:szCs w:val="15"/>
          <w:color w:val="0066BA"/>
        </w:rPr>
        <w:t xml:space="preserve">Past 5 Years: </w:t>
      </w:r>
      <w:r>
        <w:rPr>
          <w:rFonts w:ascii="Arial" w:cs="Arial" w:eastAsia="Arial" w:hAnsi="Arial"/>
          <w:sz w:val="15"/>
          <w:szCs w:val="15"/>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172720</wp:posOffset>
            </wp:positionV>
            <wp:extent cx="6534150" cy="14541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534150" cy="145415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480"/>
        <w:spacing w:after="0"/>
        <w:rPr>
          <w:sz w:val="20"/>
          <w:szCs w:val="20"/>
          <w:color w:val="auto"/>
        </w:rPr>
      </w:pPr>
      <w:r>
        <w:rPr>
          <w:rFonts w:ascii="Arial" w:cs="Arial" w:eastAsia="Arial" w:hAnsi="Arial"/>
          <w:sz w:val="38"/>
          <w:szCs w:val="38"/>
          <w:color w:val="0066BA"/>
        </w:rPr>
        <w:t>Tunç Doluca</w:t>
      </w:r>
    </w:p>
    <w:p>
      <w:pPr>
        <w:sectPr>
          <w:pgSz w:w="11900" w:h="16838" w:orient="portrait"/>
          <w:cols w:equalWidth="0" w:num="1">
            <w:col w:w="10139"/>
          </w:cols>
          <w:pgMar w:left="320" w:top="447" w:right="1440" w:bottom="1440" w:gutter="0" w:footer="0" w:header="0"/>
        </w:sectPr>
      </w:pPr>
    </w:p>
    <w:p>
      <w:pPr>
        <w:spacing w:after="0" w:line="104" w:lineRule="exact"/>
        <w:rPr>
          <w:sz w:val="20"/>
          <w:szCs w:val="20"/>
          <w:color w:val="auto"/>
        </w:rPr>
      </w:pPr>
    </w:p>
    <w:p>
      <w:pPr>
        <w:ind w:left="480"/>
        <w:spacing w:after="0"/>
        <w:rPr>
          <w:sz w:val="20"/>
          <w:szCs w:val="20"/>
          <w:color w:val="auto"/>
        </w:rPr>
      </w:pPr>
      <w:r>
        <w:rPr>
          <w:rFonts w:ascii="Arial" w:cs="Arial" w:eastAsia="Arial" w:hAnsi="Arial"/>
          <w:sz w:val="15"/>
          <w:szCs w:val="15"/>
          <w:color w:val="0066BA"/>
        </w:rPr>
        <w:t xml:space="preserve">Director since: </w:t>
      </w:r>
      <w:r>
        <w:rPr>
          <w:rFonts w:ascii="Arial" w:cs="Arial" w:eastAsia="Arial" w:hAnsi="Arial"/>
          <w:sz w:val="15"/>
          <w:szCs w:val="15"/>
          <w:color w:val="000000"/>
        </w:rPr>
        <w:t>2021</w:t>
      </w:r>
    </w:p>
    <w:p>
      <w:pPr>
        <w:spacing w:after="0" w:line="48" w:lineRule="exact"/>
        <w:rPr>
          <w:sz w:val="20"/>
          <w:szCs w:val="20"/>
          <w:color w:val="auto"/>
        </w:rPr>
      </w:pPr>
    </w:p>
    <w:p>
      <w:pPr>
        <w:ind w:left="480"/>
        <w:spacing w:after="0"/>
        <w:rPr>
          <w:sz w:val="20"/>
          <w:szCs w:val="20"/>
          <w:color w:val="auto"/>
        </w:rPr>
      </w:pPr>
      <w:r>
        <w:rPr>
          <w:rFonts w:ascii="Arial" w:cs="Arial" w:eastAsia="Arial" w:hAnsi="Arial"/>
          <w:sz w:val="15"/>
          <w:szCs w:val="15"/>
          <w:color w:val="0066BA"/>
        </w:rPr>
        <w:t xml:space="preserve">Committee(s): </w:t>
      </w:r>
      <w:r>
        <w:rPr>
          <w:rFonts w:ascii="Arial" w:cs="Arial" w:eastAsia="Arial" w:hAnsi="Arial"/>
          <w:sz w:val="15"/>
          <w:szCs w:val="15"/>
          <w:color w:val="000000"/>
        </w:rPr>
        <w:t>None</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0066BA"/>
        </w:rPr>
        <w:t xml:space="preserve">Age: </w:t>
      </w:r>
      <w:r>
        <w:rPr>
          <w:rFonts w:ascii="Arial" w:cs="Arial" w:eastAsia="Arial" w:hAnsi="Arial"/>
          <w:sz w:val="16"/>
          <w:szCs w:val="16"/>
          <w:color w:val="000000"/>
        </w:rPr>
        <w:t>64</w:t>
      </w:r>
    </w:p>
    <w:p>
      <w:pPr>
        <w:spacing w:after="0" w:line="349" w:lineRule="exact"/>
        <w:rPr>
          <w:sz w:val="20"/>
          <w:szCs w:val="20"/>
          <w:color w:val="auto"/>
        </w:rPr>
      </w:pPr>
    </w:p>
    <w:p>
      <w:pPr>
        <w:sectPr>
          <w:pgSz w:w="11900" w:h="16838" w:orient="portrait"/>
          <w:cols w:equalWidth="0" w:num="2">
            <w:col w:w="1900" w:space="340"/>
            <w:col w:w="7899"/>
          </w:cols>
          <w:pgMar w:left="320" w:top="447" w:right="1440" w:bottom="1440" w:gutter="0" w:footer="0" w:header="0"/>
          <w:type w:val="continuous"/>
        </w:sectPr>
      </w:pPr>
    </w:p>
    <w:p>
      <w:pPr>
        <w:ind w:left="480"/>
        <w:spacing w:after="0"/>
        <w:rPr>
          <w:sz w:val="20"/>
          <w:szCs w:val="20"/>
          <w:color w:val="auto"/>
        </w:rPr>
      </w:pPr>
      <w:r>
        <w:rPr>
          <w:rFonts w:ascii="Arial" w:cs="Arial" w:eastAsia="Arial" w:hAnsi="Arial"/>
          <w:sz w:val="17"/>
          <w:szCs w:val="17"/>
          <w:color w:val="0066BA"/>
        </w:rPr>
        <w:t>Professional Experience and Background</w:t>
      </w:r>
    </w:p>
    <w:p>
      <w:pPr>
        <w:spacing w:after="0" w:line="25" w:lineRule="exact"/>
        <w:rPr>
          <w:sz w:val="20"/>
          <w:szCs w:val="20"/>
          <w:color w:val="auto"/>
        </w:rPr>
      </w:pPr>
    </w:p>
    <w:p>
      <w:pPr>
        <w:ind w:left="480" w:right="1619"/>
        <w:spacing w:after="0" w:line="258" w:lineRule="auto"/>
        <w:rPr>
          <w:sz w:val="20"/>
          <w:szCs w:val="20"/>
          <w:color w:val="auto"/>
        </w:rPr>
      </w:pPr>
      <w:r>
        <w:rPr>
          <w:rFonts w:ascii="Arial" w:cs="Arial" w:eastAsia="Arial" w:hAnsi="Arial"/>
          <w:sz w:val="17"/>
          <w:szCs w:val="17"/>
          <w:color w:val="auto"/>
        </w:rPr>
        <w:t>Mr. Doluca has over 30 years of executive leadership and technical experience in the semiconductor industry. He served as a director of Maxim Integrated, as well as its President and Chief Executive Officer, from January 2007 to August 2021, when Analog Devices completed its acquisition of Maxim Integrated. Mr. Doluca joined Maxim Integrated in 1984 as a Member of Technical Staff. While at Maxim Integrated, Mr. Doluca personally designed over 40 products and holds 11 patents. In 1994, he became the leader of Maxim Integrated’s first vertical business unit for portable power-management products. Mr. Doluca currently serves on the Board of Trustees of University of California, Santa Barbara Foundation.</w:t>
      </w:r>
    </w:p>
    <w:p>
      <w:pPr>
        <w:spacing w:after="0" w:line="91" w:lineRule="exact"/>
        <w:rPr>
          <w:sz w:val="20"/>
          <w:szCs w:val="20"/>
          <w:color w:val="auto"/>
        </w:rPr>
      </w:pPr>
    </w:p>
    <w:p>
      <w:pPr>
        <w:ind w:left="480"/>
        <w:spacing w:after="0"/>
        <w:rPr>
          <w:sz w:val="20"/>
          <w:szCs w:val="20"/>
          <w:color w:val="auto"/>
        </w:rPr>
      </w:pPr>
      <w:r>
        <w:rPr>
          <w:rFonts w:ascii="Arial" w:cs="Arial" w:eastAsia="Arial" w:hAnsi="Arial"/>
          <w:sz w:val="17"/>
          <w:szCs w:val="17"/>
          <w:color w:val="0066BA"/>
        </w:rPr>
        <w:t>Key Qualifications and Expertise</w:t>
      </w:r>
    </w:p>
    <w:p>
      <w:pPr>
        <w:spacing w:after="0" w:line="25" w:lineRule="exact"/>
        <w:rPr>
          <w:sz w:val="20"/>
          <w:szCs w:val="20"/>
          <w:color w:val="auto"/>
        </w:rPr>
      </w:pPr>
    </w:p>
    <w:p>
      <w:pPr>
        <w:ind w:left="480" w:right="1679"/>
        <w:spacing w:after="0" w:line="271" w:lineRule="auto"/>
        <w:rPr>
          <w:sz w:val="20"/>
          <w:szCs w:val="20"/>
          <w:color w:val="auto"/>
        </w:rPr>
      </w:pPr>
      <w:r>
        <w:rPr>
          <w:rFonts w:ascii="Arial" w:cs="Arial" w:eastAsia="Arial" w:hAnsi="Arial"/>
          <w:sz w:val="17"/>
          <w:szCs w:val="17"/>
          <w:color w:val="auto"/>
        </w:rPr>
        <w:t>Mr. Doluca’s over 30 years of executive leadership and technical experience in the semiconductor industry, and his valuable perspectives directly relevant to our business.</w:t>
      </w:r>
    </w:p>
    <w:p>
      <w:pPr>
        <w:spacing w:after="0" w:line="80" w:lineRule="exact"/>
        <w:rPr>
          <w:sz w:val="20"/>
          <w:szCs w:val="20"/>
          <w:color w:val="auto"/>
        </w:rPr>
      </w:pPr>
    </w:p>
    <w:p>
      <w:pPr>
        <w:ind w:left="480"/>
        <w:spacing w:after="0"/>
        <w:rPr>
          <w:sz w:val="20"/>
          <w:szCs w:val="20"/>
          <w:color w:val="auto"/>
        </w:rPr>
      </w:pPr>
      <w:r>
        <w:rPr>
          <w:rFonts w:ascii="Arial" w:cs="Arial" w:eastAsia="Arial" w:hAnsi="Arial"/>
          <w:sz w:val="17"/>
          <w:szCs w:val="17"/>
          <w:color w:val="0066BA"/>
        </w:rPr>
        <w:t>Other Public Company Boards:</w:t>
      </w:r>
    </w:p>
    <w:p>
      <w:pPr>
        <w:spacing w:after="0" w:line="91" w:lineRule="exact"/>
        <w:rPr>
          <w:sz w:val="20"/>
          <w:szCs w:val="20"/>
          <w:color w:val="auto"/>
        </w:rPr>
      </w:pPr>
    </w:p>
    <w:p>
      <w:pPr>
        <w:ind w:left="480"/>
        <w:spacing w:after="0"/>
        <w:tabs>
          <w:tab w:leader="none" w:pos="3220" w:val="left"/>
        </w:tabs>
        <w:rPr>
          <w:sz w:val="20"/>
          <w:szCs w:val="20"/>
          <w:color w:val="auto"/>
        </w:rPr>
      </w:pPr>
      <w:r>
        <w:rPr>
          <w:rFonts w:ascii="Arial" w:cs="Arial" w:eastAsia="Arial" w:hAnsi="Arial"/>
          <w:sz w:val="17"/>
          <w:szCs w:val="17"/>
          <w:color w:val="0066BA"/>
        </w:rPr>
        <w:t xml:space="preserve">Current: </w:t>
      </w:r>
      <w:r>
        <w:rPr>
          <w:rFonts w:ascii="Arial" w:cs="Arial" w:eastAsia="Arial" w:hAnsi="Arial"/>
          <w:sz w:val="17"/>
          <w:szCs w:val="17"/>
          <w:color w:val="000000"/>
        </w:rPr>
        <w:t>Western Digital Corporation</w:t>
      </w:r>
      <w:r>
        <w:rPr>
          <w:sz w:val="20"/>
          <w:szCs w:val="20"/>
          <w:color w:val="auto"/>
        </w:rPr>
        <w:tab/>
      </w:r>
      <w:r>
        <w:rPr>
          <w:rFonts w:ascii="Arial" w:cs="Arial" w:eastAsia="Arial" w:hAnsi="Arial"/>
          <w:sz w:val="15"/>
          <w:szCs w:val="15"/>
          <w:color w:val="0066BA"/>
        </w:rPr>
        <w:t xml:space="preserve">Past 5 Years: </w:t>
      </w:r>
      <w:r>
        <w:rPr>
          <w:rFonts w:ascii="Arial" w:cs="Arial" w:eastAsia="Arial" w:hAnsi="Arial"/>
          <w:sz w:val="15"/>
          <w:szCs w:val="15"/>
          <w:color w:val="000000"/>
        </w:rPr>
        <w:t>Maxim Integrated Products, Inc. (until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180975</wp:posOffset>
            </wp:positionV>
            <wp:extent cx="654240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542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139"/>
          </w:cols>
          <w:pgMar w:left="320" w:top="447" w:right="1440" w:bottom="1440" w:gutter="0" w:footer="0" w:header="0"/>
          <w:type w:val="continuous"/>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201295</wp:posOffset>
            </wp:positionV>
            <wp:extent cx="6534150" cy="14541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534150" cy="14541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480"/>
        <w:spacing w:after="0"/>
        <w:rPr>
          <w:sz w:val="20"/>
          <w:szCs w:val="20"/>
          <w:color w:val="auto"/>
        </w:rPr>
      </w:pPr>
      <w:r>
        <w:rPr>
          <w:rFonts w:ascii="Arial" w:cs="Arial" w:eastAsia="Arial" w:hAnsi="Arial"/>
          <w:sz w:val="38"/>
          <w:szCs w:val="38"/>
          <w:color w:val="0066BA"/>
        </w:rPr>
        <w:t>Bruce R. Evans</w:t>
      </w:r>
    </w:p>
    <w:p>
      <w:pPr>
        <w:spacing w:after="0" w:line="104" w:lineRule="exact"/>
        <w:rPr>
          <w:sz w:val="20"/>
          <w:szCs w:val="20"/>
          <w:color w:val="auto"/>
        </w:rPr>
      </w:pPr>
    </w:p>
    <w:p>
      <w:pPr>
        <w:ind w:left="480" w:right="5540"/>
        <w:spacing w:after="0" w:line="335" w:lineRule="auto"/>
        <w:rPr>
          <w:sz w:val="20"/>
          <w:szCs w:val="20"/>
          <w:color w:val="auto"/>
        </w:rPr>
      </w:pPr>
      <w:r>
        <w:rPr>
          <w:rFonts w:ascii="Arial" w:cs="Arial" w:eastAsia="Arial" w:hAnsi="Arial"/>
          <w:sz w:val="17"/>
          <w:szCs w:val="17"/>
          <w:color w:val="0066BA"/>
        </w:rPr>
        <w:t xml:space="preserve">Independent Director since: </w:t>
      </w:r>
      <w:r>
        <w:rPr>
          <w:rFonts w:ascii="Arial" w:cs="Arial" w:eastAsia="Arial" w:hAnsi="Arial"/>
          <w:sz w:val="17"/>
          <w:szCs w:val="17"/>
          <w:color w:val="000000"/>
        </w:rPr>
        <w:t>2015</w:t>
      </w:r>
      <w:r>
        <w:rPr>
          <w:rFonts w:ascii="Arial" w:cs="Arial" w:eastAsia="Arial" w:hAnsi="Arial"/>
          <w:sz w:val="17"/>
          <w:szCs w:val="17"/>
          <w:color w:val="0066BA"/>
        </w:rPr>
        <w:t xml:space="preserve"> Age: </w:t>
      </w:r>
      <w:r>
        <w:rPr>
          <w:rFonts w:ascii="Arial" w:cs="Arial" w:eastAsia="Arial" w:hAnsi="Arial"/>
          <w:sz w:val="17"/>
          <w:szCs w:val="17"/>
          <w:color w:val="000000"/>
        </w:rPr>
        <w:t>62</w:t>
      </w:r>
      <w:r>
        <w:rPr>
          <w:rFonts w:ascii="Arial" w:cs="Arial" w:eastAsia="Arial" w:hAnsi="Arial"/>
          <w:sz w:val="17"/>
          <w:szCs w:val="17"/>
          <w:color w:val="0066BA"/>
        </w:rPr>
        <w:t xml:space="preserve"> Committee(s): </w:t>
      </w:r>
      <w:r>
        <w:rPr>
          <w:rFonts w:ascii="Arial" w:cs="Arial" w:eastAsia="Arial" w:hAnsi="Arial"/>
          <w:sz w:val="17"/>
          <w:szCs w:val="17"/>
          <w:color w:val="000000"/>
        </w:rPr>
        <w:t>Audit</w:t>
      </w:r>
      <w:r>
        <w:rPr>
          <w:rFonts w:ascii="Arial" w:cs="Arial" w:eastAsia="Arial" w:hAnsi="Arial"/>
          <w:sz w:val="17"/>
          <w:szCs w:val="17"/>
          <w:color w:val="0066BA"/>
        </w:rPr>
        <w:t xml:space="preserve"> Professional Experience and Background</w:t>
      </w:r>
    </w:p>
    <w:p>
      <w:pPr>
        <w:ind w:left="480" w:right="2400"/>
        <w:spacing w:after="0" w:line="275" w:lineRule="auto"/>
        <w:rPr>
          <w:sz w:val="20"/>
          <w:szCs w:val="20"/>
          <w:color w:val="auto"/>
        </w:rPr>
      </w:pPr>
      <w:r>
        <w:rPr>
          <w:rFonts w:ascii="Arial" w:cs="Arial" w:eastAsia="Arial" w:hAnsi="Arial"/>
          <w:sz w:val="16"/>
          <w:szCs w:val="16"/>
          <w:color w:val="auto"/>
        </w:rPr>
        <w:t>Mr. Evans has served as the President of Evans Capital, a private investment fund, since he founded it in March 2019. Mr. Evans has also served in various positions with Summit Partners, a growth equity and venture capital focused alternative investments firm, since 1986, including most recently as Senior Advisor, a role he has held since 2018. From 2018 to March 2019, he served as Chairman of Summit Partners’ board and as a Senior Advisor to the firm. From 2011 to December 2017, he served as Managing Director and Chairman of Summit Partners’ board. From 1999 to 2011, he was one of Summit Partners’ Co-Managing Partners. During his 36 years with Summit Partners, Mr. Evans has served as a member of the boards of directors of over 35 technology and other growth industry companies , including 14 public companies. In addition, Mr. Evans is Chairman of the Vanderbilt University Board of Trust and the former Chairman of Vanderbilt’s Investment Committee.</w:t>
      </w:r>
    </w:p>
    <w:p>
      <w:pPr>
        <w:spacing w:after="0" w:line="81" w:lineRule="exact"/>
        <w:rPr>
          <w:sz w:val="20"/>
          <w:szCs w:val="20"/>
          <w:color w:val="auto"/>
        </w:rPr>
      </w:pPr>
    </w:p>
    <w:p>
      <w:pPr>
        <w:ind w:left="480"/>
        <w:spacing w:after="0"/>
        <w:rPr>
          <w:sz w:val="20"/>
          <w:szCs w:val="20"/>
          <w:color w:val="auto"/>
        </w:rPr>
      </w:pPr>
      <w:r>
        <w:rPr>
          <w:rFonts w:ascii="Arial" w:cs="Arial" w:eastAsia="Arial" w:hAnsi="Arial"/>
          <w:sz w:val="17"/>
          <w:szCs w:val="17"/>
          <w:color w:val="0066BA"/>
        </w:rPr>
        <w:t>Key Qualifications and Expertise</w:t>
      </w:r>
    </w:p>
    <w:p>
      <w:pPr>
        <w:spacing w:after="0" w:line="25" w:lineRule="exact"/>
        <w:rPr>
          <w:sz w:val="20"/>
          <w:szCs w:val="20"/>
          <w:color w:val="auto"/>
        </w:rPr>
      </w:pPr>
    </w:p>
    <w:p>
      <w:pPr>
        <w:ind w:left="480" w:right="2440"/>
        <w:spacing w:after="0" w:line="271" w:lineRule="auto"/>
        <w:rPr>
          <w:sz w:val="20"/>
          <w:szCs w:val="20"/>
          <w:color w:val="auto"/>
        </w:rPr>
      </w:pPr>
      <w:r>
        <w:rPr>
          <w:rFonts w:ascii="Arial" w:cs="Arial" w:eastAsia="Arial" w:hAnsi="Arial"/>
          <w:sz w:val="17"/>
          <w:szCs w:val="17"/>
          <w:color w:val="auto"/>
        </w:rPr>
        <w:t>Mr. Evans’ financial and management expertise, including his investing experience in the technology sector and his experience with acquisitions and other transactions.</w:t>
      </w:r>
    </w:p>
    <w:p>
      <w:pPr>
        <w:spacing w:after="0" w:line="80" w:lineRule="exact"/>
        <w:rPr>
          <w:sz w:val="20"/>
          <w:szCs w:val="20"/>
          <w:color w:val="auto"/>
        </w:rPr>
      </w:pPr>
    </w:p>
    <w:p>
      <w:pPr>
        <w:ind w:left="480"/>
        <w:spacing w:after="0"/>
        <w:rPr>
          <w:sz w:val="20"/>
          <w:szCs w:val="20"/>
          <w:color w:val="auto"/>
        </w:rPr>
      </w:pPr>
      <w:r>
        <w:rPr>
          <w:rFonts w:ascii="Arial" w:cs="Arial" w:eastAsia="Arial" w:hAnsi="Arial"/>
          <w:sz w:val="17"/>
          <w:szCs w:val="17"/>
          <w:color w:val="0066BA"/>
        </w:rPr>
        <w:t>Other Public Company Boards:</w:t>
      </w:r>
    </w:p>
    <w:p>
      <w:pPr>
        <w:sectPr>
          <w:pgSz w:w="11900" w:h="16838" w:orient="portrait"/>
          <w:cols w:equalWidth="0" w:num="1">
            <w:col w:w="10940"/>
          </w:cols>
          <w:pgMar w:left="320" w:top="447" w:right="639" w:bottom="1440" w:gutter="0" w:footer="0" w:header="0"/>
        </w:sectPr>
      </w:pPr>
    </w:p>
    <w:p>
      <w:pPr>
        <w:spacing w:after="0" w:line="91" w:lineRule="exact"/>
        <w:rPr>
          <w:sz w:val="20"/>
          <w:szCs w:val="20"/>
          <w:color w:val="auto"/>
        </w:rPr>
      </w:pPr>
    </w:p>
    <w:p>
      <w:pPr>
        <w:ind w:left="480"/>
        <w:spacing w:after="0"/>
        <w:rPr>
          <w:sz w:val="20"/>
          <w:szCs w:val="20"/>
          <w:color w:val="auto"/>
        </w:rPr>
      </w:pPr>
      <w:r>
        <w:rPr>
          <w:rFonts w:ascii="Arial" w:cs="Arial" w:eastAsia="Arial" w:hAnsi="Arial"/>
          <w:sz w:val="15"/>
          <w:szCs w:val="15"/>
          <w:color w:val="0066BA"/>
        </w:rPr>
        <w:t xml:space="preserve">Current: </w:t>
      </w:r>
      <w:r>
        <w:rPr>
          <w:rFonts w:ascii="Arial" w:cs="Arial" w:eastAsia="Arial" w:hAnsi="Arial"/>
          <w:sz w:val="15"/>
          <w:szCs w:val="15"/>
          <w:color w:val="000000"/>
        </w:rPr>
        <w:t>Casa Systems, Inc.</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0066BA"/>
        </w:rPr>
        <w:t xml:space="preserve">Past 5 Years: </w:t>
      </w:r>
      <w:r>
        <w:rPr>
          <w:rFonts w:ascii="Arial" w:cs="Arial" w:eastAsia="Arial" w:hAnsi="Arial"/>
          <w:sz w:val="15"/>
          <w:szCs w:val="15"/>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187325</wp:posOffset>
            </wp:positionV>
            <wp:extent cx="6534150" cy="14541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534150" cy="14541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700"/>
            <w:col w:w="7840"/>
          </w:cols>
          <w:pgMar w:left="320" w:top="447" w:right="639" w:bottom="1440" w:gutter="0" w:footer="0" w:header="0"/>
          <w:type w:val="continuous"/>
        </w:sectPr>
      </w:pPr>
    </w:p>
    <w:p>
      <w:pPr>
        <w:spacing w:after="0" w:line="309" w:lineRule="exact"/>
        <w:rPr>
          <w:sz w:val="20"/>
          <w:szCs w:val="20"/>
          <w:color w:val="auto"/>
        </w:rPr>
      </w:pPr>
    </w:p>
    <w:p>
      <w:pPr>
        <w:ind w:left="480"/>
        <w:spacing w:after="0"/>
        <w:rPr>
          <w:sz w:val="20"/>
          <w:szCs w:val="20"/>
          <w:color w:val="auto"/>
        </w:rPr>
      </w:pPr>
      <w:r>
        <w:rPr>
          <w:rFonts w:ascii="Arial" w:cs="Arial" w:eastAsia="Arial" w:hAnsi="Arial"/>
          <w:sz w:val="38"/>
          <w:szCs w:val="38"/>
          <w:color w:val="0066BA"/>
        </w:rPr>
        <w:t>Edward H. Frank</w:t>
      </w:r>
    </w:p>
    <w:p>
      <w:pPr>
        <w:spacing w:after="0" w:line="104" w:lineRule="exact"/>
        <w:rPr>
          <w:sz w:val="20"/>
          <w:szCs w:val="20"/>
          <w:color w:val="auto"/>
        </w:rPr>
      </w:pPr>
    </w:p>
    <w:p>
      <w:pPr>
        <w:ind w:left="480" w:right="5020"/>
        <w:spacing w:after="0" w:line="335" w:lineRule="auto"/>
        <w:rPr>
          <w:sz w:val="20"/>
          <w:szCs w:val="20"/>
          <w:color w:val="auto"/>
        </w:rPr>
      </w:pPr>
      <w:r>
        <w:rPr>
          <w:rFonts w:ascii="Arial" w:cs="Arial" w:eastAsia="Arial" w:hAnsi="Arial"/>
          <w:sz w:val="17"/>
          <w:szCs w:val="17"/>
          <w:color w:val="0066BA"/>
        </w:rPr>
        <w:t xml:space="preserve">Independent Director since: </w:t>
      </w:r>
      <w:r>
        <w:rPr>
          <w:rFonts w:ascii="Arial" w:cs="Arial" w:eastAsia="Arial" w:hAnsi="Arial"/>
          <w:sz w:val="17"/>
          <w:szCs w:val="17"/>
          <w:color w:val="000000"/>
        </w:rPr>
        <w:t>2014</w:t>
      </w:r>
      <w:r>
        <w:rPr>
          <w:rFonts w:ascii="Arial" w:cs="Arial" w:eastAsia="Arial" w:hAnsi="Arial"/>
          <w:sz w:val="17"/>
          <w:szCs w:val="17"/>
          <w:color w:val="0066BA"/>
        </w:rPr>
        <w:t xml:space="preserve"> Age: </w:t>
      </w:r>
      <w:r>
        <w:rPr>
          <w:rFonts w:ascii="Arial" w:cs="Arial" w:eastAsia="Arial" w:hAnsi="Arial"/>
          <w:sz w:val="17"/>
          <w:szCs w:val="17"/>
          <w:color w:val="000000"/>
        </w:rPr>
        <w:t>65</w:t>
      </w:r>
      <w:r>
        <w:rPr>
          <w:rFonts w:ascii="Arial" w:cs="Arial" w:eastAsia="Arial" w:hAnsi="Arial"/>
          <w:sz w:val="17"/>
          <w:szCs w:val="17"/>
          <w:color w:val="0066BA"/>
        </w:rPr>
        <w:t xml:space="preserve"> Committee(s): </w:t>
      </w:r>
      <w:r>
        <w:rPr>
          <w:rFonts w:ascii="Arial" w:cs="Arial" w:eastAsia="Arial" w:hAnsi="Arial"/>
          <w:sz w:val="17"/>
          <w:szCs w:val="17"/>
          <w:color w:val="000000"/>
        </w:rPr>
        <w:t>Compensation</w:t>
      </w:r>
      <w:r>
        <w:rPr>
          <w:rFonts w:ascii="Arial" w:cs="Arial" w:eastAsia="Arial" w:hAnsi="Arial"/>
          <w:sz w:val="17"/>
          <w:szCs w:val="17"/>
          <w:color w:val="0066BA"/>
        </w:rPr>
        <w:t xml:space="preserve"> Professional Experience and Background</w:t>
      </w:r>
    </w:p>
    <w:p>
      <w:pPr>
        <w:ind w:left="480"/>
        <w:spacing w:after="0"/>
        <w:rPr>
          <w:sz w:val="20"/>
          <w:szCs w:val="20"/>
          <w:color w:val="auto"/>
        </w:rPr>
      </w:pPr>
      <w:r>
        <w:rPr>
          <w:rFonts w:ascii="Arial" w:cs="Arial" w:eastAsia="Arial" w:hAnsi="Arial"/>
          <w:sz w:val="17"/>
          <w:szCs w:val="17"/>
          <w:color w:val="auto"/>
        </w:rPr>
        <w:t>Dr. Frank was most recently co-founder and CEO of Cloud Parity, a voice of the customer startup, from January</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2014 through August 2016. From May 2009 to October 2013, Dr. Frank held the position of Vice President,</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Macintosh Hardware Systems Engineering at Apple Inc., a company that designs, manufactures and markets</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electronic devices. Prior to his tenure at Apple, Dr. Frank served as Corporate Vice President, Research and</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Development, of Broadcom Corp. Dr. Frank was founding CEO of Epigram, Inc., a developer of integrated</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circuits and software for home networking, which Broadcom acquired in 1999, and was a Distinguished Engineer at</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Sun Microsystems, Inc. Dr. Frank is vice-chair of the Carnegie Mellon University Board of Trustees, where he has</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been a Trustee since 2000, and since July 2017, has been Executive Director (pro bono) of Metallica’s All Within</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My Hands Foundation. He is a member of the National Academy of Engineering and a Fellow of the IEEE.</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7"/>
          <w:szCs w:val="17"/>
          <w:color w:val="0066BA"/>
        </w:rPr>
        <w:t>Key Qualifications and Expertise</w:t>
      </w:r>
    </w:p>
    <w:p>
      <w:pPr>
        <w:spacing w:after="0" w:line="25" w:lineRule="exact"/>
        <w:rPr>
          <w:sz w:val="20"/>
          <w:szCs w:val="20"/>
          <w:color w:val="auto"/>
        </w:rPr>
      </w:pPr>
    </w:p>
    <w:p>
      <w:pPr>
        <w:ind w:left="480" w:right="2400"/>
        <w:spacing w:after="0" w:line="263" w:lineRule="auto"/>
        <w:rPr>
          <w:sz w:val="20"/>
          <w:szCs w:val="20"/>
          <w:color w:val="auto"/>
        </w:rPr>
      </w:pPr>
      <w:r>
        <w:rPr>
          <w:rFonts w:ascii="Arial" w:cs="Arial" w:eastAsia="Arial" w:hAnsi="Arial"/>
          <w:sz w:val="17"/>
          <w:szCs w:val="17"/>
          <w:color w:val="auto"/>
        </w:rPr>
        <w:t>Dr. Frank’s substantial experience in the design, manufacture, sale and marketing of semi-conductors for a broad set of markets, including many of the markets serviced by the Company and his extensive executive leadership experience.</w:t>
      </w:r>
    </w:p>
    <w:p>
      <w:pPr>
        <w:spacing w:after="0" w:line="100" w:lineRule="exact"/>
        <w:rPr>
          <w:sz w:val="20"/>
          <w:szCs w:val="20"/>
          <w:color w:val="auto"/>
        </w:rPr>
      </w:pPr>
    </w:p>
    <w:tbl>
      <w:tblPr>
        <w:tblLayout w:type="fixed"/>
        <w:tblInd w:w="480" w:type="dxa"/>
        <w:tblCellMar>
          <w:top w:w="0" w:type="dxa"/>
          <w:left w:w="0" w:type="dxa"/>
          <w:bottom w:w="0" w:type="dxa"/>
          <w:right w:w="0" w:type="dxa"/>
        </w:tblCellMar>
      </w:tblPr>
      <w:tr>
        <w:trPr>
          <w:trHeight w:val="208"/>
        </w:trPr>
        <w:tc>
          <w:tcPr>
            <w:tcW w:w="3600" w:type="dxa"/>
            <w:vAlign w:val="bottom"/>
          </w:tcPr>
          <w:p>
            <w:pPr>
              <w:spacing w:after="0"/>
              <w:rPr>
                <w:sz w:val="20"/>
                <w:szCs w:val="20"/>
                <w:color w:val="auto"/>
              </w:rPr>
            </w:pPr>
            <w:r>
              <w:rPr>
                <w:rFonts w:ascii="Arial" w:cs="Arial" w:eastAsia="Arial" w:hAnsi="Arial"/>
                <w:sz w:val="17"/>
                <w:szCs w:val="17"/>
                <w:color w:val="0066BA"/>
              </w:rPr>
              <w:t>Other Public Company Boards:</w:t>
            </w:r>
          </w:p>
        </w:tc>
        <w:tc>
          <w:tcPr>
            <w:tcW w:w="6700" w:type="dxa"/>
            <w:vAlign w:val="bottom"/>
          </w:tcPr>
          <w:p>
            <w:pPr>
              <w:spacing w:after="0"/>
              <w:rPr>
                <w:sz w:val="18"/>
                <w:szCs w:val="18"/>
                <w:color w:val="auto"/>
              </w:rPr>
            </w:pPr>
          </w:p>
        </w:tc>
      </w:tr>
      <w:tr>
        <w:trPr>
          <w:trHeight w:val="208"/>
        </w:trPr>
        <w:tc>
          <w:tcPr>
            <w:tcW w:w="3600" w:type="dxa"/>
            <w:vAlign w:val="bottom"/>
          </w:tcPr>
          <w:p>
            <w:pPr>
              <w:spacing w:after="0"/>
              <w:rPr>
                <w:sz w:val="20"/>
                <w:szCs w:val="20"/>
                <w:color w:val="auto"/>
              </w:rPr>
            </w:pPr>
            <w:r>
              <w:rPr>
                <w:rFonts w:ascii="Arial" w:cs="Arial" w:eastAsia="Arial" w:hAnsi="Arial"/>
                <w:sz w:val="17"/>
                <w:szCs w:val="17"/>
                <w:color w:val="0066BA"/>
              </w:rPr>
              <w:t xml:space="preserve">Current: </w:t>
            </w:r>
            <w:r>
              <w:rPr>
                <w:rFonts w:ascii="Arial" w:cs="Arial" w:eastAsia="Arial" w:hAnsi="Arial"/>
                <w:sz w:val="17"/>
                <w:szCs w:val="17"/>
                <w:color w:val="000000"/>
              </w:rPr>
              <w:t>Marvell Technology, Inc.</w:t>
            </w:r>
          </w:p>
        </w:tc>
        <w:tc>
          <w:tcPr>
            <w:tcW w:w="6700" w:type="dxa"/>
            <w:vAlign w:val="bottom"/>
          </w:tcPr>
          <w:p>
            <w:pPr>
              <w:ind w:left="1240"/>
              <w:spacing w:after="0"/>
              <w:rPr>
                <w:sz w:val="20"/>
                <w:szCs w:val="20"/>
                <w:color w:val="auto"/>
              </w:rPr>
            </w:pPr>
            <w:r>
              <w:rPr>
                <w:rFonts w:ascii="Arial" w:cs="Arial" w:eastAsia="Arial" w:hAnsi="Arial"/>
                <w:sz w:val="17"/>
                <w:szCs w:val="17"/>
                <w:color w:val="0066BA"/>
              </w:rPr>
              <w:t xml:space="preserve">Past 5 Years: </w:t>
            </w:r>
            <w:r>
              <w:rPr>
                <w:rFonts w:ascii="Arial" w:cs="Arial" w:eastAsia="Arial" w:hAnsi="Arial"/>
                <w:sz w:val="17"/>
                <w:szCs w:val="17"/>
                <w:color w:val="000000"/>
              </w:rPr>
              <w:t>Cavium, Inc. (until 2018)</w:t>
            </w:r>
          </w:p>
        </w:tc>
      </w:tr>
      <w:tr>
        <w:trPr>
          <w:trHeight w:val="208"/>
        </w:trPr>
        <w:tc>
          <w:tcPr>
            <w:tcW w:w="3600" w:type="dxa"/>
            <w:vAlign w:val="bottom"/>
          </w:tcPr>
          <w:p>
            <w:pPr>
              <w:ind w:left="600"/>
              <w:spacing w:after="0"/>
              <w:rPr>
                <w:sz w:val="20"/>
                <w:szCs w:val="20"/>
                <w:color w:val="auto"/>
              </w:rPr>
            </w:pPr>
            <w:r>
              <w:rPr>
                <w:rFonts w:ascii="Arial" w:cs="Arial" w:eastAsia="Arial" w:hAnsi="Arial"/>
                <w:sz w:val="17"/>
                <w:szCs w:val="17"/>
                <w:color w:val="auto"/>
              </w:rPr>
              <w:t>SiTime Corp.</w:t>
            </w:r>
          </w:p>
        </w:tc>
        <w:tc>
          <w:tcPr>
            <w:tcW w:w="6700" w:type="dxa"/>
            <w:vAlign w:val="bottom"/>
          </w:tcPr>
          <w:p>
            <w:pPr>
              <w:ind w:left="2220"/>
              <w:spacing w:after="0"/>
              <w:rPr>
                <w:sz w:val="20"/>
                <w:szCs w:val="20"/>
                <w:color w:val="auto"/>
              </w:rPr>
            </w:pPr>
            <w:r>
              <w:rPr>
                <w:rFonts w:ascii="Arial" w:cs="Arial" w:eastAsia="Arial" w:hAnsi="Arial"/>
                <w:sz w:val="17"/>
                <w:szCs w:val="17"/>
                <w:color w:val="auto"/>
              </w:rPr>
              <w:t>Amesite, Inc. (until 2020)</w:t>
            </w:r>
          </w:p>
        </w:tc>
      </w:tr>
      <w:tr>
        <w:trPr>
          <w:trHeight w:val="208"/>
        </w:trPr>
        <w:tc>
          <w:tcPr>
            <w:tcW w:w="3600" w:type="dxa"/>
            <w:vAlign w:val="bottom"/>
          </w:tcPr>
          <w:p>
            <w:pPr>
              <w:spacing w:after="0"/>
              <w:rPr>
                <w:sz w:val="18"/>
                <w:szCs w:val="18"/>
                <w:color w:val="auto"/>
              </w:rPr>
            </w:pPr>
          </w:p>
        </w:tc>
        <w:tc>
          <w:tcPr>
            <w:tcW w:w="6700" w:type="dxa"/>
            <w:vAlign w:val="bottom"/>
          </w:tcPr>
          <w:p>
            <w:pPr>
              <w:ind w:left="2240"/>
              <w:spacing w:after="0"/>
              <w:rPr>
                <w:sz w:val="20"/>
                <w:szCs w:val="20"/>
                <w:color w:val="auto"/>
              </w:rPr>
            </w:pPr>
            <w:r>
              <w:rPr>
                <w:rFonts w:ascii="Arial" w:cs="Arial" w:eastAsia="Arial" w:hAnsi="Arial"/>
                <w:sz w:val="17"/>
                <w:szCs w:val="17"/>
                <w:color w:val="auto"/>
              </w:rPr>
              <w:t>Quantenna Communications, Inc</w:t>
            </w:r>
          </w:p>
        </w:tc>
      </w:tr>
      <w:tr>
        <w:trPr>
          <w:trHeight w:val="221"/>
        </w:trPr>
        <w:tc>
          <w:tcPr>
            <w:tcW w:w="3600" w:type="dxa"/>
            <w:vAlign w:val="bottom"/>
          </w:tcPr>
          <w:p>
            <w:pPr>
              <w:spacing w:after="0"/>
              <w:rPr>
                <w:sz w:val="19"/>
                <w:szCs w:val="19"/>
                <w:color w:val="auto"/>
              </w:rPr>
            </w:pPr>
          </w:p>
        </w:tc>
        <w:tc>
          <w:tcPr>
            <w:tcW w:w="6700" w:type="dxa"/>
            <w:vAlign w:val="bottom"/>
          </w:tcPr>
          <w:p>
            <w:pPr>
              <w:ind w:left="1240"/>
              <w:spacing w:after="0"/>
              <w:rPr>
                <w:sz w:val="20"/>
                <w:szCs w:val="20"/>
                <w:color w:val="auto"/>
              </w:rPr>
            </w:pPr>
            <w:r>
              <w:rPr>
                <w:rFonts w:ascii="Arial" w:cs="Arial" w:eastAsia="Arial" w:hAnsi="Arial"/>
                <w:sz w:val="17"/>
                <w:szCs w:val="17"/>
                <w:color w:val="auto"/>
              </w:rPr>
              <w:t>(until 2018)</w:t>
            </w:r>
          </w:p>
        </w:tc>
      </w:tr>
      <w:tr>
        <w:trPr>
          <w:trHeight w:val="247"/>
        </w:trPr>
        <w:tc>
          <w:tcPr>
            <w:tcW w:w="3600" w:type="dxa"/>
            <w:vAlign w:val="bottom"/>
            <w:tcBorders>
              <w:bottom w:val="single" w:sz="8" w:color="0066BA"/>
            </w:tcBorders>
          </w:tcPr>
          <w:p>
            <w:pPr>
              <w:spacing w:after="0"/>
              <w:rPr>
                <w:sz w:val="21"/>
                <w:szCs w:val="21"/>
                <w:color w:val="auto"/>
              </w:rPr>
            </w:pPr>
          </w:p>
        </w:tc>
        <w:tc>
          <w:tcPr>
            <w:tcW w:w="6700" w:type="dxa"/>
            <w:vAlign w:val="bottom"/>
            <w:tcBorders>
              <w:bottom w:val="single" w:sz="8" w:color="0066BA"/>
            </w:tcBorders>
          </w:tcPr>
          <w:p>
            <w:pPr>
              <w:spacing w:after="0"/>
              <w:rPr>
                <w:sz w:val="21"/>
                <w:szCs w:val="21"/>
                <w:color w:val="auto"/>
              </w:rPr>
            </w:pPr>
          </w:p>
        </w:tc>
      </w:tr>
    </w:tbl>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940"/>
          </w:cols>
          <w:pgMar w:left="320" w:top="447" w:right="639" w:bottom="1440" w:gutter="0" w:footer="0" w:header="0"/>
          <w:type w:val="continuous"/>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201295</wp:posOffset>
            </wp:positionV>
            <wp:extent cx="6534150" cy="14541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534150" cy="14541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480"/>
        <w:spacing w:after="0"/>
        <w:rPr>
          <w:sz w:val="20"/>
          <w:szCs w:val="20"/>
          <w:color w:val="auto"/>
        </w:rPr>
      </w:pPr>
      <w:r>
        <w:rPr>
          <w:rFonts w:ascii="Arial" w:cs="Arial" w:eastAsia="Arial" w:hAnsi="Arial"/>
          <w:sz w:val="38"/>
          <w:szCs w:val="38"/>
          <w:color w:val="0066BA"/>
        </w:rPr>
        <w:t>Laurie H. Glimcher</w:t>
      </w:r>
    </w:p>
    <w:p>
      <w:pPr>
        <w:spacing w:after="0" w:line="104" w:lineRule="exact"/>
        <w:rPr>
          <w:sz w:val="20"/>
          <w:szCs w:val="20"/>
          <w:color w:val="auto"/>
        </w:rPr>
      </w:pPr>
    </w:p>
    <w:p>
      <w:pPr>
        <w:ind w:left="480" w:right="4780"/>
        <w:spacing w:after="0" w:line="335" w:lineRule="auto"/>
        <w:rPr>
          <w:sz w:val="20"/>
          <w:szCs w:val="20"/>
          <w:color w:val="auto"/>
        </w:rPr>
      </w:pPr>
      <w:r>
        <w:rPr>
          <w:rFonts w:ascii="Arial" w:cs="Arial" w:eastAsia="Arial" w:hAnsi="Arial"/>
          <w:sz w:val="17"/>
          <w:szCs w:val="17"/>
          <w:color w:val="0066BA"/>
        </w:rPr>
        <w:t xml:space="preserve">Independent Director since: </w:t>
      </w:r>
      <w:r>
        <w:rPr>
          <w:rFonts w:ascii="Arial" w:cs="Arial" w:eastAsia="Arial" w:hAnsi="Arial"/>
          <w:sz w:val="17"/>
          <w:szCs w:val="17"/>
          <w:color w:val="000000"/>
        </w:rPr>
        <w:t>2020</w:t>
      </w:r>
      <w:r>
        <w:rPr>
          <w:rFonts w:ascii="Arial" w:cs="Arial" w:eastAsia="Arial" w:hAnsi="Arial"/>
          <w:sz w:val="17"/>
          <w:szCs w:val="17"/>
          <w:color w:val="0066BA"/>
        </w:rPr>
        <w:t xml:space="preserve"> Age: </w:t>
      </w:r>
      <w:r>
        <w:rPr>
          <w:rFonts w:ascii="Arial" w:cs="Arial" w:eastAsia="Arial" w:hAnsi="Arial"/>
          <w:sz w:val="17"/>
          <w:szCs w:val="17"/>
          <w:color w:val="000000"/>
        </w:rPr>
        <w:t>70</w:t>
      </w:r>
      <w:r>
        <w:rPr>
          <w:rFonts w:ascii="Arial" w:cs="Arial" w:eastAsia="Arial" w:hAnsi="Arial"/>
          <w:sz w:val="17"/>
          <w:szCs w:val="17"/>
          <w:color w:val="0066BA"/>
        </w:rPr>
        <w:t xml:space="preserve"> Committee(s): </w:t>
      </w:r>
      <w:r>
        <w:rPr>
          <w:rFonts w:ascii="Arial" w:cs="Arial" w:eastAsia="Arial" w:hAnsi="Arial"/>
          <w:sz w:val="17"/>
          <w:szCs w:val="17"/>
          <w:color w:val="000000"/>
        </w:rPr>
        <w:t>Compensation</w:t>
      </w:r>
      <w:r>
        <w:rPr>
          <w:rFonts w:ascii="Arial" w:cs="Arial" w:eastAsia="Arial" w:hAnsi="Arial"/>
          <w:sz w:val="17"/>
          <w:szCs w:val="17"/>
          <w:color w:val="0066BA"/>
        </w:rPr>
        <w:t xml:space="preserve"> Professional Experience and Background</w:t>
      </w:r>
    </w:p>
    <w:p>
      <w:pPr>
        <w:ind w:left="480" w:right="2340"/>
        <w:spacing w:after="0" w:line="257" w:lineRule="auto"/>
        <w:rPr>
          <w:sz w:val="20"/>
          <w:szCs w:val="20"/>
          <w:color w:val="auto"/>
        </w:rPr>
      </w:pPr>
      <w:r>
        <w:rPr>
          <w:rFonts w:ascii="Arial" w:cs="Arial" w:eastAsia="Arial" w:hAnsi="Arial"/>
          <w:sz w:val="17"/>
          <w:szCs w:val="17"/>
          <w:color w:val="auto"/>
        </w:rPr>
        <w:t>Dr. Glimcher has served as a Professor of Microbiology and Immunology at Harvard Medical School since May 2017, the Richard and Susan Smith Professor of Medicine at Harvard Medical School and Dana-Farber Cancer Institute since October 2016, an Attending Physician, Department of Cancer Immunology and Virology at Dana-Farber Cancer Institute since October 2016 and the President and Chief Executive Officer of the Dana-Farber Cancer Institute since September 2016. In addition to a number of senior leadership roles held at both Harvard Medical School and Harvard School of Public Health from 1984 to 2011 and from October 2016 to present, she also served as the Stephen and Suzanne Weiss Dean and Professor of Medicine of Weill Cornell Medicine and Provost for Medical Affairs of Cornell University from January 2012 to August 2016. She is a member of the Board of Trustees at the Dana-Farber Cancer Institute and a member of the US National Academy of Sciences, the National Academy of Medicine, the American Academy of Arts and Sciences and the American Philosophical Society.</w:t>
      </w:r>
    </w:p>
    <w:p>
      <w:pPr>
        <w:spacing w:after="0" w:line="92" w:lineRule="exact"/>
        <w:rPr>
          <w:sz w:val="20"/>
          <w:szCs w:val="20"/>
          <w:color w:val="auto"/>
        </w:rPr>
      </w:pPr>
    </w:p>
    <w:p>
      <w:pPr>
        <w:ind w:left="480"/>
        <w:spacing w:after="0"/>
        <w:rPr>
          <w:sz w:val="20"/>
          <w:szCs w:val="20"/>
          <w:color w:val="auto"/>
        </w:rPr>
      </w:pPr>
      <w:r>
        <w:rPr>
          <w:rFonts w:ascii="Arial" w:cs="Arial" w:eastAsia="Arial" w:hAnsi="Arial"/>
          <w:sz w:val="17"/>
          <w:szCs w:val="17"/>
          <w:color w:val="0066BA"/>
        </w:rPr>
        <w:t>Key Qualifications and Expertise</w:t>
      </w:r>
    </w:p>
    <w:p>
      <w:pPr>
        <w:spacing w:after="0" w:line="25" w:lineRule="exact"/>
        <w:rPr>
          <w:sz w:val="20"/>
          <w:szCs w:val="20"/>
          <w:color w:val="auto"/>
        </w:rPr>
      </w:pPr>
    </w:p>
    <w:p>
      <w:pPr>
        <w:ind w:left="480" w:right="2640"/>
        <w:spacing w:after="0" w:line="271" w:lineRule="auto"/>
        <w:rPr>
          <w:sz w:val="20"/>
          <w:szCs w:val="20"/>
          <w:color w:val="auto"/>
        </w:rPr>
      </w:pPr>
      <w:r>
        <w:rPr>
          <w:rFonts w:ascii="Arial" w:cs="Arial" w:eastAsia="Arial" w:hAnsi="Arial"/>
          <w:sz w:val="17"/>
          <w:szCs w:val="17"/>
          <w:color w:val="auto"/>
        </w:rPr>
        <w:t>Dr. Glimcher’s scientific and public health expertise as well as diversity of technical skills and experience as a physician, scientist and professor.</w:t>
      </w:r>
    </w:p>
    <w:p>
      <w:pPr>
        <w:spacing w:after="0" w:line="93" w:lineRule="exact"/>
        <w:rPr>
          <w:sz w:val="20"/>
          <w:szCs w:val="20"/>
          <w:color w:val="auto"/>
        </w:rPr>
      </w:pPr>
    </w:p>
    <w:p>
      <w:pPr>
        <w:ind w:left="480"/>
        <w:spacing w:after="0"/>
        <w:rPr>
          <w:sz w:val="20"/>
          <w:szCs w:val="20"/>
          <w:color w:val="auto"/>
        </w:rPr>
      </w:pPr>
      <w:r>
        <w:rPr>
          <w:rFonts w:ascii="Arial" w:cs="Arial" w:eastAsia="Arial" w:hAnsi="Arial"/>
          <w:sz w:val="17"/>
          <w:szCs w:val="17"/>
          <w:color w:val="0066BA"/>
        </w:rPr>
        <w:t>Other Public Company Boards:</w:t>
      </w:r>
    </w:p>
    <w:p>
      <w:pPr>
        <w:sectPr>
          <w:pgSz w:w="11900" w:h="16838" w:orient="portrait"/>
          <w:cols w:equalWidth="0" w:num="1">
            <w:col w:w="10780"/>
          </w:cols>
          <w:pgMar w:left="320" w:top="447" w:right="799" w:bottom="1440" w:gutter="0" w:footer="0" w:header="0"/>
        </w:sectPr>
      </w:pPr>
    </w:p>
    <w:p>
      <w:pPr>
        <w:spacing w:after="0" w:line="25" w:lineRule="exact"/>
        <w:rPr>
          <w:sz w:val="20"/>
          <w:szCs w:val="20"/>
          <w:color w:val="auto"/>
        </w:rPr>
      </w:pPr>
    </w:p>
    <w:p>
      <w:pPr>
        <w:ind w:left="480"/>
        <w:spacing w:after="0"/>
        <w:rPr>
          <w:sz w:val="20"/>
          <w:szCs w:val="20"/>
          <w:color w:val="auto"/>
        </w:rPr>
      </w:pPr>
      <w:r>
        <w:rPr>
          <w:rFonts w:ascii="Arial" w:cs="Arial" w:eastAsia="Arial" w:hAnsi="Arial"/>
          <w:sz w:val="16"/>
          <w:szCs w:val="16"/>
          <w:color w:val="0066BA"/>
        </w:rPr>
        <w:t xml:space="preserve">Current: </w:t>
      </w:r>
      <w:r>
        <w:rPr>
          <w:rFonts w:ascii="Arial" w:cs="Arial" w:eastAsia="Arial" w:hAnsi="Arial"/>
          <w:sz w:val="16"/>
          <w:szCs w:val="16"/>
          <w:color w:val="000000"/>
        </w:rPr>
        <w:t>GlaxoSmithKline plc</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0066BA"/>
        </w:rPr>
        <w:t>Past 5 Years: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Bristol-Myers Squibb Company (until 2017)</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7"/>
          <w:szCs w:val="17"/>
          <w:color w:val="auto"/>
        </w:rPr>
        <w:t>Waters Corporation (until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-2468245</wp:posOffset>
            </wp:positionH>
            <wp:positionV relativeFrom="paragraph">
              <wp:posOffset>156845</wp:posOffset>
            </wp:positionV>
            <wp:extent cx="6534150" cy="14541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534150" cy="14541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620" w:space="620"/>
            <w:col w:w="900" w:space="220"/>
            <w:col w:w="6420"/>
          </w:cols>
          <w:pgMar w:left="320" w:top="447" w:right="799" w:bottom="1440" w:gutter="0" w:footer="0" w:header="0"/>
          <w:type w:val="continuous"/>
        </w:sectPr>
      </w:pPr>
    </w:p>
    <w:p>
      <w:pPr>
        <w:spacing w:after="0" w:line="261" w:lineRule="exact"/>
        <w:rPr>
          <w:sz w:val="20"/>
          <w:szCs w:val="20"/>
          <w:color w:val="auto"/>
        </w:rPr>
      </w:pPr>
    </w:p>
    <w:p>
      <w:pPr>
        <w:ind w:left="480"/>
        <w:spacing w:after="0"/>
        <w:rPr>
          <w:sz w:val="20"/>
          <w:szCs w:val="20"/>
          <w:color w:val="auto"/>
        </w:rPr>
      </w:pPr>
      <w:r>
        <w:rPr>
          <w:rFonts w:ascii="Arial" w:cs="Arial" w:eastAsia="Arial" w:hAnsi="Arial"/>
          <w:sz w:val="38"/>
          <w:szCs w:val="38"/>
          <w:color w:val="0066BA"/>
        </w:rPr>
        <w:t>Karen M. Golz</w:t>
      </w:r>
    </w:p>
    <w:p>
      <w:pPr>
        <w:spacing w:after="0" w:line="104" w:lineRule="exact"/>
        <w:rPr>
          <w:sz w:val="20"/>
          <w:szCs w:val="20"/>
          <w:color w:val="auto"/>
        </w:rPr>
      </w:pPr>
    </w:p>
    <w:p>
      <w:pPr>
        <w:ind w:left="480" w:right="5400"/>
        <w:spacing w:after="0" w:line="335" w:lineRule="auto"/>
        <w:rPr>
          <w:sz w:val="20"/>
          <w:szCs w:val="20"/>
          <w:color w:val="auto"/>
        </w:rPr>
      </w:pPr>
      <w:r>
        <w:rPr>
          <w:rFonts w:ascii="Arial" w:cs="Arial" w:eastAsia="Arial" w:hAnsi="Arial"/>
          <w:sz w:val="17"/>
          <w:szCs w:val="17"/>
          <w:color w:val="0066BA"/>
        </w:rPr>
        <w:t xml:space="preserve">Independent Director since: </w:t>
      </w:r>
      <w:r>
        <w:rPr>
          <w:rFonts w:ascii="Arial" w:cs="Arial" w:eastAsia="Arial" w:hAnsi="Arial"/>
          <w:sz w:val="17"/>
          <w:szCs w:val="17"/>
          <w:color w:val="000000"/>
        </w:rPr>
        <w:t>2018</w:t>
      </w:r>
      <w:r>
        <w:rPr>
          <w:rFonts w:ascii="Arial" w:cs="Arial" w:eastAsia="Arial" w:hAnsi="Arial"/>
          <w:sz w:val="17"/>
          <w:szCs w:val="17"/>
          <w:color w:val="0066BA"/>
        </w:rPr>
        <w:t xml:space="preserve"> Age: </w:t>
      </w:r>
      <w:r>
        <w:rPr>
          <w:rFonts w:ascii="Arial" w:cs="Arial" w:eastAsia="Arial" w:hAnsi="Arial"/>
          <w:sz w:val="17"/>
          <w:szCs w:val="17"/>
          <w:color w:val="000000"/>
        </w:rPr>
        <w:t>67</w:t>
      </w:r>
      <w:r>
        <w:rPr>
          <w:rFonts w:ascii="Arial" w:cs="Arial" w:eastAsia="Arial" w:hAnsi="Arial"/>
          <w:sz w:val="17"/>
          <w:szCs w:val="17"/>
          <w:color w:val="0066BA"/>
        </w:rPr>
        <w:t xml:space="preserve"> Committee(s): </w:t>
      </w:r>
      <w:r>
        <w:rPr>
          <w:rFonts w:ascii="Arial" w:cs="Arial" w:eastAsia="Arial" w:hAnsi="Arial"/>
          <w:sz w:val="17"/>
          <w:szCs w:val="17"/>
          <w:color w:val="000000"/>
        </w:rPr>
        <w:t>Audit</w:t>
      </w:r>
      <w:r>
        <w:rPr>
          <w:rFonts w:ascii="Arial" w:cs="Arial" w:eastAsia="Arial" w:hAnsi="Arial"/>
          <w:sz w:val="17"/>
          <w:szCs w:val="17"/>
          <w:color w:val="0066BA"/>
        </w:rPr>
        <w:t xml:space="preserve"> Professional Experience and Background</w:t>
      </w:r>
    </w:p>
    <w:p>
      <w:pPr>
        <w:ind w:left="480" w:right="2240"/>
        <w:spacing w:after="0" w:line="257" w:lineRule="auto"/>
        <w:rPr>
          <w:sz w:val="20"/>
          <w:szCs w:val="20"/>
          <w:color w:val="auto"/>
        </w:rPr>
      </w:pPr>
      <w:r>
        <w:rPr>
          <w:rFonts w:ascii="Arial" w:cs="Arial" w:eastAsia="Arial" w:hAnsi="Arial"/>
          <w:sz w:val="17"/>
          <w:szCs w:val="17"/>
          <w:color w:val="auto"/>
        </w:rPr>
        <w:t>Ms. Golz is a retired partner of Ernst &amp; Young, or EY, a public accounting firm, where she held various senior leadership positions during her tenure at the firm, including most recently, Global Vice Chair, Japan from July 2016 to 2017 and prior thereto, from July 2010 to 2016, as Global Vice Chair, Professional Practice. Ms. Golz also served on EY’s Global Risk Management Executive Committee, which was charged with risk management across EY’s global network, from 2008 to 2016. Ms. Golz currently serves as senior advisor to The Boston Consulting Group’s Audit and Risk Committee, a role she has held since August 2017, and as a principal for K.M. Golz Associates, LLC, a consulting services company, since August 2017. She also sits on the Board of Trustees of the University of Illinois Foundation. Ms. Golz is also a National Association of Corporate Directors (NACD) Board Leadership Fellow.</w:t>
      </w:r>
    </w:p>
    <w:p>
      <w:pPr>
        <w:spacing w:after="0" w:line="94" w:lineRule="exact"/>
        <w:rPr>
          <w:sz w:val="20"/>
          <w:szCs w:val="20"/>
          <w:color w:val="auto"/>
        </w:rPr>
      </w:pPr>
    </w:p>
    <w:p>
      <w:pPr>
        <w:ind w:left="480"/>
        <w:spacing w:after="0"/>
        <w:rPr>
          <w:sz w:val="20"/>
          <w:szCs w:val="20"/>
          <w:color w:val="auto"/>
        </w:rPr>
      </w:pPr>
      <w:r>
        <w:rPr>
          <w:rFonts w:ascii="Arial" w:cs="Arial" w:eastAsia="Arial" w:hAnsi="Arial"/>
          <w:sz w:val="17"/>
          <w:szCs w:val="17"/>
          <w:color w:val="0066BA"/>
        </w:rPr>
        <w:t>Key Qualifications and Expertise</w:t>
      </w:r>
    </w:p>
    <w:p>
      <w:pPr>
        <w:spacing w:after="0" w:line="25" w:lineRule="exact"/>
        <w:rPr>
          <w:sz w:val="20"/>
          <w:szCs w:val="20"/>
          <w:color w:val="auto"/>
        </w:rPr>
      </w:pPr>
    </w:p>
    <w:p>
      <w:pPr>
        <w:ind w:left="480" w:right="2160"/>
        <w:spacing w:after="0" w:line="271" w:lineRule="auto"/>
        <w:rPr>
          <w:sz w:val="20"/>
          <w:szCs w:val="20"/>
          <w:color w:val="auto"/>
        </w:rPr>
      </w:pPr>
      <w:r>
        <w:rPr>
          <w:rFonts w:ascii="Arial" w:cs="Arial" w:eastAsia="Arial" w:hAnsi="Arial"/>
          <w:sz w:val="17"/>
          <w:szCs w:val="17"/>
          <w:color w:val="auto"/>
        </w:rPr>
        <w:t>Ms. Golz’s accounting and audit expertise and extensive experience helping large organizations successfully navigate the complexities of international trade and regulation.</w:t>
      </w:r>
    </w:p>
    <w:p>
      <w:pPr>
        <w:spacing w:after="0" w:line="80" w:lineRule="exact"/>
        <w:rPr>
          <w:sz w:val="20"/>
          <w:szCs w:val="20"/>
          <w:color w:val="auto"/>
        </w:rPr>
      </w:pPr>
    </w:p>
    <w:tbl>
      <w:tblPr>
        <w:tblLayout w:type="fixed"/>
        <w:tblInd w:w="480" w:type="dxa"/>
        <w:tblCellMar>
          <w:top w:w="0" w:type="dxa"/>
          <w:left w:w="0" w:type="dxa"/>
          <w:bottom w:w="0" w:type="dxa"/>
          <w:right w:w="0" w:type="dxa"/>
        </w:tblCellMar>
      </w:tblPr>
      <w:tr>
        <w:trPr>
          <w:trHeight w:val="221"/>
        </w:trPr>
        <w:tc>
          <w:tcPr>
            <w:tcW w:w="2600" w:type="dxa"/>
            <w:vAlign w:val="bottom"/>
          </w:tcPr>
          <w:p>
            <w:pPr>
              <w:spacing w:after="0"/>
              <w:rPr>
                <w:sz w:val="20"/>
                <w:szCs w:val="20"/>
                <w:color w:val="auto"/>
              </w:rPr>
            </w:pPr>
            <w:r>
              <w:rPr>
                <w:rFonts w:ascii="Arial" w:cs="Arial" w:eastAsia="Arial" w:hAnsi="Arial"/>
                <w:sz w:val="17"/>
                <w:szCs w:val="17"/>
                <w:color w:val="0066BA"/>
              </w:rPr>
              <w:t>Other Public Company Boards:</w:t>
            </w:r>
          </w:p>
        </w:tc>
        <w:tc>
          <w:tcPr>
            <w:tcW w:w="7700" w:type="dxa"/>
            <w:vAlign w:val="bottom"/>
          </w:tcPr>
          <w:p>
            <w:pPr>
              <w:spacing w:after="0"/>
              <w:rPr>
                <w:sz w:val="19"/>
                <w:szCs w:val="19"/>
                <w:color w:val="auto"/>
              </w:rPr>
            </w:pPr>
          </w:p>
        </w:tc>
      </w:tr>
      <w:tr>
        <w:trPr>
          <w:trHeight w:val="274"/>
        </w:trPr>
        <w:tc>
          <w:tcPr>
            <w:tcW w:w="2600" w:type="dxa"/>
            <w:vAlign w:val="bottom"/>
          </w:tcPr>
          <w:p>
            <w:pPr>
              <w:spacing w:after="0"/>
              <w:rPr>
                <w:sz w:val="20"/>
                <w:szCs w:val="20"/>
                <w:color w:val="auto"/>
              </w:rPr>
            </w:pPr>
            <w:r>
              <w:rPr>
                <w:rFonts w:ascii="Arial" w:cs="Arial" w:eastAsia="Arial" w:hAnsi="Arial"/>
                <w:sz w:val="17"/>
                <w:szCs w:val="17"/>
                <w:color w:val="0066BA"/>
              </w:rPr>
              <w:t xml:space="preserve">Current: </w:t>
            </w:r>
            <w:r>
              <w:rPr>
                <w:rFonts w:ascii="Arial" w:cs="Arial" w:eastAsia="Arial" w:hAnsi="Arial"/>
                <w:sz w:val="17"/>
                <w:szCs w:val="17"/>
                <w:color w:val="000000"/>
              </w:rPr>
              <w:t>Aspen Technology, Inc.</w:t>
            </w:r>
          </w:p>
        </w:tc>
        <w:tc>
          <w:tcPr>
            <w:tcW w:w="7700" w:type="dxa"/>
            <w:vAlign w:val="bottom"/>
          </w:tcPr>
          <w:p>
            <w:pPr>
              <w:ind w:left="360"/>
              <w:spacing w:after="0"/>
              <w:rPr>
                <w:sz w:val="20"/>
                <w:szCs w:val="20"/>
                <w:color w:val="auto"/>
              </w:rPr>
            </w:pPr>
            <w:r>
              <w:rPr>
                <w:rFonts w:ascii="Arial" w:cs="Arial" w:eastAsia="Arial" w:hAnsi="Arial"/>
                <w:sz w:val="17"/>
                <w:szCs w:val="17"/>
                <w:color w:val="0066BA"/>
              </w:rPr>
              <w:t xml:space="preserve">Past 5 Years: </w:t>
            </w:r>
            <w:r>
              <w:rPr>
                <w:rFonts w:ascii="Arial" w:cs="Arial" w:eastAsia="Arial" w:hAnsi="Arial"/>
                <w:sz w:val="17"/>
                <w:szCs w:val="17"/>
                <w:color w:val="000000"/>
              </w:rPr>
              <w:t>None</w:t>
            </w:r>
          </w:p>
        </w:tc>
      </w:tr>
      <w:tr>
        <w:trPr>
          <w:trHeight w:val="221"/>
        </w:trPr>
        <w:tc>
          <w:tcPr>
            <w:tcW w:w="2600" w:type="dxa"/>
            <w:vAlign w:val="bottom"/>
          </w:tcPr>
          <w:p>
            <w:pPr>
              <w:ind w:left="600"/>
              <w:spacing w:after="0"/>
              <w:rPr>
                <w:sz w:val="20"/>
                <w:szCs w:val="20"/>
                <w:color w:val="auto"/>
              </w:rPr>
            </w:pPr>
            <w:r>
              <w:rPr>
                <w:rFonts w:ascii="Arial" w:cs="Arial" w:eastAsia="Arial" w:hAnsi="Arial"/>
                <w:sz w:val="17"/>
                <w:szCs w:val="17"/>
                <w:color w:val="auto"/>
              </w:rPr>
              <w:t>iRobot Corporation</w:t>
            </w:r>
          </w:p>
        </w:tc>
        <w:tc>
          <w:tcPr>
            <w:tcW w:w="7700" w:type="dxa"/>
            <w:vAlign w:val="bottom"/>
          </w:tcPr>
          <w:p>
            <w:pPr>
              <w:spacing w:after="0"/>
              <w:rPr>
                <w:sz w:val="19"/>
                <w:szCs w:val="19"/>
                <w:color w:val="auto"/>
              </w:rPr>
            </w:pPr>
          </w:p>
        </w:tc>
      </w:tr>
      <w:tr>
        <w:trPr>
          <w:trHeight w:val="260"/>
        </w:trPr>
        <w:tc>
          <w:tcPr>
            <w:tcW w:w="2600" w:type="dxa"/>
            <w:vAlign w:val="bottom"/>
            <w:tcBorders>
              <w:bottom w:val="single" w:sz="8" w:color="0066BA"/>
            </w:tcBorders>
          </w:tcPr>
          <w:p>
            <w:pPr>
              <w:spacing w:after="0"/>
              <w:rPr>
                <w:sz w:val="22"/>
                <w:szCs w:val="22"/>
                <w:color w:val="auto"/>
              </w:rPr>
            </w:pPr>
          </w:p>
        </w:tc>
        <w:tc>
          <w:tcPr>
            <w:tcW w:w="7700" w:type="dxa"/>
            <w:vAlign w:val="bottom"/>
            <w:tcBorders>
              <w:bottom w:val="single" w:sz="8" w:color="0066BA"/>
            </w:tcBorders>
          </w:tcPr>
          <w:p>
            <w:pPr>
              <w:spacing w:after="0"/>
              <w:rPr>
                <w:sz w:val="22"/>
                <w:szCs w:val="22"/>
                <w:color w:val="auto"/>
              </w:rPr>
            </w:pPr>
          </w:p>
        </w:tc>
      </w:tr>
    </w:tbl>
    <w:p>
      <w:pPr>
        <w:spacing w:after="0" w:line="200" w:lineRule="exact"/>
        <w:rPr>
          <w:sz w:val="20"/>
          <w:szCs w:val="20"/>
          <w:color w:val="auto"/>
        </w:rPr>
      </w:pPr>
    </w:p>
    <w:p>
      <w:pPr>
        <w:spacing w:after="0" w:line="28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780"/>
          </w:cols>
          <w:pgMar w:left="320" w:top="447" w:right="799" w:bottom="1440" w:gutter="0" w:footer="0" w:header="0"/>
          <w:type w:val="continuous"/>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201295</wp:posOffset>
            </wp:positionV>
            <wp:extent cx="6534150" cy="14541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534150" cy="14541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480"/>
        <w:spacing w:after="0"/>
        <w:rPr>
          <w:sz w:val="20"/>
          <w:szCs w:val="20"/>
          <w:color w:val="auto"/>
        </w:rPr>
      </w:pPr>
      <w:r>
        <w:rPr>
          <w:rFonts w:ascii="Arial" w:cs="Arial" w:eastAsia="Arial" w:hAnsi="Arial"/>
          <w:sz w:val="38"/>
          <w:szCs w:val="38"/>
          <w:color w:val="0066BA"/>
        </w:rPr>
        <w:t>Mercedes Johnson</w:t>
      </w:r>
    </w:p>
    <w:p>
      <w:pPr>
        <w:spacing w:after="0" w:line="104" w:lineRule="exact"/>
        <w:rPr>
          <w:sz w:val="20"/>
          <w:szCs w:val="20"/>
          <w:color w:val="auto"/>
        </w:rPr>
      </w:pPr>
    </w:p>
    <w:p>
      <w:pPr>
        <w:ind w:left="480" w:right="5720"/>
        <w:spacing w:after="0" w:line="335" w:lineRule="auto"/>
        <w:rPr>
          <w:sz w:val="20"/>
          <w:szCs w:val="20"/>
          <w:color w:val="auto"/>
        </w:rPr>
      </w:pPr>
      <w:r>
        <w:rPr>
          <w:rFonts w:ascii="Arial" w:cs="Arial" w:eastAsia="Arial" w:hAnsi="Arial"/>
          <w:sz w:val="17"/>
          <w:szCs w:val="17"/>
          <w:color w:val="0066BA"/>
        </w:rPr>
        <w:t xml:space="preserve">Independent Director since: </w:t>
      </w:r>
      <w:r>
        <w:rPr>
          <w:rFonts w:ascii="Arial" w:cs="Arial" w:eastAsia="Arial" w:hAnsi="Arial"/>
          <w:sz w:val="17"/>
          <w:szCs w:val="17"/>
          <w:color w:val="000000"/>
        </w:rPr>
        <w:t>2021</w:t>
      </w:r>
      <w:r>
        <w:rPr>
          <w:rFonts w:ascii="Arial" w:cs="Arial" w:eastAsia="Arial" w:hAnsi="Arial"/>
          <w:sz w:val="17"/>
          <w:szCs w:val="17"/>
          <w:color w:val="0066BA"/>
        </w:rPr>
        <w:t xml:space="preserve"> Age: </w:t>
      </w:r>
      <w:r>
        <w:rPr>
          <w:rFonts w:ascii="Arial" w:cs="Arial" w:eastAsia="Arial" w:hAnsi="Arial"/>
          <w:sz w:val="17"/>
          <w:szCs w:val="17"/>
          <w:color w:val="000000"/>
        </w:rPr>
        <w:t>67</w:t>
      </w:r>
      <w:r>
        <w:rPr>
          <w:rFonts w:ascii="Arial" w:cs="Arial" w:eastAsia="Arial" w:hAnsi="Arial"/>
          <w:sz w:val="17"/>
          <w:szCs w:val="17"/>
          <w:color w:val="0066BA"/>
        </w:rPr>
        <w:t xml:space="preserve"> Committee(s): </w:t>
      </w:r>
      <w:r>
        <w:rPr>
          <w:rFonts w:ascii="Arial" w:cs="Arial" w:eastAsia="Arial" w:hAnsi="Arial"/>
          <w:sz w:val="17"/>
          <w:szCs w:val="17"/>
          <w:color w:val="000000"/>
        </w:rPr>
        <w:t>Audit</w:t>
      </w:r>
      <w:r>
        <w:rPr>
          <w:rFonts w:ascii="Arial" w:cs="Arial" w:eastAsia="Arial" w:hAnsi="Arial"/>
          <w:sz w:val="17"/>
          <w:szCs w:val="17"/>
          <w:color w:val="0066BA"/>
        </w:rPr>
        <w:t xml:space="preserve"> Professional Experience and Background</w:t>
      </w:r>
    </w:p>
    <w:p>
      <w:pPr>
        <w:ind w:left="480" w:right="2380"/>
        <w:spacing w:after="0" w:line="277" w:lineRule="auto"/>
        <w:rPr>
          <w:sz w:val="20"/>
          <w:szCs w:val="20"/>
          <w:color w:val="auto"/>
        </w:rPr>
      </w:pPr>
      <w:r>
        <w:rPr>
          <w:rFonts w:ascii="Arial" w:cs="Arial" w:eastAsia="Arial" w:hAnsi="Arial"/>
          <w:sz w:val="16"/>
          <w:szCs w:val="16"/>
          <w:color w:val="auto"/>
        </w:rPr>
        <w:t>Ms. Johnson is a seasoned executive with more than 20 years of experience in finance, accounting, corporate development, corporate governance, management, and operations. Ms. Johnson served as interim Chief Financial Officer (CFO) of Intersil Corporation from April 2013 to September 2013 and as Senior Vice President and Chief Financial Officer of Avago Technologies Limited (now Broadcom Inc.) from December 2005 to August 2008. Prior to joining Avago, Ms. Johnson was Senior Vice President, Finance, of Lam Research Corporation from June 2004 to January 2005 and Chief Financial Officer of Lam from May 1997 to May 2004.</w:t>
      </w:r>
    </w:p>
    <w:p>
      <w:pPr>
        <w:spacing w:after="0" w:line="79" w:lineRule="exact"/>
        <w:rPr>
          <w:sz w:val="20"/>
          <w:szCs w:val="20"/>
          <w:color w:val="auto"/>
        </w:rPr>
      </w:pPr>
    </w:p>
    <w:p>
      <w:pPr>
        <w:ind w:left="480"/>
        <w:spacing w:after="0"/>
        <w:rPr>
          <w:sz w:val="20"/>
          <w:szCs w:val="20"/>
          <w:color w:val="auto"/>
        </w:rPr>
      </w:pPr>
      <w:r>
        <w:rPr>
          <w:rFonts w:ascii="Arial" w:cs="Arial" w:eastAsia="Arial" w:hAnsi="Arial"/>
          <w:sz w:val="17"/>
          <w:szCs w:val="17"/>
          <w:color w:val="0066BA"/>
        </w:rPr>
        <w:t>Key Qualifications and Expertise</w:t>
      </w:r>
    </w:p>
    <w:p>
      <w:pPr>
        <w:spacing w:after="0" w:line="25" w:lineRule="exact"/>
        <w:rPr>
          <w:sz w:val="20"/>
          <w:szCs w:val="20"/>
          <w:color w:val="auto"/>
        </w:rPr>
      </w:pPr>
    </w:p>
    <w:p>
      <w:pPr>
        <w:ind w:left="480" w:right="3260"/>
        <w:spacing w:after="0" w:line="339" w:lineRule="auto"/>
        <w:rPr>
          <w:sz w:val="20"/>
          <w:szCs w:val="20"/>
          <w:color w:val="auto"/>
        </w:rPr>
      </w:pPr>
      <w:r>
        <w:rPr>
          <w:rFonts w:ascii="Arial" w:cs="Arial" w:eastAsia="Arial" w:hAnsi="Arial"/>
          <w:sz w:val="15"/>
          <w:szCs w:val="15"/>
          <w:color w:val="auto"/>
        </w:rPr>
        <w:t>Ms. Johnson’s valuable industry experience as a former senior financial executive at semiconductor and semiconductor equipment companies as well as current directorships at global technology companies.</w:t>
      </w:r>
    </w:p>
    <w:p>
      <w:pPr>
        <w:sectPr>
          <w:pgSz w:w="11900" w:h="16838" w:orient="portrait"/>
          <w:cols w:equalWidth="0" w:num="1">
            <w:col w:w="10940"/>
          </w:cols>
          <w:pgMar w:left="320" w:top="447" w:right="639" w:bottom="1440" w:gutter="0" w:footer="0" w:header="0"/>
        </w:sectPr>
      </w:pPr>
    </w:p>
    <w:p>
      <w:pPr>
        <w:spacing w:after="0" w:line="34" w:lineRule="exact"/>
        <w:rPr>
          <w:sz w:val="20"/>
          <w:szCs w:val="20"/>
          <w:color w:val="auto"/>
        </w:rPr>
      </w:pPr>
    </w:p>
    <w:p>
      <w:pPr>
        <w:ind w:left="480"/>
        <w:spacing w:after="0"/>
        <w:rPr>
          <w:sz w:val="20"/>
          <w:szCs w:val="20"/>
          <w:color w:val="auto"/>
        </w:rPr>
      </w:pPr>
      <w:r>
        <w:rPr>
          <w:rFonts w:ascii="Arial" w:cs="Arial" w:eastAsia="Arial" w:hAnsi="Arial"/>
          <w:sz w:val="17"/>
          <w:szCs w:val="17"/>
          <w:color w:val="0066BA"/>
        </w:rPr>
        <w:t>Other Public Company Boards:</w:t>
      </w:r>
    </w:p>
    <w:p>
      <w:pPr>
        <w:spacing w:after="0" w:line="26" w:lineRule="exact"/>
        <w:rPr>
          <w:sz w:val="20"/>
          <w:szCs w:val="20"/>
          <w:color w:val="auto"/>
        </w:rPr>
      </w:pPr>
    </w:p>
    <w:p>
      <w:pPr>
        <w:ind w:left="480"/>
        <w:spacing w:after="0"/>
        <w:rPr>
          <w:sz w:val="20"/>
          <w:szCs w:val="20"/>
          <w:color w:val="auto"/>
        </w:rPr>
      </w:pPr>
      <w:r>
        <w:rPr>
          <w:rFonts w:ascii="Arial" w:cs="Arial" w:eastAsia="Arial" w:hAnsi="Arial"/>
          <w:sz w:val="17"/>
          <w:szCs w:val="17"/>
          <w:color w:val="0066BA"/>
        </w:rPr>
        <w:t xml:space="preserve">Current: </w:t>
      </w:r>
      <w:r>
        <w:rPr>
          <w:rFonts w:ascii="Arial" w:cs="Arial" w:eastAsia="Arial" w:hAnsi="Arial"/>
          <w:sz w:val="17"/>
          <w:szCs w:val="17"/>
          <w:color w:val="000000"/>
        </w:rPr>
        <w:t>Teradyne, Inc.</w:t>
      </w:r>
    </w:p>
    <w:p>
      <w:pPr>
        <w:spacing w:after="0" w:line="25"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Synopsys, Inc.</w:t>
      </w:r>
    </w:p>
    <w:p>
      <w:pPr>
        <w:spacing w:after="0" w:line="13"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Millicom International Cellular SA</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0066BA"/>
        </w:rPr>
        <w:t xml:space="preserve">Past 5 Years: </w:t>
      </w:r>
      <w:r>
        <w:rPr>
          <w:rFonts w:ascii="Arial" w:cs="Arial" w:eastAsia="Arial" w:hAnsi="Arial"/>
          <w:sz w:val="17"/>
          <w:szCs w:val="17"/>
          <w:color w:val="000000"/>
        </w:rPr>
        <w:t>Juniper Networks, Inc. (until 2019)</w:t>
      </w:r>
    </w:p>
    <w:p>
      <w:pPr>
        <w:spacing w:after="0" w:line="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Micron Technology, Inc. (until 2019)</w:t>
      </w:r>
    </w:p>
    <w:p>
      <w:pPr>
        <w:spacing w:after="0" w:line="13"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Intersil Corporation (until 2017)</w:t>
      </w:r>
    </w:p>
    <w:p>
      <w:pPr>
        <w:spacing w:after="0" w:line="13"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Maxim Integrated Products, Inc. (until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-1972945</wp:posOffset>
            </wp:positionH>
            <wp:positionV relativeFrom="paragraph">
              <wp:posOffset>163830</wp:posOffset>
            </wp:positionV>
            <wp:extent cx="6534150" cy="14541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534150" cy="14541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20" w:space="60"/>
            <w:col w:w="7360"/>
          </w:cols>
          <w:pgMar w:left="320" w:top="447" w:right="639" w:bottom="1440" w:gutter="0" w:footer="0" w:header="0"/>
          <w:type w:val="continuous"/>
        </w:sectPr>
      </w:pPr>
    </w:p>
    <w:p>
      <w:pPr>
        <w:spacing w:after="0" w:line="272" w:lineRule="exact"/>
        <w:rPr>
          <w:sz w:val="20"/>
          <w:szCs w:val="20"/>
          <w:color w:val="auto"/>
        </w:rPr>
      </w:pPr>
    </w:p>
    <w:p>
      <w:pPr>
        <w:ind w:left="480"/>
        <w:spacing w:after="0"/>
        <w:rPr>
          <w:sz w:val="20"/>
          <w:szCs w:val="20"/>
          <w:color w:val="auto"/>
        </w:rPr>
      </w:pPr>
      <w:r>
        <w:rPr>
          <w:rFonts w:ascii="Arial" w:cs="Arial" w:eastAsia="Arial" w:hAnsi="Arial"/>
          <w:sz w:val="38"/>
          <w:szCs w:val="38"/>
          <w:color w:val="0066BA"/>
        </w:rPr>
        <w:t>Kenton J. Sicchitano</w:t>
      </w:r>
    </w:p>
    <w:p>
      <w:pPr>
        <w:spacing w:after="0" w:line="104" w:lineRule="exact"/>
        <w:rPr>
          <w:sz w:val="20"/>
          <w:szCs w:val="20"/>
          <w:color w:val="auto"/>
        </w:rPr>
      </w:pPr>
    </w:p>
    <w:p>
      <w:pPr>
        <w:ind w:left="480" w:right="3200"/>
        <w:spacing w:after="0" w:line="335" w:lineRule="auto"/>
        <w:rPr>
          <w:sz w:val="20"/>
          <w:szCs w:val="20"/>
          <w:color w:val="auto"/>
        </w:rPr>
      </w:pPr>
      <w:r>
        <w:rPr>
          <w:rFonts w:ascii="Arial" w:cs="Arial" w:eastAsia="Arial" w:hAnsi="Arial"/>
          <w:sz w:val="17"/>
          <w:szCs w:val="17"/>
          <w:color w:val="0066BA"/>
        </w:rPr>
        <w:t xml:space="preserve">Independent Director since: </w:t>
      </w:r>
      <w:r>
        <w:rPr>
          <w:rFonts w:ascii="Arial" w:cs="Arial" w:eastAsia="Arial" w:hAnsi="Arial"/>
          <w:sz w:val="17"/>
          <w:szCs w:val="17"/>
          <w:color w:val="000000"/>
        </w:rPr>
        <w:t>2003</w:t>
      </w:r>
      <w:r>
        <w:rPr>
          <w:rFonts w:ascii="Arial" w:cs="Arial" w:eastAsia="Arial" w:hAnsi="Arial"/>
          <w:sz w:val="17"/>
          <w:szCs w:val="17"/>
          <w:color w:val="0066BA"/>
        </w:rPr>
        <w:t xml:space="preserve"> Age: </w:t>
      </w:r>
      <w:r>
        <w:rPr>
          <w:rFonts w:ascii="Arial" w:cs="Arial" w:eastAsia="Arial" w:hAnsi="Arial"/>
          <w:sz w:val="17"/>
          <w:szCs w:val="17"/>
          <w:color w:val="000000"/>
        </w:rPr>
        <w:t>77</w:t>
      </w:r>
      <w:r>
        <w:rPr>
          <w:rFonts w:ascii="Arial" w:cs="Arial" w:eastAsia="Arial" w:hAnsi="Arial"/>
          <w:sz w:val="17"/>
          <w:szCs w:val="17"/>
          <w:color w:val="0066BA"/>
        </w:rPr>
        <w:t xml:space="preserve"> Committee(s): </w:t>
      </w:r>
      <w:r>
        <w:rPr>
          <w:rFonts w:ascii="Arial" w:cs="Arial" w:eastAsia="Arial" w:hAnsi="Arial"/>
          <w:sz w:val="17"/>
          <w:szCs w:val="17"/>
          <w:color w:val="000000"/>
        </w:rPr>
        <w:t>Nominating and Corporate Governance</w:t>
      </w:r>
      <w:r>
        <w:rPr>
          <w:rFonts w:ascii="Arial" w:cs="Arial" w:eastAsia="Arial" w:hAnsi="Arial"/>
          <w:sz w:val="17"/>
          <w:szCs w:val="17"/>
          <w:color w:val="0066BA"/>
        </w:rPr>
        <w:t xml:space="preserve"> Professional Experience and Background</w:t>
      </w:r>
    </w:p>
    <w:p>
      <w:pPr>
        <w:ind w:left="480" w:right="2600"/>
        <w:spacing w:after="0" w:line="258" w:lineRule="auto"/>
        <w:rPr>
          <w:sz w:val="20"/>
          <w:szCs w:val="20"/>
          <w:color w:val="auto"/>
        </w:rPr>
      </w:pPr>
      <w:r>
        <w:rPr>
          <w:rFonts w:ascii="Arial" w:cs="Arial" w:eastAsia="Arial" w:hAnsi="Arial"/>
          <w:sz w:val="17"/>
          <w:szCs w:val="17"/>
          <w:color w:val="auto"/>
        </w:rPr>
        <w:t>Mr. Sicchitano retired from PricewaterhouseCoopers LLP, or PwC, a public accounting firm, in July 2001. At the time of his retirement, Mr. Sicchitano was the Global Managing Partner of Independence and Regulatory Matters for PwC. Mr. Sicchitano joined Price Waterhouse LLP, a predecessor firm of PwC, in 1970 and became a partner in 1979. During his 31-year tenure with PwC, Mr. Sicchitano held various positions, including the Global Managing Partner of Audit/Business Advisory Services and the Global Managing Partner responsible for Audit/Business Advisory, Tax and Financial Advisory Services.</w:t>
      </w:r>
    </w:p>
    <w:p>
      <w:pPr>
        <w:spacing w:after="0" w:line="93" w:lineRule="exact"/>
        <w:rPr>
          <w:sz w:val="20"/>
          <w:szCs w:val="20"/>
          <w:color w:val="auto"/>
        </w:rPr>
      </w:pPr>
    </w:p>
    <w:p>
      <w:pPr>
        <w:ind w:left="480"/>
        <w:spacing w:after="0"/>
        <w:rPr>
          <w:sz w:val="20"/>
          <w:szCs w:val="20"/>
          <w:color w:val="auto"/>
        </w:rPr>
      </w:pPr>
      <w:r>
        <w:rPr>
          <w:rFonts w:ascii="Arial" w:cs="Arial" w:eastAsia="Arial" w:hAnsi="Arial"/>
          <w:sz w:val="17"/>
          <w:szCs w:val="17"/>
          <w:color w:val="0066BA"/>
        </w:rPr>
        <w:t>Key Qualifications and Expertise</w:t>
      </w:r>
    </w:p>
    <w:p>
      <w:pPr>
        <w:spacing w:after="0" w:line="2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Mr. Sicchitano’s extensive experience with public and financial accounting matters for complex global organizations.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7"/>
          <w:szCs w:val="17"/>
          <w:color w:val="0066BA"/>
        </w:rPr>
        <w:t>Other Public Company Boards:</w:t>
      </w:r>
    </w:p>
    <w:p>
      <w:pPr>
        <w:spacing w:after="0" w:line="104" w:lineRule="exact"/>
        <w:rPr>
          <w:sz w:val="20"/>
          <w:szCs w:val="20"/>
          <w:color w:val="auto"/>
        </w:rPr>
      </w:pPr>
    </w:p>
    <w:tbl>
      <w:tblPr>
        <w:tblLayout w:type="fixed"/>
        <w:tblInd w:w="480" w:type="dxa"/>
        <w:tblCellMar>
          <w:top w:w="0" w:type="dxa"/>
          <w:left w:w="0" w:type="dxa"/>
          <w:bottom w:w="0" w:type="dxa"/>
          <w:right w:w="0" w:type="dxa"/>
        </w:tblCellMar>
      </w:tblPr>
      <w:tr>
        <w:trPr>
          <w:trHeight w:val="208"/>
        </w:trPr>
        <w:tc>
          <w:tcPr>
            <w:tcW w:w="1300" w:type="dxa"/>
            <w:vAlign w:val="bottom"/>
          </w:tcPr>
          <w:p>
            <w:pPr>
              <w:spacing w:after="0"/>
              <w:rPr>
                <w:sz w:val="20"/>
                <w:szCs w:val="20"/>
                <w:color w:val="auto"/>
              </w:rPr>
            </w:pPr>
            <w:r>
              <w:rPr>
                <w:rFonts w:ascii="Arial" w:cs="Arial" w:eastAsia="Arial" w:hAnsi="Arial"/>
                <w:sz w:val="17"/>
                <w:szCs w:val="17"/>
                <w:color w:val="0066BA"/>
              </w:rPr>
              <w:t xml:space="preserve">Current: </w:t>
            </w:r>
            <w:r>
              <w:rPr>
                <w:rFonts w:ascii="Arial" w:cs="Arial" w:eastAsia="Arial" w:hAnsi="Arial"/>
                <w:sz w:val="17"/>
                <w:szCs w:val="17"/>
                <w:color w:val="000000"/>
              </w:rPr>
              <w:t>None</w:t>
            </w:r>
          </w:p>
        </w:tc>
        <w:tc>
          <w:tcPr>
            <w:tcW w:w="9000" w:type="dxa"/>
            <w:vAlign w:val="bottom"/>
          </w:tcPr>
          <w:p>
            <w:pPr>
              <w:ind w:left="280"/>
              <w:spacing w:after="0"/>
              <w:rPr>
                <w:sz w:val="20"/>
                <w:szCs w:val="20"/>
                <w:color w:val="auto"/>
              </w:rPr>
            </w:pPr>
            <w:r>
              <w:rPr>
                <w:rFonts w:ascii="Arial" w:cs="Arial" w:eastAsia="Arial" w:hAnsi="Arial"/>
                <w:sz w:val="17"/>
                <w:szCs w:val="17"/>
                <w:color w:val="0066BA"/>
              </w:rPr>
              <w:t xml:space="preserve">Past 5 Years: </w:t>
            </w:r>
            <w:r>
              <w:rPr>
                <w:rFonts w:ascii="Arial" w:cs="Arial" w:eastAsia="Arial" w:hAnsi="Arial"/>
                <w:sz w:val="17"/>
                <w:szCs w:val="17"/>
                <w:color w:val="000000"/>
              </w:rPr>
              <w:t>PerkinElmer, Inc. (until 2017)</w:t>
            </w:r>
          </w:p>
        </w:tc>
      </w:tr>
      <w:tr>
        <w:trPr>
          <w:trHeight w:val="221"/>
        </w:trPr>
        <w:tc>
          <w:tcPr>
            <w:tcW w:w="1300" w:type="dxa"/>
            <w:vAlign w:val="bottom"/>
          </w:tcPr>
          <w:p>
            <w:pPr>
              <w:spacing w:after="0"/>
              <w:rPr>
                <w:sz w:val="19"/>
                <w:szCs w:val="19"/>
                <w:color w:val="auto"/>
              </w:rPr>
            </w:pPr>
          </w:p>
        </w:tc>
        <w:tc>
          <w:tcPr>
            <w:tcW w:w="9000" w:type="dxa"/>
            <w:vAlign w:val="bottom"/>
          </w:tcPr>
          <w:p>
            <w:pPr>
              <w:ind w:left="1280"/>
              <w:spacing w:after="0"/>
              <w:rPr>
                <w:sz w:val="20"/>
                <w:szCs w:val="20"/>
                <w:color w:val="auto"/>
              </w:rPr>
            </w:pPr>
            <w:r>
              <w:rPr>
                <w:rFonts w:ascii="Arial" w:cs="Arial" w:eastAsia="Arial" w:hAnsi="Arial"/>
                <w:sz w:val="17"/>
                <w:szCs w:val="17"/>
                <w:color w:val="auto"/>
              </w:rPr>
              <w:t>MetLife, Inc. (until 2017)</w:t>
            </w:r>
          </w:p>
        </w:tc>
      </w:tr>
      <w:tr>
        <w:trPr>
          <w:trHeight w:val="247"/>
        </w:trPr>
        <w:tc>
          <w:tcPr>
            <w:tcW w:w="1300" w:type="dxa"/>
            <w:vAlign w:val="bottom"/>
            <w:tcBorders>
              <w:bottom w:val="single" w:sz="8" w:color="0066BA"/>
            </w:tcBorders>
          </w:tcPr>
          <w:p>
            <w:pPr>
              <w:spacing w:after="0"/>
              <w:rPr>
                <w:sz w:val="21"/>
                <w:szCs w:val="21"/>
                <w:color w:val="auto"/>
              </w:rPr>
            </w:pPr>
          </w:p>
        </w:tc>
        <w:tc>
          <w:tcPr>
            <w:tcW w:w="9000" w:type="dxa"/>
            <w:vAlign w:val="bottom"/>
            <w:tcBorders>
              <w:bottom w:val="single" w:sz="8" w:color="0066BA"/>
            </w:tcBorders>
          </w:tcPr>
          <w:p>
            <w:pPr>
              <w:spacing w:after="0"/>
              <w:rPr>
                <w:sz w:val="21"/>
                <w:szCs w:val="21"/>
                <w:color w:val="auto"/>
              </w:rPr>
            </w:pPr>
          </w:p>
        </w:tc>
      </w:tr>
    </w:tbl>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0940"/>
          </w:cols>
          <w:pgMar w:left="320" w:top="447" w:right="639" w:bottom="1440" w:gutter="0" w:footer="0" w:header="0"/>
          <w:type w:val="continuous"/>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201295</wp:posOffset>
            </wp:positionV>
            <wp:extent cx="6534150" cy="14541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534150" cy="14541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480"/>
        <w:spacing w:after="0"/>
        <w:rPr>
          <w:sz w:val="20"/>
          <w:szCs w:val="20"/>
          <w:color w:val="auto"/>
        </w:rPr>
      </w:pPr>
      <w:r>
        <w:rPr>
          <w:rFonts w:ascii="Arial" w:cs="Arial" w:eastAsia="Arial" w:hAnsi="Arial"/>
          <w:sz w:val="38"/>
          <w:szCs w:val="38"/>
          <w:color w:val="0066BA"/>
        </w:rPr>
        <w:t>Susie Wee</w:t>
      </w:r>
    </w:p>
    <w:p>
      <w:pPr>
        <w:spacing w:after="0" w:line="104" w:lineRule="exact"/>
        <w:rPr>
          <w:sz w:val="20"/>
          <w:szCs w:val="20"/>
          <w:color w:val="auto"/>
        </w:rPr>
      </w:pPr>
    </w:p>
    <w:p>
      <w:pPr>
        <w:ind w:left="480" w:right="4139"/>
        <w:spacing w:after="0" w:line="335" w:lineRule="auto"/>
        <w:rPr>
          <w:sz w:val="20"/>
          <w:szCs w:val="20"/>
          <w:color w:val="auto"/>
        </w:rPr>
      </w:pPr>
      <w:r>
        <w:rPr>
          <w:rFonts w:ascii="Arial" w:cs="Arial" w:eastAsia="Arial" w:hAnsi="Arial"/>
          <w:sz w:val="17"/>
          <w:szCs w:val="17"/>
          <w:color w:val="0066BA"/>
        </w:rPr>
        <w:t xml:space="preserve">Independent Director since: </w:t>
      </w:r>
      <w:r>
        <w:rPr>
          <w:rFonts w:ascii="Arial" w:cs="Arial" w:eastAsia="Arial" w:hAnsi="Arial"/>
          <w:sz w:val="17"/>
          <w:szCs w:val="17"/>
          <w:color w:val="000000"/>
        </w:rPr>
        <w:t>2019</w:t>
      </w:r>
      <w:r>
        <w:rPr>
          <w:rFonts w:ascii="Arial" w:cs="Arial" w:eastAsia="Arial" w:hAnsi="Arial"/>
          <w:sz w:val="17"/>
          <w:szCs w:val="17"/>
          <w:color w:val="0066BA"/>
        </w:rPr>
        <w:t xml:space="preserve"> Age: </w:t>
      </w:r>
      <w:r>
        <w:rPr>
          <w:rFonts w:ascii="Arial" w:cs="Arial" w:eastAsia="Arial" w:hAnsi="Arial"/>
          <w:sz w:val="17"/>
          <w:szCs w:val="17"/>
          <w:color w:val="000000"/>
        </w:rPr>
        <w:t>52</w:t>
      </w:r>
      <w:r>
        <w:rPr>
          <w:rFonts w:ascii="Arial" w:cs="Arial" w:eastAsia="Arial" w:hAnsi="Arial"/>
          <w:sz w:val="17"/>
          <w:szCs w:val="17"/>
          <w:color w:val="0066BA"/>
        </w:rPr>
        <w:t xml:space="preserve"> Committee(s): </w:t>
      </w:r>
      <w:r>
        <w:rPr>
          <w:rFonts w:ascii="Arial" w:cs="Arial" w:eastAsia="Arial" w:hAnsi="Arial"/>
          <w:sz w:val="17"/>
          <w:szCs w:val="17"/>
          <w:color w:val="000000"/>
        </w:rPr>
        <w:t>Compensation</w:t>
      </w:r>
      <w:r>
        <w:rPr>
          <w:rFonts w:ascii="Arial" w:cs="Arial" w:eastAsia="Arial" w:hAnsi="Arial"/>
          <w:sz w:val="17"/>
          <w:szCs w:val="17"/>
          <w:color w:val="0066BA"/>
        </w:rPr>
        <w:t xml:space="preserve"> Professional Experience and Background</w:t>
      </w:r>
    </w:p>
    <w:p>
      <w:pPr>
        <w:ind w:left="480" w:right="1599"/>
        <w:spacing w:after="0" w:line="256" w:lineRule="auto"/>
        <w:rPr>
          <w:sz w:val="20"/>
          <w:szCs w:val="20"/>
          <w:color w:val="auto"/>
        </w:rPr>
      </w:pPr>
      <w:r>
        <w:rPr>
          <w:rFonts w:ascii="Arial" w:cs="Arial" w:eastAsia="Arial" w:hAnsi="Arial"/>
          <w:sz w:val="17"/>
          <w:szCs w:val="17"/>
          <w:color w:val="auto"/>
        </w:rPr>
        <w:t>Dr. Wee is the former Senior Vice President and General Manager of DevNet and CX Ecosystem Success at Cisco Systems Inc., or Cisco, a technology company, a position she held from October 2019 to August 2021. She founded and led DevNet, Cisco’s developer program, beginning in 2013. Dr. Wee began working at Cisco in April 2011, and has held leadership roles including Senior Vice President &amp; Chief Technology Officer of DevNet from October 2018 to October 2019, Vice President &amp; Chief Technology Officer of DevNet from October 2013 to October 2018, Vice President &amp; Chief Technology Officer of Networked Experiences from October 2012 to October 2013, and Vice President &amp; Chief Technology and Experience Officer of Cisco’s Collaboration Technology Group from April 2011 to October 2012. Previously, Dr. Wee had a 15-year career at Hewlett Packard Enterprise Company, a technology company, where she held a number of technical and leadership roles, including Vice President and General Manager of the HP Experience Software Business and Lab Director at HP Labs. Dr. Wee is an IEEE fellow and serves on the visiting committee of the MIT Electrical Engineering and Computer Science department.</w:t>
      </w:r>
    </w:p>
    <w:p>
      <w:pPr>
        <w:spacing w:after="0" w:line="100" w:lineRule="exact"/>
        <w:rPr>
          <w:sz w:val="20"/>
          <w:szCs w:val="20"/>
          <w:color w:val="auto"/>
        </w:rPr>
      </w:pPr>
    </w:p>
    <w:p>
      <w:pPr>
        <w:ind w:left="480"/>
        <w:spacing w:after="0"/>
        <w:rPr>
          <w:sz w:val="20"/>
          <w:szCs w:val="20"/>
          <w:color w:val="auto"/>
        </w:rPr>
      </w:pPr>
      <w:r>
        <w:rPr>
          <w:rFonts w:ascii="Arial" w:cs="Arial" w:eastAsia="Arial" w:hAnsi="Arial"/>
          <w:sz w:val="17"/>
          <w:szCs w:val="17"/>
          <w:color w:val="0066BA"/>
        </w:rPr>
        <w:t>Key Qualifications and Expertise</w:t>
      </w:r>
    </w:p>
    <w:p>
      <w:pPr>
        <w:spacing w:after="0" w:line="25" w:lineRule="exact"/>
        <w:rPr>
          <w:sz w:val="20"/>
          <w:szCs w:val="20"/>
          <w:color w:val="auto"/>
        </w:rPr>
      </w:pPr>
    </w:p>
    <w:p>
      <w:pPr>
        <w:ind w:left="480" w:right="1499"/>
        <w:spacing w:after="0" w:line="271" w:lineRule="auto"/>
        <w:rPr>
          <w:sz w:val="20"/>
          <w:szCs w:val="20"/>
          <w:color w:val="auto"/>
        </w:rPr>
      </w:pPr>
      <w:r>
        <w:rPr>
          <w:rFonts w:ascii="Arial" w:cs="Arial" w:eastAsia="Arial" w:hAnsi="Arial"/>
          <w:sz w:val="17"/>
          <w:szCs w:val="17"/>
          <w:color w:val="auto"/>
        </w:rPr>
        <w:t>Dr. Wee’s extensive experience in information technology and application development, together with her established track record of driving software innovation at global technology companies.</w:t>
      </w:r>
    </w:p>
    <w:p>
      <w:pPr>
        <w:spacing w:after="0" w:line="80" w:lineRule="exact"/>
        <w:rPr>
          <w:sz w:val="20"/>
          <w:szCs w:val="20"/>
          <w:color w:val="auto"/>
        </w:rPr>
      </w:pPr>
    </w:p>
    <w:p>
      <w:pPr>
        <w:ind w:left="480"/>
        <w:spacing w:after="0"/>
        <w:rPr>
          <w:sz w:val="20"/>
          <w:szCs w:val="20"/>
          <w:color w:val="auto"/>
        </w:rPr>
      </w:pPr>
      <w:r>
        <w:rPr>
          <w:rFonts w:ascii="Arial" w:cs="Arial" w:eastAsia="Arial" w:hAnsi="Arial"/>
          <w:sz w:val="17"/>
          <w:szCs w:val="17"/>
          <w:color w:val="0066BA"/>
        </w:rPr>
        <w:t>Other Public Company Boards:</w:t>
      </w:r>
    </w:p>
    <w:p>
      <w:pPr>
        <w:spacing w:after="0" w:line="91" w:lineRule="exact"/>
        <w:rPr>
          <w:sz w:val="20"/>
          <w:szCs w:val="20"/>
          <w:color w:val="auto"/>
        </w:rPr>
      </w:pPr>
    </w:p>
    <w:p>
      <w:pPr>
        <w:ind w:left="480"/>
        <w:spacing w:after="0"/>
        <w:tabs>
          <w:tab w:leader="none" w:pos="2200" w:val="left"/>
        </w:tabs>
        <w:rPr>
          <w:sz w:val="20"/>
          <w:szCs w:val="20"/>
          <w:color w:val="auto"/>
        </w:rPr>
      </w:pPr>
      <w:r>
        <w:rPr>
          <w:rFonts w:ascii="Arial" w:cs="Arial" w:eastAsia="Arial" w:hAnsi="Arial"/>
          <w:sz w:val="17"/>
          <w:szCs w:val="17"/>
          <w:color w:val="0066BA"/>
        </w:rPr>
        <w:t xml:space="preserve">Current: </w:t>
      </w:r>
      <w:r>
        <w:rPr>
          <w:rFonts w:ascii="Arial" w:cs="Arial" w:eastAsia="Arial" w:hAnsi="Arial"/>
          <w:sz w:val="17"/>
          <w:szCs w:val="17"/>
          <w:color w:val="000000"/>
        </w:rPr>
        <w:t>None</w:t>
      </w:r>
      <w:r>
        <w:rPr>
          <w:sz w:val="20"/>
          <w:szCs w:val="20"/>
          <w:color w:val="auto"/>
        </w:rPr>
        <w:tab/>
      </w:r>
      <w:r>
        <w:rPr>
          <w:rFonts w:ascii="Arial" w:cs="Arial" w:eastAsia="Arial" w:hAnsi="Arial"/>
          <w:sz w:val="14"/>
          <w:szCs w:val="14"/>
          <w:color w:val="0066BA"/>
        </w:rPr>
        <w:t xml:space="preserve">Past 5 Years: </w:t>
      </w:r>
      <w:r>
        <w:rPr>
          <w:rFonts w:ascii="Arial" w:cs="Arial" w:eastAsia="Arial" w:hAnsi="Arial"/>
          <w:sz w:val="14"/>
          <w:szCs w:val="14"/>
          <w:color w:val="000000"/>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180975</wp:posOffset>
            </wp:positionV>
            <wp:extent cx="654240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542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0066BA"/>
        </w:rPr>
        <w:t xml:space="preserve">Board Diversity Matrix </w:t>
      </w:r>
      <w:r>
        <w:rPr>
          <w:rFonts w:ascii="Arial" w:cs="Arial" w:eastAsia="Arial" w:hAnsi="Arial"/>
          <w:sz w:val="17"/>
          <w:szCs w:val="17"/>
          <w:b w:val="1"/>
          <w:bCs w:val="1"/>
          <w:color w:val="000000"/>
        </w:rPr>
        <w:t>(as of October 30, 2021)</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0066BA"/>
        </w:rPr>
        <w:t>Total Number of Directors: 13</w:t>
      </w:r>
    </w:p>
    <w:p>
      <w:pPr>
        <w:spacing w:after="0" w:line="103" w:lineRule="exact"/>
        <w:rPr>
          <w:sz w:val="20"/>
          <w:szCs w:val="20"/>
          <w:color w:val="auto"/>
        </w:rPr>
      </w:pPr>
    </w:p>
    <w:tbl>
      <w:tblPr>
        <w:tblLayout w:type="fixed"/>
        <w:tblInd w:w="480" w:type="dxa"/>
        <w:tblCellMar>
          <w:top w:w="0" w:type="dxa"/>
          <w:left w:w="0" w:type="dxa"/>
          <w:bottom w:w="0" w:type="dxa"/>
          <w:right w:w="0" w:type="dxa"/>
        </w:tblCellMar>
      </w:tblPr>
      <w:tr>
        <w:trPr>
          <w:trHeight w:val="173"/>
        </w:trPr>
        <w:tc>
          <w:tcPr>
            <w:tcW w:w="3340" w:type="dxa"/>
            <w:vAlign w:val="bottom"/>
            <w:shd w:val="clear" w:color="auto" w:fill="0066BA"/>
          </w:tcPr>
          <w:p>
            <w:pPr>
              <w:spacing w:after="0"/>
              <w:rPr>
                <w:sz w:val="15"/>
                <w:szCs w:val="15"/>
                <w:color w:val="auto"/>
              </w:rPr>
            </w:pPr>
          </w:p>
        </w:tc>
        <w:tc>
          <w:tcPr>
            <w:tcW w:w="1020" w:type="dxa"/>
            <w:vAlign w:val="bottom"/>
            <w:shd w:val="clear" w:color="auto" w:fill="0066BA"/>
          </w:tcPr>
          <w:p>
            <w:pPr>
              <w:jc w:val="center"/>
              <w:ind w:left="88"/>
              <w:spacing w:after="0"/>
              <w:rPr>
                <w:sz w:val="20"/>
                <w:szCs w:val="20"/>
                <w:color w:val="auto"/>
              </w:rPr>
            </w:pPr>
            <w:r>
              <w:rPr>
                <w:rFonts w:ascii="Arial" w:cs="Arial" w:eastAsia="Arial" w:hAnsi="Arial"/>
                <w:sz w:val="14"/>
                <w:szCs w:val="14"/>
                <w:b w:val="1"/>
                <w:bCs w:val="1"/>
                <w:color w:val="FFFFFF"/>
                <w:w w:val="86"/>
              </w:rPr>
              <w:t>Female</w:t>
            </w:r>
          </w:p>
        </w:tc>
        <w:tc>
          <w:tcPr>
            <w:tcW w:w="1060" w:type="dxa"/>
            <w:vAlign w:val="bottom"/>
            <w:shd w:val="clear" w:color="auto" w:fill="0066BA"/>
          </w:tcPr>
          <w:p>
            <w:pPr>
              <w:jc w:val="center"/>
              <w:ind w:left="83"/>
              <w:spacing w:after="0"/>
              <w:rPr>
                <w:sz w:val="20"/>
                <w:szCs w:val="20"/>
                <w:color w:val="auto"/>
              </w:rPr>
            </w:pPr>
            <w:r>
              <w:rPr>
                <w:rFonts w:ascii="Arial" w:cs="Arial" w:eastAsia="Arial" w:hAnsi="Arial"/>
                <w:sz w:val="14"/>
                <w:szCs w:val="14"/>
                <w:b w:val="1"/>
                <w:bCs w:val="1"/>
                <w:color w:val="FFFFFF"/>
                <w:w w:val="96"/>
              </w:rPr>
              <w:t>Male</w:t>
            </w:r>
          </w:p>
        </w:tc>
        <w:tc>
          <w:tcPr>
            <w:tcW w:w="1040" w:type="dxa"/>
            <w:vAlign w:val="bottom"/>
            <w:shd w:val="clear" w:color="auto" w:fill="0066BA"/>
          </w:tcPr>
          <w:p>
            <w:pPr>
              <w:jc w:val="center"/>
              <w:ind w:left="103"/>
              <w:spacing w:after="0"/>
              <w:rPr>
                <w:sz w:val="20"/>
                <w:szCs w:val="20"/>
                <w:color w:val="auto"/>
              </w:rPr>
            </w:pPr>
            <w:r>
              <w:rPr>
                <w:rFonts w:ascii="Arial" w:cs="Arial" w:eastAsia="Arial" w:hAnsi="Arial"/>
                <w:sz w:val="14"/>
                <w:szCs w:val="14"/>
                <w:b w:val="1"/>
                <w:bCs w:val="1"/>
                <w:color w:val="FFFFFF"/>
                <w:w w:val="92"/>
              </w:rPr>
              <w:t>Non-Binary</w:t>
            </w:r>
          </w:p>
        </w:tc>
        <w:tc>
          <w:tcPr>
            <w:tcW w:w="1140" w:type="dxa"/>
            <w:vAlign w:val="bottom"/>
            <w:shd w:val="clear" w:color="auto" w:fill="0066BA"/>
          </w:tcPr>
          <w:p>
            <w:pPr>
              <w:jc w:val="center"/>
              <w:ind w:left="123"/>
              <w:spacing w:after="0"/>
              <w:rPr>
                <w:sz w:val="20"/>
                <w:szCs w:val="20"/>
                <w:color w:val="auto"/>
              </w:rPr>
            </w:pPr>
            <w:r>
              <w:rPr>
                <w:rFonts w:ascii="Arial" w:cs="Arial" w:eastAsia="Arial" w:hAnsi="Arial"/>
                <w:sz w:val="14"/>
                <w:szCs w:val="14"/>
                <w:b w:val="1"/>
                <w:bCs w:val="1"/>
                <w:color w:val="FFFFFF"/>
                <w:w w:val="92"/>
              </w:rPr>
              <w:t>Did Not</w:t>
            </w:r>
          </w:p>
        </w:tc>
      </w:tr>
      <w:tr>
        <w:trPr>
          <w:trHeight w:val="198"/>
        </w:trPr>
        <w:tc>
          <w:tcPr>
            <w:tcW w:w="3340" w:type="dxa"/>
            <w:vAlign w:val="bottom"/>
            <w:tcBorders>
              <w:bottom w:val="single" w:sz="8" w:color="0066BA"/>
            </w:tcBorders>
            <w:shd w:val="clear" w:color="auto" w:fill="0066BA"/>
          </w:tcPr>
          <w:p>
            <w:pPr>
              <w:spacing w:after="0"/>
              <w:rPr>
                <w:sz w:val="17"/>
                <w:szCs w:val="17"/>
                <w:color w:val="auto"/>
              </w:rPr>
            </w:pPr>
          </w:p>
        </w:tc>
        <w:tc>
          <w:tcPr>
            <w:tcW w:w="1020" w:type="dxa"/>
            <w:vAlign w:val="bottom"/>
            <w:tcBorders>
              <w:bottom w:val="single" w:sz="8" w:color="0066BA"/>
            </w:tcBorders>
            <w:shd w:val="clear" w:color="auto" w:fill="0066BA"/>
          </w:tcPr>
          <w:p>
            <w:pPr>
              <w:spacing w:after="0"/>
              <w:rPr>
                <w:sz w:val="17"/>
                <w:szCs w:val="17"/>
                <w:color w:val="auto"/>
              </w:rPr>
            </w:pPr>
          </w:p>
        </w:tc>
        <w:tc>
          <w:tcPr>
            <w:tcW w:w="1060" w:type="dxa"/>
            <w:vAlign w:val="bottom"/>
            <w:tcBorders>
              <w:bottom w:val="single" w:sz="8" w:color="0066BA"/>
            </w:tcBorders>
            <w:shd w:val="clear" w:color="auto" w:fill="0066BA"/>
          </w:tcPr>
          <w:p>
            <w:pPr>
              <w:spacing w:after="0"/>
              <w:rPr>
                <w:sz w:val="17"/>
                <w:szCs w:val="17"/>
                <w:color w:val="auto"/>
              </w:rPr>
            </w:pPr>
          </w:p>
        </w:tc>
        <w:tc>
          <w:tcPr>
            <w:tcW w:w="1040" w:type="dxa"/>
            <w:vAlign w:val="bottom"/>
            <w:tcBorders>
              <w:bottom w:val="single" w:sz="8" w:color="0066BA"/>
            </w:tcBorders>
            <w:shd w:val="clear" w:color="auto" w:fill="0066BA"/>
          </w:tcPr>
          <w:p>
            <w:pPr>
              <w:spacing w:after="0"/>
              <w:rPr>
                <w:sz w:val="17"/>
                <w:szCs w:val="17"/>
                <w:color w:val="auto"/>
              </w:rPr>
            </w:pPr>
          </w:p>
        </w:tc>
        <w:tc>
          <w:tcPr>
            <w:tcW w:w="1140" w:type="dxa"/>
            <w:vAlign w:val="bottom"/>
            <w:tcBorders>
              <w:bottom w:val="single" w:sz="8" w:color="0066BA"/>
            </w:tcBorders>
            <w:shd w:val="clear" w:color="auto" w:fill="0066BA"/>
          </w:tcPr>
          <w:p>
            <w:pPr>
              <w:jc w:val="center"/>
              <w:ind w:left="103"/>
              <w:spacing w:after="0"/>
              <w:rPr>
                <w:sz w:val="20"/>
                <w:szCs w:val="20"/>
                <w:color w:val="auto"/>
              </w:rPr>
            </w:pPr>
            <w:r>
              <w:rPr>
                <w:rFonts w:ascii="Arial" w:cs="Arial" w:eastAsia="Arial" w:hAnsi="Arial"/>
                <w:sz w:val="14"/>
                <w:szCs w:val="14"/>
                <w:b w:val="1"/>
                <w:bCs w:val="1"/>
                <w:color w:val="FFFFFF"/>
                <w:w w:val="86"/>
              </w:rPr>
              <w:t>Disclose Gender</w:t>
            </w:r>
          </w:p>
        </w:tc>
      </w:tr>
      <w:tr>
        <w:trPr>
          <w:trHeight w:val="247"/>
        </w:trPr>
        <w:tc>
          <w:tcPr>
            <w:tcW w:w="3340" w:type="dxa"/>
            <w:vAlign w:val="bottom"/>
          </w:tcPr>
          <w:p>
            <w:pPr>
              <w:ind w:left="60"/>
              <w:spacing w:after="0"/>
              <w:rPr>
                <w:sz w:val="20"/>
                <w:szCs w:val="20"/>
                <w:color w:val="auto"/>
              </w:rPr>
            </w:pPr>
            <w:r>
              <w:rPr>
                <w:rFonts w:ascii="Arial" w:cs="Arial" w:eastAsia="Arial" w:hAnsi="Arial"/>
                <w:sz w:val="16"/>
                <w:szCs w:val="16"/>
                <w:b w:val="1"/>
                <w:bCs w:val="1"/>
                <w:color w:val="0066BA"/>
              </w:rPr>
              <w:t>Part I: Gender Identity</w:t>
            </w:r>
          </w:p>
        </w:tc>
        <w:tc>
          <w:tcPr>
            <w:tcW w:w="1020" w:type="dxa"/>
            <w:vAlign w:val="bottom"/>
            <w:tcBorders>
              <w:bottom w:val="single" w:sz="8" w:color="EAEAEA"/>
            </w:tcBorders>
            <w:shd w:val="clear" w:color="auto" w:fill="EAEAEA"/>
          </w:tcPr>
          <w:p>
            <w:pPr>
              <w:spacing w:after="0"/>
              <w:rPr>
                <w:sz w:val="21"/>
                <w:szCs w:val="21"/>
                <w:color w:val="auto"/>
              </w:rPr>
            </w:pPr>
          </w:p>
        </w:tc>
        <w:tc>
          <w:tcPr>
            <w:tcW w:w="1060" w:type="dxa"/>
            <w:vAlign w:val="bottom"/>
          </w:tcPr>
          <w:p>
            <w:pPr>
              <w:spacing w:after="0"/>
              <w:rPr>
                <w:sz w:val="21"/>
                <w:szCs w:val="21"/>
                <w:color w:val="auto"/>
              </w:rPr>
            </w:pPr>
          </w:p>
        </w:tc>
        <w:tc>
          <w:tcPr>
            <w:tcW w:w="1040" w:type="dxa"/>
            <w:vAlign w:val="bottom"/>
            <w:tcBorders>
              <w:bottom w:val="single" w:sz="8" w:color="EAEAEA"/>
            </w:tcBorders>
            <w:shd w:val="clear" w:color="auto" w:fill="EAEAEA"/>
          </w:tcPr>
          <w:p>
            <w:pPr>
              <w:spacing w:after="0"/>
              <w:rPr>
                <w:sz w:val="21"/>
                <w:szCs w:val="21"/>
                <w:color w:val="auto"/>
              </w:rPr>
            </w:pPr>
          </w:p>
        </w:tc>
        <w:tc>
          <w:tcPr>
            <w:tcW w:w="1140" w:type="dxa"/>
            <w:vAlign w:val="bottom"/>
          </w:tcPr>
          <w:p>
            <w:pPr>
              <w:spacing w:after="0"/>
              <w:rPr>
                <w:sz w:val="21"/>
                <w:szCs w:val="21"/>
                <w:color w:val="auto"/>
              </w:rPr>
            </w:pPr>
          </w:p>
        </w:tc>
      </w:tr>
      <w:tr>
        <w:trPr>
          <w:trHeight w:val="227"/>
        </w:trPr>
        <w:tc>
          <w:tcPr>
            <w:tcW w:w="334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Directors</w:t>
            </w:r>
          </w:p>
        </w:tc>
        <w:tc>
          <w:tcPr>
            <w:tcW w:w="1020" w:type="dxa"/>
            <w:vAlign w:val="bottom"/>
            <w:tcBorders>
              <w:top w:val="single" w:sz="8" w:color="auto"/>
              <w:bottom w:val="single" w:sz="8" w:color="EAEAEA"/>
            </w:tcBorders>
            <w:shd w:val="clear" w:color="auto" w:fill="EAEAEA"/>
          </w:tcPr>
          <w:p>
            <w:pPr>
              <w:jc w:val="center"/>
              <w:ind w:left="88"/>
              <w:spacing w:after="0"/>
              <w:rPr>
                <w:sz w:val="20"/>
                <w:szCs w:val="20"/>
                <w:color w:val="auto"/>
              </w:rPr>
            </w:pPr>
            <w:r>
              <w:rPr>
                <w:rFonts w:ascii="Arial" w:cs="Arial" w:eastAsia="Arial" w:hAnsi="Arial"/>
                <w:sz w:val="14"/>
                <w:szCs w:val="14"/>
                <w:color w:val="auto"/>
                <w:w w:val="76"/>
              </w:rPr>
              <w:t>4</w:t>
            </w:r>
          </w:p>
        </w:tc>
        <w:tc>
          <w:tcPr>
            <w:tcW w:w="1060" w:type="dxa"/>
            <w:vAlign w:val="bottom"/>
            <w:tcBorders>
              <w:top w:val="single" w:sz="8" w:color="auto"/>
            </w:tcBorders>
          </w:tcPr>
          <w:p>
            <w:pPr>
              <w:jc w:val="center"/>
              <w:ind w:left="103"/>
              <w:spacing w:after="0"/>
              <w:rPr>
                <w:sz w:val="20"/>
                <w:szCs w:val="20"/>
                <w:color w:val="auto"/>
              </w:rPr>
            </w:pPr>
            <w:r>
              <w:rPr>
                <w:rFonts w:ascii="Arial" w:cs="Arial" w:eastAsia="Arial" w:hAnsi="Arial"/>
                <w:sz w:val="16"/>
                <w:szCs w:val="16"/>
                <w:color w:val="auto"/>
                <w:w w:val="89"/>
              </w:rPr>
              <w:t>9</w:t>
            </w:r>
          </w:p>
        </w:tc>
        <w:tc>
          <w:tcPr>
            <w:tcW w:w="1040" w:type="dxa"/>
            <w:vAlign w:val="bottom"/>
            <w:tcBorders>
              <w:top w:val="single" w:sz="8" w:color="auto"/>
              <w:bottom w:val="single" w:sz="8" w:color="EAEAEA"/>
            </w:tcBorders>
            <w:shd w:val="clear" w:color="auto" w:fill="EAEAEA"/>
          </w:tcPr>
          <w:p>
            <w:pPr>
              <w:jc w:val="center"/>
              <w:ind w:left="83"/>
              <w:spacing w:after="0"/>
              <w:rPr>
                <w:sz w:val="20"/>
                <w:szCs w:val="20"/>
                <w:color w:val="auto"/>
              </w:rPr>
            </w:pPr>
            <w:r>
              <w:rPr>
                <w:rFonts w:ascii="Arial" w:cs="Arial" w:eastAsia="Arial" w:hAnsi="Arial"/>
                <w:sz w:val="16"/>
                <w:szCs w:val="16"/>
                <w:color w:val="auto"/>
                <w:w w:val="89"/>
              </w:rPr>
              <w:t>0</w:t>
            </w:r>
          </w:p>
        </w:tc>
        <w:tc>
          <w:tcPr>
            <w:tcW w:w="1140" w:type="dxa"/>
            <w:vAlign w:val="bottom"/>
            <w:tcBorders>
              <w:top w:val="single" w:sz="8" w:color="auto"/>
            </w:tcBorders>
          </w:tcPr>
          <w:p>
            <w:pPr>
              <w:jc w:val="center"/>
              <w:ind w:left="103"/>
              <w:spacing w:after="0"/>
              <w:rPr>
                <w:sz w:val="20"/>
                <w:szCs w:val="20"/>
                <w:color w:val="auto"/>
              </w:rPr>
            </w:pPr>
            <w:r>
              <w:rPr>
                <w:rFonts w:ascii="Arial" w:cs="Arial" w:eastAsia="Arial" w:hAnsi="Arial"/>
                <w:sz w:val="16"/>
                <w:szCs w:val="16"/>
                <w:color w:val="auto"/>
                <w:w w:val="89"/>
              </w:rPr>
              <w:t>0</w:t>
            </w:r>
          </w:p>
        </w:tc>
      </w:tr>
      <w:tr>
        <w:trPr>
          <w:trHeight w:val="227"/>
        </w:trPr>
        <w:tc>
          <w:tcPr>
            <w:tcW w:w="334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0066BA"/>
              </w:rPr>
              <w:t>Part II: Demographic Background</w:t>
            </w:r>
          </w:p>
        </w:tc>
        <w:tc>
          <w:tcPr>
            <w:tcW w:w="1020" w:type="dxa"/>
            <w:vAlign w:val="bottom"/>
            <w:tcBorders>
              <w:top w:val="single" w:sz="8" w:color="auto"/>
              <w:bottom w:val="single" w:sz="8" w:color="EAEAEA"/>
            </w:tcBorders>
            <w:shd w:val="clear" w:color="auto" w:fill="EAEAEA"/>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40" w:type="dxa"/>
            <w:vAlign w:val="bottom"/>
            <w:tcBorders>
              <w:top w:val="single" w:sz="8" w:color="auto"/>
              <w:bottom w:val="single" w:sz="8" w:color="EAEAEA"/>
            </w:tcBorders>
            <w:shd w:val="clear" w:color="auto" w:fill="EAEAEA"/>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27"/>
        </w:trPr>
        <w:tc>
          <w:tcPr>
            <w:tcW w:w="334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African American or Black</w:t>
            </w:r>
          </w:p>
        </w:tc>
        <w:tc>
          <w:tcPr>
            <w:tcW w:w="1020" w:type="dxa"/>
            <w:vAlign w:val="bottom"/>
            <w:tcBorders>
              <w:top w:val="single" w:sz="8" w:color="auto"/>
              <w:bottom w:val="single" w:sz="8" w:color="EAEAEA"/>
            </w:tcBorders>
            <w:shd w:val="clear" w:color="auto" w:fill="EAEAEA"/>
          </w:tcPr>
          <w:p>
            <w:pPr>
              <w:jc w:val="center"/>
              <w:ind w:left="88"/>
              <w:spacing w:after="0"/>
              <w:rPr>
                <w:sz w:val="20"/>
                <w:szCs w:val="20"/>
                <w:color w:val="auto"/>
              </w:rPr>
            </w:pPr>
            <w:r>
              <w:rPr>
                <w:rFonts w:ascii="Arial" w:cs="Arial" w:eastAsia="Arial" w:hAnsi="Arial"/>
                <w:sz w:val="14"/>
                <w:szCs w:val="14"/>
                <w:color w:val="auto"/>
                <w:w w:val="76"/>
              </w:rPr>
              <w:t>0</w:t>
            </w:r>
          </w:p>
        </w:tc>
        <w:tc>
          <w:tcPr>
            <w:tcW w:w="1060" w:type="dxa"/>
            <w:vAlign w:val="bottom"/>
            <w:tcBorders>
              <w:top w:val="single" w:sz="8" w:color="auto"/>
            </w:tcBorders>
          </w:tcPr>
          <w:p>
            <w:pPr>
              <w:jc w:val="center"/>
              <w:ind w:left="103"/>
              <w:spacing w:after="0"/>
              <w:rPr>
                <w:sz w:val="20"/>
                <w:szCs w:val="20"/>
                <w:color w:val="auto"/>
              </w:rPr>
            </w:pPr>
            <w:r>
              <w:rPr>
                <w:rFonts w:ascii="Arial" w:cs="Arial" w:eastAsia="Arial" w:hAnsi="Arial"/>
                <w:sz w:val="16"/>
                <w:szCs w:val="16"/>
                <w:color w:val="auto"/>
                <w:w w:val="89"/>
              </w:rPr>
              <w:t>0</w:t>
            </w:r>
          </w:p>
        </w:tc>
        <w:tc>
          <w:tcPr>
            <w:tcW w:w="1040" w:type="dxa"/>
            <w:vAlign w:val="bottom"/>
            <w:tcBorders>
              <w:top w:val="single" w:sz="8" w:color="auto"/>
              <w:bottom w:val="single" w:sz="8" w:color="EAEAEA"/>
            </w:tcBorders>
            <w:shd w:val="clear" w:color="auto" w:fill="EAEAEA"/>
          </w:tcPr>
          <w:p>
            <w:pPr>
              <w:jc w:val="center"/>
              <w:ind w:left="83"/>
              <w:spacing w:after="0"/>
              <w:rPr>
                <w:sz w:val="20"/>
                <w:szCs w:val="20"/>
                <w:color w:val="auto"/>
              </w:rPr>
            </w:pPr>
            <w:r>
              <w:rPr>
                <w:rFonts w:ascii="Arial" w:cs="Arial" w:eastAsia="Arial" w:hAnsi="Arial"/>
                <w:sz w:val="16"/>
                <w:szCs w:val="16"/>
                <w:color w:val="auto"/>
                <w:w w:val="89"/>
              </w:rPr>
              <w:t>0</w:t>
            </w:r>
          </w:p>
        </w:tc>
        <w:tc>
          <w:tcPr>
            <w:tcW w:w="1140" w:type="dxa"/>
            <w:vAlign w:val="bottom"/>
            <w:tcBorders>
              <w:top w:val="single" w:sz="8" w:color="auto"/>
            </w:tcBorders>
          </w:tcPr>
          <w:p>
            <w:pPr>
              <w:jc w:val="center"/>
              <w:ind w:left="103"/>
              <w:spacing w:after="0"/>
              <w:rPr>
                <w:sz w:val="20"/>
                <w:szCs w:val="20"/>
                <w:color w:val="auto"/>
              </w:rPr>
            </w:pPr>
            <w:r>
              <w:rPr>
                <w:rFonts w:ascii="Arial" w:cs="Arial" w:eastAsia="Arial" w:hAnsi="Arial"/>
                <w:sz w:val="16"/>
                <w:szCs w:val="16"/>
                <w:color w:val="auto"/>
                <w:w w:val="89"/>
              </w:rPr>
              <w:t>0</w:t>
            </w:r>
          </w:p>
        </w:tc>
      </w:tr>
      <w:tr>
        <w:trPr>
          <w:trHeight w:val="227"/>
        </w:trPr>
        <w:tc>
          <w:tcPr>
            <w:tcW w:w="334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Alaskan Native or Native American</w:t>
            </w:r>
          </w:p>
        </w:tc>
        <w:tc>
          <w:tcPr>
            <w:tcW w:w="1020" w:type="dxa"/>
            <w:vAlign w:val="bottom"/>
            <w:tcBorders>
              <w:top w:val="single" w:sz="8" w:color="auto"/>
              <w:bottom w:val="single" w:sz="8" w:color="EAEAEA"/>
            </w:tcBorders>
            <w:shd w:val="clear" w:color="auto" w:fill="EAEAEA"/>
          </w:tcPr>
          <w:p>
            <w:pPr>
              <w:jc w:val="center"/>
              <w:ind w:left="88"/>
              <w:spacing w:after="0"/>
              <w:rPr>
                <w:sz w:val="20"/>
                <w:szCs w:val="20"/>
                <w:color w:val="auto"/>
              </w:rPr>
            </w:pPr>
            <w:r>
              <w:rPr>
                <w:rFonts w:ascii="Arial" w:cs="Arial" w:eastAsia="Arial" w:hAnsi="Arial"/>
                <w:sz w:val="14"/>
                <w:szCs w:val="14"/>
                <w:color w:val="auto"/>
                <w:w w:val="76"/>
              </w:rPr>
              <w:t>0</w:t>
            </w:r>
          </w:p>
        </w:tc>
        <w:tc>
          <w:tcPr>
            <w:tcW w:w="1060" w:type="dxa"/>
            <w:vAlign w:val="bottom"/>
            <w:tcBorders>
              <w:top w:val="single" w:sz="8" w:color="auto"/>
            </w:tcBorders>
          </w:tcPr>
          <w:p>
            <w:pPr>
              <w:jc w:val="center"/>
              <w:ind w:left="103"/>
              <w:spacing w:after="0"/>
              <w:rPr>
                <w:sz w:val="20"/>
                <w:szCs w:val="20"/>
                <w:color w:val="auto"/>
              </w:rPr>
            </w:pPr>
            <w:r>
              <w:rPr>
                <w:rFonts w:ascii="Arial" w:cs="Arial" w:eastAsia="Arial" w:hAnsi="Arial"/>
                <w:sz w:val="16"/>
                <w:szCs w:val="16"/>
                <w:color w:val="auto"/>
                <w:w w:val="89"/>
              </w:rPr>
              <w:t>0</w:t>
            </w:r>
          </w:p>
        </w:tc>
        <w:tc>
          <w:tcPr>
            <w:tcW w:w="1040" w:type="dxa"/>
            <w:vAlign w:val="bottom"/>
            <w:tcBorders>
              <w:top w:val="single" w:sz="8" w:color="auto"/>
              <w:bottom w:val="single" w:sz="8" w:color="EAEAEA"/>
            </w:tcBorders>
            <w:shd w:val="clear" w:color="auto" w:fill="EAEAEA"/>
          </w:tcPr>
          <w:p>
            <w:pPr>
              <w:jc w:val="center"/>
              <w:ind w:left="83"/>
              <w:spacing w:after="0"/>
              <w:rPr>
                <w:sz w:val="20"/>
                <w:szCs w:val="20"/>
                <w:color w:val="auto"/>
              </w:rPr>
            </w:pPr>
            <w:r>
              <w:rPr>
                <w:rFonts w:ascii="Arial" w:cs="Arial" w:eastAsia="Arial" w:hAnsi="Arial"/>
                <w:sz w:val="16"/>
                <w:szCs w:val="16"/>
                <w:color w:val="auto"/>
                <w:w w:val="89"/>
              </w:rPr>
              <w:t>0</w:t>
            </w:r>
          </w:p>
        </w:tc>
        <w:tc>
          <w:tcPr>
            <w:tcW w:w="1140" w:type="dxa"/>
            <w:vAlign w:val="bottom"/>
            <w:tcBorders>
              <w:top w:val="single" w:sz="8" w:color="auto"/>
            </w:tcBorders>
          </w:tcPr>
          <w:p>
            <w:pPr>
              <w:jc w:val="center"/>
              <w:ind w:left="103"/>
              <w:spacing w:after="0"/>
              <w:rPr>
                <w:sz w:val="20"/>
                <w:szCs w:val="20"/>
                <w:color w:val="auto"/>
              </w:rPr>
            </w:pPr>
            <w:r>
              <w:rPr>
                <w:rFonts w:ascii="Arial" w:cs="Arial" w:eastAsia="Arial" w:hAnsi="Arial"/>
                <w:sz w:val="16"/>
                <w:szCs w:val="16"/>
                <w:color w:val="auto"/>
                <w:w w:val="89"/>
              </w:rPr>
              <w:t>0</w:t>
            </w:r>
          </w:p>
        </w:tc>
      </w:tr>
      <w:tr>
        <w:trPr>
          <w:trHeight w:val="227"/>
        </w:trPr>
        <w:tc>
          <w:tcPr>
            <w:tcW w:w="334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Asian</w:t>
            </w:r>
          </w:p>
        </w:tc>
        <w:tc>
          <w:tcPr>
            <w:tcW w:w="1020" w:type="dxa"/>
            <w:vAlign w:val="bottom"/>
            <w:tcBorders>
              <w:top w:val="single" w:sz="8" w:color="auto"/>
              <w:bottom w:val="single" w:sz="8" w:color="EAEAEA"/>
            </w:tcBorders>
            <w:shd w:val="clear" w:color="auto" w:fill="EAEAEA"/>
          </w:tcPr>
          <w:p>
            <w:pPr>
              <w:jc w:val="center"/>
              <w:ind w:left="88"/>
              <w:spacing w:after="0"/>
              <w:rPr>
                <w:sz w:val="20"/>
                <w:szCs w:val="20"/>
                <w:color w:val="auto"/>
              </w:rPr>
            </w:pPr>
            <w:r>
              <w:rPr>
                <w:rFonts w:ascii="Arial" w:cs="Arial" w:eastAsia="Arial" w:hAnsi="Arial"/>
                <w:sz w:val="14"/>
                <w:szCs w:val="14"/>
                <w:color w:val="auto"/>
                <w:w w:val="76"/>
              </w:rPr>
              <w:t>1</w:t>
            </w:r>
          </w:p>
        </w:tc>
        <w:tc>
          <w:tcPr>
            <w:tcW w:w="1060" w:type="dxa"/>
            <w:vAlign w:val="bottom"/>
            <w:tcBorders>
              <w:top w:val="single" w:sz="8" w:color="auto"/>
            </w:tcBorders>
          </w:tcPr>
          <w:p>
            <w:pPr>
              <w:jc w:val="center"/>
              <w:ind w:left="103"/>
              <w:spacing w:after="0"/>
              <w:rPr>
                <w:sz w:val="20"/>
                <w:szCs w:val="20"/>
                <w:color w:val="auto"/>
              </w:rPr>
            </w:pPr>
            <w:r>
              <w:rPr>
                <w:rFonts w:ascii="Arial" w:cs="Arial" w:eastAsia="Arial" w:hAnsi="Arial"/>
                <w:sz w:val="16"/>
                <w:szCs w:val="16"/>
                <w:color w:val="auto"/>
                <w:w w:val="89"/>
              </w:rPr>
              <w:t>1</w:t>
            </w:r>
          </w:p>
        </w:tc>
        <w:tc>
          <w:tcPr>
            <w:tcW w:w="1040" w:type="dxa"/>
            <w:vAlign w:val="bottom"/>
            <w:tcBorders>
              <w:top w:val="single" w:sz="8" w:color="auto"/>
              <w:bottom w:val="single" w:sz="8" w:color="EAEAEA"/>
            </w:tcBorders>
            <w:shd w:val="clear" w:color="auto" w:fill="EAEAEA"/>
          </w:tcPr>
          <w:p>
            <w:pPr>
              <w:jc w:val="center"/>
              <w:ind w:left="83"/>
              <w:spacing w:after="0"/>
              <w:rPr>
                <w:sz w:val="20"/>
                <w:szCs w:val="20"/>
                <w:color w:val="auto"/>
              </w:rPr>
            </w:pPr>
            <w:r>
              <w:rPr>
                <w:rFonts w:ascii="Arial" w:cs="Arial" w:eastAsia="Arial" w:hAnsi="Arial"/>
                <w:sz w:val="16"/>
                <w:szCs w:val="16"/>
                <w:color w:val="auto"/>
                <w:w w:val="89"/>
              </w:rPr>
              <w:t>0</w:t>
            </w:r>
          </w:p>
        </w:tc>
        <w:tc>
          <w:tcPr>
            <w:tcW w:w="1140" w:type="dxa"/>
            <w:vAlign w:val="bottom"/>
            <w:tcBorders>
              <w:top w:val="single" w:sz="8" w:color="auto"/>
            </w:tcBorders>
          </w:tcPr>
          <w:p>
            <w:pPr>
              <w:jc w:val="center"/>
              <w:ind w:left="103"/>
              <w:spacing w:after="0"/>
              <w:rPr>
                <w:sz w:val="20"/>
                <w:szCs w:val="20"/>
                <w:color w:val="auto"/>
              </w:rPr>
            </w:pPr>
            <w:r>
              <w:rPr>
                <w:rFonts w:ascii="Arial" w:cs="Arial" w:eastAsia="Arial" w:hAnsi="Arial"/>
                <w:sz w:val="16"/>
                <w:szCs w:val="16"/>
                <w:color w:val="auto"/>
                <w:w w:val="89"/>
              </w:rPr>
              <w:t>0</w:t>
            </w:r>
          </w:p>
        </w:tc>
      </w:tr>
      <w:tr>
        <w:trPr>
          <w:trHeight w:val="227"/>
        </w:trPr>
        <w:tc>
          <w:tcPr>
            <w:tcW w:w="334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Hispanic or Latinx</w:t>
            </w:r>
          </w:p>
        </w:tc>
        <w:tc>
          <w:tcPr>
            <w:tcW w:w="1020" w:type="dxa"/>
            <w:vAlign w:val="bottom"/>
            <w:tcBorders>
              <w:top w:val="single" w:sz="8" w:color="auto"/>
              <w:bottom w:val="single" w:sz="8" w:color="EAEAEA"/>
            </w:tcBorders>
            <w:shd w:val="clear" w:color="auto" w:fill="EAEAEA"/>
          </w:tcPr>
          <w:p>
            <w:pPr>
              <w:jc w:val="center"/>
              <w:ind w:left="88"/>
              <w:spacing w:after="0"/>
              <w:rPr>
                <w:sz w:val="20"/>
                <w:szCs w:val="20"/>
                <w:color w:val="auto"/>
              </w:rPr>
            </w:pPr>
            <w:r>
              <w:rPr>
                <w:rFonts w:ascii="Arial" w:cs="Arial" w:eastAsia="Arial" w:hAnsi="Arial"/>
                <w:sz w:val="14"/>
                <w:szCs w:val="14"/>
                <w:color w:val="auto"/>
                <w:w w:val="76"/>
              </w:rPr>
              <w:t>1</w:t>
            </w:r>
          </w:p>
        </w:tc>
        <w:tc>
          <w:tcPr>
            <w:tcW w:w="1060" w:type="dxa"/>
            <w:vAlign w:val="bottom"/>
            <w:tcBorders>
              <w:top w:val="single" w:sz="8" w:color="auto"/>
            </w:tcBorders>
          </w:tcPr>
          <w:p>
            <w:pPr>
              <w:jc w:val="center"/>
              <w:ind w:left="103"/>
              <w:spacing w:after="0"/>
              <w:rPr>
                <w:sz w:val="20"/>
                <w:szCs w:val="20"/>
                <w:color w:val="auto"/>
              </w:rPr>
            </w:pPr>
            <w:r>
              <w:rPr>
                <w:rFonts w:ascii="Arial" w:cs="Arial" w:eastAsia="Arial" w:hAnsi="Arial"/>
                <w:sz w:val="16"/>
                <w:szCs w:val="16"/>
                <w:color w:val="auto"/>
                <w:w w:val="89"/>
              </w:rPr>
              <w:t>0</w:t>
            </w:r>
          </w:p>
        </w:tc>
        <w:tc>
          <w:tcPr>
            <w:tcW w:w="1040" w:type="dxa"/>
            <w:vAlign w:val="bottom"/>
            <w:tcBorders>
              <w:top w:val="single" w:sz="8" w:color="auto"/>
              <w:bottom w:val="single" w:sz="8" w:color="EAEAEA"/>
            </w:tcBorders>
            <w:shd w:val="clear" w:color="auto" w:fill="EAEAEA"/>
          </w:tcPr>
          <w:p>
            <w:pPr>
              <w:jc w:val="center"/>
              <w:ind w:left="83"/>
              <w:spacing w:after="0"/>
              <w:rPr>
                <w:sz w:val="20"/>
                <w:szCs w:val="20"/>
                <w:color w:val="auto"/>
              </w:rPr>
            </w:pPr>
            <w:r>
              <w:rPr>
                <w:rFonts w:ascii="Arial" w:cs="Arial" w:eastAsia="Arial" w:hAnsi="Arial"/>
                <w:sz w:val="16"/>
                <w:szCs w:val="16"/>
                <w:color w:val="auto"/>
                <w:w w:val="89"/>
              </w:rPr>
              <w:t>0</w:t>
            </w:r>
          </w:p>
        </w:tc>
        <w:tc>
          <w:tcPr>
            <w:tcW w:w="1140" w:type="dxa"/>
            <w:vAlign w:val="bottom"/>
            <w:tcBorders>
              <w:top w:val="single" w:sz="8" w:color="auto"/>
            </w:tcBorders>
          </w:tcPr>
          <w:p>
            <w:pPr>
              <w:jc w:val="center"/>
              <w:ind w:left="103"/>
              <w:spacing w:after="0"/>
              <w:rPr>
                <w:sz w:val="20"/>
                <w:szCs w:val="20"/>
                <w:color w:val="auto"/>
              </w:rPr>
            </w:pPr>
            <w:r>
              <w:rPr>
                <w:rFonts w:ascii="Arial" w:cs="Arial" w:eastAsia="Arial" w:hAnsi="Arial"/>
                <w:sz w:val="16"/>
                <w:szCs w:val="16"/>
                <w:color w:val="auto"/>
                <w:w w:val="89"/>
              </w:rPr>
              <w:t>0</w:t>
            </w:r>
          </w:p>
        </w:tc>
      </w:tr>
      <w:tr>
        <w:trPr>
          <w:trHeight w:val="227"/>
        </w:trPr>
        <w:tc>
          <w:tcPr>
            <w:tcW w:w="334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Native Hawaiian or Pacific Islander</w:t>
            </w:r>
          </w:p>
        </w:tc>
        <w:tc>
          <w:tcPr>
            <w:tcW w:w="1020" w:type="dxa"/>
            <w:vAlign w:val="bottom"/>
            <w:tcBorders>
              <w:top w:val="single" w:sz="8" w:color="auto"/>
              <w:bottom w:val="single" w:sz="8" w:color="EAEAEA"/>
            </w:tcBorders>
            <w:shd w:val="clear" w:color="auto" w:fill="EAEAEA"/>
          </w:tcPr>
          <w:p>
            <w:pPr>
              <w:jc w:val="center"/>
              <w:ind w:left="88"/>
              <w:spacing w:after="0"/>
              <w:rPr>
                <w:sz w:val="20"/>
                <w:szCs w:val="20"/>
                <w:color w:val="auto"/>
              </w:rPr>
            </w:pPr>
            <w:r>
              <w:rPr>
                <w:rFonts w:ascii="Arial" w:cs="Arial" w:eastAsia="Arial" w:hAnsi="Arial"/>
                <w:sz w:val="14"/>
                <w:szCs w:val="14"/>
                <w:color w:val="auto"/>
                <w:w w:val="76"/>
              </w:rPr>
              <w:t>0</w:t>
            </w:r>
          </w:p>
        </w:tc>
        <w:tc>
          <w:tcPr>
            <w:tcW w:w="1060" w:type="dxa"/>
            <w:vAlign w:val="bottom"/>
            <w:tcBorders>
              <w:top w:val="single" w:sz="8" w:color="auto"/>
            </w:tcBorders>
          </w:tcPr>
          <w:p>
            <w:pPr>
              <w:jc w:val="center"/>
              <w:ind w:left="103"/>
              <w:spacing w:after="0"/>
              <w:rPr>
                <w:sz w:val="20"/>
                <w:szCs w:val="20"/>
                <w:color w:val="auto"/>
              </w:rPr>
            </w:pPr>
            <w:r>
              <w:rPr>
                <w:rFonts w:ascii="Arial" w:cs="Arial" w:eastAsia="Arial" w:hAnsi="Arial"/>
                <w:sz w:val="16"/>
                <w:szCs w:val="16"/>
                <w:color w:val="auto"/>
                <w:w w:val="89"/>
              </w:rPr>
              <w:t>0</w:t>
            </w:r>
          </w:p>
        </w:tc>
        <w:tc>
          <w:tcPr>
            <w:tcW w:w="1040" w:type="dxa"/>
            <w:vAlign w:val="bottom"/>
            <w:tcBorders>
              <w:top w:val="single" w:sz="8" w:color="auto"/>
              <w:bottom w:val="single" w:sz="8" w:color="EAEAEA"/>
            </w:tcBorders>
            <w:shd w:val="clear" w:color="auto" w:fill="EAEAEA"/>
          </w:tcPr>
          <w:p>
            <w:pPr>
              <w:jc w:val="center"/>
              <w:ind w:left="83"/>
              <w:spacing w:after="0"/>
              <w:rPr>
                <w:sz w:val="20"/>
                <w:szCs w:val="20"/>
                <w:color w:val="auto"/>
              </w:rPr>
            </w:pPr>
            <w:r>
              <w:rPr>
                <w:rFonts w:ascii="Arial" w:cs="Arial" w:eastAsia="Arial" w:hAnsi="Arial"/>
                <w:sz w:val="16"/>
                <w:szCs w:val="16"/>
                <w:color w:val="auto"/>
                <w:w w:val="89"/>
              </w:rPr>
              <w:t>0</w:t>
            </w:r>
          </w:p>
        </w:tc>
        <w:tc>
          <w:tcPr>
            <w:tcW w:w="1140" w:type="dxa"/>
            <w:vAlign w:val="bottom"/>
            <w:tcBorders>
              <w:top w:val="single" w:sz="8" w:color="auto"/>
            </w:tcBorders>
          </w:tcPr>
          <w:p>
            <w:pPr>
              <w:jc w:val="center"/>
              <w:ind w:left="103"/>
              <w:spacing w:after="0"/>
              <w:rPr>
                <w:sz w:val="20"/>
                <w:szCs w:val="20"/>
                <w:color w:val="auto"/>
              </w:rPr>
            </w:pPr>
            <w:r>
              <w:rPr>
                <w:rFonts w:ascii="Arial" w:cs="Arial" w:eastAsia="Arial" w:hAnsi="Arial"/>
                <w:sz w:val="16"/>
                <w:szCs w:val="16"/>
                <w:color w:val="auto"/>
                <w:w w:val="89"/>
              </w:rPr>
              <w:t>0</w:t>
            </w:r>
          </w:p>
        </w:tc>
      </w:tr>
      <w:tr>
        <w:trPr>
          <w:trHeight w:val="227"/>
        </w:trPr>
        <w:tc>
          <w:tcPr>
            <w:tcW w:w="334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White</w:t>
            </w:r>
          </w:p>
        </w:tc>
        <w:tc>
          <w:tcPr>
            <w:tcW w:w="1020" w:type="dxa"/>
            <w:vAlign w:val="bottom"/>
            <w:tcBorders>
              <w:top w:val="single" w:sz="8" w:color="auto"/>
              <w:bottom w:val="single" w:sz="8" w:color="EAEAEA"/>
            </w:tcBorders>
            <w:shd w:val="clear" w:color="auto" w:fill="EAEAEA"/>
          </w:tcPr>
          <w:p>
            <w:pPr>
              <w:jc w:val="center"/>
              <w:ind w:left="88"/>
              <w:spacing w:after="0"/>
              <w:rPr>
                <w:sz w:val="20"/>
                <w:szCs w:val="20"/>
                <w:color w:val="auto"/>
              </w:rPr>
            </w:pPr>
            <w:r>
              <w:rPr>
                <w:rFonts w:ascii="Arial" w:cs="Arial" w:eastAsia="Arial" w:hAnsi="Arial"/>
                <w:sz w:val="14"/>
                <w:szCs w:val="14"/>
                <w:color w:val="auto"/>
                <w:w w:val="76"/>
              </w:rPr>
              <w:t>2</w:t>
            </w:r>
          </w:p>
        </w:tc>
        <w:tc>
          <w:tcPr>
            <w:tcW w:w="1060" w:type="dxa"/>
            <w:vAlign w:val="bottom"/>
            <w:tcBorders>
              <w:top w:val="single" w:sz="8" w:color="auto"/>
            </w:tcBorders>
          </w:tcPr>
          <w:p>
            <w:pPr>
              <w:jc w:val="center"/>
              <w:ind w:left="103"/>
              <w:spacing w:after="0"/>
              <w:rPr>
                <w:sz w:val="20"/>
                <w:szCs w:val="20"/>
                <w:color w:val="auto"/>
              </w:rPr>
            </w:pPr>
            <w:r>
              <w:rPr>
                <w:rFonts w:ascii="Arial" w:cs="Arial" w:eastAsia="Arial" w:hAnsi="Arial"/>
                <w:sz w:val="16"/>
                <w:szCs w:val="16"/>
                <w:color w:val="auto"/>
                <w:w w:val="89"/>
              </w:rPr>
              <w:t>8</w:t>
            </w:r>
          </w:p>
        </w:tc>
        <w:tc>
          <w:tcPr>
            <w:tcW w:w="1040" w:type="dxa"/>
            <w:vAlign w:val="bottom"/>
            <w:tcBorders>
              <w:top w:val="single" w:sz="8" w:color="auto"/>
              <w:bottom w:val="single" w:sz="8" w:color="EAEAEA"/>
            </w:tcBorders>
            <w:shd w:val="clear" w:color="auto" w:fill="EAEAEA"/>
          </w:tcPr>
          <w:p>
            <w:pPr>
              <w:jc w:val="center"/>
              <w:ind w:left="83"/>
              <w:spacing w:after="0"/>
              <w:rPr>
                <w:sz w:val="20"/>
                <w:szCs w:val="20"/>
                <w:color w:val="auto"/>
              </w:rPr>
            </w:pPr>
            <w:r>
              <w:rPr>
                <w:rFonts w:ascii="Arial" w:cs="Arial" w:eastAsia="Arial" w:hAnsi="Arial"/>
                <w:sz w:val="16"/>
                <w:szCs w:val="16"/>
                <w:color w:val="auto"/>
                <w:w w:val="89"/>
              </w:rPr>
              <w:t>0</w:t>
            </w:r>
          </w:p>
        </w:tc>
        <w:tc>
          <w:tcPr>
            <w:tcW w:w="1140" w:type="dxa"/>
            <w:vAlign w:val="bottom"/>
            <w:tcBorders>
              <w:top w:val="single" w:sz="8" w:color="auto"/>
            </w:tcBorders>
          </w:tcPr>
          <w:p>
            <w:pPr>
              <w:jc w:val="center"/>
              <w:ind w:left="103"/>
              <w:spacing w:after="0"/>
              <w:rPr>
                <w:sz w:val="20"/>
                <w:szCs w:val="20"/>
                <w:color w:val="auto"/>
              </w:rPr>
            </w:pPr>
            <w:r>
              <w:rPr>
                <w:rFonts w:ascii="Arial" w:cs="Arial" w:eastAsia="Arial" w:hAnsi="Arial"/>
                <w:sz w:val="16"/>
                <w:szCs w:val="16"/>
                <w:color w:val="auto"/>
                <w:w w:val="89"/>
              </w:rPr>
              <w:t>0</w:t>
            </w:r>
          </w:p>
        </w:tc>
      </w:tr>
      <w:tr>
        <w:trPr>
          <w:trHeight w:val="227"/>
        </w:trPr>
        <w:tc>
          <w:tcPr>
            <w:tcW w:w="334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Two or More Races or Ethnicities</w:t>
            </w:r>
          </w:p>
        </w:tc>
        <w:tc>
          <w:tcPr>
            <w:tcW w:w="1020" w:type="dxa"/>
            <w:vAlign w:val="bottom"/>
            <w:tcBorders>
              <w:top w:val="single" w:sz="8" w:color="auto"/>
              <w:bottom w:val="single" w:sz="8" w:color="EAEAEA"/>
            </w:tcBorders>
            <w:shd w:val="clear" w:color="auto" w:fill="EAEAEA"/>
          </w:tcPr>
          <w:p>
            <w:pPr>
              <w:jc w:val="center"/>
              <w:ind w:left="88"/>
              <w:spacing w:after="0"/>
              <w:rPr>
                <w:sz w:val="20"/>
                <w:szCs w:val="20"/>
                <w:color w:val="auto"/>
              </w:rPr>
            </w:pPr>
            <w:r>
              <w:rPr>
                <w:rFonts w:ascii="Arial" w:cs="Arial" w:eastAsia="Arial" w:hAnsi="Arial"/>
                <w:sz w:val="14"/>
                <w:szCs w:val="14"/>
                <w:color w:val="auto"/>
                <w:w w:val="76"/>
              </w:rPr>
              <w:t>0</w:t>
            </w:r>
          </w:p>
        </w:tc>
        <w:tc>
          <w:tcPr>
            <w:tcW w:w="1060" w:type="dxa"/>
            <w:vAlign w:val="bottom"/>
            <w:tcBorders>
              <w:top w:val="single" w:sz="8" w:color="auto"/>
            </w:tcBorders>
          </w:tcPr>
          <w:p>
            <w:pPr>
              <w:jc w:val="center"/>
              <w:ind w:left="103"/>
              <w:spacing w:after="0"/>
              <w:rPr>
                <w:sz w:val="20"/>
                <w:szCs w:val="20"/>
                <w:color w:val="auto"/>
              </w:rPr>
            </w:pPr>
            <w:r>
              <w:rPr>
                <w:rFonts w:ascii="Arial" w:cs="Arial" w:eastAsia="Arial" w:hAnsi="Arial"/>
                <w:sz w:val="16"/>
                <w:szCs w:val="16"/>
                <w:color w:val="auto"/>
                <w:w w:val="89"/>
              </w:rPr>
              <w:t>0</w:t>
            </w:r>
          </w:p>
        </w:tc>
        <w:tc>
          <w:tcPr>
            <w:tcW w:w="1040" w:type="dxa"/>
            <w:vAlign w:val="bottom"/>
            <w:tcBorders>
              <w:top w:val="single" w:sz="8" w:color="auto"/>
              <w:bottom w:val="single" w:sz="8" w:color="EAEAEA"/>
            </w:tcBorders>
            <w:shd w:val="clear" w:color="auto" w:fill="EAEAEA"/>
          </w:tcPr>
          <w:p>
            <w:pPr>
              <w:jc w:val="center"/>
              <w:ind w:left="83"/>
              <w:spacing w:after="0"/>
              <w:rPr>
                <w:sz w:val="20"/>
                <w:szCs w:val="20"/>
                <w:color w:val="auto"/>
              </w:rPr>
            </w:pPr>
            <w:r>
              <w:rPr>
                <w:rFonts w:ascii="Arial" w:cs="Arial" w:eastAsia="Arial" w:hAnsi="Arial"/>
                <w:sz w:val="16"/>
                <w:szCs w:val="16"/>
                <w:color w:val="auto"/>
                <w:w w:val="89"/>
              </w:rPr>
              <w:t>0</w:t>
            </w:r>
          </w:p>
        </w:tc>
        <w:tc>
          <w:tcPr>
            <w:tcW w:w="1140" w:type="dxa"/>
            <w:vAlign w:val="bottom"/>
            <w:tcBorders>
              <w:top w:val="single" w:sz="8" w:color="auto"/>
            </w:tcBorders>
          </w:tcPr>
          <w:p>
            <w:pPr>
              <w:jc w:val="center"/>
              <w:ind w:left="103"/>
              <w:spacing w:after="0"/>
              <w:rPr>
                <w:sz w:val="20"/>
                <w:szCs w:val="20"/>
                <w:color w:val="auto"/>
              </w:rPr>
            </w:pPr>
            <w:r>
              <w:rPr>
                <w:rFonts w:ascii="Arial" w:cs="Arial" w:eastAsia="Arial" w:hAnsi="Arial"/>
                <w:sz w:val="16"/>
                <w:szCs w:val="16"/>
                <w:color w:val="auto"/>
                <w:w w:val="89"/>
              </w:rPr>
              <w:t>0</w:t>
            </w:r>
          </w:p>
        </w:tc>
      </w:tr>
      <w:tr>
        <w:trPr>
          <w:trHeight w:val="227"/>
        </w:trPr>
        <w:tc>
          <w:tcPr>
            <w:tcW w:w="334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LGBTQ+</w:t>
            </w:r>
          </w:p>
        </w:tc>
        <w:tc>
          <w:tcPr>
            <w:tcW w:w="1020" w:type="dxa"/>
            <w:vAlign w:val="bottom"/>
            <w:tcBorders>
              <w:top w:val="single" w:sz="8" w:color="auto"/>
              <w:bottom w:val="single" w:sz="8" w:color="EAEAEA"/>
            </w:tcBorders>
            <w:shd w:val="clear" w:color="auto" w:fill="EAEAEA"/>
          </w:tcPr>
          <w:p>
            <w:pPr>
              <w:jc w:val="center"/>
              <w:ind w:left="88"/>
              <w:spacing w:after="0"/>
              <w:rPr>
                <w:sz w:val="20"/>
                <w:szCs w:val="20"/>
                <w:color w:val="auto"/>
              </w:rPr>
            </w:pPr>
            <w:r>
              <w:rPr>
                <w:rFonts w:ascii="Arial" w:cs="Arial" w:eastAsia="Arial" w:hAnsi="Arial"/>
                <w:sz w:val="14"/>
                <w:szCs w:val="14"/>
                <w:color w:val="auto"/>
                <w:w w:val="76"/>
              </w:rPr>
              <w:t>0</w:t>
            </w:r>
          </w:p>
        </w:tc>
        <w:tc>
          <w:tcPr>
            <w:tcW w:w="1060" w:type="dxa"/>
            <w:vAlign w:val="bottom"/>
            <w:tcBorders>
              <w:top w:val="single" w:sz="8" w:color="auto"/>
            </w:tcBorders>
          </w:tcPr>
          <w:p>
            <w:pPr>
              <w:jc w:val="center"/>
              <w:ind w:left="103"/>
              <w:spacing w:after="0"/>
              <w:rPr>
                <w:sz w:val="20"/>
                <w:szCs w:val="20"/>
                <w:color w:val="auto"/>
              </w:rPr>
            </w:pPr>
            <w:r>
              <w:rPr>
                <w:rFonts w:ascii="Arial" w:cs="Arial" w:eastAsia="Arial" w:hAnsi="Arial"/>
                <w:sz w:val="16"/>
                <w:szCs w:val="16"/>
                <w:color w:val="auto"/>
                <w:w w:val="89"/>
              </w:rPr>
              <w:t>0</w:t>
            </w:r>
          </w:p>
        </w:tc>
        <w:tc>
          <w:tcPr>
            <w:tcW w:w="1040" w:type="dxa"/>
            <w:vAlign w:val="bottom"/>
            <w:tcBorders>
              <w:top w:val="single" w:sz="8" w:color="auto"/>
              <w:bottom w:val="single" w:sz="8" w:color="EAEAEA"/>
            </w:tcBorders>
            <w:shd w:val="clear" w:color="auto" w:fill="EAEAEA"/>
          </w:tcPr>
          <w:p>
            <w:pPr>
              <w:jc w:val="center"/>
              <w:ind w:left="83"/>
              <w:spacing w:after="0"/>
              <w:rPr>
                <w:sz w:val="20"/>
                <w:szCs w:val="20"/>
                <w:color w:val="auto"/>
              </w:rPr>
            </w:pPr>
            <w:r>
              <w:rPr>
                <w:rFonts w:ascii="Arial" w:cs="Arial" w:eastAsia="Arial" w:hAnsi="Arial"/>
                <w:sz w:val="16"/>
                <w:szCs w:val="16"/>
                <w:color w:val="auto"/>
                <w:w w:val="89"/>
              </w:rPr>
              <w:t>0</w:t>
            </w:r>
          </w:p>
        </w:tc>
        <w:tc>
          <w:tcPr>
            <w:tcW w:w="1140" w:type="dxa"/>
            <w:vAlign w:val="bottom"/>
            <w:tcBorders>
              <w:top w:val="single" w:sz="8" w:color="auto"/>
            </w:tcBorders>
          </w:tcPr>
          <w:p>
            <w:pPr>
              <w:jc w:val="center"/>
              <w:ind w:left="103"/>
              <w:spacing w:after="0"/>
              <w:rPr>
                <w:sz w:val="20"/>
                <w:szCs w:val="20"/>
                <w:color w:val="auto"/>
              </w:rPr>
            </w:pPr>
            <w:r>
              <w:rPr>
                <w:rFonts w:ascii="Arial" w:cs="Arial" w:eastAsia="Arial" w:hAnsi="Arial"/>
                <w:sz w:val="16"/>
                <w:szCs w:val="16"/>
                <w:color w:val="auto"/>
                <w:w w:val="89"/>
              </w:rPr>
              <w:t>0</w:t>
            </w:r>
          </w:p>
        </w:tc>
      </w:tr>
      <w:tr>
        <w:trPr>
          <w:trHeight w:val="207"/>
        </w:trPr>
        <w:tc>
          <w:tcPr>
            <w:tcW w:w="334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Did Not Disclose Demographic Background</w:t>
            </w:r>
          </w:p>
        </w:tc>
        <w:tc>
          <w:tcPr>
            <w:tcW w:w="1020" w:type="dxa"/>
            <w:vAlign w:val="bottom"/>
            <w:tcBorders>
              <w:top w:val="single" w:sz="8" w:color="auto"/>
              <w:bottom w:val="single" w:sz="8" w:color="EAEAEA"/>
            </w:tcBorders>
            <w:shd w:val="clear" w:color="auto" w:fill="EAEAEA"/>
          </w:tcPr>
          <w:p>
            <w:pPr>
              <w:jc w:val="center"/>
              <w:ind w:left="88"/>
              <w:spacing w:after="0"/>
              <w:rPr>
                <w:sz w:val="20"/>
                <w:szCs w:val="20"/>
                <w:color w:val="auto"/>
              </w:rPr>
            </w:pPr>
            <w:r>
              <w:rPr>
                <w:rFonts w:ascii="Arial" w:cs="Arial" w:eastAsia="Arial" w:hAnsi="Arial"/>
                <w:sz w:val="14"/>
                <w:szCs w:val="14"/>
                <w:color w:val="auto"/>
                <w:w w:val="76"/>
              </w:rPr>
              <w:t>0</w:t>
            </w:r>
          </w:p>
        </w:tc>
        <w:tc>
          <w:tcPr>
            <w:tcW w:w="1060" w:type="dxa"/>
            <w:vAlign w:val="bottom"/>
            <w:tcBorders>
              <w:top w:val="single" w:sz="8" w:color="auto"/>
            </w:tcBorders>
          </w:tcPr>
          <w:p>
            <w:pPr>
              <w:jc w:val="center"/>
              <w:ind w:left="103"/>
              <w:spacing w:after="0"/>
              <w:rPr>
                <w:sz w:val="20"/>
                <w:szCs w:val="20"/>
                <w:color w:val="auto"/>
              </w:rPr>
            </w:pPr>
            <w:r>
              <w:rPr>
                <w:rFonts w:ascii="Arial" w:cs="Arial" w:eastAsia="Arial" w:hAnsi="Arial"/>
                <w:sz w:val="16"/>
                <w:szCs w:val="16"/>
                <w:color w:val="auto"/>
                <w:w w:val="89"/>
              </w:rPr>
              <w:t>0</w:t>
            </w:r>
          </w:p>
        </w:tc>
        <w:tc>
          <w:tcPr>
            <w:tcW w:w="1040" w:type="dxa"/>
            <w:vAlign w:val="bottom"/>
            <w:tcBorders>
              <w:top w:val="single" w:sz="8" w:color="auto"/>
              <w:bottom w:val="single" w:sz="8" w:color="EAEAEA"/>
            </w:tcBorders>
            <w:shd w:val="clear" w:color="auto" w:fill="EAEAEA"/>
          </w:tcPr>
          <w:p>
            <w:pPr>
              <w:jc w:val="center"/>
              <w:ind w:left="83"/>
              <w:spacing w:after="0"/>
              <w:rPr>
                <w:sz w:val="20"/>
                <w:szCs w:val="20"/>
                <w:color w:val="auto"/>
              </w:rPr>
            </w:pPr>
            <w:r>
              <w:rPr>
                <w:rFonts w:ascii="Arial" w:cs="Arial" w:eastAsia="Arial" w:hAnsi="Arial"/>
                <w:sz w:val="16"/>
                <w:szCs w:val="16"/>
                <w:color w:val="auto"/>
                <w:w w:val="89"/>
              </w:rPr>
              <w:t>0</w:t>
            </w:r>
          </w:p>
        </w:tc>
        <w:tc>
          <w:tcPr>
            <w:tcW w:w="1140" w:type="dxa"/>
            <w:vAlign w:val="bottom"/>
            <w:tcBorders>
              <w:top w:val="single" w:sz="8" w:color="auto"/>
            </w:tcBorders>
          </w:tcPr>
          <w:p>
            <w:pPr>
              <w:jc w:val="center"/>
              <w:ind w:left="103"/>
              <w:spacing w:after="0"/>
              <w:rPr>
                <w:sz w:val="20"/>
                <w:szCs w:val="20"/>
                <w:color w:val="auto"/>
              </w:rPr>
            </w:pPr>
            <w:r>
              <w:rPr>
                <w:rFonts w:ascii="Arial" w:cs="Arial" w:eastAsia="Arial" w:hAnsi="Arial"/>
                <w:sz w:val="16"/>
                <w:szCs w:val="16"/>
                <w:color w:val="auto"/>
                <w:w w:val="89"/>
              </w:rPr>
              <w:t>0</w:t>
            </w:r>
          </w:p>
        </w:tc>
      </w:tr>
      <w:tr>
        <w:trPr>
          <w:trHeight w:val="20"/>
        </w:trPr>
        <w:tc>
          <w:tcPr>
            <w:tcW w:w="3340" w:type="dxa"/>
            <w:vAlign w:val="bottom"/>
            <w:shd w:val="clear" w:color="auto" w:fill="0066BA"/>
          </w:tcPr>
          <w:p>
            <w:pPr>
              <w:spacing w:after="0" w:line="20" w:lineRule="exact"/>
              <w:rPr>
                <w:sz w:val="1"/>
                <w:szCs w:val="1"/>
                <w:color w:val="auto"/>
              </w:rPr>
            </w:pPr>
          </w:p>
        </w:tc>
        <w:tc>
          <w:tcPr>
            <w:tcW w:w="1020" w:type="dxa"/>
            <w:vAlign w:val="bottom"/>
            <w:shd w:val="clear" w:color="auto" w:fill="0066BA"/>
          </w:tcPr>
          <w:p>
            <w:pPr>
              <w:spacing w:after="0" w:line="20" w:lineRule="exact"/>
              <w:rPr>
                <w:sz w:val="1"/>
                <w:szCs w:val="1"/>
                <w:color w:val="auto"/>
              </w:rPr>
            </w:pPr>
          </w:p>
        </w:tc>
        <w:tc>
          <w:tcPr>
            <w:tcW w:w="1060" w:type="dxa"/>
            <w:vAlign w:val="bottom"/>
            <w:shd w:val="clear" w:color="auto" w:fill="0066BA"/>
          </w:tcPr>
          <w:p>
            <w:pPr>
              <w:spacing w:after="0" w:line="20" w:lineRule="exact"/>
              <w:rPr>
                <w:sz w:val="1"/>
                <w:szCs w:val="1"/>
                <w:color w:val="auto"/>
              </w:rPr>
            </w:pPr>
          </w:p>
        </w:tc>
        <w:tc>
          <w:tcPr>
            <w:tcW w:w="1040" w:type="dxa"/>
            <w:vAlign w:val="bottom"/>
            <w:shd w:val="clear" w:color="auto" w:fill="0066BA"/>
          </w:tcPr>
          <w:p>
            <w:pPr>
              <w:spacing w:after="0" w:line="20" w:lineRule="exact"/>
              <w:rPr>
                <w:sz w:val="1"/>
                <w:szCs w:val="1"/>
                <w:color w:val="auto"/>
              </w:rPr>
            </w:pPr>
          </w:p>
        </w:tc>
        <w:tc>
          <w:tcPr>
            <w:tcW w:w="1140" w:type="dxa"/>
            <w:vAlign w:val="bottom"/>
            <w:shd w:val="clear" w:color="auto" w:fill="0066BA"/>
          </w:tcPr>
          <w:p>
            <w:pPr>
              <w:spacing w:after="0" w:line="20" w:lineRule="exact"/>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0139"/>
          </w:cols>
          <w:pgMar w:left="320" w:top="447" w:right="1440"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480"/>
        <w:spacing w:after="0"/>
        <w:rPr>
          <w:sz w:val="20"/>
          <w:szCs w:val="20"/>
          <w:color w:val="auto"/>
        </w:rPr>
      </w:pPr>
      <w:r>
        <w:rPr>
          <w:rFonts w:ascii="Arial" w:cs="Arial" w:eastAsia="Arial" w:hAnsi="Arial"/>
          <w:sz w:val="45"/>
          <w:szCs w:val="45"/>
          <w:color w:val="auto"/>
        </w:rPr>
        <w:t>CORPORATE GOVERNANCE</w:t>
      </w:r>
    </w:p>
    <w:p>
      <w:pPr>
        <w:spacing w:after="0" w:line="380"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33333"/>
        </w:rPr>
        <w:t>Board Policies &amp; Practices</w:t>
      </w:r>
    </w:p>
    <w:p>
      <w:pPr>
        <w:spacing w:after="0" w:line="229" w:lineRule="exact"/>
        <w:rPr>
          <w:sz w:val="20"/>
          <w:szCs w:val="20"/>
          <w:color w:val="auto"/>
        </w:rPr>
      </w:pPr>
    </w:p>
    <w:p>
      <w:pPr>
        <w:ind w:left="480" w:right="180"/>
        <w:spacing w:after="0" w:line="265" w:lineRule="auto"/>
        <w:rPr>
          <w:sz w:val="20"/>
          <w:szCs w:val="20"/>
          <w:color w:val="auto"/>
        </w:rPr>
      </w:pPr>
      <w:r>
        <w:rPr>
          <w:rFonts w:ascii="Arial" w:cs="Arial" w:eastAsia="Arial" w:hAnsi="Arial"/>
          <w:sz w:val="17"/>
          <w:szCs w:val="17"/>
          <w:color w:val="auto"/>
        </w:rPr>
        <w:t>We have long believed that good corporate governance is important to ensure that Analog Devices is managed for the long-term benefit of our shareholders. We periodically review our corporate governance policies and practices and compare them to those suggested by various authorities in corporate governance and the practices of other public companies. As a result, we have adopted the following policies and procedures that we believe are in the best interests of Analog Devices and our shareholders:</w:t>
      </w:r>
    </w:p>
    <w:p>
      <w:pPr>
        <w:spacing w:after="0" w:line="216" w:lineRule="exact"/>
        <w:rPr>
          <w:sz w:val="20"/>
          <w:szCs w:val="20"/>
          <w:color w:val="auto"/>
        </w:rPr>
      </w:pPr>
    </w:p>
    <w:tbl>
      <w:tblPr>
        <w:tblLayout w:type="fixed"/>
        <w:tblInd w:w="480" w:type="dxa"/>
        <w:tblCellMar>
          <w:top w:w="0" w:type="dxa"/>
          <w:left w:w="0" w:type="dxa"/>
          <w:bottom w:w="0" w:type="dxa"/>
          <w:right w:w="0" w:type="dxa"/>
        </w:tblCellMar>
      </w:tblPr>
      <w:tr>
        <w:trPr>
          <w:trHeight w:val="221"/>
        </w:trPr>
        <w:tc>
          <w:tcPr>
            <w:tcW w:w="1240" w:type="dxa"/>
            <w:vAlign w:val="bottom"/>
            <w:shd w:val="clear" w:color="auto" w:fill="0066BA"/>
          </w:tcPr>
          <w:p>
            <w:pPr>
              <w:ind w:left="60"/>
              <w:spacing w:after="0"/>
              <w:rPr>
                <w:sz w:val="20"/>
                <w:szCs w:val="20"/>
                <w:color w:val="auto"/>
              </w:rPr>
            </w:pPr>
            <w:r>
              <w:rPr>
                <w:rFonts w:ascii="Arial" w:cs="Arial" w:eastAsia="Arial" w:hAnsi="Arial"/>
                <w:sz w:val="16"/>
                <w:szCs w:val="16"/>
                <w:b w:val="1"/>
                <w:bCs w:val="1"/>
                <w:color w:val="FFFFFF"/>
              </w:rPr>
              <w:t>Policy/Practice</w:t>
            </w:r>
          </w:p>
        </w:tc>
        <w:tc>
          <w:tcPr>
            <w:tcW w:w="9040" w:type="dxa"/>
            <w:vAlign w:val="bottom"/>
            <w:shd w:val="clear" w:color="auto" w:fill="0066BA"/>
          </w:tcPr>
          <w:p>
            <w:pPr>
              <w:ind w:left="100"/>
              <w:spacing w:after="0"/>
              <w:rPr>
                <w:sz w:val="20"/>
                <w:szCs w:val="20"/>
                <w:color w:val="auto"/>
              </w:rPr>
            </w:pPr>
            <w:r>
              <w:rPr>
                <w:rFonts w:ascii="Arial" w:cs="Arial" w:eastAsia="Arial" w:hAnsi="Arial"/>
                <w:sz w:val="16"/>
                <w:szCs w:val="16"/>
                <w:b w:val="1"/>
                <w:bCs w:val="1"/>
                <w:color w:val="FFFFFF"/>
              </w:rPr>
              <w:t>Summary</w:t>
            </w:r>
          </w:p>
        </w:tc>
        <w:tc>
          <w:tcPr>
            <w:tcW w:w="0" w:type="dxa"/>
            <w:vAlign w:val="bottom"/>
          </w:tcPr>
          <w:p>
            <w:pPr>
              <w:spacing w:after="0"/>
              <w:rPr>
                <w:sz w:val="1"/>
                <w:szCs w:val="1"/>
                <w:color w:val="auto"/>
              </w:rPr>
            </w:pPr>
          </w:p>
        </w:tc>
      </w:tr>
      <w:tr>
        <w:trPr>
          <w:trHeight w:val="250"/>
        </w:trPr>
        <w:tc>
          <w:tcPr>
            <w:tcW w:w="1240" w:type="dxa"/>
            <w:vAlign w:val="bottom"/>
          </w:tcPr>
          <w:p>
            <w:pPr>
              <w:ind w:left="60"/>
              <w:spacing w:after="0"/>
              <w:rPr>
                <w:sz w:val="20"/>
                <w:szCs w:val="20"/>
                <w:color w:val="auto"/>
              </w:rPr>
            </w:pPr>
            <w:r>
              <w:rPr>
                <w:rFonts w:ascii="Arial" w:cs="Arial" w:eastAsia="Arial" w:hAnsi="Arial"/>
                <w:sz w:val="16"/>
                <w:szCs w:val="16"/>
                <w:color w:val="auto"/>
              </w:rPr>
              <w:t>Corporate</w:t>
            </w:r>
          </w:p>
        </w:tc>
        <w:tc>
          <w:tcPr>
            <w:tcW w:w="9040" w:type="dxa"/>
            <w:vAlign w:val="bottom"/>
            <w:shd w:val="clear" w:color="auto" w:fill="F2F2F2"/>
          </w:tcPr>
          <w:p>
            <w:pPr>
              <w:ind w:left="100"/>
              <w:spacing w:after="0"/>
              <w:rPr>
                <w:sz w:val="20"/>
                <w:szCs w:val="20"/>
                <w:color w:val="auto"/>
              </w:rPr>
            </w:pPr>
            <w:r>
              <w:rPr>
                <w:rFonts w:ascii="Arial" w:cs="Arial" w:eastAsia="Arial" w:hAnsi="Arial"/>
                <w:sz w:val="16"/>
                <w:szCs w:val="16"/>
                <w:color w:val="auto"/>
                <w:w w:val="88"/>
              </w:rPr>
              <w:t>Our Board of Directors has adopted Corporate Governance Guidelines for our Company that establish a common set of expectations to assist</w:t>
            </w:r>
          </w:p>
        </w:tc>
        <w:tc>
          <w:tcPr>
            <w:tcW w:w="0" w:type="dxa"/>
            <w:vAlign w:val="bottom"/>
          </w:tcPr>
          <w:p>
            <w:pPr>
              <w:spacing w:after="0"/>
              <w:rPr>
                <w:sz w:val="1"/>
                <w:szCs w:val="1"/>
                <w:color w:val="auto"/>
              </w:rPr>
            </w:pPr>
          </w:p>
        </w:tc>
      </w:tr>
      <w:tr>
        <w:trPr>
          <w:trHeight w:val="195"/>
        </w:trPr>
        <w:tc>
          <w:tcPr>
            <w:tcW w:w="1240" w:type="dxa"/>
            <w:vAlign w:val="bottom"/>
          </w:tcPr>
          <w:p>
            <w:pPr>
              <w:ind w:left="60"/>
              <w:spacing w:after="0"/>
              <w:rPr>
                <w:sz w:val="20"/>
                <w:szCs w:val="20"/>
                <w:color w:val="auto"/>
              </w:rPr>
            </w:pPr>
            <w:r>
              <w:rPr>
                <w:rFonts w:ascii="Arial" w:cs="Arial" w:eastAsia="Arial" w:hAnsi="Arial"/>
                <w:sz w:val="16"/>
                <w:szCs w:val="16"/>
                <w:color w:val="auto"/>
              </w:rPr>
              <w:t>Governance</w:t>
            </w:r>
          </w:p>
        </w:tc>
        <w:tc>
          <w:tcPr>
            <w:tcW w:w="9040" w:type="dxa"/>
            <w:vAlign w:val="bottom"/>
            <w:shd w:val="clear" w:color="auto" w:fill="F2F2F2"/>
          </w:tcPr>
          <w:p>
            <w:pPr>
              <w:ind w:left="100"/>
              <w:spacing w:after="0"/>
              <w:rPr>
                <w:sz w:val="20"/>
                <w:szCs w:val="20"/>
                <w:color w:val="auto"/>
              </w:rPr>
            </w:pPr>
            <w:r>
              <w:rPr>
                <w:rFonts w:ascii="Arial" w:cs="Arial" w:eastAsia="Arial" w:hAnsi="Arial"/>
                <w:sz w:val="16"/>
                <w:szCs w:val="16"/>
                <w:color w:val="auto"/>
                <w:w w:val="88"/>
              </w:rPr>
              <w:t>the Board and its committees in performing their duties. The Board reviews these Guidelines at least annually, and updates them as necessary</w:t>
            </w:r>
          </w:p>
        </w:tc>
        <w:tc>
          <w:tcPr>
            <w:tcW w:w="0" w:type="dxa"/>
            <w:vAlign w:val="bottom"/>
          </w:tcPr>
          <w:p>
            <w:pPr>
              <w:spacing w:after="0"/>
              <w:rPr>
                <w:sz w:val="1"/>
                <w:szCs w:val="1"/>
                <w:color w:val="auto"/>
              </w:rPr>
            </w:pPr>
          </w:p>
        </w:tc>
      </w:tr>
      <w:tr>
        <w:trPr>
          <w:trHeight w:val="215"/>
        </w:trPr>
        <w:tc>
          <w:tcPr>
            <w:tcW w:w="1240" w:type="dxa"/>
            <w:vAlign w:val="bottom"/>
            <w:tcBorders>
              <w:bottom w:val="single" w:sz="8" w:color="0066BA"/>
            </w:tcBorders>
          </w:tcPr>
          <w:p>
            <w:pPr>
              <w:ind w:left="60"/>
              <w:spacing w:after="0"/>
              <w:rPr>
                <w:sz w:val="20"/>
                <w:szCs w:val="20"/>
                <w:color w:val="auto"/>
              </w:rPr>
            </w:pPr>
            <w:r>
              <w:rPr>
                <w:rFonts w:ascii="Arial" w:cs="Arial" w:eastAsia="Arial" w:hAnsi="Arial"/>
                <w:sz w:val="16"/>
                <w:szCs w:val="16"/>
                <w:color w:val="auto"/>
              </w:rPr>
              <w:t>Guidelines</w:t>
            </w:r>
          </w:p>
        </w:tc>
        <w:tc>
          <w:tcPr>
            <w:tcW w:w="9040" w:type="dxa"/>
            <w:vAlign w:val="bottom"/>
            <w:tcBorders>
              <w:bottom w:val="single" w:sz="8" w:color="0066BA"/>
            </w:tcBorders>
            <w:shd w:val="clear" w:color="auto" w:fill="F2F2F2"/>
          </w:tcPr>
          <w:p>
            <w:pPr>
              <w:ind w:left="100"/>
              <w:spacing w:after="0"/>
              <w:rPr>
                <w:sz w:val="20"/>
                <w:szCs w:val="20"/>
                <w:color w:val="auto"/>
              </w:rPr>
            </w:pPr>
            <w:r>
              <w:rPr>
                <w:rFonts w:ascii="Arial" w:cs="Arial" w:eastAsia="Arial" w:hAnsi="Arial"/>
                <w:sz w:val="16"/>
                <w:szCs w:val="16"/>
                <w:color w:val="auto"/>
              </w:rPr>
              <w:t>to reflect changing regulatory requirements and evolving practices.</w:t>
            </w:r>
          </w:p>
        </w:tc>
        <w:tc>
          <w:tcPr>
            <w:tcW w:w="0" w:type="dxa"/>
            <w:vAlign w:val="bottom"/>
          </w:tcPr>
          <w:p>
            <w:pPr>
              <w:spacing w:after="0"/>
              <w:rPr>
                <w:sz w:val="1"/>
                <w:szCs w:val="1"/>
                <w:color w:val="auto"/>
              </w:rPr>
            </w:pPr>
          </w:p>
        </w:tc>
      </w:tr>
      <w:tr>
        <w:trPr>
          <w:trHeight w:val="233"/>
        </w:trPr>
        <w:tc>
          <w:tcPr>
            <w:tcW w:w="1240" w:type="dxa"/>
            <w:vAlign w:val="bottom"/>
            <w:vMerge w:val="restart"/>
          </w:tcPr>
          <w:p>
            <w:pPr>
              <w:ind w:left="60"/>
              <w:spacing w:after="0"/>
              <w:rPr>
                <w:sz w:val="20"/>
                <w:szCs w:val="20"/>
                <w:color w:val="auto"/>
              </w:rPr>
            </w:pPr>
            <w:r>
              <w:rPr>
                <w:rFonts w:ascii="Arial" w:cs="Arial" w:eastAsia="Arial" w:hAnsi="Arial"/>
                <w:sz w:val="16"/>
                <w:szCs w:val="16"/>
                <w:color w:val="auto"/>
              </w:rPr>
              <w:t>Declassified</w:t>
            </w:r>
          </w:p>
        </w:tc>
        <w:tc>
          <w:tcPr>
            <w:tcW w:w="9040" w:type="dxa"/>
            <w:vAlign w:val="bottom"/>
            <w:shd w:val="clear" w:color="auto" w:fill="F2F2F2"/>
          </w:tcPr>
          <w:p>
            <w:pPr>
              <w:ind w:left="100"/>
              <w:spacing w:after="0"/>
              <w:rPr>
                <w:sz w:val="20"/>
                <w:szCs w:val="20"/>
                <w:color w:val="auto"/>
              </w:rPr>
            </w:pPr>
            <w:r>
              <w:rPr>
                <w:rFonts w:ascii="Arial" w:cs="Arial" w:eastAsia="Arial" w:hAnsi="Arial"/>
                <w:sz w:val="16"/>
                <w:szCs w:val="16"/>
                <w:color w:val="auto"/>
                <w:w w:val="91"/>
              </w:rPr>
              <w:t>We have a declassified Board of Directors and our bylaws provide that each director will serve for a term ending on the date of the annual</w:t>
            </w:r>
          </w:p>
        </w:tc>
        <w:tc>
          <w:tcPr>
            <w:tcW w:w="0" w:type="dxa"/>
            <w:vAlign w:val="bottom"/>
          </w:tcPr>
          <w:p>
            <w:pPr>
              <w:spacing w:after="0"/>
              <w:rPr>
                <w:sz w:val="1"/>
                <w:szCs w:val="1"/>
                <w:color w:val="auto"/>
              </w:rPr>
            </w:pPr>
          </w:p>
        </w:tc>
      </w:tr>
      <w:tr>
        <w:trPr>
          <w:trHeight w:val="91"/>
        </w:trPr>
        <w:tc>
          <w:tcPr>
            <w:tcW w:w="1240" w:type="dxa"/>
            <w:vAlign w:val="bottom"/>
            <w:vMerge w:val="continue"/>
          </w:tcPr>
          <w:p>
            <w:pPr>
              <w:spacing w:after="0"/>
              <w:rPr>
                <w:sz w:val="7"/>
                <w:szCs w:val="7"/>
                <w:color w:val="auto"/>
              </w:rPr>
            </w:pPr>
          </w:p>
        </w:tc>
        <w:tc>
          <w:tcPr>
            <w:tcW w:w="9040" w:type="dxa"/>
            <w:vAlign w:val="bottom"/>
            <w:vMerge w:val="restart"/>
            <w:shd w:val="clear" w:color="auto" w:fill="F2F2F2"/>
          </w:tcPr>
          <w:p>
            <w:pPr>
              <w:ind w:left="100"/>
              <w:spacing w:after="0"/>
              <w:rPr>
                <w:sz w:val="20"/>
                <w:szCs w:val="20"/>
                <w:color w:val="auto"/>
              </w:rPr>
            </w:pPr>
            <w:r>
              <w:rPr>
                <w:rFonts w:ascii="Arial" w:cs="Arial" w:eastAsia="Arial" w:hAnsi="Arial"/>
                <w:sz w:val="16"/>
                <w:szCs w:val="16"/>
                <w:color w:val="auto"/>
                <w:w w:val="91"/>
              </w:rPr>
              <w:t>meeting following the one at which such director was elected. All of our directors will stand for election for terms expiring at the next annual</w:t>
            </w:r>
          </w:p>
        </w:tc>
        <w:tc>
          <w:tcPr>
            <w:tcW w:w="0" w:type="dxa"/>
            <w:vAlign w:val="bottom"/>
          </w:tcPr>
          <w:p>
            <w:pPr>
              <w:spacing w:after="0"/>
              <w:rPr>
                <w:sz w:val="1"/>
                <w:szCs w:val="1"/>
                <w:color w:val="auto"/>
              </w:rPr>
            </w:pPr>
          </w:p>
        </w:tc>
      </w:tr>
      <w:tr>
        <w:trPr>
          <w:trHeight w:val="153"/>
        </w:trPr>
        <w:tc>
          <w:tcPr>
            <w:tcW w:w="1240" w:type="dxa"/>
            <w:vAlign w:val="bottom"/>
          </w:tcPr>
          <w:p>
            <w:pPr>
              <w:ind w:left="60"/>
              <w:spacing w:after="0" w:line="153" w:lineRule="exact"/>
              <w:rPr>
                <w:sz w:val="20"/>
                <w:szCs w:val="20"/>
                <w:color w:val="auto"/>
              </w:rPr>
            </w:pPr>
            <w:r>
              <w:rPr>
                <w:rFonts w:ascii="Arial" w:cs="Arial" w:eastAsia="Arial" w:hAnsi="Arial"/>
                <w:sz w:val="16"/>
                <w:szCs w:val="16"/>
                <w:color w:val="auto"/>
                <w:w w:val="89"/>
              </w:rPr>
              <w:t>Board of Directors</w:t>
            </w:r>
          </w:p>
        </w:tc>
        <w:tc>
          <w:tcPr>
            <w:tcW w:w="9040" w:type="dxa"/>
            <w:vAlign w:val="bottom"/>
            <w:vMerge w:val="continue"/>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Borders>
              <w:bottom w:val="single" w:sz="8" w:color="0066BA"/>
            </w:tcBorders>
          </w:tcPr>
          <w:p>
            <w:pPr>
              <w:spacing w:after="0"/>
              <w:rPr>
                <w:sz w:val="13"/>
                <w:szCs w:val="13"/>
                <w:color w:val="auto"/>
              </w:rPr>
            </w:pPr>
          </w:p>
        </w:tc>
        <w:tc>
          <w:tcPr>
            <w:tcW w:w="9040" w:type="dxa"/>
            <w:vAlign w:val="bottom"/>
            <w:tcBorders>
              <w:bottom w:val="single" w:sz="8" w:color="0066BA"/>
            </w:tcBorders>
            <w:shd w:val="clear" w:color="auto" w:fill="F2F2F2"/>
          </w:tcPr>
          <w:p>
            <w:pPr>
              <w:ind w:left="100"/>
              <w:spacing w:after="0" w:line="156" w:lineRule="exact"/>
              <w:rPr>
                <w:sz w:val="20"/>
                <w:szCs w:val="20"/>
                <w:color w:val="auto"/>
              </w:rPr>
            </w:pPr>
            <w:r>
              <w:rPr>
                <w:rFonts w:ascii="Arial" w:cs="Arial" w:eastAsia="Arial" w:hAnsi="Arial"/>
                <w:sz w:val="16"/>
                <w:szCs w:val="16"/>
                <w:color w:val="auto"/>
              </w:rPr>
              <w:t>meeting of shareholders.</w:t>
            </w:r>
          </w:p>
        </w:tc>
        <w:tc>
          <w:tcPr>
            <w:tcW w:w="0" w:type="dxa"/>
            <w:vAlign w:val="bottom"/>
          </w:tcPr>
          <w:p>
            <w:pPr>
              <w:spacing w:after="0"/>
              <w:rPr>
                <w:sz w:val="1"/>
                <w:szCs w:val="1"/>
                <w:color w:val="auto"/>
              </w:rPr>
            </w:pPr>
          </w:p>
        </w:tc>
      </w:tr>
      <w:tr>
        <w:trPr>
          <w:trHeight w:val="230"/>
        </w:trPr>
        <w:tc>
          <w:tcPr>
            <w:tcW w:w="1240" w:type="dxa"/>
            <w:vAlign w:val="bottom"/>
            <w:vMerge w:val="restart"/>
          </w:tcPr>
          <w:p>
            <w:pPr>
              <w:ind w:left="60"/>
              <w:spacing w:after="0"/>
              <w:rPr>
                <w:sz w:val="20"/>
                <w:szCs w:val="20"/>
                <w:color w:val="auto"/>
              </w:rPr>
            </w:pPr>
            <w:r>
              <w:rPr>
                <w:rFonts w:ascii="Arial" w:cs="Arial" w:eastAsia="Arial" w:hAnsi="Arial"/>
                <w:sz w:val="16"/>
                <w:szCs w:val="16"/>
                <w:color w:val="auto"/>
              </w:rPr>
              <w:t>Majority Voting</w:t>
            </w:r>
          </w:p>
        </w:tc>
        <w:tc>
          <w:tcPr>
            <w:tcW w:w="9040" w:type="dxa"/>
            <w:vAlign w:val="bottom"/>
            <w:shd w:val="clear" w:color="auto" w:fill="F2F2F2"/>
          </w:tcPr>
          <w:p>
            <w:pPr>
              <w:ind w:left="100"/>
              <w:spacing w:after="0"/>
              <w:rPr>
                <w:sz w:val="20"/>
                <w:szCs w:val="20"/>
                <w:color w:val="auto"/>
              </w:rPr>
            </w:pPr>
            <w:r>
              <w:rPr>
                <w:rFonts w:ascii="Arial" w:cs="Arial" w:eastAsia="Arial" w:hAnsi="Arial"/>
                <w:sz w:val="16"/>
                <w:szCs w:val="16"/>
                <w:color w:val="auto"/>
                <w:w w:val="91"/>
              </w:rPr>
              <w:t>Our bylaws provide for a majority voting standard in uncontested director elections, so a nominee is elected to the Board of Directors if the</w:t>
            </w:r>
          </w:p>
        </w:tc>
        <w:tc>
          <w:tcPr>
            <w:tcW w:w="0" w:type="dxa"/>
            <w:vAlign w:val="bottom"/>
          </w:tcPr>
          <w:p>
            <w:pPr>
              <w:spacing w:after="0"/>
              <w:rPr>
                <w:sz w:val="1"/>
                <w:szCs w:val="1"/>
                <w:color w:val="auto"/>
              </w:rPr>
            </w:pPr>
          </w:p>
        </w:tc>
      </w:tr>
      <w:tr>
        <w:trPr>
          <w:trHeight w:val="91"/>
        </w:trPr>
        <w:tc>
          <w:tcPr>
            <w:tcW w:w="1240" w:type="dxa"/>
            <w:vAlign w:val="bottom"/>
            <w:vMerge w:val="continue"/>
          </w:tcPr>
          <w:p>
            <w:pPr>
              <w:spacing w:after="0"/>
              <w:rPr>
                <w:sz w:val="7"/>
                <w:szCs w:val="7"/>
                <w:color w:val="auto"/>
              </w:rPr>
            </w:pPr>
          </w:p>
        </w:tc>
        <w:tc>
          <w:tcPr>
            <w:tcW w:w="9040" w:type="dxa"/>
            <w:vAlign w:val="bottom"/>
            <w:vMerge w:val="restart"/>
            <w:shd w:val="clear" w:color="auto" w:fill="F2F2F2"/>
          </w:tcPr>
          <w:p>
            <w:pPr>
              <w:ind w:left="100"/>
              <w:spacing w:after="0"/>
              <w:rPr>
                <w:sz w:val="20"/>
                <w:szCs w:val="20"/>
                <w:color w:val="auto"/>
              </w:rPr>
            </w:pPr>
            <w:r>
              <w:rPr>
                <w:rFonts w:ascii="Arial" w:cs="Arial" w:eastAsia="Arial" w:hAnsi="Arial"/>
                <w:sz w:val="16"/>
                <w:szCs w:val="16"/>
                <w:color w:val="auto"/>
                <w:w w:val="92"/>
              </w:rPr>
              <w:t>votes “for” that director exceed the votes “against” (with abstentions and broker non-votes not counted as for or against the election). If a</w:t>
            </w:r>
          </w:p>
        </w:tc>
        <w:tc>
          <w:tcPr>
            <w:tcW w:w="0" w:type="dxa"/>
            <w:vAlign w:val="bottom"/>
          </w:tcPr>
          <w:p>
            <w:pPr>
              <w:spacing w:after="0"/>
              <w:rPr>
                <w:sz w:val="1"/>
                <w:szCs w:val="1"/>
                <w:color w:val="auto"/>
              </w:rPr>
            </w:pPr>
          </w:p>
        </w:tc>
      </w:tr>
      <w:tr>
        <w:trPr>
          <w:trHeight w:val="104"/>
        </w:trPr>
        <w:tc>
          <w:tcPr>
            <w:tcW w:w="1240" w:type="dxa"/>
            <w:vAlign w:val="bottom"/>
            <w:vMerge w:val="restart"/>
          </w:tcPr>
          <w:p>
            <w:pPr>
              <w:ind w:left="60"/>
              <w:spacing w:after="0"/>
              <w:rPr>
                <w:sz w:val="20"/>
                <w:szCs w:val="20"/>
                <w:color w:val="auto"/>
              </w:rPr>
            </w:pPr>
            <w:r>
              <w:rPr>
                <w:rFonts w:ascii="Arial" w:cs="Arial" w:eastAsia="Arial" w:hAnsi="Arial"/>
                <w:sz w:val="16"/>
                <w:szCs w:val="16"/>
                <w:color w:val="auto"/>
              </w:rPr>
              <w:t>for Election</w:t>
            </w:r>
          </w:p>
        </w:tc>
        <w:tc>
          <w:tcPr>
            <w:tcW w:w="9040" w:type="dxa"/>
            <w:vAlign w:val="bottom"/>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240" w:type="dxa"/>
            <w:vAlign w:val="bottom"/>
            <w:vMerge w:val="continue"/>
          </w:tcPr>
          <w:p>
            <w:pPr>
              <w:spacing w:after="0"/>
              <w:rPr>
                <w:sz w:val="7"/>
                <w:szCs w:val="7"/>
                <w:color w:val="auto"/>
              </w:rPr>
            </w:pPr>
          </w:p>
        </w:tc>
        <w:tc>
          <w:tcPr>
            <w:tcW w:w="9040" w:type="dxa"/>
            <w:vAlign w:val="bottom"/>
            <w:vMerge w:val="restart"/>
            <w:shd w:val="clear" w:color="auto" w:fill="F2F2F2"/>
          </w:tcPr>
          <w:p>
            <w:pPr>
              <w:ind w:left="100"/>
              <w:spacing w:after="0"/>
              <w:rPr>
                <w:sz w:val="20"/>
                <w:szCs w:val="20"/>
                <w:color w:val="auto"/>
              </w:rPr>
            </w:pPr>
            <w:r>
              <w:rPr>
                <w:rFonts w:ascii="Arial" w:cs="Arial" w:eastAsia="Arial" w:hAnsi="Arial"/>
                <w:sz w:val="16"/>
                <w:szCs w:val="16"/>
                <w:color w:val="auto"/>
                <w:w w:val="91"/>
              </w:rPr>
              <w:t>nominee does not receive more “for” votes than “against” votes, the director must offer his or her resignation, which the Board of Directors</w:t>
            </w:r>
          </w:p>
        </w:tc>
        <w:tc>
          <w:tcPr>
            <w:tcW w:w="0" w:type="dxa"/>
            <w:vAlign w:val="bottom"/>
          </w:tcPr>
          <w:p>
            <w:pPr>
              <w:spacing w:after="0"/>
              <w:rPr>
                <w:sz w:val="1"/>
                <w:szCs w:val="1"/>
                <w:color w:val="auto"/>
              </w:rPr>
            </w:pPr>
          </w:p>
        </w:tc>
      </w:tr>
      <w:tr>
        <w:trPr>
          <w:trHeight w:val="104"/>
        </w:trPr>
        <w:tc>
          <w:tcPr>
            <w:tcW w:w="1240" w:type="dxa"/>
            <w:vAlign w:val="bottom"/>
            <w:vMerge w:val="restart"/>
          </w:tcPr>
          <w:p>
            <w:pPr>
              <w:ind w:left="60"/>
              <w:spacing w:after="0"/>
              <w:rPr>
                <w:sz w:val="20"/>
                <w:szCs w:val="20"/>
                <w:color w:val="auto"/>
              </w:rPr>
            </w:pPr>
            <w:r>
              <w:rPr>
                <w:rFonts w:ascii="Arial" w:cs="Arial" w:eastAsia="Arial" w:hAnsi="Arial"/>
                <w:sz w:val="16"/>
                <w:szCs w:val="16"/>
                <w:color w:val="auto"/>
              </w:rPr>
              <w:t>of Directors</w:t>
            </w:r>
          </w:p>
        </w:tc>
        <w:tc>
          <w:tcPr>
            <w:tcW w:w="9040" w:type="dxa"/>
            <w:vAlign w:val="bottom"/>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240" w:type="dxa"/>
            <w:vAlign w:val="bottom"/>
            <w:vMerge w:val="continue"/>
          </w:tcPr>
          <w:p>
            <w:pPr>
              <w:spacing w:after="0"/>
              <w:rPr>
                <w:sz w:val="8"/>
                <w:szCs w:val="8"/>
                <w:color w:val="auto"/>
              </w:rPr>
            </w:pPr>
          </w:p>
        </w:tc>
        <w:tc>
          <w:tcPr>
            <w:tcW w:w="9040" w:type="dxa"/>
            <w:vAlign w:val="bottom"/>
            <w:vMerge w:val="restart"/>
            <w:shd w:val="clear" w:color="auto" w:fill="F2F2F2"/>
          </w:tcPr>
          <w:p>
            <w:pPr>
              <w:ind w:left="100"/>
              <w:spacing w:after="0"/>
              <w:rPr>
                <w:sz w:val="20"/>
                <w:szCs w:val="20"/>
                <w:color w:val="auto"/>
              </w:rPr>
            </w:pPr>
            <w:r>
              <w:rPr>
                <w:rFonts w:ascii="Arial" w:cs="Arial" w:eastAsia="Arial" w:hAnsi="Arial"/>
                <w:sz w:val="16"/>
                <w:szCs w:val="16"/>
                <w:color w:val="auto"/>
              </w:rPr>
              <w:t>must determine whether to accept and publicly disclose that determination.</w:t>
            </w:r>
          </w:p>
        </w:tc>
        <w:tc>
          <w:tcPr>
            <w:tcW w:w="0" w:type="dxa"/>
            <w:vAlign w:val="bottom"/>
          </w:tcPr>
          <w:p>
            <w:pPr>
              <w:spacing w:after="0"/>
              <w:rPr>
                <w:sz w:val="1"/>
                <w:szCs w:val="1"/>
                <w:color w:val="auto"/>
              </w:rPr>
            </w:pPr>
          </w:p>
        </w:tc>
      </w:tr>
      <w:tr>
        <w:trPr>
          <w:trHeight w:val="107"/>
        </w:trPr>
        <w:tc>
          <w:tcPr>
            <w:tcW w:w="1240" w:type="dxa"/>
            <w:vAlign w:val="bottom"/>
            <w:tcBorders>
              <w:bottom w:val="single" w:sz="8" w:color="0066BA"/>
            </w:tcBorders>
          </w:tcPr>
          <w:p>
            <w:pPr>
              <w:spacing w:after="0"/>
              <w:rPr>
                <w:sz w:val="9"/>
                <w:szCs w:val="9"/>
                <w:color w:val="auto"/>
              </w:rPr>
            </w:pPr>
          </w:p>
        </w:tc>
        <w:tc>
          <w:tcPr>
            <w:tcW w:w="9040" w:type="dxa"/>
            <w:vAlign w:val="bottom"/>
            <w:tcBorders>
              <w:bottom w:val="single" w:sz="8" w:color="0066BA"/>
            </w:tcBorders>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240" w:type="dxa"/>
            <w:vAlign w:val="bottom"/>
            <w:vMerge w:val="restart"/>
          </w:tcPr>
          <w:p>
            <w:pPr>
              <w:ind w:left="60"/>
              <w:spacing w:after="0"/>
              <w:rPr>
                <w:sz w:val="20"/>
                <w:szCs w:val="20"/>
                <w:color w:val="auto"/>
              </w:rPr>
            </w:pPr>
            <w:r>
              <w:rPr>
                <w:rFonts w:ascii="Arial" w:cs="Arial" w:eastAsia="Arial" w:hAnsi="Arial"/>
                <w:sz w:val="16"/>
                <w:szCs w:val="16"/>
                <w:color w:val="auto"/>
              </w:rPr>
              <w:t>Executive</w:t>
            </w:r>
          </w:p>
        </w:tc>
        <w:tc>
          <w:tcPr>
            <w:tcW w:w="9040" w:type="dxa"/>
            <w:vAlign w:val="bottom"/>
            <w:shd w:val="clear" w:color="auto" w:fill="F2F2F2"/>
          </w:tcPr>
          <w:p>
            <w:pPr>
              <w:ind w:left="100"/>
              <w:spacing w:after="0"/>
              <w:rPr>
                <w:sz w:val="20"/>
                <w:szCs w:val="20"/>
                <w:color w:val="auto"/>
              </w:rPr>
            </w:pPr>
            <w:r>
              <w:rPr>
                <w:rFonts w:ascii="Arial" w:cs="Arial" w:eastAsia="Arial" w:hAnsi="Arial"/>
                <w:sz w:val="16"/>
                <w:szCs w:val="16"/>
                <w:color w:val="auto"/>
                <w:w w:val="90"/>
              </w:rPr>
              <w:t>At least twice per year, our Board of Directors holds executive sessions with our independent, non-employee directors, as defined under the</w:t>
            </w:r>
          </w:p>
        </w:tc>
        <w:tc>
          <w:tcPr>
            <w:tcW w:w="0" w:type="dxa"/>
            <w:vAlign w:val="bottom"/>
          </w:tcPr>
          <w:p>
            <w:pPr>
              <w:spacing w:after="0"/>
              <w:rPr>
                <w:sz w:val="1"/>
                <w:szCs w:val="1"/>
                <w:color w:val="auto"/>
              </w:rPr>
            </w:pPr>
          </w:p>
        </w:tc>
      </w:tr>
      <w:tr>
        <w:trPr>
          <w:trHeight w:val="91"/>
        </w:trPr>
        <w:tc>
          <w:tcPr>
            <w:tcW w:w="1240" w:type="dxa"/>
            <w:vAlign w:val="bottom"/>
            <w:vMerge w:val="continue"/>
          </w:tcPr>
          <w:p>
            <w:pPr>
              <w:spacing w:after="0"/>
              <w:rPr>
                <w:sz w:val="7"/>
                <w:szCs w:val="7"/>
                <w:color w:val="auto"/>
              </w:rPr>
            </w:pPr>
          </w:p>
        </w:tc>
        <w:tc>
          <w:tcPr>
            <w:tcW w:w="9040" w:type="dxa"/>
            <w:vAlign w:val="bottom"/>
            <w:vMerge w:val="restart"/>
            <w:shd w:val="clear" w:color="auto" w:fill="F2F2F2"/>
          </w:tcPr>
          <w:p>
            <w:pPr>
              <w:ind w:left="100"/>
              <w:spacing w:after="0"/>
              <w:rPr>
                <w:sz w:val="20"/>
                <w:szCs w:val="20"/>
                <w:color w:val="auto"/>
              </w:rPr>
            </w:pPr>
            <w:r>
              <w:rPr>
                <w:rFonts w:ascii="Arial" w:cs="Arial" w:eastAsia="Arial" w:hAnsi="Arial"/>
                <w:sz w:val="16"/>
                <w:szCs w:val="16"/>
                <w:color w:val="auto"/>
                <w:w w:val="94"/>
              </w:rPr>
              <w:t>Nasdaq Rules. Our Presiding Director, James A. Champy, presides at these independent director executive sessions. In addition, the</w:t>
            </w:r>
          </w:p>
        </w:tc>
        <w:tc>
          <w:tcPr>
            <w:tcW w:w="0" w:type="dxa"/>
            <w:vAlign w:val="bottom"/>
          </w:tcPr>
          <w:p>
            <w:pPr>
              <w:spacing w:after="0"/>
              <w:rPr>
                <w:sz w:val="1"/>
                <w:szCs w:val="1"/>
                <w:color w:val="auto"/>
              </w:rPr>
            </w:pPr>
          </w:p>
        </w:tc>
      </w:tr>
      <w:tr>
        <w:trPr>
          <w:trHeight w:val="104"/>
        </w:trPr>
        <w:tc>
          <w:tcPr>
            <w:tcW w:w="1240" w:type="dxa"/>
            <w:vAlign w:val="bottom"/>
            <w:vMerge w:val="restart"/>
          </w:tcPr>
          <w:p>
            <w:pPr>
              <w:ind w:left="60"/>
              <w:spacing w:after="0"/>
              <w:rPr>
                <w:sz w:val="20"/>
                <w:szCs w:val="20"/>
                <w:color w:val="auto"/>
              </w:rPr>
            </w:pPr>
            <w:r>
              <w:rPr>
                <w:rFonts w:ascii="Arial" w:cs="Arial" w:eastAsia="Arial" w:hAnsi="Arial"/>
                <w:sz w:val="16"/>
                <w:szCs w:val="16"/>
                <w:color w:val="auto"/>
              </w:rPr>
              <w:t>Sessions</w:t>
            </w:r>
          </w:p>
        </w:tc>
        <w:tc>
          <w:tcPr>
            <w:tcW w:w="9040" w:type="dxa"/>
            <w:vAlign w:val="bottom"/>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240" w:type="dxa"/>
            <w:vAlign w:val="bottom"/>
            <w:vMerge w:val="continue"/>
          </w:tcPr>
          <w:p>
            <w:pPr>
              <w:spacing w:after="0"/>
              <w:rPr>
                <w:sz w:val="8"/>
                <w:szCs w:val="8"/>
                <w:color w:val="auto"/>
              </w:rPr>
            </w:pPr>
          </w:p>
        </w:tc>
        <w:tc>
          <w:tcPr>
            <w:tcW w:w="9040" w:type="dxa"/>
            <w:vAlign w:val="bottom"/>
            <w:vMerge w:val="restart"/>
            <w:shd w:val="clear" w:color="auto" w:fill="F2F2F2"/>
          </w:tcPr>
          <w:p>
            <w:pPr>
              <w:ind w:left="100"/>
              <w:spacing w:after="0"/>
              <w:rPr>
                <w:sz w:val="20"/>
                <w:szCs w:val="20"/>
                <w:color w:val="auto"/>
              </w:rPr>
            </w:pPr>
            <w:r>
              <w:rPr>
                <w:rFonts w:ascii="Arial" w:cs="Arial" w:eastAsia="Arial" w:hAnsi="Arial"/>
                <w:sz w:val="16"/>
                <w:szCs w:val="16"/>
                <w:color w:val="auto"/>
              </w:rPr>
              <w:t>committees of our Board of Directors also regularly hold executive sessions with their advisors without management present.</w:t>
            </w:r>
          </w:p>
        </w:tc>
        <w:tc>
          <w:tcPr>
            <w:tcW w:w="0" w:type="dxa"/>
            <w:vAlign w:val="bottom"/>
          </w:tcPr>
          <w:p>
            <w:pPr>
              <w:spacing w:after="0"/>
              <w:rPr>
                <w:sz w:val="1"/>
                <w:szCs w:val="1"/>
                <w:color w:val="auto"/>
              </w:rPr>
            </w:pPr>
          </w:p>
        </w:tc>
      </w:tr>
      <w:tr>
        <w:trPr>
          <w:trHeight w:val="107"/>
        </w:trPr>
        <w:tc>
          <w:tcPr>
            <w:tcW w:w="1240" w:type="dxa"/>
            <w:vAlign w:val="bottom"/>
            <w:tcBorders>
              <w:bottom w:val="single" w:sz="8" w:color="0066BA"/>
            </w:tcBorders>
          </w:tcPr>
          <w:p>
            <w:pPr>
              <w:spacing w:after="0"/>
              <w:rPr>
                <w:sz w:val="9"/>
                <w:szCs w:val="9"/>
                <w:color w:val="auto"/>
              </w:rPr>
            </w:pPr>
          </w:p>
        </w:tc>
        <w:tc>
          <w:tcPr>
            <w:tcW w:w="9040" w:type="dxa"/>
            <w:vAlign w:val="bottom"/>
            <w:tcBorders>
              <w:bottom w:val="single" w:sz="8" w:color="0066BA"/>
            </w:tcBorders>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240" w:type="dxa"/>
            <w:vAlign w:val="bottom"/>
          </w:tcPr>
          <w:p>
            <w:pPr>
              <w:ind w:left="60"/>
              <w:spacing w:after="0"/>
              <w:rPr>
                <w:sz w:val="20"/>
                <w:szCs w:val="20"/>
                <w:color w:val="auto"/>
              </w:rPr>
            </w:pPr>
            <w:r>
              <w:rPr>
                <w:rFonts w:ascii="Arial" w:cs="Arial" w:eastAsia="Arial" w:hAnsi="Arial"/>
                <w:sz w:val="16"/>
                <w:szCs w:val="16"/>
                <w:color w:val="auto"/>
              </w:rPr>
              <w:t>No Hedging and</w:t>
            </w:r>
          </w:p>
        </w:tc>
        <w:tc>
          <w:tcPr>
            <w:tcW w:w="9040" w:type="dxa"/>
            <w:vAlign w:val="bottom"/>
            <w:shd w:val="clear" w:color="auto" w:fill="F2F2F2"/>
          </w:tcPr>
          <w:p>
            <w:pPr>
              <w:ind w:left="100"/>
              <w:spacing w:after="0"/>
              <w:rPr>
                <w:sz w:val="20"/>
                <w:szCs w:val="20"/>
                <w:color w:val="auto"/>
              </w:rPr>
            </w:pPr>
            <w:r>
              <w:rPr>
                <w:rFonts w:ascii="Arial" w:cs="Arial" w:eastAsia="Arial" w:hAnsi="Arial"/>
                <w:sz w:val="16"/>
                <w:szCs w:val="16"/>
                <w:color w:val="auto"/>
                <w:w w:val="92"/>
              </w:rPr>
              <w:t>We prohibit all hedging transactions or short sales involving Company securities by our directors and employees, including our executive</w:t>
            </w:r>
          </w:p>
        </w:tc>
        <w:tc>
          <w:tcPr>
            <w:tcW w:w="0" w:type="dxa"/>
            <w:vAlign w:val="bottom"/>
          </w:tcPr>
          <w:p>
            <w:pPr>
              <w:spacing w:after="0"/>
              <w:rPr>
                <w:sz w:val="1"/>
                <w:szCs w:val="1"/>
                <w:color w:val="auto"/>
              </w:rPr>
            </w:pPr>
          </w:p>
        </w:tc>
      </w:tr>
      <w:tr>
        <w:trPr>
          <w:trHeight w:val="195"/>
        </w:trPr>
        <w:tc>
          <w:tcPr>
            <w:tcW w:w="1240" w:type="dxa"/>
            <w:vAlign w:val="bottom"/>
          </w:tcPr>
          <w:p>
            <w:pPr>
              <w:ind w:left="60"/>
              <w:spacing w:after="0"/>
              <w:rPr>
                <w:sz w:val="20"/>
                <w:szCs w:val="20"/>
                <w:color w:val="auto"/>
              </w:rPr>
            </w:pPr>
            <w:r>
              <w:rPr>
                <w:rFonts w:ascii="Arial" w:cs="Arial" w:eastAsia="Arial" w:hAnsi="Arial"/>
                <w:sz w:val="16"/>
                <w:szCs w:val="16"/>
                <w:color w:val="auto"/>
              </w:rPr>
              <w:t>No Pledging</w:t>
            </w:r>
          </w:p>
        </w:tc>
        <w:tc>
          <w:tcPr>
            <w:tcW w:w="9040" w:type="dxa"/>
            <w:vAlign w:val="bottom"/>
            <w:shd w:val="clear" w:color="auto" w:fill="F2F2F2"/>
          </w:tcPr>
          <w:p>
            <w:pPr>
              <w:ind w:left="100"/>
              <w:spacing w:after="0"/>
              <w:rPr>
                <w:sz w:val="20"/>
                <w:szCs w:val="20"/>
                <w:color w:val="auto"/>
              </w:rPr>
            </w:pPr>
            <w:r>
              <w:rPr>
                <w:rFonts w:ascii="Arial" w:cs="Arial" w:eastAsia="Arial" w:hAnsi="Arial"/>
                <w:sz w:val="16"/>
                <w:szCs w:val="16"/>
                <w:color w:val="auto"/>
                <w:w w:val="94"/>
              </w:rPr>
              <w:t>officers. Since January 2013, we have prohibited our directors and executive officers from holding any Company securities in a margin</w:t>
            </w:r>
          </w:p>
        </w:tc>
        <w:tc>
          <w:tcPr>
            <w:tcW w:w="0" w:type="dxa"/>
            <w:vAlign w:val="bottom"/>
          </w:tcPr>
          <w:p>
            <w:pPr>
              <w:spacing w:after="0"/>
              <w:rPr>
                <w:sz w:val="1"/>
                <w:szCs w:val="1"/>
                <w:color w:val="auto"/>
              </w:rPr>
            </w:pPr>
          </w:p>
        </w:tc>
      </w:tr>
      <w:tr>
        <w:trPr>
          <w:trHeight w:val="215"/>
        </w:trPr>
        <w:tc>
          <w:tcPr>
            <w:tcW w:w="1240" w:type="dxa"/>
            <w:vAlign w:val="bottom"/>
            <w:tcBorders>
              <w:bottom w:val="single" w:sz="8" w:color="0066BA"/>
            </w:tcBorders>
          </w:tcPr>
          <w:p>
            <w:pPr>
              <w:ind w:left="60"/>
              <w:spacing w:after="0"/>
              <w:rPr>
                <w:sz w:val="20"/>
                <w:szCs w:val="20"/>
                <w:color w:val="auto"/>
              </w:rPr>
            </w:pPr>
            <w:r>
              <w:rPr>
                <w:rFonts w:ascii="Arial" w:cs="Arial" w:eastAsia="Arial" w:hAnsi="Arial"/>
                <w:sz w:val="16"/>
                <w:szCs w:val="16"/>
                <w:color w:val="auto"/>
              </w:rPr>
              <w:t>Policy</w:t>
            </w:r>
          </w:p>
        </w:tc>
        <w:tc>
          <w:tcPr>
            <w:tcW w:w="9040" w:type="dxa"/>
            <w:vAlign w:val="bottom"/>
            <w:tcBorders>
              <w:bottom w:val="single" w:sz="8" w:color="0066BA"/>
            </w:tcBorders>
            <w:shd w:val="clear" w:color="auto" w:fill="F2F2F2"/>
          </w:tcPr>
          <w:p>
            <w:pPr>
              <w:ind w:left="100"/>
              <w:spacing w:after="0"/>
              <w:rPr>
                <w:sz w:val="20"/>
                <w:szCs w:val="20"/>
                <w:color w:val="auto"/>
              </w:rPr>
            </w:pPr>
            <w:r>
              <w:rPr>
                <w:rFonts w:ascii="Arial" w:cs="Arial" w:eastAsia="Arial" w:hAnsi="Arial"/>
                <w:sz w:val="16"/>
                <w:szCs w:val="16"/>
                <w:color w:val="auto"/>
              </w:rPr>
              <w:t>account, and from any future pledging of their Company securities as collateral for a loan.</w:t>
            </w:r>
          </w:p>
        </w:tc>
        <w:tc>
          <w:tcPr>
            <w:tcW w:w="0" w:type="dxa"/>
            <w:vAlign w:val="bottom"/>
          </w:tcPr>
          <w:p>
            <w:pPr>
              <w:spacing w:after="0"/>
              <w:rPr>
                <w:sz w:val="1"/>
                <w:szCs w:val="1"/>
                <w:color w:val="auto"/>
              </w:rPr>
            </w:pPr>
          </w:p>
        </w:tc>
      </w:tr>
      <w:tr>
        <w:trPr>
          <w:trHeight w:val="233"/>
        </w:trPr>
        <w:tc>
          <w:tcPr>
            <w:tcW w:w="1240" w:type="dxa"/>
            <w:vAlign w:val="bottom"/>
            <w:vMerge w:val="restart"/>
          </w:tcPr>
          <w:p>
            <w:pPr>
              <w:ind w:left="60"/>
              <w:spacing w:after="0"/>
              <w:rPr>
                <w:sz w:val="20"/>
                <w:szCs w:val="20"/>
                <w:color w:val="auto"/>
              </w:rPr>
            </w:pPr>
            <w:r>
              <w:rPr>
                <w:rFonts w:ascii="Arial" w:cs="Arial" w:eastAsia="Arial" w:hAnsi="Arial"/>
                <w:sz w:val="16"/>
                <w:szCs w:val="16"/>
                <w:color w:val="auto"/>
              </w:rPr>
              <w:t>Equity Award</w:t>
            </w:r>
          </w:p>
        </w:tc>
        <w:tc>
          <w:tcPr>
            <w:tcW w:w="9040" w:type="dxa"/>
            <w:vAlign w:val="bottom"/>
            <w:shd w:val="clear" w:color="auto" w:fill="F2F2F2"/>
          </w:tcPr>
          <w:p>
            <w:pPr>
              <w:ind w:left="100"/>
              <w:spacing w:after="0"/>
              <w:rPr>
                <w:sz w:val="20"/>
                <w:szCs w:val="20"/>
                <w:color w:val="auto"/>
              </w:rPr>
            </w:pPr>
            <w:r>
              <w:rPr>
                <w:rFonts w:ascii="Arial" w:cs="Arial" w:eastAsia="Arial" w:hAnsi="Arial"/>
                <w:sz w:val="16"/>
                <w:szCs w:val="16"/>
                <w:color w:val="auto"/>
                <w:w w:val="91"/>
              </w:rPr>
              <w:t>We do not time or select the grant dates of any stock options or stock-based awards in coordination with our release of material non-public</w:t>
            </w:r>
          </w:p>
        </w:tc>
        <w:tc>
          <w:tcPr>
            <w:tcW w:w="0" w:type="dxa"/>
            <w:vAlign w:val="bottom"/>
          </w:tcPr>
          <w:p>
            <w:pPr>
              <w:spacing w:after="0"/>
              <w:rPr>
                <w:sz w:val="1"/>
                <w:szCs w:val="1"/>
                <w:color w:val="auto"/>
              </w:rPr>
            </w:pPr>
          </w:p>
        </w:tc>
      </w:tr>
      <w:tr>
        <w:trPr>
          <w:trHeight w:val="182"/>
        </w:trPr>
        <w:tc>
          <w:tcPr>
            <w:tcW w:w="1240" w:type="dxa"/>
            <w:vAlign w:val="bottom"/>
            <w:vMerge w:val="continue"/>
          </w:tcPr>
          <w:p>
            <w:pPr>
              <w:spacing w:after="0"/>
              <w:rPr>
                <w:sz w:val="15"/>
                <w:szCs w:val="15"/>
                <w:color w:val="auto"/>
              </w:rPr>
            </w:pPr>
          </w:p>
        </w:tc>
        <w:tc>
          <w:tcPr>
            <w:tcW w:w="9040" w:type="dxa"/>
            <w:vAlign w:val="bottom"/>
            <w:shd w:val="clear" w:color="auto" w:fill="F2F2F2"/>
          </w:tcPr>
          <w:p>
            <w:pPr>
              <w:ind w:left="100"/>
              <w:spacing w:after="0" w:line="182" w:lineRule="exact"/>
              <w:rPr>
                <w:sz w:val="20"/>
                <w:szCs w:val="20"/>
                <w:color w:val="auto"/>
              </w:rPr>
            </w:pPr>
            <w:r>
              <w:rPr>
                <w:rFonts w:ascii="Arial" w:cs="Arial" w:eastAsia="Arial" w:hAnsi="Arial"/>
                <w:sz w:val="16"/>
                <w:szCs w:val="16"/>
                <w:color w:val="auto"/>
                <w:w w:val="91"/>
              </w:rPr>
              <w:t>information, nor do we have any program, plan or practice to do so. In addition, the Compensation Committee has adopted specific written</w:t>
            </w:r>
          </w:p>
        </w:tc>
        <w:tc>
          <w:tcPr>
            <w:tcW w:w="0" w:type="dxa"/>
            <w:vAlign w:val="bottom"/>
          </w:tcPr>
          <w:p>
            <w:pPr>
              <w:spacing w:after="0"/>
              <w:rPr>
                <w:sz w:val="1"/>
                <w:szCs w:val="1"/>
                <w:color w:val="auto"/>
              </w:rPr>
            </w:pPr>
          </w:p>
        </w:tc>
      </w:tr>
      <w:tr>
        <w:trPr>
          <w:trHeight w:val="195"/>
        </w:trPr>
        <w:tc>
          <w:tcPr>
            <w:tcW w:w="1240" w:type="dxa"/>
            <w:vAlign w:val="bottom"/>
          </w:tcPr>
          <w:p>
            <w:pPr>
              <w:ind w:left="60"/>
              <w:spacing w:after="0"/>
              <w:rPr>
                <w:sz w:val="20"/>
                <w:szCs w:val="20"/>
                <w:color w:val="auto"/>
              </w:rPr>
            </w:pPr>
            <w:r>
              <w:rPr>
                <w:rFonts w:ascii="Arial" w:cs="Arial" w:eastAsia="Arial" w:hAnsi="Arial"/>
                <w:sz w:val="16"/>
                <w:szCs w:val="16"/>
                <w:color w:val="auto"/>
              </w:rPr>
              <w:t>Grant Date</w:t>
            </w:r>
          </w:p>
        </w:tc>
        <w:tc>
          <w:tcPr>
            <w:tcW w:w="9040" w:type="dxa"/>
            <w:vAlign w:val="bottom"/>
            <w:shd w:val="clear" w:color="auto" w:fill="F2F2F2"/>
          </w:tcPr>
          <w:p>
            <w:pPr>
              <w:ind w:left="100"/>
              <w:spacing w:after="0"/>
              <w:rPr>
                <w:sz w:val="20"/>
                <w:szCs w:val="20"/>
                <w:color w:val="auto"/>
              </w:rPr>
            </w:pPr>
            <w:r>
              <w:rPr>
                <w:rFonts w:ascii="Arial" w:cs="Arial" w:eastAsia="Arial" w:hAnsi="Arial"/>
                <w:sz w:val="16"/>
                <w:szCs w:val="16"/>
                <w:color w:val="auto"/>
                <w:w w:val="90"/>
              </w:rPr>
              <w:t>policies regarding the grant dates of stock option and stock-based awards made to our directors, executive officers and employees. See “—</w:t>
            </w:r>
          </w:p>
        </w:tc>
        <w:tc>
          <w:tcPr>
            <w:tcW w:w="0" w:type="dxa"/>
            <w:vAlign w:val="bottom"/>
          </w:tcPr>
          <w:p>
            <w:pPr>
              <w:spacing w:after="0"/>
              <w:rPr>
                <w:sz w:val="1"/>
                <w:szCs w:val="1"/>
                <w:color w:val="auto"/>
              </w:rPr>
            </w:pPr>
          </w:p>
        </w:tc>
      </w:tr>
      <w:tr>
        <w:trPr>
          <w:trHeight w:val="208"/>
        </w:trPr>
        <w:tc>
          <w:tcPr>
            <w:tcW w:w="1240" w:type="dxa"/>
            <w:vAlign w:val="bottom"/>
          </w:tcPr>
          <w:p>
            <w:pPr>
              <w:ind w:left="60"/>
              <w:spacing w:after="0"/>
              <w:rPr>
                <w:sz w:val="20"/>
                <w:szCs w:val="20"/>
                <w:color w:val="auto"/>
              </w:rPr>
            </w:pPr>
            <w:r>
              <w:rPr>
                <w:rFonts w:ascii="Arial" w:cs="Arial" w:eastAsia="Arial" w:hAnsi="Arial"/>
                <w:sz w:val="16"/>
                <w:szCs w:val="16"/>
                <w:color w:val="auto"/>
              </w:rPr>
              <w:t>Policy</w:t>
            </w:r>
          </w:p>
        </w:tc>
        <w:tc>
          <w:tcPr>
            <w:tcW w:w="9040" w:type="dxa"/>
            <w:vAlign w:val="bottom"/>
            <w:shd w:val="clear" w:color="auto" w:fill="F2F2F2"/>
          </w:tcPr>
          <w:p>
            <w:pPr>
              <w:ind w:left="100"/>
              <w:spacing w:after="0"/>
              <w:rPr>
                <w:sz w:val="20"/>
                <w:szCs w:val="20"/>
                <w:color w:val="auto"/>
              </w:rPr>
            </w:pPr>
            <w:r>
              <w:rPr>
                <w:rFonts w:ascii="Arial" w:cs="Arial" w:eastAsia="Arial" w:hAnsi="Arial"/>
                <w:sz w:val="16"/>
                <w:szCs w:val="16"/>
                <w:color w:val="auto"/>
                <w:w w:val="92"/>
              </w:rPr>
              <w:t>Director Compensation” and “INFORMATION ABOUT EXECUTIVE COMPENSATION—Compensation Discussion and Analysis—Equity</w:t>
            </w:r>
          </w:p>
        </w:tc>
        <w:tc>
          <w:tcPr>
            <w:tcW w:w="0" w:type="dxa"/>
            <w:vAlign w:val="bottom"/>
          </w:tcPr>
          <w:p>
            <w:pPr>
              <w:spacing w:after="0"/>
              <w:rPr>
                <w:sz w:val="1"/>
                <w:szCs w:val="1"/>
                <w:color w:val="auto"/>
              </w:rPr>
            </w:pPr>
          </w:p>
        </w:tc>
      </w:tr>
      <w:tr>
        <w:trPr>
          <w:trHeight w:val="202"/>
        </w:trPr>
        <w:tc>
          <w:tcPr>
            <w:tcW w:w="1240" w:type="dxa"/>
            <w:vAlign w:val="bottom"/>
            <w:tcBorders>
              <w:bottom w:val="single" w:sz="8" w:color="0066BA"/>
            </w:tcBorders>
          </w:tcPr>
          <w:p>
            <w:pPr>
              <w:spacing w:after="0"/>
              <w:rPr>
                <w:sz w:val="17"/>
                <w:szCs w:val="17"/>
                <w:color w:val="auto"/>
              </w:rPr>
            </w:pPr>
          </w:p>
        </w:tc>
        <w:tc>
          <w:tcPr>
            <w:tcW w:w="9040" w:type="dxa"/>
            <w:vAlign w:val="bottom"/>
            <w:tcBorders>
              <w:bottom w:val="single" w:sz="8" w:color="0066BA"/>
            </w:tcBorders>
            <w:shd w:val="clear" w:color="auto" w:fill="F2F2F2"/>
          </w:tcPr>
          <w:p>
            <w:pPr>
              <w:ind w:left="100"/>
              <w:spacing w:after="0"/>
              <w:rPr>
                <w:sz w:val="20"/>
                <w:szCs w:val="20"/>
                <w:color w:val="auto"/>
              </w:rPr>
            </w:pPr>
            <w:r>
              <w:rPr>
                <w:rFonts w:ascii="Arial" w:cs="Arial" w:eastAsia="Arial" w:hAnsi="Arial"/>
                <w:sz w:val="16"/>
                <w:szCs w:val="16"/>
                <w:color w:val="auto"/>
              </w:rPr>
              <w:t>Award Grant Date Policy” below for more information.</w:t>
            </w:r>
          </w:p>
        </w:tc>
        <w:tc>
          <w:tcPr>
            <w:tcW w:w="0" w:type="dxa"/>
            <w:vAlign w:val="bottom"/>
          </w:tcPr>
          <w:p>
            <w:pPr>
              <w:spacing w:after="0"/>
              <w:rPr>
                <w:sz w:val="1"/>
                <w:szCs w:val="1"/>
                <w:color w:val="auto"/>
              </w:rPr>
            </w:pPr>
          </w:p>
        </w:tc>
      </w:tr>
      <w:tr>
        <w:trPr>
          <w:trHeight w:val="233"/>
        </w:trPr>
        <w:tc>
          <w:tcPr>
            <w:tcW w:w="1240" w:type="dxa"/>
            <w:vAlign w:val="bottom"/>
          </w:tcPr>
          <w:p>
            <w:pPr>
              <w:spacing w:after="0"/>
              <w:rPr>
                <w:sz w:val="20"/>
                <w:szCs w:val="20"/>
                <w:color w:val="auto"/>
              </w:rPr>
            </w:pPr>
          </w:p>
        </w:tc>
        <w:tc>
          <w:tcPr>
            <w:tcW w:w="9040" w:type="dxa"/>
            <w:vAlign w:val="bottom"/>
            <w:shd w:val="clear" w:color="auto" w:fill="F2F2F2"/>
          </w:tcPr>
          <w:p>
            <w:pPr>
              <w:ind w:left="100"/>
              <w:spacing w:after="0"/>
              <w:rPr>
                <w:sz w:val="20"/>
                <w:szCs w:val="20"/>
                <w:color w:val="auto"/>
              </w:rPr>
            </w:pPr>
            <w:r>
              <w:rPr>
                <w:rFonts w:ascii="Arial" w:cs="Arial" w:eastAsia="Arial" w:hAnsi="Arial"/>
                <w:sz w:val="16"/>
                <w:szCs w:val="16"/>
                <w:color w:val="auto"/>
                <w:w w:val="89"/>
              </w:rPr>
              <w:t>Under our recently updated guidelines, the target stock ownership levels are five times annual base salary for the Chief Executive Officer and</w:t>
            </w:r>
          </w:p>
        </w:tc>
        <w:tc>
          <w:tcPr>
            <w:tcW w:w="0" w:type="dxa"/>
            <w:vAlign w:val="bottom"/>
          </w:tcPr>
          <w:p>
            <w:pPr>
              <w:spacing w:after="0"/>
              <w:rPr>
                <w:sz w:val="1"/>
                <w:szCs w:val="1"/>
                <w:color w:val="auto"/>
              </w:rPr>
            </w:pPr>
          </w:p>
        </w:tc>
      </w:tr>
      <w:tr>
        <w:trPr>
          <w:trHeight w:val="195"/>
        </w:trPr>
        <w:tc>
          <w:tcPr>
            <w:tcW w:w="1240" w:type="dxa"/>
            <w:vAlign w:val="bottom"/>
          </w:tcPr>
          <w:p>
            <w:pPr>
              <w:spacing w:after="0"/>
              <w:rPr>
                <w:sz w:val="16"/>
                <w:szCs w:val="16"/>
                <w:color w:val="auto"/>
              </w:rPr>
            </w:pPr>
          </w:p>
        </w:tc>
        <w:tc>
          <w:tcPr>
            <w:tcW w:w="9040" w:type="dxa"/>
            <w:vAlign w:val="bottom"/>
            <w:shd w:val="clear" w:color="auto" w:fill="F2F2F2"/>
          </w:tcPr>
          <w:p>
            <w:pPr>
              <w:ind w:left="100"/>
              <w:spacing w:after="0"/>
              <w:rPr>
                <w:sz w:val="20"/>
                <w:szCs w:val="20"/>
                <w:color w:val="auto"/>
              </w:rPr>
            </w:pPr>
            <w:r>
              <w:rPr>
                <w:rFonts w:ascii="Arial" w:cs="Arial" w:eastAsia="Arial" w:hAnsi="Arial"/>
                <w:sz w:val="16"/>
                <w:szCs w:val="16"/>
                <w:color w:val="auto"/>
                <w:w w:val="90"/>
              </w:rPr>
              <w:t>three times annual base salary for other executive officers and any Senior Vice President reporting to the Chief Executive Officer, which we</w:t>
            </w:r>
          </w:p>
        </w:tc>
        <w:tc>
          <w:tcPr>
            <w:tcW w:w="0" w:type="dxa"/>
            <w:vAlign w:val="bottom"/>
          </w:tcPr>
          <w:p>
            <w:pPr>
              <w:spacing w:after="0"/>
              <w:rPr>
                <w:sz w:val="1"/>
                <w:szCs w:val="1"/>
                <w:color w:val="auto"/>
              </w:rPr>
            </w:pPr>
          </w:p>
        </w:tc>
      </w:tr>
      <w:tr>
        <w:trPr>
          <w:trHeight w:val="195"/>
        </w:trPr>
        <w:tc>
          <w:tcPr>
            <w:tcW w:w="1240" w:type="dxa"/>
            <w:vAlign w:val="bottom"/>
          </w:tcPr>
          <w:p>
            <w:pPr>
              <w:spacing w:after="0"/>
              <w:rPr>
                <w:sz w:val="16"/>
                <w:szCs w:val="16"/>
                <w:color w:val="auto"/>
              </w:rPr>
            </w:pPr>
          </w:p>
        </w:tc>
        <w:tc>
          <w:tcPr>
            <w:tcW w:w="9040" w:type="dxa"/>
            <w:vAlign w:val="bottom"/>
            <w:shd w:val="clear" w:color="auto" w:fill="F2F2F2"/>
          </w:tcPr>
          <w:p>
            <w:pPr>
              <w:ind w:left="100"/>
              <w:spacing w:after="0"/>
              <w:rPr>
                <w:sz w:val="20"/>
                <w:szCs w:val="20"/>
                <w:color w:val="auto"/>
              </w:rPr>
            </w:pPr>
            <w:r>
              <w:rPr>
                <w:rFonts w:ascii="Arial" w:cs="Arial" w:eastAsia="Arial" w:hAnsi="Arial"/>
                <w:sz w:val="16"/>
                <w:szCs w:val="16"/>
                <w:color w:val="auto"/>
                <w:w w:val="89"/>
              </w:rPr>
              <w:t>collectively refer to as, the Leadership Team. The Chief Executive Officer has four years from the date of his appointment as CEO to achieve</w:t>
            </w:r>
          </w:p>
        </w:tc>
        <w:tc>
          <w:tcPr>
            <w:tcW w:w="0" w:type="dxa"/>
            <w:vAlign w:val="bottom"/>
          </w:tcPr>
          <w:p>
            <w:pPr>
              <w:spacing w:after="0"/>
              <w:rPr>
                <w:sz w:val="1"/>
                <w:szCs w:val="1"/>
                <w:color w:val="auto"/>
              </w:rPr>
            </w:pPr>
          </w:p>
        </w:tc>
      </w:tr>
      <w:tr>
        <w:trPr>
          <w:trHeight w:val="195"/>
        </w:trPr>
        <w:tc>
          <w:tcPr>
            <w:tcW w:w="1240" w:type="dxa"/>
            <w:vAlign w:val="bottom"/>
            <w:vMerge w:val="restart"/>
          </w:tcPr>
          <w:p>
            <w:pPr>
              <w:ind w:left="60"/>
              <w:spacing w:after="0"/>
              <w:rPr>
                <w:sz w:val="20"/>
                <w:szCs w:val="20"/>
                <w:color w:val="auto"/>
              </w:rPr>
            </w:pPr>
            <w:r>
              <w:rPr>
                <w:rFonts w:ascii="Arial" w:cs="Arial" w:eastAsia="Arial" w:hAnsi="Arial"/>
                <w:sz w:val="16"/>
                <w:szCs w:val="16"/>
                <w:color w:val="auto"/>
              </w:rPr>
              <w:t>Executive</w:t>
            </w:r>
          </w:p>
        </w:tc>
        <w:tc>
          <w:tcPr>
            <w:tcW w:w="9040" w:type="dxa"/>
            <w:vAlign w:val="bottom"/>
            <w:shd w:val="clear" w:color="auto" w:fill="F2F2F2"/>
          </w:tcPr>
          <w:p>
            <w:pPr>
              <w:ind w:left="100"/>
              <w:spacing w:after="0"/>
              <w:rPr>
                <w:sz w:val="20"/>
                <w:szCs w:val="20"/>
                <w:color w:val="auto"/>
              </w:rPr>
            </w:pPr>
            <w:r>
              <w:rPr>
                <w:rFonts w:ascii="Arial" w:cs="Arial" w:eastAsia="Arial" w:hAnsi="Arial"/>
                <w:sz w:val="16"/>
                <w:szCs w:val="16"/>
                <w:color w:val="auto"/>
                <w:w w:val="87"/>
              </w:rPr>
              <w:t>his targeted level. Members of the Leadership Team other than the CEO have five years from the date he or she becomes part of the Leadership</w:t>
            </w:r>
          </w:p>
        </w:tc>
        <w:tc>
          <w:tcPr>
            <w:tcW w:w="0" w:type="dxa"/>
            <w:vAlign w:val="bottom"/>
          </w:tcPr>
          <w:p>
            <w:pPr>
              <w:spacing w:after="0"/>
              <w:rPr>
                <w:sz w:val="1"/>
                <w:szCs w:val="1"/>
                <w:color w:val="auto"/>
              </w:rPr>
            </w:pPr>
          </w:p>
        </w:tc>
      </w:tr>
      <w:tr>
        <w:trPr>
          <w:trHeight w:val="91"/>
        </w:trPr>
        <w:tc>
          <w:tcPr>
            <w:tcW w:w="1240" w:type="dxa"/>
            <w:vAlign w:val="bottom"/>
            <w:vMerge w:val="continue"/>
          </w:tcPr>
          <w:p>
            <w:pPr>
              <w:spacing w:after="0"/>
              <w:rPr>
                <w:sz w:val="7"/>
                <w:szCs w:val="7"/>
                <w:color w:val="auto"/>
              </w:rPr>
            </w:pPr>
          </w:p>
        </w:tc>
        <w:tc>
          <w:tcPr>
            <w:tcW w:w="9040" w:type="dxa"/>
            <w:vAlign w:val="bottom"/>
            <w:vMerge w:val="restart"/>
            <w:shd w:val="clear" w:color="auto" w:fill="F2F2F2"/>
          </w:tcPr>
          <w:p>
            <w:pPr>
              <w:ind w:left="100"/>
              <w:spacing w:after="0"/>
              <w:rPr>
                <w:sz w:val="20"/>
                <w:szCs w:val="20"/>
                <w:color w:val="auto"/>
              </w:rPr>
            </w:pPr>
            <w:r>
              <w:rPr>
                <w:rFonts w:ascii="Arial" w:cs="Arial" w:eastAsia="Arial" w:hAnsi="Arial"/>
                <w:sz w:val="16"/>
                <w:szCs w:val="16"/>
                <w:color w:val="auto"/>
                <w:w w:val="90"/>
              </w:rPr>
              <w:t>Team to achieve their targeted level. Shares subject to unexercised options, whether or not vested, and unvested performance-based RSUs</w:t>
            </w:r>
          </w:p>
        </w:tc>
        <w:tc>
          <w:tcPr>
            <w:tcW w:w="0" w:type="dxa"/>
            <w:vAlign w:val="bottom"/>
          </w:tcPr>
          <w:p>
            <w:pPr>
              <w:spacing w:after="0"/>
              <w:rPr>
                <w:sz w:val="1"/>
                <w:szCs w:val="1"/>
                <w:color w:val="auto"/>
              </w:rPr>
            </w:pPr>
          </w:p>
        </w:tc>
      </w:tr>
      <w:tr>
        <w:trPr>
          <w:trHeight w:val="104"/>
        </w:trPr>
        <w:tc>
          <w:tcPr>
            <w:tcW w:w="1240" w:type="dxa"/>
            <w:vAlign w:val="bottom"/>
            <w:vMerge w:val="restart"/>
          </w:tcPr>
          <w:p>
            <w:pPr>
              <w:ind w:left="60"/>
              <w:spacing w:after="0"/>
              <w:rPr>
                <w:sz w:val="20"/>
                <w:szCs w:val="20"/>
                <w:color w:val="auto"/>
              </w:rPr>
            </w:pPr>
            <w:r>
              <w:rPr>
                <w:rFonts w:ascii="Arial" w:cs="Arial" w:eastAsia="Arial" w:hAnsi="Arial"/>
                <w:sz w:val="16"/>
                <w:szCs w:val="16"/>
                <w:color w:val="auto"/>
              </w:rPr>
              <w:t>Stock</w:t>
            </w:r>
          </w:p>
        </w:tc>
        <w:tc>
          <w:tcPr>
            <w:tcW w:w="9040" w:type="dxa"/>
            <w:vAlign w:val="bottom"/>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240" w:type="dxa"/>
            <w:vAlign w:val="bottom"/>
            <w:vMerge w:val="continue"/>
          </w:tcPr>
          <w:p>
            <w:pPr>
              <w:spacing w:after="0"/>
              <w:rPr>
                <w:sz w:val="7"/>
                <w:szCs w:val="7"/>
                <w:color w:val="auto"/>
              </w:rPr>
            </w:pPr>
          </w:p>
        </w:tc>
        <w:tc>
          <w:tcPr>
            <w:tcW w:w="9040" w:type="dxa"/>
            <w:vAlign w:val="bottom"/>
            <w:vMerge w:val="restart"/>
            <w:shd w:val="clear" w:color="auto" w:fill="F2F2F2"/>
          </w:tcPr>
          <w:p>
            <w:pPr>
              <w:ind w:left="100"/>
              <w:spacing w:after="0"/>
              <w:rPr>
                <w:sz w:val="20"/>
                <w:szCs w:val="20"/>
                <w:color w:val="auto"/>
              </w:rPr>
            </w:pPr>
            <w:r>
              <w:rPr>
                <w:rFonts w:ascii="Arial" w:cs="Arial" w:eastAsia="Arial" w:hAnsi="Arial"/>
                <w:sz w:val="16"/>
                <w:szCs w:val="16"/>
                <w:color w:val="auto"/>
                <w:w w:val="95"/>
              </w:rPr>
              <w:t>whose performance have not yet been certified by the Compensation Committee will not be counted for purposes of satisfying these</w:t>
            </w:r>
          </w:p>
        </w:tc>
        <w:tc>
          <w:tcPr>
            <w:tcW w:w="0" w:type="dxa"/>
            <w:vAlign w:val="bottom"/>
          </w:tcPr>
          <w:p>
            <w:pPr>
              <w:spacing w:after="0"/>
              <w:rPr>
                <w:sz w:val="1"/>
                <w:szCs w:val="1"/>
                <w:color w:val="auto"/>
              </w:rPr>
            </w:pPr>
          </w:p>
        </w:tc>
      </w:tr>
      <w:tr>
        <w:trPr>
          <w:trHeight w:val="104"/>
        </w:trPr>
        <w:tc>
          <w:tcPr>
            <w:tcW w:w="1240" w:type="dxa"/>
            <w:vAlign w:val="bottom"/>
            <w:vMerge w:val="restart"/>
          </w:tcPr>
          <w:p>
            <w:pPr>
              <w:ind w:left="60"/>
              <w:spacing w:after="0"/>
              <w:rPr>
                <w:sz w:val="20"/>
                <w:szCs w:val="20"/>
                <w:color w:val="auto"/>
              </w:rPr>
            </w:pPr>
            <w:r>
              <w:rPr>
                <w:rFonts w:ascii="Arial" w:cs="Arial" w:eastAsia="Arial" w:hAnsi="Arial"/>
                <w:sz w:val="16"/>
                <w:szCs w:val="16"/>
                <w:color w:val="auto"/>
              </w:rPr>
              <w:t>Ownership</w:t>
            </w:r>
          </w:p>
        </w:tc>
        <w:tc>
          <w:tcPr>
            <w:tcW w:w="9040" w:type="dxa"/>
            <w:vAlign w:val="bottom"/>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240" w:type="dxa"/>
            <w:vAlign w:val="bottom"/>
            <w:vMerge w:val="continue"/>
          </w:tcPr>
          <w:p>
            <w:pPr>
              <w:spacing w:after="0"/>
              <w:rPr>
                <w:sz w:val="7"/>
                <w:szCs w:val="7"/>
                <w:color w:val="auto"/>
              </w:rPr>
            </w:pPr>
          </w:p>
        </w:tc>
        <w:tc>
          <w:tcPr>
            <w:tcW w:w="9040" w:type="dxa"/>
            <w:vAlign w:val="bottom"/>
            <w:vMerge w:val="restart"/>
            <w:shd w:val="clear" w:color="auto" w:fill="F2F2F2"/>
          </w:tcPr>
          <w:p>
            <w:pPr>
              <w:ind w:left="100"/>
              <w:spacing w:after="0"/>
              <w:rPr>
                <w:sz w:val="20"/>
                <w:szCs w:val="20"/>
                <w:color w:val="auto"/>
              </w:rPr>
            </w:pPr>
            <w:r>
              <w:rPr>
                <w:rFonts w:ascii="Arial" w:cs="Arial" w:eastAsia="Arial" w:hAnsi="Arial"/>
                <w:sz w:val="16"/>
                <w:szCs w:val="16"/>
                <w:color w:val="auto"/>
                <w:w w:val="87"/>
              </w:rPr>
              <w:t>guidelines. RSUs and restricted stock (whether or not vested) and unvested performance-based RSUs whose performance has been certified by</w:t>
            </w:r>
          </w:p>
        </w:tc>
        <w:tc>
          <w:tcPr>
            <w:tcW w:w="0" w:type="dxa"/>
            <w:vAlign w:val="bottom"/>
          </w:tcPr>
          <w:p>
            <w:pPr>
              <w:spacing w:after="0"/>
              <w:rPr>
                <w:sz w:val="1"/>
                <w:szCs w:val="1"/>
                <w:color w:val="auto"/>
              </w:rPr>
            </w:pPr>
          </w:p>
        </w:tc>
      </w:tr>
      <w:tr>
        <w:trPr>
          <w:trHeight w:val="104"/>
        </w:trPr>
        <w:tc>
          <w:tcPr>
            <w:tcW w:w="1240" w:type="dxa"/>
            <w:vAlign w:val="bottom"/>
            <w:vMerge w:val="restart"/>
          </w:tcPr>
          <w:p>
            <w:pPr>
              <w:ind w:left="60"/>
              <w:spacing w:after="0"/>
              <w:rPr>
                <w:sz w:val="20"/>
                <w:szCs w:val="20"/>
                <w:color w:val="auto"/>
              </w:rPr>
            </w:pPr>
            <w:r>
              <w:rPr>
                <w:rFonts w:ascii="Arial" w:cs="Arial" w:eastAsia="Arial" w:hAnsi="Arial"/>
                <w:sz w:val="16"/>
                <w:szCs w:val="16"/>
                <w:color w:val="auto"/>
              </w:rPr>
              <w:t>Guidelines</w:t>
            </w:r>
          </w:p>
        </w:tc>
        <w:tc>
          <w:tcPr>
            <w:tcW w:w="9040" w:type="dxa"/>
            <w:vAlign w:val="bottom"/>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240" w:type="dxa"/>
            <w:vAlign w:val="bottom"/>
            <w:vMerge w:val="continue"/>
          </w:tcPr>
          <w:p>
            <w:pPr>
              <w:spacing w:after="0"/>
              <w:rPr>
                <w:sz w:val="8"/>
                <w:szCs w:val="8"/>
                <w:color w:val="auto"/>
              </w:rPr>
            </w:pPr>
          </w:p>
        </w:tc>
        <w:tc>
          <w:tcPr>
            <w:tcW w:w="9040" w:type="dxa"/>
            <w:vAlign w:val="bottom"/>
            <w:vMerge w:val="restart"/>
            <w:shd w:val="clear" w:color="auto" w:fill="F2F2F2"/>
          </w:tcPr>
          <w:p>
            <w:pPr>
              <w:ind w:left="100"/>
              <w:spacing w:after="0"/>
              <w:rPr>
                <w:sz w:val="20"/>
                <w:szCs w:val="20"/>
                <w:color w:val="auto"/>
              </w:rPr>
            </w:pPr>
            <w:r>
              <w:rPr>
                <w:rFonts w:ascii="Arial" w:cs="Arial" w:eastAsia="Arial" w:hAnsi="Arial"/>
                <w:sz w:val="16"/>
                <w:szCs w:val="16"/>
                <w:color w:val="auto"/>
                <w:w w:val="90"/>
              </w:rPr>
              <w:t>the Compensation Committee are counted for purposes of satisfying the guidelines. All members of the Leadership Team, other than Mses.</w:t>
            </w:r>
          </w:p>
        </w:tc>
        <w:tc>
          <w:tcPr>
            <w:tcW w:w="0" w:type="dxa"/>
            <w:vAlign w:val="bottom"/>
          </w:tcPr>
          <w:p>
            <w:pPr>
              <w:spacing w:after="0"/>
              <w:rPr>
                <w:sz w:val="1"/>
                <w:szCs w:val="1"/>
                <w:color w:val="auto"/>
              </w:rPr>
            </w:pPr>
          </w:p>
        </w:tc>
      </w:tr>
      <w:tr>
        <w:trPr>
          <w:trHeight w:val="100"/>
        </w:trPr>
        <w:tc>
          <w:tcPr>
            <w:tcW w:w="1240" w:type="dxa"/>
            <w:vAlign w:val="bottom"/>
          </w:tcPr>
          <w:p>
            <w:pPr>
              <w:spacing w:after="0"/>
              <w:rPr>
                <w:sz w:val="8"/>
                <w:szCs w:val="8"/>
                <w:color w:val="auto"/>
              </w:rPr>
            </w:pPr>
          </w:p>
        </w:tc>
        <w:tc>
          <w:tcPr>
            <w:tcW w:w="9040" w:type="dxa"/>
            <w:vAlign w:val="bottom"/>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240" w:type="dxa"/>
            <w:vAlign w:val="bottom"/>
          </w:tcPr>
          <w:p>
            <w:pPr>
              <w:spacing w:after="0"/>
              <w:rPr>
                <w:sz w:val="16"/>
                <w:szCs w:val="16"/>
                <w:color w:val="auto"/>
              </w:rPr>
            </w:pPr>
          </w:p>
        </w:tc>
        <w:tc>
          <w:tcPr>
            <w:tcW w:w="9040" w:type="dxa"/>
            <w:vAlign w:val="bottom"/>
            <w:shd w:val="clear" w:color="auto" w:fill="F2F2F2"/>
          </w:tcPr>
          <w:p>
            <w:pPr>
              <w:ind w:left="100"/>
              <w:spacing w:after="0"/>
              <w:rPr>
                <w:sz w:val="20"/>
                <w:szCs w:val="20"/>
                <w:color w:val="auto"/>
              </w:rPr>
            </w:pPr>
            <w:r>
              <w:rPr>
                <w:rFonts w:ascii="Arial" w:cs="Arial" w:eastAsia="Arial" w:hAnsi="Arial"/>
                <w:sz w:val="16"/>
                <w:szCs w:val="16"/>
                <w:color w:val="auto"/>
                <w:w w:val="92"/>
              </w:rPr>
              <w:t>Sacks and Asgeirsson, who first joined ADI in fiscal 2021, were in compliance with our stock ownership guidelines as of the end of fiscal</w:t>
            </w:r>
          </w:p>
        </w:tc>
        <w:tc>
          <w:tcPr>
            <w:tcW w:w="0" w:type="dxa"/>
            <w:vAlign w:val="bottom"/>
          </w:tcPr>
          <w:p>
            <w:pPr>
              <w:spacing w:after="0"/>
              <w:rPr>
                <w:sz w:val="1"/>
                <w:szCs w:val="1"/>
                <w:color w:val="auto"/>
              </w:rPr>
            </w:pPr>
          </w:p>
        </w:tc>
      </w:tr>
      <w:tr>
        <w:trPr>
          <w:trHeight w:val="195"/>
        </w:trPr>
        <w:tc>
          <w:tcPr>
            <w:tcW w:w="1240" w:type="dxa"/>
            <w:vAlign w:val="bottom"/>
          </w:tcPr>
          <w:p>
            <w:pPr>
              <w:spacing w:after="0"/>
              <w:rPr>
                <w:sz w:val="16"/>
                <w:szCs w:val="16"/>
                <w:color w:val="auto"/>
              </w:rPr>
            </w:pPr>
          </w:p>
        </w:tc>
        <w:tc>
          <w:tcPr>
            <w:tcW w:w="9040" w:type="dxa"/>
            <w:vAlign w:val="bottom"/>
            <w:shd w:val="clear" w:color="auto" w:fill="F2F2F2"/>
          </w:tcPr>
          <w:p>
            <w:pPr>
              <w:ind w:left="100"/>
              <w:spacing w:after="0"/>
              <w:rPr>
                <w:sz w:val="20"/>
                <w:szCs w:val="20"/>
                <w:color w:val="auto"/>
              </w:rPr>
            </w:pPr>
            <w:r>
              <w:rPr>
                <w:rFonts w:ascii="Arial" w:cs="Arial" w:eastAsia="Arial" w:hAnsi="Arial"/>
                <w:sz w:val="16"/>
                <w:szCs w:val="16"/>
                <w:color w:val="auto"/>
                <w:w w:val="91"/>
              </w:rPr>
              <w:t>2021. Mses. Sacks and Asgeirsson are expected to be in compliance with our stock ownership guidelines within the first five years of their</w:t>
            </w:r>
          </w:p>
        </w:tc>
        <w:tc>
          <w:tcPr>
            <w:tcW w:w="0" w:type="dxa"/>
            <w:vAlign w:val="bottom"/>
          </w:tcPr>
          <w:p>
            <w:pPr>
              <w:spacing w:after="0"/>
              <w:rPr>
                <w:sz w:val="1"/>
                <w:szCs w:val="1"/>
                <w:color w:val="auto"/>
              </w:rPr>
            </w:pPr>
          </w:p>
        </w:tc>
      </w:tr>
      <w:tr>
        <w:trPr>
          <w:trHeight w:val="202"/>
        </w:trPr>
        <w:tc>
          <w:tcPr>
            <w:tcW w:w="1240" w:type="dxa"/>
            <w:vAlign w:val="bottom"/>
            <w:tcBorders>
              <w:bottom w:val="single" w:sz="8" w:color="0066BA"/>
            </w:tcBorders>
          </w:tcPr>
          <w:p>
            <w:pPr>
              <w:spacing w:after="0"/>
              <w:rPr>
                <w:sz w:val="17"/>
                <w:szCs w:val="17"/>
                <w:color w:val="auto"/>
              </w:rPr>
            </w:pPr>
          </w:p>
        </w:tc>
        <w:tc>
          <w:tcPr>
            <w:tcW w:w="9040" w:type="dxa"/>
            <w:vAlign w:val="bottom"/>
            <w:tcBorders>
              <w:bottom w:val="single" w:sz="8" w:color="0066BA"/>
            </w:tcBorders>
            <w:shd w:val="clear" w:color="auto" w:fill="F2F2F2"/>
          </w:tcPr>
          <w:p>
            <w:pPr>
              <w:ind w:left="100"/>
              <w:spacing w:after="0"/>
              <w:rPr>
                <w:sz w:val="20"/>
                <w:szCs w:val="20"/>
                <w:color w:val="auto"/>
              </w:rPr>
            </w:pPr>
            <w:r>
              <w:rPr>
                <w:rFonts w:ascii="Arial" w:cs="Arial" w:eastAsia="Arial" w:hAnsi="Arial"/>
                <w:sz w:val="16"/>
                <w:szCs w:val="16"/>
                <w:color w:val="auto"/>
              </w:rPr>
              <w:t>appointment to the Leadership Team.</w:t>
            </w:r>
          </w:p>
        </w:tc>
        <w:tc>
          <w:tcPr>
            <w:tcW w:w="0" w:type="dxa"/>
            <w:vAlign w:val="bottom"/>
          </w:tcPr>
          <w:p>
            <w:pPr>
              <w:spacing w:after="0"/>
              <w:rPr>
                <w:sz w:val="1"/>
                <w:szCs w:val="1"/>
                <w:color w:val="auto"/>
              </w:rPr>
            </w:pPr>
          </w:p>
        </w:tc>
      </w:tr>
      <w:tr>
        <w:trPr>
          <w:trHeight w:val="233"/>
        </w:trPr>
        <w:tc>
          <w:tcPr>
            <w:tcW w:w="1240" w:type="dxa"/>
            <w:vAlign w:val="bottom"/>
            <w:vMerge w:val="restart"/>
          </w:tcPr>
          <w:p>
            <w:pPr>
              <w:ind w:left="60"/>
              <w:spacing w:after="0"/>
              <w:rPr>
                <w:sz w:val="20"/>
                <w:szCs w:val="20"/>
                <w:color w:val="auto"/>
              </w:rPr>
            </w:pPr>
            <w:r>
              <w:rPr>
                <w:rFonts w:ascii="Arial" w:cs="Arial" w:eastAsia="Arial" w:hAnsi="Arial"/>
                <w:sz w:val="16"/>
                <w:szCs w:val="16"/>
                <w:color w:val="auto"/>
              </w:rPr>
              <w:t>Clawback</w:t>
            </w:r>
          </w:p>
        </w:tc>
        <w:tc>
          <w:tcPr>
            <w:tcW w:w="9040" w:type="dxa"/>
            <w:vAlign w:val="bottom"/>
            <w:shd w:val="clear" w:color="auto" w:fill="F2F2F2"/>
          </w:tcPr>
          <w:p>
            <w:pPr>
              <w:ind w:left="100"/>
              <w:spacing w:after="0"/>
              <w:rPr>
                <w:sz w:val="20"/>
                <w:szCs w:val="20"/>
                <w:color w:val="auto"/>
              </w:rPr>
            </w:pPr>
            <w:r>
              <w:rPr>
                <w:rFonts w:ascii="Arial" w:cs="Arial" w:eastAsia="Arial" w:hAnsi="Arial"/>
                <w:sz w:val="16"/>
                <w:szCs w:val="16"/>
                <w:color w:val="auto"/>
                <w:w w:val="94"/>
              </w:rPr>
              <w:t>Our clawback policy provides that in the event of a material restatement of our financial results, the Compensation Committee may, as</w:t>
            </w:r>
          </w:p>
        </w:tc>
        <w:tc>
          <w:tcPr>
            <w:tcW w:w="0" w:type="dxa"/>
            <w:vAlign w:val="bottom"/>
          </w:tcPr>
          <w:p>
            <w:pPr>
              <w:spacing w:after="0"/>
              <w:rPr>
                <w:sz w:val="1"/>
                <w:szCs w:val="1"/>
                <w:color w:val="auto"/>
              </w:rPr>
            </w:pPr>
          </w:p>
        </w:tc>
      </w:tr>
      <w:tr>
        <w:trPr>
          <w:trHeight w:val="182"/>
        </w:trPr>
        <w:tc>
          <w:tcPr>
            <w:tcW w:w="1240" w:type="dxa"/>
            <w:vAlign w:val="bottom"/>
            <w:vMerge w:val="continue"/>
          </w:tcPr>
          <w:p>
            <w:pPr>
              <w:spacing w:after="0"/>
              <w:rPr>
                <w:sz w:val="15"/>
                <w:szCs w:val="15"/>
                <w:color w:val="auto"/>
              </w:rPr>
            </w:pPr>
          </w:p>
        </w:tc>
        <w:tc>
          <w:tcPr>
            <w:tcW w:w="9040" w:type="dxa"/>
            <w:vAlign w:val="bottom"/>
            <w:shd w:val="clear" w:color="auto" w:fill="F2F2F2"/>
          </w:tcPr>
          <w:p>
            <w:pPr>
              <w:ind w:left="100"/>
              <w:spacing w:after="0" w:line="182" w:lineRule="exact"/>
              <w:rPr>
                <w:sz w:val="20"/>
                <w:szCs w:val="20"/>
                <w:color w:val="auto"/>
              </w:rPr>
            </w:pPr>
            <w:r>
              <w:rPr>
                <w:rFonts w:ascii="Arial" w:cs="Arial" w:eastAsia="Arial" w:hAnsi="Arial"/>
                <w:sz w:val="16"/>
                <w:szCs w:val="16"/>
                <w:color w:val="auto"/>
                <w:w w:val="89"/>
              </w:rPr>
              <w:t>appropriate, seek to recover from any executive officer whose fraud or willful misconduct caused or partially caused such restatement, all or a</w:t>
            </w:r>
          </w:p>
        </w:tc>
        <w:tc>
          <w:tcPr>
            <w:tcW w:w="0" w:type="dxa"/>
            <w:vAlign w:val="bottom"/>
          </w:tcPr>
          <w:p>
            <w:pPr>
              <w:spacing w:after="0"/>
              <w:rPr>
                <w:sz w:val="1"/>
                <w:szCs w:val="1"/>
                <w:color w:val="auto"/>
              </w:rPr>
            </w:pPr>
          </w:p>
        </w:tc>
      </w:tr>
      <w:tr>
        <w:trPr>
          <w:trHeight w:val="208"/>
        </w:trPr>
        <w:tc>
          <w:tcPr>
            <w:tcW w:w="1240" w:type="dxa"/>
            <w:vAlign w:val="bottom"/>
          </w:tcPr>
          <w:p>
            <w:pPr>
              <w:ind w:left="60"/>
              <w:spacing w:after="0"/>
              <w:rPr>
                <w:sz w:val="20"/>
                <w:szCs w:val="20"/>
                <w:color w:val="auto"/>
              </w:rPr>
            </w:pPr>
            <w:r>
              <w:rPr>
                <w:rFonts w:ascii="Arial" w:cs="Arial" w:eastAsia="Arial" w:hAnsi="Arial"/>
                <w:sz w:val="16"/>
                <w:szCs w:val="16"/>
                <w:color w:val="auto"/>
              </w:rPr>
              <w:t>Policy</w:t>
            </w:r>
          </w:p>
        </w:tc>
        <w:tc>
          <w:tcPr>
            <w:tcW w:w="9040" w:type="dxa"/>
            <w:vAlign w:val="bottom"/>
            <w:shd w:val="clear" w:color="auto" w:fill="F2F2F2"/>
          </w:tcPr>
          <w:p>
            <w:pPr>
              <w:ind w:left="100"/>
              <w:spacing w:after="0"/>
              <w:rPr>
                <w:sz w:val="20"/>
                <w:szCs w:val="20"/>
                <w:color w:val="auto"/>
              </w:rPr>
            </w:pPr>
            <w:r>
              <w:rPr>
                <w:rFonts w:ascii="Arial" w:cs="Arial" w:eastAsia="Arial" w:hAnsi="Arial"/>
                <w:sz w:val="16"/>
                <w:szCs w:val="16"/>
                <w:color w:val="auto"/>
                <w:w w:val="91"/>
              </w:rPr>
              <w:t>portion of the performance-based compensation awarded to such executive officer that was in excess of the amount that would have been</w:t>
            </w:r>
          </w:p>
        </w:tc>
        <w:tc>
          <w:tcPr>
            <w:tcW w:w="0" w:type="dxa"/>
            <w:vAlign w:val="bottom"/>
          </w:tcPr>
          <w:p>
            <w:pPr>
              <w:spacing w:after="0"/>
              <w:rPr>
                <w:sz w:val="1"/>
                <w:szCs w:val="1"/>
                <w:color w:val="auto"/>
              </w:rPr>
            </w:pPr>
          </w:p>
        </w:tc>
      </w:tr>
      <w:tr>
        <w:trPr>
          <w:trHeight w:val="202"/>
        </w:trPr>
        <w:tc>
          <w:tcPr>
            <w:tcW w:w="1240" w:type="dxa"/>
            <w:vAlign w:val="bottom"/>
            <w:tcBorders>
              <w:bottom w:val="single" w:sz="8" w:color="0066BA"/>
            </w:tcBorders>
          </w:tcPr>
          <w:p>
            <w:pPr>
              <w:spacing w:after="0"/>
              <w:rPr>
                <w:sz w:val="17"/>
                <w:szCs w:val="17"/>
                <w:color w:val="auto"/>
              </w:rPr>
            </w:pPr>
          </w:p>
        </w:tc>
        <w:tc>
          <w:tcPr>
            <w:tcW w:w="9040" w:type="dxa"/>
            <w:vAlign w:val="bottom"/>
            <w:tcBorders>
              <w:bottom w:val="single" w:sz="8" w:color="0066BA"/>
            </w:tcBorders>
            <w:shd w:val="clear" w:color="auto" w:fill="F2F2F2"/>
          </w:tcPr>
          <w:p>
            <w:pPr>
              <w:ind w:left="100"/>
              <w:spacing w:after="0"/>
              <w:rPr>
                <w:sz w:val="20"/>
                <w:szCs w:val="20"/>
                <w:color w:val="auto"/>
              </w:rPr>
            </w:pPr>
            <w:r>
              <w:rPr>
                <w:rFonts w:ascii="Arial" w:cs="Arial" w:eastAsia="Arial" w:hAnsi="Arial"/>
                <w:sz w:val="16"/>
                <w:szCs w:val="16"/>
                <w:color w:val="auto"/>
              </w:rPr>
              <w:t>awarded based on the restated financial results.</w:t>
            </w:r>
          </w:p>
        </w:tc>
        <w:tc>
          <w:tcPr>
            <w:tcW w:w="0" w:type="dxa"/>
            <w:vAlign w:val="bottom"/>
          </w:tcPr>
          <w:p>
            <w:pPr>
              <w:spacing w:after="0"/>
              <w:rPr>
                <w:sz w:val="1"/>
                <w:szCs w:val="1"/>
                <w:color w:val="auto"/>
              </w:rPr>
            </w:pPr>
          </w:p>
        </w:tc>
      </w:tr>
      <w:tr>
        <w:trPr>
          <w:trHeight w:val="233"/>
        </w:trPr>
        <w:tc>
          <w:tcPr>
            <w:tcW w:w="1240" w:type="dxa"/>
            <w:vAlign w:val="bottom"/>
          </w:tcPr>
          <w:p>
            <w:pPr>
              <w:ind w:left="60"/>
              <w:spacing w:after="0"/>
              <w:rPr>
                <w:sz w:val="20"/>
                <w:szCs w:val="20"/>
                <w:color w:val="auto"/>
              </w:rPr>
            </w:pPr>
            <w:r>
              <w:rPr>
                <w:rFonts w:ascii="Arial" w:cs="Arial" w:eastAsia="Arial" w:hAnsi="Arial"/>
                <w:sz w:val="16"/>
                <w:szCs w:val="16"/>
                <w:color w:val="auto"/>
                <w:w w:val="91"/>
              </w:rPr>
              <w:t>Adoption of Proxy</w:t>
            </w:r>
          </w:p>
        </w:tc>
        <w:tc>
          <w:tcPr>
            <w:tcW w:w="9040" w:type="dxa"/>
            <w:vAlign w:val="bottom"/>
            <w:shd w:val="clear" w:color="auto" w:fill="F2F2F2"/>
          </w:tcPr>
          <w:p>
            <w:pPr>
              <w:ind w:left="100"/>
              <w:spacing w:after="0"/>
              <w:rPr>
                <w:sz w:val="20"/>
                <w:szCs w:val="20"/>
                <w:color w:val="auto"/>
              </w:rPr>
            </w:pPr>
            <w:r>
              <w:rPr>
                <w:rFonts w:ascii="Arial" w:cs="Arial" w:eastAsia="Arial" w:hAnsi="Arial"/>
                <w:sz w:val="16"/>
                <w:szCs w:val="16"/>
                <w:color w:val="auto"/>
                <w:w w:val="91"/>
              </w:rPr>
              <w:t>Our Board of Directors approved a bylaw amendment implementing proxy access, which allows shareholders that meet standard eligibility</w:t>
            </w:r>
          </w:p>
        </w:tc>
        <w:tc>
          <w:tcPr>
            <w:tcW w:w="0" w:type="dxa"/>
            <w:vAlign w:val="bottom"/>
          </w:tcPr>
          <w:p>
            <w:pPr>
              <w:spacing w:after="0"/>
              <w:rPr>
                <w:sz w:val="1"/>
                <w:szCs w:val="1"/>
                <w:color w:val="auto"/>
              </w:rPr>
            </w:pPr>
          </w:p>
        </w:tc>
      </w:tr>
      <w:tr>
        <w:trPr>
          <w:trHeight w:val="202"/>
        </w:trPr>
        <w:tc>
          <w:tcPr>
            <w:tcW w:w="1240" w:type="dxa"/>
            <w:vAlign w:val="bottom"/>
            <w:tcBorders>
              <w:bottom w:val="single" w:sz="8" w:color="0066BA"/>
            </w:tcBorders>
          </w:tcPr>
          <w:p>
            <w:pPr>
              <w:ind w:left="60"/>
              <w:spacing w:after="0"/>
              <w:rPr>
                <w:sz w:val="20"/>
                <w:szCs w:val="20"/>
                <w:color w:val="auto"/>
              </w:rPr>
            </w:pPr>
            <w:r>
              <w:rPr>
                <w:rFonts w:ascii="Arial" w:cs="Arial" w:eastAsia="Arial" w:hAnsi="Arial"/>
                <w:sz w:val="16"/>
                <w:szCs w:val="16"/>
                <w:color w:val="auto"/>
              </w:rPr>
              <w:t>Access Right</w:t>
            </w:r>
          </w:p>
        </w:tc>
        <w:tc>
          <w:tcPr>
            <w:tcW w:w="9040" w:type="dxa"/>
            <w:vAlign w:val="bottom"/>
            <w:tcBorders>
              <w:bottom w:val="single" w:sz="8" w:color="0066BA"/>
            </w:tcBorders>
            <w:shd w:val="clear" w:color="auto" w:fill="F2F2F2"/>
          </w:tcPr>
          <w:p>
            <w:pPr>
              <w:ind w:left="100"/>
              <w:spacing w:after="0"/>
              <w:rPr>
                <w:sz w:val="20"/>
                <w:szCs w:val="20"/>
                <w:color w:val="auto"/>
              </w:rPr>
            </w:pPr>
            <w:r>
              <w:rPr>
                <w:rFonts w:ascii="Arial" w:cs="Arial" w:eastAsia="Arial" w:hAnsi="Arial"/>
                <w:sz w:val="16"/>
                <w:szCs w:val="16"/>
                <w:color w:val="auto"/>
              </w:rPr>
              <w:t>requirements to nominate and include in the Company’s proxy statement director candidates for election.</w:t>
            </w:r>
          </w:p>
        </w:tc>
        <w:tc>
          <w:tcPr>
            <w:tcW w:w="0" w:type="dxa"/>
            <w:vAlign w:val="bottom"/>
          </w:tcPr>
          <w:p>
            <w:pPr>
              <w:spacing w:after="0"/>
              <w:rPr>
                <w:sz w:val="1"/>
                <w:szCs w:val="1"/>
                <w:color w:val="auto"/>
              </w:rPr>
            </w:pPr>
          </w:p>
        </w:tc>
      </w:tr>
      <w:tr>
        <w:trPr>
          <w:trHeight w:val="233"/>
        </w:trPr>
        <w:tc>
          <w:tcPr>
            <w:tcW w:w="1240" w:type="dxa"/>
            <w:vAlign w:val="bottom"/>
          </w:tcPr>
          <w:p>
            <w:pPr>
              <w:spacing w:after="0"/>
              <w:rPr>
                <w:sz w:val="20"/>
                <w:szCs w:val="20"/>
                <w:color w:val="auto"/>
              </w:rPr>
            </w:pPr>
          </w:p>
        </w:tc>
        <w:tc>
          <w:tcPr>
            <w:tcW w:w="9040" w:type="dxa"/>
            <w:vAlign w:val="bottom"/>
            <w:shd w:val="clear" w:color="auto" w:fill="F2F2F2"/>
          </w:tcPr>
          <w:p>
            <w:pPr>
              <w:ind w:left="100"/>
              <w:spacing w:after="0"/>
              <w:rPr>
                <w:sz w:val="20"/>
                <w:szCs w:val="20"/>
                <w:color w:val="auto"/>
              </w:rPr>
            </w:pPr>
            <w:r>
              <w:rPr>
                <w:rFonts w:ascii="Arial" w:cs="Arial" w:eastAsia="Arial" w:hAnsi="Arial"/>
                <w:sz w:val="16"/>
                <w:szCs w:val="16"/>
                <w:color w:val="auto"/>
                <w:w w:val="89"/>
              </w:rPr>
              <w:t>We have a Code of Business Conduct and Ethics which details Analog Devices’ commitment to conducting business ethically, in compliance</w:t>
            </w:r>
          </w:p>
        </w:tc>
        <w:tc>
          <w:tcPr>
            <w:tcW w:w="0" w:type="dxa"/>
            <w:vAlign w:val="bottom"/>
          </w:tcPr>
          <w:p>
            <w:pPr>
              <w:spacing w:after="0"/>
              <w:rPr>
                <w:sz w:val="1"/>
                <w:szCs w:val="1"/>
                <w:color w:val="auto"/>
              </w:rPr>
            </w:pPr>
          </w:p>
        </w:tc>
      </w:tr>
      <w:tr>
        <w:trPr>
          <w:trHeight w:val="195"/>
        </w:trPr>
        <w:tc>
          <w:tcPr>
            <w:tcW w:w="1240" w:type="dxa"/>
            <w:vAlign w:val="bottom"/>
            <w:vMerge w:val="restart"/>
          </w:tcPr>
          <w:p>
            <w:pPr>
              <w:ind w:left="60"/>
              <w:spacing w:after="0"/>
              <w:rPr>
                <w:sz w:val="20"/>
                <w:szCs w:val="20"/>
                <w:color w:val="auto"/>
              </w:rPr>
            </w:pPr>
            <w:r>
              <w:rPr>
                <w:rFonts w:ascii="Arial" w:cs="Arial" w:eastAsia="Arial" w:hAnsi="Arial"/>
                <w:sz w:val="16"/>
                <w:szCs w:val="16"/>
                <w:color w:val="auto"/>
                <w:w w:val="92"/>
              </w:rPr>
              <w:t>Code of Business</w:t>
            </w:r>
          </w:p>
        </w:tc>
        <w:tc>
          <w:tcPr>
            <w:tcW w:w="9040" w:type="dxa"/>
            <w:vAlign w:val="bottom"/>
            <w:shd w:val="clear" w:color="auto" w:fill="F2F2F2"/>
          </w:tcPr>
          <w:p>
            <w:pPr>
              <w:ind w:left="100"/>
              <w:spacing w:after="0"/>
              <w:rPr>
                <w:sz w:val="20"/>
                <w:szCs w:val="20"/>
                <w:color w:val="auto"/>
              </w:rPr>
            </w:pPr>
            <w:r>
              <w:rPr>
                <w:rFonts w:ascii="Arial" w:cs="Arial" w:eastAsia="Arial" w:hAnsi="Arial"/>
                <w:sz w:val="16"/>
                <w:szCs w:val="16"/>
                <w:color w:val="auto"/>
                <w:w w:val="90"/>
              </w:rPr>
              <w:t>with the law, and in a way that reflects our deeper values. Our Board of Directors recently approved updates to the Code to further detail our</w:t>
            </w:r>
          </w:p>
        </w:tc>
        <w:tc>
          <w:tcPr>
            <w:tcW w:w="0" w:type="dxa"/>
            <w:vAlign w:val="bottom"/>
          </w:tcPr>
          <w:p>
            <w:pPr>
              <w:spacing w:after="0"/>
              <w:rPr>
                <w:sz w:val="1"/>
                <w:szCs w:val="1"/>
                <w:color w:val="auto"/>
              </w:rPr>
            </w:pPr>
          </w:p>
        </w:tc>
      </w:tr>
      <w:tr>
        <w:trPr>
          <w:trHeight w:val="91"/>
        </w:trPr>
        <w:tc>
          <w:tcPr>
            <w:tcW w:w="1240" w:type="dxa"/>
            <w:vAlign w:val="bottom"/>
            <w:vMerge w:val="continue"/>
          </w:tcPr>
          <w:p>
            <w:pPr>
              <w:spacing w:after="0"/>
              <w:rPr>
                <w:sz w:val="7"/>
                <w:szCs w:val="7"/>
                <w:color w:val="auto"/>
              </w:rPr>
            </w:pPr>
          </w:p>
        </w:tc>
        <w:tc>
          <w:tcPr>
            <w:tcW w:w="9040" w:type="dxa"/>
            <w:vAlign w:val="bottom"/>
            <w:vMerge w:val="restart"/>
            <w:shd w:val="clear" w:color="auto" w:fill="F2F2F2"/>
          </w:tcPr>
          <w:p>
            <w:pPr>
              <w:ind w:left="100"/>
              <w:spacing w:after="0"/>
              <w:rPr>
                <w:sz w:val="20"/>
                <w:szCs w:val="20"/>
                <w:color w:val="auto"/>
              </w:rPr>
            </w:pPr>
            <w:r>
              <w:rPr>
                <w:rFonts w:ascii="Arial" w:cs="Arial" w:eastAsia="Arial" w:hAnsi="Arial"/>
                <w:sz w:val="16"/>
                <w:szCs w:val="16"/>
                <w:color w:val="auto"/>
                <w:w w:val="90"/>
              </w:rPr>
              <w:t>commitment to safeguarding personal data, better explain our whistleblower reporting process, and make other updates consistent with best</w:t>
            </w:r>
          </w:p>
        </w:tc>
        <w:tc>
          <w:tcPr>
            <w:tcW w:w="0" w:type="dxa"/>
            <w:vAlign w:val="bottom"/>
          </w:tcPr>
          <w:p>
            <w:pPr>
              <w:spacing w:after="0"/>
              <w:rPr>
                <w:sz w:val="1"/>
                <w:szCs w:val="1"/>
                <w:color w:val="auto"/>
              </w:rPr>
            </w:pPr>
          </w:p>
        </w:tc>
      </w:tr>
      <w:tr>
        <w:trPr>
          <w:trHeight w:val="104"/>
        </w:trPr>
        <w:tc>
          <w:tcPr>
            <w:tcW w:w="1240" w:type="dxa"/>
            <w:vAlign w:val="bottom"/>
            <w:vMerge w:val="restart"/>
          </w:tcPr>
          <w:p>
            <w:pPr>
              <w:ind w:left="60"/>
              <w:spacing w:after="0"/>
              <w:rPr>
                <w:sz w:val="20"/>
                <w:szCs w:val="20"/>
                <w:color w:val="auto"/>
              </w:rPr>
            </w:pPr>
            <w:r>
              <w:rPr>
                <w:rFonts w:ascii="Arial" w:cs="Arial" w:eastAsia="Arial" w:hAnsi="Arial"/>
                <w:sz w:val="16"/>
                <w:szCs w:val="16"/>
                <w:color w:val="auto"/>
              </w:rPr>
              <w:t>Conduct and</w:t>
            </w:r>
          </w:p>
        </w:tc>
        <w:tc>
          <w:tcPr>
            <w:tcW w:w="9040" w:type="dxa"/>
            <w:vAlign w:val="bottom"/>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240" w:type="dxa"/>
            <w:vAlign w:val="bottom"/>
            <w:vMerge w:val="continue"/>
          </w:tcPr>
          <w:p>
            <w:pPr>
              <w:spacing w:after="0"/>
              <w:rPr>
                <w:sz w:val="7"/>
                <w:szCs w:val="7"/>
                <w:color w:val="auto"/>
              </w:rPr>
            </w:pPr>
          </w:p>
        </w:tc>
        <w:tc>
          <w:tcPr>
            <w:tcW w:w="9040" w:type="dxa"/>
            <w:vAlign w:val="bottom"/>
            <w:vMerge w:val="restart"/>
            <w:shd w:val="clear" w:color="auto" w:fill="F2F2F2"/>
          </w:tcPr>
          <w:p>
            <w:pPr>
              <w:ind w:left="100"/>
              <w:spacing w:after="0"/>
              <w:rPr>
                <w:sz w:val="20"/>
                <w:szCs w:val="20"/>
                <w:color w:val="auto"/>
              </w:rPr>
            </w:pPr>
            <w:r>
              <w:rPr>
                <w:rFonts w:ascii="Arial" w:cs="Arial" w:eastAsia="Arial" w:hAnsi="Arial"/>
                <w:sz w:val="16"/>
                <w:szCs w:val="16"/>
                <w:color w:val="auto"/>
                <w:w w:val="89"/>
              </w:rPr>
              <w:t>practices. The new Code provides greater transparency on our enhanced whistleblower process. Specifically, we affirm our commitment to a</w:t>
            </w:r>
          </w:p>
        </w:tc>
        <w:tc>
          <w:tcPr>
            <w:tcW w:w="0" w:type="dxa"/>
            <w:vAlign w:val="bottom"/>
          </w:tcPr>
          <w:p>
            <w:pPr>
              <w:spacing w:after="0"/>
              <w:rPr>
                <w:sz w:val="1"/>
                <w:szCs w:val="1"/>
                <w:color w:val="auto"/>
              </w:rPr>
            </w:pPr>
          </w:p>
        </w:tc>
      </w:tr>
      <w:tr>
        <w:trPr>
          <w:trHeight w:val="104"/>
        </w:trPr>
        <w:tc>
          <w:tcPr>
            <w:tcW w:w="1240" w:type="dxa"/>
            <w:vAlign w:val="bottom"/>
            <w:vMerge w:val="restart"/>
          </w:tcPr>
          <w:p>
            <w:pPr>
              <w:ind w:left="60"/>
              <w:spacing w:after="0"/>
              <w:rPr>
                <w:sz w:val="20"/>
                <w:szCs w:val="20"/>
                <w:color w:val="auto"/>
              </w:rPr>
            </w:pPr>
            <w:r>
              <w:rPr>
                <w:rFonts w:ascii="Arial" w:cs="Arial" w:eastAsia="Arial" w:hAnsi="Arial"/>
                <w:sz w:val="16"/>
                <w:szCs w:val="16"/>
                <w:color w:val="auto"/>
              </w:rPr>
              <w:t>Ethics</w:t>
            </w:r>
          </w:p>
        </w:tc>
        <w:tc>
          <w:tcPr>
            <w:tcW w:w="9040" w:type="dxa"/>
            <w:vAlign w:val="bottom"/>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240" w:type="dxa"/>
            <w:vAlign w:val="bottom"/>
            <w:vMerge w:val="continue"/>
          </w:tcPr>
          <w:p>
            <w:pPr>
              <w:spacing w:after="0"/>
              <w:rPr>
                <w:sz w:val="8"/>
                <w:szCs w:val="8"/>
                <w:color w:val="auto"/>
              </w:rPr>
            </w:pPr>
          </w:p>
        </w:tc>
        <w:tc>
          <w:tcPr>
            <w:tcW w:w="9040" w:type="dxa"/>
            <w:vAlign w:val="bottom"/>
            <w:vMerge w:val="restart"/>
            <w:shd w:val="clear" w:color="auto" w:fill="F2F2F2"/>
          </w:tcPr>
          <w:p>
            <w:pPr>
              <w:ind w:left="100"/>
              <w:spacing w:after="0"/>
              <w:rPr>
                <w:sz w:val="20"/>
                <w:szCs w:val="20"/>
                <w:color w:val="auto"/>
              </w:rPr>
            </w:pPr>
            <w:r>
              <w:rPr>
                <w:rFonts w:ascii="Arial" w:cs="Arial" w:eastAsia="Arial" w:hAnsi="Arial"/>
                <w:sz w:val="16"/>
                <w:szCs w:val="16"/>
                <w:color w:val="auto"/>
                <w:w w:val="91"/>
              </w:rPr>
              <w:t>consistent and transparent review process, prompt and thorough investigations, assignment of neutral investigators, communication about</w:t>
            </w:r>
          </w:p>
        </w:tc>
        <w:tc>
          <w:tcPr>
            <w:tcW w:w="0" w:type="dxa"/>
            <w:vAlign w:val="bottom"/>
          </w:tcPr>
          <w:p>
            <w:pPr>
              <w:spacing w:after="0"/>
              <w:rPr>
                <w:sz w:val="1"/>
                <w:szCs w:val="1"/>
                <w:color w:val="auto"/>
              </w:rPr>
            </w:pPr>
          </w:p>
        </w:tc>
      </w:tr>
      <w:tr>
        <w:trPr>
          <w:trHeight w:val="100"/>
        </w:trPr>
        <w:tc>
          <w:tcPr>
            <w:tcW w:w="1240" w:type="dxa"/>
            <w:vAlign w:val="bottom"/>
          </w:tcPr>
          <w:p>
            <w:pPr>
              <w:spacing w:after="0"/>
              <w:rPr>
                <w:sz w:val="8"/>
                <w:szCs w:val="8"/>
                <w:color w:val="auto"/>
              </w:rPr>
            </w:pPr>
          </w:p>
        </w:tc>
        <w:tc>
          <w:tcPr>
            <w:tcW w:w="9040" w:type="dxa"/>
            <w:vAlign w:val="bottom"/>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1240" w:type="dxa"/>
            <w:vAlign w:val="bottom"/>
            <w:tcBorders>
              <w:bottom w:val="single" w:sz="8" w:color="0066BA"/>
            </w:tcBorders>
          </w:tcPr>
          <w:p>
            <w:pPr>
              <w:spacing w:after="0"/>
              <w:rPr>
                <w:sz w:val="17"/>
                <w:szCs w:val="17"/>
                <w:color w:val="auto"/>
              </w:rPr>
            </w:pPr>
          </w:p>
        </w:tc>
        <w:tc>
          <w:tcPr>
            <w:tcW w:w="9040" w:type="dxa"/>
            <w:vAlign w:val="bottom"/>
            <w:tcBorders>
              <w:bottom w:val="single" w:sz="8" w:color="0066BA"/>
            </w:tcBorders>
            <w:shd w:val="clear" w:color="auto" w:fill="F2F2F2"/>
          </w:tcPr>
          <w:p>
            <w:pPr>
              <w:ind w:left="100"/>
              <w:spacing w:after="0"/>
              <w:rPr>
                <w:sz w:val="20"/>
                <w:szCs w:val="20"/>
                <w:color w:val="auto"/>
              </w:rPr>
            </w:pPr>
            <w:r>
              <w:rPr>
                <w:rFonts w:ascii="Arial" w:cs="Arial" w:eastAsia="Arial" w:hAnsi="Arial"/>
                <w:sz w:val="16"/>
                <w:szCs w:val="16"/>
                <w:color w:val="auto"/>
              </w:rPr>
              <w:t>investigation outcomes, and implementation of appropriate corrective actions.</w:t>
            </w:r>
          </w:p>
        </w:tc>
        <w:tc>
          <w:tcPr>
            <w:tcW w:w="0" w:type="dxa"/>
            <w:vAlign w:val="bottom"/>
          </w:tcPr>
          <w:p>
            <w:pPr>
              <w:spacing w:after="0"/>
              <w:rPr>
                <w:sz w:val="1"/>
                <w:szCs w:val="1"/>
                <w:color w:val="auto"/>
              </w:rPr>
            </w:pPr>
          </w:p>
        </w:tc>
      </w:tr>
      <w:tr>
        <w:trPr>
          <w:trHeight w:val="233"/>
        </w:trPr>
        <w:tc>
          <w:tcPr>
            <w:tcW w:w="1240" w:type="dxa"/>
            <w:vAlign w:val="bottom"/>
          </w:tcPr>
          <w:p>
            <w:pPr>
              <w:ind w:left="60"/>
              <w:spacing w:after="0"/>
              <w:rPr>
                <w:sz w:val="20"/>
                <w:szCs w:val="20"/>
                <w:color w:val="auto"/>
              </w:rPr>
            </w:pPr>
            <w:r>
              <w:rPr>
                <w:rFonts w:ascii="Arial" w:cs="Arial" w:eastAsia="Arial" w:hAnsi="Arial"/>
                <w:sz w:val="16"/>
                <w:szCs w:val="16"/>
                <w:color w:val="auto"/>
              </w:rPr>
              <w:t>Code of</w:t>
            </w:r>
          </w:p>
        </w:tc>
        <w:tc>
          <w:tcPr>
            <w:tcW w:w="9040" w:type="dxa"/>
            <w:vAlign w:val="bottom"/>
            <w:vMerge w:val="restart"/>
            <w:shd w:val="clear" w:color="auto" w:fill="F2F2F2"/>
          </w:tcPr>
          <w:p>
            <w:pPr>
              <w:ind w:left="100"/>
              <w:spacing w:after="0"/>
              <w:rPr>
                <w:sz w:val="20"/>
                <w:szCs w:val="20"/>
                <w:color w:val="auto"/>
              </w:rPr>
            </w:pPr>
            <w:r>
              <w:rPr>
                <w:rFonts w:ascii="Arial" w:cs="Arial" w:eastAsia="Arial" w:hAnsi="Arial"/>
                <w:sz w:val="16"/>
                <w:szCs w:val="16"/>
                <w:color w:val="auto"/>
                <w:w w:val="89"/>
              </w:rPr>
              <w:t>We recently implemented a new Code of Corporate Social Responsibility that details Analog Devices’ policies for itself and its suppliers in the</w:t>
            </w:r>
          </w:p>
        </w:tc>
        <w:tc>
          <w:tcPr>
            <w:tcW w:w="0" w:type="dxa"/>
            <w:vAlign w:val="bottom"/>
          </w:tcPr>
          <w:p>
            <w:pPr>
              <w:spacing w:after="0"/>
              <w:rPr>
                <w:sz w:val="1"/>
                <w:szCs w:val="1"/>
                <w:color w:val="auto"/>
              </w:rPr>
            </w:pPr>
          </w:p>
        </w:tc>
      </w:tr>
      <w:tr>
        <w:trPr>
          <w:trHeight w:val="156"/>
        </w:trPr>
        <w:tc>
          <w:tcPr>
            <w:tcW w:w="1240" w:type="dxa"/>
            <w:vAlign w:val="bottom"/>
          </w:tcPr>
          <w:p>
            <w:pPr>
              <w:ind w:left="60"/>
              <w:spacing w:after="0" w:line="156" w:lineRule="exact"/>
              <w:rPr>
                <w:sz w:val="20"/>
                <w:szCs w:val="20"/>
                <w:color w:val="auto"/>
              </w:rPr>
            </w:pPr>
            <w:r>
              <w:rPr>
                <w:rFonts w:ascii="Arial" w:cs="Arial" w:eastAsia="Arial" w:hAnsi="Arial"/>
                <w:sz w:val="16"/>
                <w:szCs w:val="16"/>
                <w:color w:val="auto"/>
                <w:w w:val="97"/>
              </w:rPr>
              <w:t>Corporate Social</w:t>
            </w:r>
          </w:p>
        </w:tc>
        <w:tc>
          <w:tcPr>
            <w:tcW w:w="9040" w:type="dxa"/>
            <w:vAlign w:val="bottom"/>
            <w:vMerge w:val="continue"/>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240" w:type="dxa"/>
            <w:vAlign w:val="bottom"/>
            <w:tcBorders>
              <w:bottom w:val="single" w:sz="8" w:color="0066BA"/>
            </w:tcBorders>
          </w:tcPr>
          <w:p>
            <w:pPr>
              <w:ind w:left="60"/>
              <w:spacing w:after="0"/>
              <w:rPr>
                <w:sz w:val="20"/>
                <w:szCs w:val="20"/>
                <w:color w:val="auto"/>
              </w:rPr>
            </w:pPr>
            <w:r>
              <w:rPr>
                <w:rFonts w:ascii="Arial" w:cs="Arial" w:eastAsia="Arial" w:hAnsi="Arial"/>
                <w:sz w:val="16"/>
                <w:szCs w:val="16"/>
                <w:color w:val="auto"/>
              </w:rPr>
              <w:t>Responsibility</w:t>
            </w:r>
          </w:p>
        </w:tc>
        <w:tc>
          <w:tcPr>
            <w:tcW w:w="9040" w:type="dxa"/>
            <w:vAlign w:val="bottom"/>
            <w:tcBorders>
              <w:bottom w:val="single" w:sz="8" w:color="0066BA"/>
            </w:tcBorders>
            <w:shd w:val="clear" w:color="auto" w:fill="F2F2F2"/>
          </w:tcPr>
          <w:p>
            <w:pPr>
              <w:ind w:left="100"/>
              <w:spacing w:after="0"/>
              <w:rPr>
                <w:sz w:val="20"/>
                <w:szCs w:val="20"/>
                <w:color w:val="auto"/>
              </w:rPr>
            </w:pPr>
            <w:r>
              <w:rPr>
                <w:rFonts w:ascii="Arial" w:cs="Arial" w:eastAsia="Arial" w:hAnsi="Arial"/>
                <w:sz w:val="16"/>
                <w:szCs w:val="16"/>
                <w:color w:val="auto"/>
              </w:rPr>
              <w:t>areas of Labor and Human Rights, Health and Safety, Environmental, Ethics, Management Systems and Data Privacy.</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40"/>
          </w:cols>
          <w:pgMar w:left="320" w:top="447" w:right="639" w:bottom="1440" w:gutter="0" w:footer="0" w:header="0"/>
        </w:sectPr>
      </w:pPr>
    </w:p>
    <w:p>
      <w:pPr>
        <w:spacing w:after="0" w:line="257" w:lineRule="exact"/>
        <w:rPr>
          <w:sz w:val="20"/>
          <w:szCs w:val="20"/>
          <w:color w:val="auto"/>
        </w:rPr>
      </w:pPr>
    </w:p>
    <w:p>
      <w:pPr>
        <w:ind w:left="1076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940"/>
          </w:cols>
          <w:pgMar w:left="320" w:top="447" w:right="639" w:bottom="1440" w:gutter="0" w:footer="0" w:header="0"/>
          <w:type w:val="continuous"/>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480" w:right="60"/>
        <w:spacing w:after="0" w:line="265" w:lineRule="auto"/>
        <w:rPr>
          <w:sz w:val="20"/>
          <w:szCs w:val="20"/>
          <w:color w:val="auto"/>
        </w:rPr>
      </w:pPr>
      <w:r>
        <w:rPr>
          <w:rFonts w:ascii="Arial" w:cs="Arial" w:eastAsia="Arial" w:hAnsi="Arial"/>
          <w:sz w:val="17"/>
          <w:szCs w:val="17"/>
          <w:color w:val="auto"/>
        </w:rPr>
        <w:t>You can access our bylaws, the current charters for our Audit Committee, Compensation Committee, Nominating and Corporate Governance Committee and Corporate Development Committee, our Corporate Governance Guidelines, our Code of Business Conduct and Ethics, our Related Person Transaction Policy, our Stock Option and Stock-Based Award Grant Date Policy and other governance documents and corporate policies at investor.analog.com/corporate-governance.cfm or by writing to:</w:t>
      </w:r>
    </w:p>
    <w:p>
      <w:pPr>
        <w:spacing w:after="0" w:line="67"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Investor Relations Department</w:t>
      </w:r>
    </w:p>
    <w:p>
      <w:pPr>
        <w:spacing w:after="0" w:line="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Analog Devices, Inc.</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One Analog Way</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Wilmington, Massachusetts 01887</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Phone: 781-461-3282</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Email: investor.relations@analog.com</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33333"/>
        </w:rPr>
        <w:t>Board of Directors Leadership Structure</w:t>
      </w:r>
    </w:p>
    <w:p>
      <w:pPr>
        <w:spacing w:after="0" w:line="125" w:lineRule="exact"/>
        <w:rPr>
          <w:sz w:val="20"/>
          <w:szCs w:val="20"/>
          <w:color w:val="auto"/>
        </w:rPr>
      </w:pPr>
    </w:p>
    <w:p>
      <w:pPr>
        <w:ind w:left="480"/>
        <w:spacing w:after="0" w:line="259" w:lineRule="auto"/>
        <w:rPr>
          <w:sz w:val="20"/>
          <w:szCs w:val="20"/>
          <w:color w:val="auto"/>
        </w:rPr>
      </w:pPr>
      <w:r>
        <w:rPr>
          <w:rFonts w:ascii="Arial" w:cs="Arial" w:eastAsia="Arial" w:hAnsi="Arial"/>
          <w:sz w:val="17"/>
          <w:szCs w:val="17"/>
          <w:color w:val="auto"/>
        </w:rPr>
        <w:t>The Board is responsible for broad corporate policy and overall performance of the Company through oversight of management. Among other duties, the Board appoints the Company’s executive officers, assigns to them responsibility for management of the Company’s operations, and reviews their performance. The Board of Directors regularly reviews our Board leadership structure and it is recognized that the combination or separation of the CEO and Chair roles are driven by the needs of the Company at a particular time. Currently, the roles are separate with Mr. Stata serving as the non-executive Chair and Mr. Roche serving as the CEO. In January 2022, in connection with Mr. Stata’s decision to step down as our Board Chair in 2022, our Board determined to appoint Mr. Roche to the role of Chair, in addition to his role as CEO, in connection with the Annual Meeting. Mr. Champy has served as our independent Presiding Director since 2010. In accordance with best practices, the Presiding Director has significant responsibilities, including:</w:t>
      </w:r>
    </w:p>
    <w:p>
      <w:pPr>
        <w:spacing w:after="0" w:line="43" w:lineRule="exact"/>
        <w:rPr>
          <w:sz w:val="20"/>
          <w:szCs w:val="20"/>
          <w:color w:val="auto"/>
        </w:rPr>
      </w:pPr>
    </w:p>
    <w:p>
      <w:pPr>
        <w:ind w:left="860" w:hanging="385"/>
        <w:spacing w:after="0"/>
        <w:tabs>
          <w:tab w:leader="none" w:pos="8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Leadership of executive sessions of the independent directors or other meetings at which the Chair is not present;</w:t>
      </w:r>
    </w:p>
    <w:p>
      <w:pPr>
        <w:spacing w:after="0" w:line="77" w:lineRule="exact"/>
        <w:rPr>
          <w:rFonts w:ascii="Arial" w:cs="Arial" w:eastAsia="Arial" w:hAnsi="Arial"/>
          <w:sz w:val="17"/>
          <w:szCs w:val="17"/>
          <w:color w:val="auto"/>
        </w:rPr>
      </w:pPr>
    </w:p>
    <w:p>
      <w:pPr>
        <w:ind w:left="860" w:hanging="385"/>
        <w:spacing w:after="0"/>
        <w:tabs>
          <w:tab w:leader="none" w:pos="8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Authority to call meetings of the independent directors;</w:t>
      </w:r>
    </w:p>
    <w:p>
      <w:pPr>
        <w:spacing w:after="0" w:line="77" w:lineRule="exact"/>
        <w:rPr>
          <w:rFonts w:ascii="Arial" w:cs="Arial" w:eastAsia="Arial" w:hAnsi="Arial"/>
          <w:sz w:val="17"/>
          <w:szCs w:val="17"/>
          <w:color w:val="auto"/>
        </w:rPr>
      </w:pPr>
    </w:p>
    <w:p>
      <w:pPr>
        <w:ind w:left="860" w:hanging="385"/>
        <w:spacing w:after="0"/>
        <w:tabs>
          <w:tab w:leader="none" w:pos="8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Coordinating with the Chair to call Board meetings;</w:t>
      </w:r>
    </w:p>
    <w:p>
      <w:pPr>
        <w:spacing w:after="0" w:line="77" w:lineRule="exact"/>
        <w:rPr>
          <w:rFonts w:ascii="Arial" w:cs="Arial" w:eastAsia="Arial" w:hAnsi="Arial"/>
          <w:sz w:val="17"/>
          <w:szCs w:val="17"/>
          <w:color w:val="auto"/>
        </w:rPr>
      </w:pPr>
    </w:p>
    <w:p>
      <w:pPr>
        <w:ind w:left="860" w:hanging="385"/>
        <w:spacing w:after="0"/>
        <w:tabs>
          <w:tab w:leader="none" w:pos="8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Overseeing the annual Board evaluation process;</w:t>
      </w:r>
    </w:p>
    <w:p>
      <w:pPr>
        <w:spacing w:after="0" w:line="77" w:lineRule="exact"/>
        <w:rPr>
          <w:rFonts w:ascii="Arial" w:cs="Arial" w:eastAsia="Arial" w:hAnsi="Arial"/>
          <w:sz w:val="17"/>
          <w:szCs w:val="17"/>
          <w:color w:val="auto"/>
        </w:rPr>
      </w:pPr>
    </w:p>
    <w:p>
      <w:pPr>
        <w:ind w:left="860" w:hanging="385"/>
        <w:spacing w:after="0"/>
        <w:tabs>
          <w:tab w:leader="none" w:pos="8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Serving as a liaison between the Chair and the independent directors, as required;</w:t>
      </w:r>
    </w:p>
    <w:p>
      <w:pPr>
        <w:spacing w:after="0" w:line="77" w:lineRule="exact"/>
        <w:rPr>
          <w:rFonts w:ascii="Arial" w:cs="Arial" w:eastAsia="Arial" w:hAnsi="Arial"/>
          <w:sz w:val="17"/>
          <w:szCs w:val="17"/>
          <w:color w:val="auto"/>
        </w:rPr>
      </w:pPr>
    </w:p>
    <w:p>
      <w:pPr>
        <w:ind w:left="860" w:hanging="385"/>
        <w:spacing w:after="0"/>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Coordinating with the Chair to set and approve the Board schedule and agenda to assure sufficient time for discussion of all agenda items;</w:t>
      </w:r>
    </w:p>
    <w:p>
      <w:pPr>
        <w:spacing w:after="0" w:line="89" w:lineRule="exact"/>
        <w:rPr>
          <w:rFonts w:ascii="Arial" w:cs="Arial" w:eastAsia="Arial" w:hAnsi="Arial"/>
          <w:sz w:val="16"/>
          <w:szCs w:val="16"/>
          <w:color w:val="auto"/>
        </w:rPr>
      </w:pPr>
    </w:p>
    <w:p>
      <w:pPr>
        <w:ind w:left="860" w:hanging="385"/>
        <w:spacing w:after="0"/>
        <w:tabs>
          <w:tab w:leader="none" w:pos="8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Determining the appropriate materials to be provided to the Board;</w:t>
      </w:r>
    </w:p>
    <w:p>
      <w:pPr>
        <w:spacing w:after="0" w:line="77" w:lineRule="exact"/>
        <w:rPr>
          <w:rFonts w:ascii="Arial" w:cs="Arial" w:eastAsia="Arial" w:hAnsi="Arial"/>
          <w:sz w:val="17"/>
          <w:szCs w:val="17"/>
          <w:color w:val="auto"/>
        </w:rPr>
      </w:pPr>
    </w:p>
    <w:p>
      <w:pPr>
        <w:ind w:left="860" w:right="700" w:hanging="385"/>
        <w:spacing w:after="0" w:line="286" w:lineRule="auto"/>
        <w:tabs>
          <w:tab w:leader="none" w:pos="8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Serving as the focal point for shareholder communications with the independent directors and requests for consultation addressed to independent members of the Board;</w:t>
      </w:r>
    </w:p>
    <w:p>
      <w:pPr>
        <w:spacing w:after="0" w:line="15" w:lineRule="exact"/>
        <w:rPr>
          <w:rFonts w:ascii="Arial" w:cs="Arial" w:eastAsia="Arial" w:hAnsi="Arial"/>
          <w:sz w:val="17"/>
          <w:szCs w:val="17"/>
          <w:color w:val="auto"/>
        </w:rPr>
      </w:pPr>
    </w:p>
    <w:p>
      <w:pPr>
        <w:ind w:left="860" w:hanging="385"/>
        <w:spacing w:after="0"/>
        <w:tabs>
          <w:tab w:leader="none" w:pos="8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ability to retain outside professionals on behalf of the Board as the Board may determine is necessary or appropriate; and</w:t>
      </w:r>
    </w:p>
    <w:p>
      <w:pPr>
        <w:spacing w:after="0" w:line="77" w:lineRule="exact"/>
        <w:rPr>
          <w:rFonts w:ascii="Arial" w:cs="Arial" w:eastAsia="Arial" w:hAnsi="Arial"/>
          <w:sz w:val="17"/>
          <w:szCs w:val="17"/>
          <w:color w:val="auto"/>
        </w:rPr>
      </w:pPr>
    </w:p>
    <w:p>
      <w:pPr>
        <w:ind w:left="860" w:hanging="385"/>
        <w:spacing w:after="0"/>
        <w:tabs>
          <w:tab w:leader="none" w:pos="8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Such other functions as the Board may direct from time to time.</w:t>
      </w:r>
    </w:p>
    <w:p>
      <w:pPr>
        <w:spacing w:after="0" w:line="304"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33333"/>
        </w:rPr>
        <w:t>Board of Directors Meetings and Committees</w:t>
      </w:r>
    </w:p>
    <w:p>
      <w:pPr>
        <w:spacing w:after="0" w:line="125" w:lineRule="exact"/>
        <w:rPr>
          <w:sz w:val="20"/>
          <w:szCs w:val="20"/>
          <w:color w:val="auto"/>
        </w:rPr>
      </w:pPr>
    </w:p>
    <w:p>
      <w:pPr>
        <w:ind w:left="480" w:right="20"/>
        <w:spacing w:after="0" w:line="300" w:lineRule="auto"/>
        <w:rPr>
          <w:sz w:val="20"/>
          <w:szCs w:val="20"/>
          <w:color w:val="auto"/>
        </w:rPr>
      </w:pPr>
      <w:r>
        <w:rPr>
          <w:rFonts w:ascii="Arial" w:cs="Arial" w:eastAsia="Arial" w:hAnsi="Arial"/>
          <w:sz w:val="15"/>
          <w:szCs w:val="15"/>
          <w:color w:val="auto"/>
        </w:rPr>
        <w:t>The Board of Directors has responsibility for reviewing our overall performance, rather than day-to-day operations. The Board of Directors’ primary responsibility is to oversee the management of the Company and, in doing so, serve the best interests of the Company and its shareholders. The Board of Directors provides for the succession of the Chief Executive Officer, nominates for election at annual shareholder meetings individuals to serve as directors of Analog Devices, and elects individuals to fill any vacancies on the Board of Directors. It reviews corporate objectives and strategies, and evaluates and approves significant policies and proposed major commitments of corporate resources. It oversees the Company’s risk management programs and participates in decisions that have a potential major economic impact on Analog Devices. Management keeps the directors informed of Company activity through regular written reports and presentations at Board and committee meetings.</w:t>
      </w:r>
    </w:p>
    <w:p>
      <w:pPr>
        <w:spacing w:after="0" w:line="200" w:lineRule="exact"/>
        <w:rPr>
          <w:sz w:val="20"/>
          <w:szCs w:val="20"/>
          <w:color w:val="auto"/>
        </w:rPr>
      </w:pPr>
    </w:p>
    <w:p>
      <w:pPr>
        <w:spacing w:after="0" w:line="21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0720"/>
          </w:cols>
          <w:pgMar w:left="320" w:top="447" w:right="85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480" w:right="240"/>
        <w:spacing w:after="0" w:line="275" w:lineRule="auto"/>
        <w:rPr>
          <w:sz w:val="20"/>
          <w:szCs w:val="20"/>
          <w:color w:val="auto"/>
        </w:rPr>
      </w:pPr>
      <w:r>
        <w:rPr>
          <w:rFonts w:ascii="Arial" w:cs="Arial" w:eastAsia="Arial" w:hAnsi="Arial"/>
          <w:sz w:val="16"/>
          <w:szCs w:val="16"/>
          <w:color w:val="auto"/>
        </w:rPr>
        <w:t>The Board of Directors met ten times and its committees collectively held 26 meetings in fiscal 2021 (including by telephone and video conference). During fiscal 2021, overall attendance at Board and committee meetings was 92% and each of our incumbent directors attended 90% or more of the total number of meetings of the Board of Directors and the committees on which he or she served. The Board of Directors has standing Audit, Compensation, Nominating and Corporate Governance, and Corporate Development Committees. With the exception of the Corporate Development Committee, of which Vincent Roche is Chair, the members of all three other committees are comprised of independent, non-employee directors. Each committee has a charter that has been approved by the Board of Directors and is reviewed annually. In addition, each committee conducts an annual self-evaluation of its own performance and the performance of its members in accordance with its respective Committee charter. Each director also undertakes an evaluation of the Board more generally. Our Presiding Director, working with our Chief Legal Officer, also has conversations with each Board member designed to assess the competencies and skills each director brings to the Board. Summaries of the evaluations are presented to the Board. Mr. Roche is the only current director who is, or has been in the past three years, an employee of Analog Devices. Mr. Stata does not serve on any standing Board committee and Messrs. Roche and Stata do not participate in the portion of any Board or committee meeting during which their compensation is evaluated. Prior to Mr. Doluca having joined the Board, the independent directors met in executive session without Messrs. Stata or Roche at two Board meetings during fiscal 2021.</w:t>
      </w:r>
    </w:p>
    <w:p>
      <w:pPr>
        <w:spacing w:after="0" w:line="69" w:lineRule="exact"/>
        <w:rPr>
          <w:sz w:val="20"/>
          <w:szCs w:val="20"/>
          <w:color w:val="auto"/>
        </w:rPr>
      </w:pPr>
    </w:p>
    <w:p>
      <w:pPr>
        <w:ind w:left="480" w:right="200"/>
        <w:spacing w:after="0" w:line="286" w:lineRule="auto"/>
        <w:rPr>
          <w:sz w:val="20"/>
          <w:szCs w:val="20"/>
          <w:color w:val="auto"/>
        </w:rPr>
      </w:pPr>
      <w:r>
        <w:rPr>
          <w:rFonts w:ascii="Arial" w:cs="Arial" w:eastAsia="Arial" w:hAnsi="Arial"/>
          <w:sz w:val="17"/>
          <w:szCs w:val="17"/>
          <w:color w:val="auto"/>
        </w:rPr>
        <w:t>Our Corporate Governance Guidelines set forth our policy that directors are expected to attend annual meetings of shareholders. All of our directors attended our virtual 2021 Annual Meeting of Shareholders.</w:t>
      </w:r>
    </w:p>
    <w:p>
      <w:pPr>
        <w:spacing w:after="0" w:line="147"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0066BA"/>
        </w:rPr>
        <w:t>Audit Committee</w:t>
      </w:r>
    </w:p>
    <w:p>
      <w:pPr>
        <w:spacing w:after="0" w:line="124" w:lineRule="exact"/>
        <w:rPr>
          <w:sz w:val="20"/>
          <w:szCs w:val="20"/>
          <w:color w:val="auto"/>
        </w:rPr>
      </w:pPr>
    </w:p>
    <w:p>
      <w:pPr>
        <w:ind w:left="480" w:right="180"/>
        <w:spacing w:after="0" w:line="274" w:lineRule="auto"/>
        <w:rPr>
          <w:sz w:val="20"/>
          <w:szCs w:val="20"/>
          <w:color w:val="auto"/>
        </w:rPr>
      </w:pPr>
      <w:r>
        <w:rPr>
          <w:rFonts w:ascii="Arial" w:cs="Arial" w:eastAsia="Arial" w:hAnsi="Arial"/>
          <w:sz w:val="16"/>
          <w:szCs w:val="16"/>
          <w:color w:val="auto"/>
        </w:rPr>
        <w:t>The current members of our Audit Committee are Mses. Golz (Chair) and Johnson and Mr. Evans. The Board of Directors has determined that each of Mses. Golz and Johnson and Mr. Evans qualifies as an “audit committee financial expert” under the rules of the U.S. Securities and Exchange Commission, or SEC, and is independent as defined under the Nasdaq Rules and the independence requirements under Rule 10A-3(b)(1) of the Exchange Act. In addition, our Board of Directors has determined that each member of the Audit Committee is able to read and understand financial statements, including the Company’s consolidated balance sheet and its consolidated statements of income, comprehensive income, shareholders’ equity and cash flows and related notes as required under the Nasdaq Rules. The Board of Directors has certified that it has at least one member of the Audit Committee who has past employment experience in finance or accounting as required by the Nasdaq Rules. Our Audit Committee charter provides that no member of the Audit Committee may serve on the audit committee of more than two other public companies in addition to ADI, unless approved by the Board of Directors. Ms. Johnson, who first joined the Board in August 2021, is a member our Audit Committee and is also a member of the audit committees of three other public companies, serving as the audit committee chair for two of those public companies. Our Audit Committee considered Ms. Johnson’s additional board and audit committee service and whether or not such service created an actual or potential conflict with her service on the ADI Board and Audit Committee. Having determined that no such conflict existed, our Audit Committee recommended that our Board approve, and our Board did approve, Ms. Johnson’s service on up to four public company boards, inclusive of the Company’s Board. Neither Ms. Golz nor Mr. Evans serve on the audit committees of more than two other public companies in addition to ADI.</w:t>
      </w:r>
    </w:p>
    <w:p>
      <w:pPr>
        <w:spacing w:after="0" w:line="76" w:lineRule="exact"/>
        <w:rPr>
          <w:sz w:val="20"/>
          <w:szCs w:val="20"/>
          <w:color w:val="auto"/>
        </w:rPr>
      </w:pPr>
    </w:p>
    <w:p>
      <w:pPr>
        <w:ind w:left="480" w:right="200"/>
        <w:spacing w:after="0" w:line="276" w:lineRule="auto"/>
        <w:rPr>
          <w:sz w:val="20"/>
          <w:szCs w:val="20"/>
          <w:color w:val="auto"/>
        </w:rPr>
      </w:pPr>
      <w:r>
        <w:rPr>
          <w:rFonts w:ascii="Arial" w:cs="Arial" w:eastAsia="Arial" w:hAnsi="Arial"/>
          <w:sz w:val="16"/>
          <w:szCs w:val="16"/>
          <w:color w:val="auto"/>
        </w:rPr>
        <w:t>The primary purpose of the Audit Committee is to assist the Board of Directors’ oversight of (i) the integrity of our financial statements and the Company’s systems of internal control over financial reporting and disclosure controls and procedures, (ii) the qualifications and independence of our independent registered public accounting firm, (iii) the performance of our internal audit function and independent registered public accounting firm, and (iv) the process relating to internal enterprise risk management and control systems. The Audit Committee has the authority to engage any independent legal, accounting and other advisors that it deems necessary or appropriate to carry out its responsibilities. These independent advisors may be the regular advisors to the Company. The Audit Committee is empowered, without further action by the Board of Directors, to cause the Company to pay the compensation of those advisors as established by the Audit Committee. The Audit Committee selected and appointed Ernst &amp; Young LLP, our independent registered public accounting firm, and did not retain any other advisors during fiscal 2021. The Audit Committee met eight times during fiscal 2021 (including by telephone and video conference). The responsibilities of our Audit Committee and its activities during fiscal 2021 are described in the Report of the Audit Committee below.</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0940"/>
          </w:cols>
          <w:pgMar w:left="320" w:top="447" w:right="63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0066BA"/>
        </w:rPr>
        <w:t>Compensation Committee</w:t>
      </w:r>
    </w:p>
    <w:p>
      <w:pPr>
        <w:spacing w:after="0" w:line="123" w:lineRule="exact"/>
        <w:rPr>
          <w:sz w:val="20"/>
          <w:szCs w:val="20"/>
          <w:color w:val="auto"/>
        </w:rPr>
      </w:pPr>
    </w:p>
    <w:p>
      <w:pPr>
        <w:ind w:left="480" w:right="40"/>
        <w:spacing w:after="0" w:line="274" w:lineRule="auto"/>
        <w:rPr>
          <w:sz w:val="20"/>
          <w:szCs w:val="20"/>
          <w:color w:val="auto"/>
        </w:rPr>
      </w:pPr>
      <w:r>
        <w:rPr>
          <w:rFonts w:ascii="Arial" w:cs="Arial" w:eastAsia="Arial" w:hAnsi="Arial"/>
          <w:sz w:val="16"/>
          <w:szCs w:val="16"/>
          <w:color w:val="auto"/>
        </w:rPr>
        <w:t>The current members of our Compensation Committee are Drs. Frank (Chair), Glimcher, Little</w:t>
      </w:r>
      <w:r>
        <w:rPr>
          <w:rFonts w:ascii="Arial" w:cs="Arial" w:eastAsia="Arial" w:hAnsi="Arial"/>
          <w:sz w:val="13"/>
          <w:szCs w:val="13"/>
          <w:color w:val="auto"/>
        </w:rPr>
        <w:t>1</w:t>
      </w:r>
      <w:r>
        <w:rPr>
          <w:rFonts w:ascii="Arial" w:cs="Arial" w:eastAsia="Arial" w:hAnsi="Arial"/>
          <w:sz w:val="16"/>
          <w:szCs w:val="16"/>
          <w:color w:val="auto"/>
        </w:rPr>
        <w:t xml:space="preserve"> and Wee. The Board of Directors has determined that each of Drs. Frank, Glimcher, Little and Wee is independent as defined under the Nasdaq Rules and the independence requirements under Rule 10C-1 of the Exchange Act. The Compensation Committee (i) evaluates and sets the compensation of our Chief Executive Officer, our other executive officers and any Senior Vice President reporting to the Chief Executive Officer, (ii) makes recommendations to our Board of Directors regarding the compensation of our directors, (iii) oversees management of the risks associated with the Company’s compensation practices and policies and (iv) oversees the evaluation of senior management. In connection with its oversight and administration of ADI’s cash and equity incentive plans, the Compensation Committee authorizes the granting of stock options, RSUs and other stock incentives (within guidelines established by our Board of Directors and in accordance with our Stock Option and Stock-Based Award Grant Date Policies) to our officers. In accordance with the terms of our Amended and Restated 1996 Stock Incentive Plan (which we refer to as the 1996 Plan and which we assumed in the Maxim Integrated acquisition), and our 2020 Equity Incentive Plan, which we refer to as the 2020 Plan, the Compensation Committee has delegated to a standing committee composed of our Chief Executive Officer, Chief Financial Officer, Chief People Officer and Chief Legal Officer the power to grant options, RSUs and other stock awards to employees who are not (i) executive officers, (ii) other senior vice presidents who report to the Chief Executive Officer or (iii) directors, subject to specified thresholds, parameters and applicable law. The same standing committee also has the ability to accelerate outstanding awards under 1996 Plan, 2020 Plan, Amended and Restated 2006 Stock Incentive Plan, which we refer to as the 2006 Plan, our Amended and Restated 2005 Equity Plan, which we refer to as the 2005 Plan, and out Amended and Restated 2010 Equity Incentive Plan, which we refer to as the 2010 Plan (the latter two of which were assumed by us when as acquired Linear Technology Corporation, or Linear Technology) granted to employees who are not (i) executive officers, (ii) other senior vice presidents who report to the Chief Executive Officer or (iii) directors, subject to specified thresholds, parameters and applicable law. Additionally, the Compensation Committee oversees our clawback policy, as well as any clawback policy the Company may adopt in the future. Our Compensation Committee held eight meetings (including by telephone and video conference) during fiscal 2021.</w:t>
      </w:r>
    </w:p>
    <w:p>
      <w:pPr>
        <w:spacing w:after="0" w:line="61" w:lineRule="exact"/>
        <w:rPr>
          <w:sz w:val="20"/>
          <w:szCs w:val="20"/>
          <w:color w:val="auto"/>
        </w:rPr>
      </w:pPr>
    </w:p>
    <w:p>
      <w:pPr>
        <w:ind w:left="480"/>
        <w:spacing w:after="0" w:line="280" w:lineRule="auto"/>
        <w:rPr>
          <w:sz w:val="20"/>
          <w:szCs w:val="20"/>
          <w:color w:val="auto"/>
        </w:rPr>
      </w:pPr>
      <w:r>
        <w:rPr>
          <w:rFonts w:ascii="Arial" w:cs="Arial" w:eastAsia="Arial" w:hAnsi="Arial"/>
          <w:sz w:val="16"/>
          <w:szCs w:val="16"/>
          <w:b w:val="1"/>
          <w:bCs w:val="1"/>
          <w:color w:val="333333"/>
        </w:rPr>
        <w:t xml:space="preserve">Compensation Committee Consultants. </w:t>
      </w:r>
      <w:r>
        <w:rPr>
          <w:rFonts w:ascii="Arial" w:cs="Arial" w:eastAsia="Arial" w:hAnsi="Arial"/>
          <w:sz w:val="16"/>
          <w:szCs w:val="16"/>
          <w:color w:val="000000"/>
        </w:rPr>
        <w:t>The Compensation Committee has the authority, in its sole discretion, to retain or obtain the advice of</w:t>
      </w:r>
      <w:r>
        <w:rPr>
          <w:rFonts w:ascii="Arial" w:cs="Arial" w:eastAsia="Arial" w:hAnsi="Arial"/>
          <w:sz w:val="16"/>
          <w:szCs w:val="16"/>
          <w:b w:val="1"/>
          <w:bCs w:val="1"/>
          <w:color w:val="333333"/>
        </w:rPr>
        <w:t xml:space="preserve"> </w:t>
      </w:r>
      <w:r>
        <w:rPr>
          <w:rFonts w:ascii="Arial" w:cs="Arial" w:eastAsia="Arial" w:hAnsi="Arial"/>
          <w:sz w:val="16"/>
          <w:szCs w:val="16"/>
          <w:color w:val="000000"/>
        </w:rPr>
        <w:t>any independent legal, accounting or other advisors it deems necessary or appropriate to carry out its responsibilities. The Compensation Committee is empowered, without further action by the Board of Directors, to cause the Company to pay the compensation of these advisors as established by the Compensation Committee. The Compensation Committee retained Pearl Meyer and Partners, or Pearl Meyer, an independent compensation consultant, during fiscal 2021. Pearl Meyer reports directly to the Compensation Committee and assists the Compensation Committee in evaluating and designing our executive and director compensation program and policies. For fiscal 2021, the Compensation Committee instructed Pearl Meyer to assist in the following matters:</w:t>
      </w:r>
    </w:p>
    <w:p>
      <w:pPr>
        <w:spacing w:after="0" w:line="26" w:lineRule="exact"/>
        <w:rPr>
          <w:sz w:val="20"/>
          <w:szCs w:val="20"/>
          <w:color w:val="auto"/>
        </w:rPr>
      </w:pPr>
    </w:p>
    <w:p>
      <w:pPr>
        <w:ind w:left="860" w:hanging="385"/>
        <w:spacing w:after="0"/>
        <w:tabs>
          <w:tab w:leader="none" w:pos="8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Defining a peer group of companies;</w:t>
      </w:r>
    </w:p>
    <w:p>
      <w:pPr>
        <w:spacing w:after="0" w:line="77" w:lineRule="exact"/>
        <w:rPr>
          <w:rFonts w:ascii="Arial" w:cs="Arial" w:eastAsia="Arial" w:hAnsi="Arial"/>
          <w:sz w:val="17"/>
          <w:szCs w:val="17"/>
          <w:color w:val="auto"/>
        </w:rPr>
      </w:pPr>
    </w:p>
    <w:p>
      <w:pPr>
        <w:ind w:left="860" w:hanging="385"/>
        <w:spacing w:after="0"/>
        <w:tabs>
          <w:tab w:leader="none" w:pos="8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Reviewing and validating the appropriateness of executive incentive plan goals;</w:t>
      </w:r>
    </w:p>
    <w:p>
      <w:pPr>
        <w:spacing w:after="0" w:line="77" w:lineRule="exact"/>
        <w:rPr>
          <w:rFonts w:ascii="Arial" w:cs="Arial" w:eastAsia="Arial" w:hAnsi="Arial"/>
          <w:sz w:val="17"/>
          <w:szCs w:val="17"/>
          <w:color w:val="auto"/>
        </w:rPr>
      </w:pPr>
    </w:p>
    <w:p>
      <w:pPr>
        <w:ind w:left="860" w:hanging="385"/>
        <w:spacing w:after="0"/>
        <w:tabs>
          <w:tab w:leader="none" w:pos="8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Advising on the design of the CEO Performance Stock Option award and the Maxim Integrated PRSU awards;</w:t>
      </w:r>
    </w:p>
    <w:p>
      <w:pPr>
        <w:spacing w:after="0" w:line="77" w:lineRule="exact"/>
        <w:rPr>
          <w:rFonts w:ascii="Arial" w:cs="Arial" w:eastAsia="Arial" w:hAnsi="Arial"/>
          <w:sz w:val="17"/>
          <w:szCs w:val="17"/>
          <w:color w:val="auto"/>
        </w:rPr>
      </w:pPr>
    </w:p>
    <w:p>
      <w:pPr>
        <w:ind w:left="860" w:right="140" w:hanging="385"/>
        <w:spacing w:after="0" w:line="334" w:lineRule="auto"/>
        <w:tabs>
          <w:tab w:leader="none" w:pos="8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Providing market data and advice regarding executive and director compensation plan design, design of the executive performance incentive plan and equity incentive mix and design, including a market update relating to the effects of COVID-19 on executive compensation;</w:t>
      </w:r>
    </w:p>
    <w:p>
      <w:pPr>
        <w:spacing w:after="0" w:line="1" w:lineRule="exact"/>
        <w:rPr>
          <w:rFonts w:ascii="Arial" w:cs="Arial" w:eastAsia="Arial" w:hAnsi="Arial"/>
          <w:sz w:val="15"/>
          <w:szCs w:val="15"/>
          <w:color w:val="auto"/>
        </w:rPr>
      </w:pPr>
    </w:p>
    <w:p>
      <w:pPr>
        <w:ind w:left="860" w:right="260" w:hanging="385"/>
        <w:spacing w:after="0" w:line="286" w:lineRule="auto"/>
        <w:tabs>
          <w:tab w:leader="none" w:pos="8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Conducting a detailed analysis of the competitiveness and appropriateness of the Company’s total executive compensation opportunity and total director compensation opportunity in comparison to our defined peer group; and</w:t>
      </w:r>
    </w:p>
    <w:p>
      <w:pPr>
        <w:spacing w:after="0" w:line="15" w:lineRule="exact"/>
        <w:rPr>
          <w:rFonts w:ascii="Arial" w:cs="Arial" w:eastAsia="Arial" w:hAnsi="Arial"/>
          <w:sz w:val="17"/>
          <w:szCs w:val="17"/>
          <w:color w:val="auto"/>
        </w:rPr>
      </w:pPr>
    </w:p>
    <w:p>
      <w:pPr>
        <w:ind w:left="860" w:hanging="385"/>
        <w:spacing w:after="0"/>
        <w:tabs>
          <w:tab w:leader="none" w:pos="8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Conducting a risk assessment of our executive compensation program.</w:t>
      </w:r>
    </w:p>
    <w:p>
      <w:pPr>
        <w:spacing w:after="0" w:line="117" w:lineRule="exact"/>
        <w:rPr>
          <w:sz w:val="20"/>
          <w:szCs w:val="20"/>
          <w:color w:val="auto"/>
        </w:rPr>
      </w:pPr>
    </w:p>
    <w:p>
      <w:pPr>
        <w:ind w:left="480" w:right="20"/>
        <w:spacing w:after="0" w:line="276" w:lineRule="auto"/>
        <w:rPr>
          <w:sz w:val="20"/>
          <w:szCs w:val="20"/>
          <w:color w:val="auto"/>
        </w:rPr>
      </w:pPr>
      <w:r>
        <w:rPr>
          <w:rFonts w:ascii="Arial" w:cs="Arial" w:eastAsia="Arial" w:hAnsi="Arial"/>
          <w:sz w:val="16"/>
          <w:szCs w:val="16"/>
          <w:color w:val="auto"/>
        </w:rPr>
        <w:t>In connection with its work for the Compensation Committee, Pearl Meyer is invited to attend the Compensation Committee’s meetings and, upon request of the Compensation Committee, attends executive sessions of the Compensation Committee. Pearl Meyer is retained only by the Compensation Committee and does not provide any other consulting services to Analog Devices. The Compensation Committee also solicits advice from time to time from our outside counsel, WilmerHale. The Compensation Committee assesses the independence of its advisors on an annual basis. The Compensation Committee requested and received an independence letter from each of Pearl Meyer and WilmerHale providing information to assist the Compensation Committee in selecting and receiving advice from such advisor after considering the independence factors that are identified in the Nasdaq Rules. The Compensation Committee determined that the engagement of these advisors did not raise any conflicts of interest for all work performed for the Compensation Committee during fiscal 2021. The activities of our Compensation Committee and the services Pearl Meyer performed for the Compensation Committee during fiscal 2021 are further described in “INFORMATION ABOUT EXECUTIVE COMPENSATION–Compensation Discussion and Analysis” below.</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3"/>
          <w:szCs w:val="13"/>
          <w:i w:val="1"/>
          <w:iCs w:val="1"/>
          <w:color w:val="auto"/>
        </w:rPr>
        <w:t>(1) Dr. Little is not standing for re-election and his term on the Board will end at the Annual Meeting on March 9, 2022.</w:t>
      </w:r>
    </w:p>
    <w:p>
      <w:pPr>
        <w:spacing w:after="0" w:line="200" w:lineRule="exact"/>
        <w:rPr>
          <w:sz w:val="20"/>
          <w:szCs w:val="20"/>
          <w:color w:val="auto"/>
        </w:rPr>
      </w:pPr>
    </w:p>
    <w:p>
      <w:pPr>
        <w:spacing w:after="0" w:line="26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0760"/>
          </w:cols>
          <w:pgMar w:left="320" w:top="447" w:right="81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0066BA"/>
        </w:rPr>
        <w:t>Nominating and Corporate Governance Committee</w:t>
      </w:r>
    </w:p>
    <w:p>
      <w:pPr>
        <w:spacing w:after="0" w:line="124" w:lineRule="exact"/>
        <w:rPr>
          <w:sz w:val="20"/>
          <w:szCs w:val="20"/>
          <w:color w:val="auto"/>
        </w:rPr>
      </w:pPr>
    </w:p>
    <w:p>
      <w:pPr>
        <w:ind w:left="480" w:right="180"/>
        <w:spacing w:after="0" w:line="297" w:lineRule="auto"/>
        <w:rPr>
          <w:sz w:val="20"/>
          <w:szCs w:val="20"/>
          <w:color w:val="auto"/>
        </w:rPr>
      </w:pPr>
      <w:r>
        <w:rPr>
          <w:rFonts w:ascii="Arial" w:cs="Arial" w:eastAsia="Arial" w:hAnsi="Arial"/>
          <w:sz w:val="15"/>
          <w:szCs w:val="15"/>
          <w:color w:val="auto"/>
        </w:rPr>
        <w:t>The current members of our Nominating and Corporate Governance Committee are Messrs. Champy (Chair) and Sicchitano and Dr. Chandrakasan. The Board of Directors has determined that each of Messrs. Champy and Sicchitano and Dr. Chandrakasan is independent as defined under the Nasdaq Rules. The primary responsibilities of the Nominating and Corporate Governance Committee are to identify individuals qualified to become Board members consistent with criteria approved by the Board of Directors, recommend to the Board of Directors the persons to be nominated by the Board of Directors for election as directors at any meeting of shareholders and the persons to be elected by the Board to fill any vacancies on the Board, recommend to the Board of Directors the directors to be appointed to each committee of the Board of Directors, develop and recommend to the Board of Directors a set of corporate governance principles and oversee the evaluation of the Board of Directors. The Nominating and Corporate Governance Committee also leads the Board of Directors’ succession planning efforts with respect to senior executives, has oversight of our Code of Business Conduct and Ethics, and oversees and periodically reviews the Company’s environmental, social and governance policies, goals and programs. The Nominating and Corporate Governance Committee also oversee risks associated with its areas of responsibility.</w:t>
      </w:r>
    </w:p>
    <w:p>
      <w:pPr>
        <w:spacing w:after="0" w:line="51" w:lineRule="exact"/>
        <w:rPr>
          <w:sz w:val="20"/>
          <w:szCs w:val="20"/>
          <w:color w:val="auto"/>
        </w:rPr>
      </w:pPr>
    </w:p>
    <w:p>
      <w:pPr>
        <w:ind w:left="480" w:right="180"/>
        <w:spacing w:after="0" w:line="261" w:lineRule="auto"/>
        <w:rPr>
          <w:sz w:val="20"/>
          <w:szCs w:val="20"/>
          <w:color w:val="auto"/>
        </w:rPr>
      </w:pPr>
      <w:r>
        <w:rPr>
          <w:rFonts w:ascii="Arial" w:cs="Arial" w:eastAsia="Arial" w:hAnsi="Arial"/>
          <w:sz w:val="17"/>
          <w:szCs w:val="17"/>
          <w:color w:val="auto"/>
        </w:rPr>
        <w:t>The Nominating and Corporate Governance Committee has the authority to engage any independent legal and other advisors it deems necessary or appropriate to carry out its responsibilities. These independent advisors may be the regular advisors to the Company. The Nominating and Corporate Governance Committee is empowered, without further action by the Board of Directors, to cause the Company to pay the compensation of these advisors as established by the Nominating and Corporate Governance Committee. For information relating to nominations of directors by our shareholders, see “—Director Candidates” above. Our Nominating and Corporate Governance Committee held four meetings during fiscal 2021 (including by telephone and video conference).</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0066BA"/>
        </w:rPr>
        <w:t>Corporate Development Committee</w:t>
      </w:r>
    </w:p>
    <w:p>
      <w:pPr>
        <w:spacing w:after="0" w:line="124" w:lineRule="exact"/>
        <w:rPr>
          <w:sz w:val="20"/>
          <w:szCs w:val="20"/>
          <w:color w:val="auto"/>
        </w:rPr>
      </w:pPr>
    </w:p>
    <w:p>
      <w:pPr>
        <w:ind w:left="480" w:right="380"/>
        <w:spacing w:after="0" w:line="276" w:lineRule="auto"/>
        <w:rPr>
          <w:sz w:val="20"/>
          <w:szCs w:val="20"/>
          <w:color w:val="auto"/>
        </w:rPr>
      </w:pPr>
      <w:r>
        <w:rPr>
          <w:rFonts w:ascii="Arial" w:cs="Arial" w:eastAsia="Arial" w:hAnsi="Arial"/>
          <w:sz w:val="16"/>
          <w:szCs w:val="16"/>
          <w:color w:val="auto"/>
        </w:rPr>
        <w:t>The Corporate Development Committee was established by the Board of Directors in June 2021 to assist the Board in evaluating strategic transactions, investments and capital allocation and structure. The current members of our Corporate Development Committee are Messrs. Roche (Chair) and Evans and Drs. Frank and Chandrakasan. The Board of Directors has determined that each of Mr. Evans and Drs. Frank</w:t>
      </w:r>
    </w:p>
    <w:p>
      <w:pPr>
        <w:spacing w:after="0" w:line="2" w:lineRule="exact"/>
        <w:rPr>
          <w:sz w:val="20"/>
          <w:szCs w:val="20"/>
          <w:color w:val="auto"/>
        </w:rPr>
      </w:pPr>
    </w:p>
    <w:p>
      <w:pPr>
        <w:ind w:left="480" w:right="260"/>
        <w:spacing w:after="0" w:line="277" w:lineRule="auto"/>
        <w:rPr>
          <w:sz w:val="20"/>
          <w:szCs w:val="20"/>
          <w:color w:val="auto"/>
        </w:rPr>
      </w:pPr>
      <w:r>
        <w:rPr>
          <w:rFonts w:ascii="Arial" w:cs="Arial" w:eastAsia="Arial" w:hAnsi="Arial"/>
          <w:sz w:val="16"/>
          <w:szCs w:val="16"/>
          <w:color w:val="auto"/>
        </w:rPr>
        <w:t>and Chandrakasan is independent as defined under the Nasdaq Rules. The primary responsibility of the Corporate Development Committee is to review and, where appropriate, make recommendations to the Board of Directors, with respect to: (i) strategic plans and transactions, including mergers, acquisitions and divestitures; (ii) the results, performance and financial impact of significant capital expenditures and material transactions; (iii) the Company’s capital structure, including potential issuance of debt and equity securities, credit agreements, investment policy, dividends, stock splits and stock repurchases; (iv) significant financial exposures and contingent liabilities of the Company; and (v) the Company’s financial outlook and plans for financing its working and long-term capital requirements.</w:t>
      </w:r>
    </w:p>
    <w:p>
      <w:pPr>
        <w:spacing w:after="0" w:line="66" w:lineRule="exact"/>
        <w:rPr>
          <w:sz w:val="20"/>
          <w:szCs w:val="20"/>
          <w:color w:val="auto"/>
        </w:rPr>
      </w:pPr>
    </w:p>
    <w:p>
      <w:pPr>
        <w:ind w:left="480" w:right="200"/>
        <w:spacing w:after="0" w:line="311" w:lineRule="auto"/>
        <w:rPr>
          <w:sz w:val="20"/>
          <w:szCs w:val="20"/>
          <w:color w:val="auto"/>
        </w:rPr>
      </w:pPr>
      <w:r>
        <w:rPr>
          <w:rFonts w:ascii="Arial" w:cs="Arial" w:eastAsia="Arial" w:hAnsi="Arial"/>
          <w:sz w:val="15"/>
          <w:szCs w:val="15"/>
          <w:color w:val="auto"/>
        </w:rPr>
        <w:t>The Corporate Development Committee has the authority to engage any independent legal and other advisors it deems necessary or appropriate to carry out its responsibilities. These independent advisors may be the regular advisors to the Company. The Corporate Development Committee is empowered, without further action by the Board of Directors, to cause the Company to pay the compensation of these advisors as established by the Corporate Development Committee. The Corporate Development Committee met one time during fiscal 2021 (by video conference).</w:t>
      </w:r>
    </w:p>
    <w:p>
      <w:pPr>
        <w:spacing w:after="0" w:line="126"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33333"/>
        </w:rPr>
        <w:t>Determination of Independence</w:t>
      </w:r>
    </w:p>
    <w:p>
      <w:pPr>
        <w:spacing w:after="0" w:line="125" w:lineRule="exact"/>
        <w:rPr>
          <w:sz w:val="20"/>
          <w:szCs w:val="20"/>
          <w:color w:val="auto"/>
        </w:rPr>
      </w:pPr>
    </w:p>
    <w:p>
      <w:pPr>
        <w:ind w:left="480" w:right="360"/>
        <w:spacing w:after="0" w:line="296" w:lineRule="auto"/>
        <w:rPr>
          <w:sz w:val="20"/>
          <w:szCs w:val="20"/>
          <w:color w:val="auto"/>
        </w:rPr>
      </w:pPr>
      <w:r>
        <w:rPr>
          <w:rFonts w:ascii="Arial" w:cs="Arial" w:eastAsia="Arial" w:hAnsi="Arial"/>
          <w:sz w:val="15"/>
          <w:szCs w:val="15"/>
          <w:color w:val="auto"/>
        </w:rPr>
        <w:t>Under applicable Nasdaq Rules, a director of Analog Devices will only qualify as an “independent director” if, in the opinion of our Board of Directors, that person does not have a relationship which would interfere with the exercise of independent judgment in carrying out the responsibilities of a director. Our Board of Directors has established guidelines (within our Corporate Governance Guidelines) to assist it in determining whether a director has a relationship with Analog Devices that would interfere with the exercise of independent judgment in carrying out the responsibilities of a director. These guidelines are posted on our website under investor.analog.com/corporate-governance.cfm. For relationships not covered by the guidelines, the determination of whether such a relationship exists is made by the members of our Board of Directors who are independent (as defined above). Our Board of Directors has determined that none of Messrs. Champy, Doluca, Evans and Sicchitano, Mses. Golz and Johnson, and Drs. Chandrakasan, Frank, Glimcher, Little</w:t>
      </w:r>
      <w:r>
        <w:rPr>
          <w:rFonts w:ascii="Arial" w:cs="Arial" w:eastAsia="Arial" w:hAnsi="Arial"/>
          <w:sz w:val="12"/>
          <w:szCs w:val="12"/>
          <w:color w:val="auto"/>
        </w:rPr>
        <w:t>1</w:t>
      </w:r>
      <w:r>
        <w:rPr>
          <w:rFonts w:ascii="Arial" w:cs="Arial" w:eastAsia="Arial" w:hAnsi="Arial"/>
          <w:sz w:val="15"/>
          <w:szCs w:val="15"/>
          <w:color w:val="auto"/>
        </w:rPr>
        <w:t xml:space="preserve"> and Wee has a relationship which would interfere with the exercise of independent judgment in carrying out the responsibilities of a director and that each of these directors is an “independent director” as defined under Rule 5605(a)(2) of the Nasdaq Rules. The Board of Directors has determined that Mr. Roche, incoming Chair and Chief Executive Officer, and Mr. Stata, our outgoing Chair and founder, are not “independent” under the Nasdaq Rules because Mr. Roche is a current</w:t>
      </w:r>
    </w:p>
    <w:p>
      <w:pPr>
        <w:spacing w:after="0" w:line="200" w:lineRule="exact"/>
        <w:rPr>
          <w:sz w:val="20"/>
          <w:szCs w:val="20"/>
          <w:color w:val="auto"/>
        </w:rPr>
      </w:pPr>
    </w:p>
    <w:p>
      <w:pPr>
        <w:spacing w:after="0" w:line="364" w:lineRule="exact"/>
        <w:rPr>
          <w:sz w:val="20"/>
          <w:szCs w:val="20"/>
          <w:color w:val="auto"/>
        </w:rPr>
      </w:pPr>
    </w:p>
    <w:p>
      <w:pPr>
        <w:ind w:left="480"/>
        <w:spacing w:after="0"/>
        <w:rPr>
          <w:sz w:val="20"/>
          <w:szCs w:val="20"/>
          <w:color w:val="auto"/>
        </w:rPr>
      </w:pPr>
      <w:r>
        <w:rPr>
          <w:rFonts w:ascii="Arial" w:cs="Arial" w:eastAsia="Arial" w:hAnsi="Arial"/>
          <w:sz w:val="14"/>
          <w:szCs w:val="14"/>
          <w:i w:val="1"/>
          <w:iCs w:val="1"/>
          <w:color w:val="auto"/>
        </w:rPr>
        <w:t>(1) Dr. Little is not standing for re-election and his term on the Board will end at the Annual Meeting on March 9, 2022.</w:t>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0940"/>
          </w:cols>
          <w:pgMar w:left="320" w:top="447" w:right="6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480"/>
        <w:spacing w:after="0" w:line="281" w:lineRule="auto"/>
        <w:rPr>
          <w:sz w:val="20"/>
          <w:szCs w:val="20"/>
          <w:color w:val="auto"/>
        </w:rPr>
      </w:pPr>
      <w:r>
        <w:rPr>
          <w:rFonts w:ascii="Arial" w:cs="Arial" w:eastAsia="Arial" w:hAnsi="Arial"/>
          <w:sz w:val="16"/>
          <w:szCs w:val="16"/>
          <w:color w:val="auto"/>
        </w:rPr>
        <w:t>employee and Mr. Stata is our founder. In addition, the Board of Directors has determined that Mr. Doluca is not “independent” under the Nasdaq Rules at this time given his prior role as the President and Chief Executive Officer of Maxim Integrated, which was acquired by the Company in August 2021, and the fact that integration efforts between the companies are still ongoing. The Board of Directors considered the Company’s annual laboratory membership and sponsorship of university research projects with MIT (of which Anantha P. Chandrakasan is the Dean of the School of Engineering and James A. Champy is a board member) and Karen Golz’s former affiliation with Ernst &amp; Young, and determined that those relationships would not interfere with the exercise of independent judgment in carrying out the responsibilities of a director.</w:t>
      </w:r>
    </w:p>
    <w:p>
      <w:pPr>
        <w:spacing w:after="0" w:line="248"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33333"/>
        </w:rPr>
        <w:t>Director Candidates</w:t>
      </w:r>
    </w:p>
    <w:p>
      <w:pPr>
        <w:spacing w:after="0" w:line="125" w:lineRule="exact"/>
        <w:rPr>
          <w:sz w:val="20"/>
          <w:szCs w:val="20"/>
          <w:color w:val="auto"/>
        </w:rPr>
      </w:pPr>
    </w:p>
    <w:p>
      <w:pPr>
        <w:ind w:left="480" w:right="80"/>
        <w:spacing w:after="0" w:line="263" w:lineRule="auto"/>
        <w:rPr>
          <w:sz w:val="20"/>
          <w:szCs w:val="20"/>
          <w:color w:val="auto"/>
        </w:rPr>
      </w:pPr>
      <w:r>
        <w:rPr>
          <w:rFonts w:ascii="Arial" w:cs="Arial" w:eastAsia="Arial" w:hAnsi="Arial"/>
          <w:sz w:val="17"/>
          <w:szCs w:val="17"/>
          <w:color w:val="auto"/>
        </w:rPr>
        <w:t>Shareholders of record of Analog Devices may recommend director candidates for inclusion by the Board of Directors in the slate of nominees that the Board of Directors recommends to our shareholders for election. The qualifications of recommended candidates will be reviewed by the Nominating and Corporate Governance Committee. If the Board of Directors determines to nominate a shareholder-recommended candidate and recommends his or her election as a director by the shareholders, the name will be included in Analog Devices’ proxy card for the shareholders’ meeting at which his or her election is recommended.</w:t>
      </w:r>
    </w:p>
    <w:p>
      <w:pPr>
        <w:spacing w:after="0" w:line="74" w:lineRule="exact"/>
        <w:rPr>
          <w:sz w:val="20"/>
          <w:szCs w:val="20"/>
          <w:color w:val="auto"/>
        </w:rPr>
      </w:pPr>
    </w:p>
    <w:p>
      <w:pPr>
        <w:ind w:left="480" w:right="60"/>
        <w:spacing w:after="0" w:line="281" w:lineRule="auto"/>
        <w:rPr>
          <w:sz w:val="20"/>
          <w:szCs w:val="20"/>
          <w:color w:val="auto"/>
        </w:rPr>
      </w:pPr>
      <w:r>
        <w:rPr>
          <w:rFonts w:ascii="Arial" w:cs="Arial" w:eastAsia="Arial" w:hAnsi="Arial"/>
          <w:sz w:val="16"/>
          <w:szCs w:val="16"/>
          <w:color w:val="auto"/>
        </w:rPr>
        <w:t>Shareholders may recommend individuals for the Nominating and Corporate Governance Committee to consider as potential director candidates by submitting their names and background and a statement as to whether the shareholder or group of shareholders making the recommendation has beneficially owned more than 5% of Analog Devices’ common stock for at least one year as of the date the recommendation is made, to the “Analog Devices Nominating and Corporate Governance Committee,” c/o Janene Asgeirsson, Corporate Secretary, Analog Devices, Inc., One Analog Way, Wilmington, Massachusetts 01887. The Nominating and Corporate Governance Committee will consider a recommendation only if appropriate biographical information and background material is provided on a timely basis.</w:t>
      </w:r>
    </w:p>
    <w:p>
      <w:pPr>
        <w:spacing w:after="0" w:line="60" w:lineRule="exact"/>
        <w:rPr>
          <w:sz w:val="20"/>
          <w:szCs w:val="20"/>
          <w:color w:val="auto"/>
        </w:rPr>
      </w:pPr>
    </w:p>
    <w:p>
      <w:pPr>
        <w:ind w:left="480" w:right="160"/>
        <w:spacing w:after="0" w:line="259" w:lineRule="auto"/>
        <w:rPr>
          <w:sz w:val="20"/>
          <w:szCs w:val="20"/>
          <w:color w:val="auto"/>
        </w:rPr>
      </w:pPr>
      <w:r>
        <w:rPr>
          <w:rFonts w:ascii="Arial" w:cs="Arial" w:eastAsia="Arial" w:hAnsi="Arial"/>
          <w:sz w:val="17"/>
          <w:szCs w:val="17"/>
          <w:color w:val="auto"/>
        </w:rPr>
        <w:t>The process followed by the Nominating and Corporate Governance Committee to identify and evaluate candidates includes requests to Board members and others for recommendations, meetings from time to time to evaluate biographical information and background material relating to potential candidates and interviews of selected candidates by members of the Nominating and Corporate Governance Committee and the Board of Directors. From time to time, the Nominating, and Corporate Governance Committee may also seek input from director search firms for identification and evaluation of candidates. Assuming that appropriate biographical and background material is provided for candidates recommended by shareholders on a timely basis, the Nominating and Corporate Governance Committee will evaluate director candidates recommended by shareholders by following substantially the same process, and applying substantially the same criteria, as it follows for director candidates submitted by Board members.</w:t>
      </w:r>
    </w:p>
    <w:p>
      <w:pPr>
        <w:spacing w:after="0" w:line="82" w:lineRule="exact"/>
        <w:rPr>
          <w:sz w:val="20"/>
          <w:szCs w:val="20"/>
          <w:color w:val="auto"/>
        </w:rPr>
      </w:pPr>
    </w:p>
    <w:p>
      <w:pPr>
        <w:ind w:left="480" w:right="120"/>
        <w:spacing w:after="0" w:line="265" w:lineRule="auto"/>
        <w:rPr>
          <w:sz w:val="20"/>
          <w:szCs w:val="20"/>
          <w:color w:val="auto"/>
        </w:rPr>
      </w:pPr>
      <w:r>
        <w:rPr>
          <w:rFonts w:ascii="Arial" w:cs="Arial" w:eastAsia="Arial" w:hAnsi="Arial"/>
          <w:sz w:val="17"/>
          <w:szCs w:val="17"/>
          <w:color w:val="auto"/>
        </w:rPr>
        <w:t xml:space="preserve">Shareholders also have the right to directly nominate director candidates, without any action or recommendation on the part of the Nominating and Corporate Governance Committee or the Board of Directors, by following the procedures set forth in our bylaws and described in the response to the question </w:t>
      </w:r>
      <w:r>
        <w:rPr>
          <w:rFonts w:ascii="Arial" w:cs="Arial" w:eastAsia="Arial" w:hAnsi="Arial"/>
          <w:sz w:val="17"/>
          <w:szCs w:val="17"/>
          <w:b w:val="1"/>
          <w:bCs w:val="1"/>
          <w:color w:val="auto"/>
        </w:rPr>
        <w:t>“How and when may I submit a shareholder proposal, including a shareholder nomination for director, for the 2023 annual</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meeting of shareholders?” </w:t>
      </w:r>
      <w:r>
        <w:rPr>
          <w:rFonts w:ascii="Arial" w:cs="Arial" w:eastAsia="Arial" w:hAnsi="Arial"/>
          <w:sz w:val="17"/>
          <w:szCs w:val="17"/>
          <w:color w:val="auto"/>
        </w:rPr>
        <w:t>below.</w:t>
      </w:r>
    </w:p>
    <w:p>
      <w:pPr>
        <w:spacing w:after="0" w:line="73" w:lineRule="exact"/>
        <w:rPr>
          <w:sz w:val="20"/>
          <w:szCs w:val="20"/>
          <w:color w:val="auto"/>
        </w:rPr>
      </w:pPr>
    </w:p>
    <w:p>
      <w:pPr>
        <w:ind w:left="480" w:right="80"/>
        <w:spacing w:after="0" w:line="297" w:lineRule="auto"/>
        <w:rPr>
          <w:sz w:val="20"/>
          <w:szCs w:val="20"/>
          <w:color w:val="auto"/>
        </w:rPr>
      </w:pPr>
      <w:r>
        <w:rPr>
          <w:rFonts w:ascii="Arial" w:cs="Arial" w:eastAsia="Arial" w:hAnsi="Arial"/>
          <w:sz w:val="15"/>
          <w:szCs w:val="15"/>
          <w:color w:val="auto"/>
        </w:rPr>
        <w:t>In considering whether to recommend any candidate for inclusion in the Board of Directors’ slate of recommended director nominees, including candidates recommended by shareholders, the Nominating and Corporate Governance Committee will apply the criteria set forth in our Corporate Governance Guidelines. These criteria include the candidate’s integrity, business acumen, experience, commitment, and diligence; the presence of any conflicts of interest and the ability of the candidate to act in the interests of all shareholders. The Nominating and Corporate Governance Committee seeks nominees with a broad diversity of experience, professions, skills, geographic representation and backgrounds. The Nominating and Corporate Governance Committee does not assign specific weights to particular criteria and no particular criterion is necessarily applicable to all prospective nominees. Analog Devices believes that the backgrounds and qualifications of the directors, considered as a group, should provide a significant composite mix of experience, knowledge and abilities that will allow the Board of Directors to fulfill its responsibilities. While we do not have a policy regarding Board diversity, the Nominating and Corporate Governance Committee includes gender, racial and ethnic diversity as part of its search criteria, consistent with the requirement for relevant and diverse experience, skills and industry familiarity.</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33333"/>
        </w:rPr>
        <w:t>Communications from Shareholders and Other Interested Parties</w:t>
      </w:r>
    </w:p>
    <w:p>
      <w:pPr>
        <w:spacing w:after="0" w:line="125" w:lineRule="exact"/>
        <w:rPr>
          <w:sz w:val="20"/>
          <w:szCs w:val="20"/>
          <w:color w:val="auto"/>
        </w:rPr>
      </w:pPr>
    </w:p>
    <w:p>
      <w:pPr>
        <w:ind w:left="480" w:right="100"/>
        <w:spacing w:after="0" w:line="263" w:lineRule="auto"/>
        <w:rPr>
          <w:sz w:val="20"/>
          <w:szCs w:val="20"/>
          <w:color w:val="auto"/>
        </w:rPr>
      </w:pPr>
      <w:r>
        <w:rPr>
          <w:rFonts w:ascii="Arial" w:cs="Arial" w:eastAsia="Arial" w:hAnsi="Arial"/>
          <w:sz w:val="17"/>
          <w:szCs w:val="17"/>
          <w:color w:val="auto"/>
        </w:rPr>
        <w:t>The Board of Directors will give appropriate attention to written communications on issues that are submitted by shareholders and other interested parties, and will respond if and as appropriate. Absent unusual circumstances or as contemplated by committee charters, the Chair of the Nominating and Corporate Governance Committee will, with the assistance of Analog Devices’ internal legal counsel, (1) be primarily responsible for monitoring communications from shareholders and other interested parties and (2) provide copies or summaries of such communications to the other directors as he or she considers appropriate.</w:t>
      </w: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0780"/>
          </w:cols>
          <w:pgMar w:left="320" w:top="447" w:right="79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480" w:right="420"/>
        <w:spacing w:after="0" w:line="287" w:lineRule="auto"/>
        <w:rPr>
          <w:sz w:val="20"/>
          <w:szCs w:val="20"/>
          <w:color w:val="auto"/>
        </w:rPr>
      </w:pPr>
      <w:r>
        <w:rPr>
          <w:rFonts w:ascii="Arial" w:cs="Arial" w:eastAsia="Arial" w:hAnsi="Arial"/>
          <w:sz w:val="16"/>
          <w:szCs w:val="16"/>
          <w:color w:val="auto"/>
        </w:rPr>
        <w:t>Communications will be forwarded to all directors if they relate to substantive matters and include suggestions or comments that the Chair of the Nominating and Corporate Governance Committee considers to be important for the directors to review. In general, communications relating to corporate governance and long-term corporate strategy are more likely to be forwarded than communications relating to personal grievances, commercial solicitations and matters as to which Analog Devices tends to receive repetitive or duplicative communications.</w:t>
      </w:r>
    </w:p>
    <w:p>
      <w:pPr>
        <w:spacing w:after="0" w:line="57" w:lineRule="exact"/>
        <w:rPr>
          <w:sz w:val="20"/>
          <w:szCs w:val="20"/>
          <w:color w:val="auto"/>
        </w:rPr>
      </w:pPr>
    </w:p>
    <w:p>
      <w:pPr>
        <w:ind w:left="480" w:right="200"/>
        <w:spacing w:after="0" w:line="270" w:lineRule="auto"/>
        <w:rPr>
          <w:sz w:val="20"/>
          <w:szCs w:val="20"/>
          <w:color w:val="auto"/>
        </w:rPr>
      </w:pPr>
      <w:r>
        <w:rPr>
          <w:rFonts w:ascii="Arial" w:cs="Arial" w:eastAsia="Arial" w:hAnsi="Arial"/>
          <w:sz w:val="17"/>
          <w:szCs w:val="17"/>
          <w:color w:val="auto"/>
        </w:rPr>
        <w:t>Shareholders and other interested parties who wish to send communications on any topic to the Board of Directors (including the Presiding Director or the independent directors as a group) should address such communications to James A. Champy, Presiding Director, c/o Corporate Secretary, Analog Devices, Inc., One Analog Way, Wilmington, Massachusetts 01887.</w:t>
      </w:r>
    </w:p>
    <w:p>
      <w:pPr>
        <w:spacing w:after="0" w:line="256"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33333"/>
        </w:rPr>
        <w:t>The Board of Directors’ Role in Risk Oversight</w:t>
      </w:r>
    </w:p>
    <w:p>
      <w:pPr>
        <w:spacing w:after="0" w:line="12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management’s and the Board of Directors’ role in risk management and oversight:</w:t>
      </w:r>
    </w:p>
    <w:p>
      <w:pPr>
        <w:spacing w:after="0" w:line="239" w:lineRule="exact"/>
        <w:rPr>
          <w:sz w:val="20"/>
          <w:szCs w:val="20"/>
          <w:color w:val="auto"/>
        </w:rPr>
      </w:pPr>
    </w:p>
    <w:tbl>
      <w:tblPr>
        <w:tblLayout w:type="fixed"/>
        <w:tblInd w:w="480" w:type="dxa"/>
        <w:tblCellMar>
          <w:top w:w="0" w:type="dxa"/>
          <w:left w:w="0" w:type="dxa"/>
          <w:bottom w:w="0" w:type="dxa"/>
          <w:right w:w="0" w:type="dxa"/>
        </w:tblCellMar>
      </w:tblPr>
      <w:tr>
        <w:trPr>
          <w:trHeight w:val="250"/>
        </w:trPr>
        <w:tc>
          <w:tcPr>
            <w:tcW w:w="1320" w:type="dxa"/>
            <w:vAlign w:val="bottom"/>
            <w:tcBorders>
              <w:top w:val="single" w:sz="8" w:color="0066BA"/>
            </w:tcBorders>
          </w:tcPr>
          <w:p>
            <w:pPr>
              <w:spacing w:after="0"/>
              <w:rPr>
                <w:sz w:val="21"/>
                <w:szCs w:val="21"/>
                <w:color w:val="auto"/>
              </w:rPr>
            </w:pPr>
          </w:p>
        </w:tc>
        <w:tc>
          <w:tcPr>
            <w:tcW w:w="8960" w:type="dxa"/>
            <w:vAlign w:val="bottom"/>
            <w:tcBorders>
              <w:top w:val="single" w:sz="8" w:color="0066BA"/>
            </w:tcBorders>
            <w:shd w:val="clear" w:color="auto" w:fill="F2F2F2"/>
          </w:tcPr>
          <w:p>
            <w:pPr>
              <w:ind w:left="120"/>
              <w:spacing w:after="0"/>
              <w:rPr>
                <w:sz w:val="20"/>
                <w:szCs w:val="20"/>
                <w:color w:val="auto"/>
              </w:rPr>
            </w:pPr>
            <w:r>
              <w:rPr>
                <w:rFonts w:ascii="Arial" w:cs="Arial" w:eastAsia="Arial" w:hAnsi="Arial"/>
                <w:sz w:val="16"/>
                <w:szCs w:val="16"/>
                <w:color w:val="auto"/>
                <w:w w:val="92"/>
              </w:rPr>
              <w:t>Our enterprise risk management program defines how we identify, manage and govern risk throughout our organization to promote the</w:t>
            </w:r>
          </w:p>
        </w:tc>
        <w:tc>
          <w:tcPr>
            <w:tcW w:w="0" w:type="dxa"/>
            <w:vAlign w:val="bottom"/>
          </w:tcPr>
          <w:p>
            <w:pPr>
              <w:spacing w:after="0"/>
              <w:rPr>
                <w:sz w:val="1"/>
                <w:szCs w:val="1"/>
                <w:color w:val="auto"/>
              </w:rPr>
            </w:pPr>
          </w:p>
        </w:tc>
      </w:tr>
      <w:tr>
        <w:trPr>
          <w:trHeight w:val="195"/>
        </w:trPr>
        <w:tc>
          <w:tcPr>
            <w:tcW w:w="1320" w:type="dxa"/>
            <w:vAlign w:val="bottom"/>
          </w:tcPr>
          <w:p>
            <w:pPr>
              <w:spacing w:after="0"/>
              <w:rPr>
                <w:sz w:val="16"/>
                <w:szCs w:val="16"/>
                <w:color w:val="auto"/>
              </w:rPr>
            </w:pPr>
          </w:p>
        </w:tc>
        <w:tc>
          <w:tcPr>
            <w:tcW w:w="8960" w:type="dxa"/>
            <w:vAlign w:val="bottom"/>
            <w:shd w:val="clear" w:color="auto" w:fill="F2F2F2"/>
          </w:tcPr>
          <w:p>
            <w:pPr>
              <w:ind w:left="120"/>
              <w:spacing w:after="0"/>
              <w:rPr>
                <w:sz w:val="20"/>
                <w:szCs w:val="20"/>
                <w:color w:val="auto"/>
              </w:rPr>
            </w:pPr>
            <w:r>
              <w:rPr>
                <w:rFonts w:ascii="Arial" w:cs="Arial" w:eastAsia="Arial" w:hAnsi="Arial"/>
                <w:sz w:val="16"/>
                <w:szCs w:val="16"/>
                <w:color w:val="auto"/>
                <w:w w:val="90"/>
              </w:rPr>
              <w:t>achievement of our financial and operational goals in a compliant manner. It assigns accountability for risk management to every business</w:t>
            </w:r>
          </w:p>
        </w:tc>
        <w:tc>
          <w:tcPr>
            <w:tcW w:w="0" w:type="dxa"/>
            <w:vAlign w:val="bottom"/>
          </w:tcPr>
          <w:p>
            <w:pPr>
              <w:spacing w:after="0"/>
              <w:rPr>
                <w:sz w:val="1"/>
                <w:szCs w:val="1"/>
                <w:color w:val="auto"/>
              </w:rPr>
            </w:pPr>
          </w:p>
        </w:tc>
      </w:tr>
      <w:tr>
        <w:trPr>
          <w:trHeight w:val="195"/>
        </w:trPr>
        <w:tc>
          <w:tcPr>
            <w:tcW w:w="1320" w:type="dxa"/>
            <w:vAlign w:val="bottom"/>
            <w:vMerge w:val="restart"/>
          </w:tcPr>
          <w:p>
            <w:pPr>
              <w:ind w:left="60"/>
              <w:spacing w:after="0"/>
              <w:rPr>
                <w:sz w:val="20"/>
                <w:szCs w:val="20"/>
                <w:color w:val="auto"/>
              </w:rPr>
            </w:pPr>
            <w:r>
              <w:rPr>
                <w:rFonts w:ascii="Arial" w:cs="Arial" w:eastAsia="Arial" w:hAnsi="Arial"/>
                <w:sz w:val="16"/>
                <w:szCs w:val="16"/>
                <w:color w:val="auto"/>
              </w:rPr>
              <w:t>Management</w:t>
            </w:r>
          </w:p>
        </w:tc>
        <w:tc>
          <w:tcPr>
            <w:tcW w:w="8960" w:type="dxa"/>
            <w:vAlign w:val="bottom"/>
            <w:shd w:val="clear" w:color="auto" w:fill="F2F2F2"/>
          </w:tcPr>
          <w:p>
            <w:pPr>
              <w:ind w:left="120"/>
              <w:spacing w:after="0"/>
              <w:rPr>
                <w:sz w:val="20"/>
                <w:szCs w:val="20"/>
                <w:color w:val="auto"/>
              </w:rPr>
            </w:pPr>
            <w:r>
              <w:rPr>
                <w:rFonts w:ascii="Arial" w:cs="Arial" w:eastAsia="Arial" w:hAnsi="Arial"/>
                <w:sz w:val="16"/>
                <w:szCs w:val="16"/>
                <w:color w:val="auto"/>
                <w:w w:val="96"/>
              </w:rPr>
              <w:t>unit, based on the risks they encounter as part of their day-to-day operations. Risk governance is managed by our Enterprise Risk</w:t>
            </w:r>
          </w:p>
        </w:tc>
        <w:tc>
          <w:tcPr>
            <w:tcW w:w="0" w:type="dxa"/>
            <w:vAlign w:val="bottom"/>
          </w:tcPr>
          <w:p>
            <w:pPr>
              <w:spacing w:after="0"/>
              <w:rPr>
                <w:sz w:val="1"/>
                <w:szCs w:val="1"/>
                <w:color w:val="auto"/>
              </w:rPr>
            </w:pPr>
          </w:p>
        </w:tc>
      </w:tr>
      <w:tr>
        <w:trPr>
          <w:trHeight w:val="95"/>
        </w:trPr>
        <w:tc>
          <w:tcPr>
            <w:tcW w:w="1320" w:type="dxa"/>
            <w:vAlign w:val="bottom"/>
            <w:vMerge w:val="continue"/>
          </w:tcPr>
          <w:p>
            <w:pPr>
              <w:spacing w:after="0"/>
              <w:rPr>
                <w:sz w:val="8"/>
                <w:szCs w:val="8"/>
                <w:color w:val="auto"/>
              </w:rPr>
            </w:pPr>
          </w:p>
        </w:tc>
        <w:tc>
          <w:tcPr>
            <w:tcW w:w="8960" w:type="dxa"/>
            <w:vAlign w:val="bottom"/>
            <w:vMerge w:val="restart"/>
            <w:shd w:val="clear" w:color="auto" w:fill="F2F2F2"/>
          </w:tcPr>
          <w:p>
            <w:pPr>
              <w:ind w:left="120"/>
              <w:spacing w:after="0"/>
              <w:rPr>
                <w:sz w:val="20"/>
                <w:szCs w:val="20"/>
                <w:color w:val="auto"/>
              </w:rPr>
            </w:pPr>
            <w:r>
              <w:rPr>
                <w:rFonts w:ascii="Arial" w:cs="Arial" w:eastAsia="Arial" w:hAnsi="Arial"/>
                <w:sz w:val="16"/>
                <w:szCs w:val="16"/>
                <w:color w:val="auto"/>
                <w:w w:val="95"/>
              </w:rPr>
              <w:t>Management Committee, which is chaired by our newly appointed Chief Risk Officer. Our Chief Risk Officer, and other members of</w:t>
            </w:r>
          </w:p>
        </w:tc>
        <w:tc>
          <w:tcPr>
            <w:tcW w:w="0" w:type="dxa"/>
            <w:vAlign w:val="bottom"/>
          </w:tcPr>
          <w:p>
            <w:pPr>
              <w:spacing w:after="0"/>
              <w:rPr>
                <w:sz w:val="1"/>
                <w:szCs w:val="1"/>
                <w:color w:val="auto"/>
              </w:rPr>
            </w:pPr>
          </w:p>
        </w:tc>
      </w:tr>
      <w:tr>
        <w:trPr>
          <w:trHeight w:val="100"/>
        </w:trPr>
        <w:tc>
          <w:tcPr>
            <w:tcW w:w="1320" w:type="dxa"/>
            <w:vAlign w:val="bottom"/>
          </w:tcPr>
          <w:p>
            <w:pPr>
              <w:spacing w:after="0"/>
              <w:rPr>
                <w:sz w:val="8"/>
                <w:szCs w:val="8"/>
                <w:color w:val="auto"/>
              </w:rPr>
            </w:pPr>
          </w:p>
        </w:tc>
        <w:tc>
          <w:tcPr>
            <w:tcW w:w="8960" w:type="dxa"/>
            <w:vAlign w:val="bottom"/>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320" w:type="dxa"/>
            <w:vAlign w:val="bottom"/>
          </w:tcPr>
          <w:p>
            <w:pPr>
              <w:spacing w:after="0"/>
              <w:rPr>
                <w:sz w:val="16"/>
                <w:szCs w:val="16"/>
                <w:color w:val="auto"/>
              </w:rPr>
            </w:pPr>
          </w:p>
        </w:tc>
        <w:tc>
          <w:tcPr>
            <w:tcW w:w="8960" w:type="dxa"/>
            <w:vAlign w:val="bottom"/>
            <w:shd w:val="clear" w:color="auto" w:fill="F2F2F2"/>
          </w:tcPr>
          <w:p>
            <w:pPr>
              <w:ind w:left="120"/>
              <w:spacing w:after="0"/>
              <w:rPr>
                <w:sz w:val="20"/>
                <w:szCs w:val="20"/>
                <w:color w:val="auto"/>
              </w:rPr>
            </w:pPr>
            <w:r>
              <w:rPr>
                <w:rFonts w:ascii="Arial" w:cs="Arial" w:eastAsia="Arial" w:hAnsi="Arial"/>
                <w:sz w:val="16"/>
                <w:szCs w:val="16"/>
                <w:color w:val="auto"/>
                <w:w w:val="91"/>
              </w:rPr>
              <w:t>management, report to the Board of Directors (or the appropriate committee in the case of risks that are under the purview of a particular</w:t>
            </w:r>
          </w:p>
        </w:tc>
        <w:tc>
          <w:tcPr>
            <w:tcW w:w="0" w:type="dxa"/>
            <w:vAlign w:val="bottom"/>
          </w:tcPr>
          <w:p>
            <w:pPr>
              <w:spacing w:after="0"/>
              <w:rPr>
                <w:sz w:val="1"/>
                <w:szCs w:val="1"/>
                <w:color w:val="auto"/>
              </w:rPr>
            </w:pPr>
          </w:p>
        </w:tc>
      </w:tr>
      <w:tr>
        <w:trPr>
          <w:trHeight w:val="231"/>
        </w:trPr>
        <w:tc>
          <w:tcPr>
            <w:tcW w:w="1320" w:type="dxa"/>
            <w:vAlign w:val="bottom"/>
          </w:tcPr>
          <w:p>
            <w:pPr>
              <w:spacing w:after="0"/>
              <w:rPr>
                <w:sz w:val="20"/>
                <w:szCs w:val="20"/>
                <w:color w:val="auto"/>
              </w:rPr>
            </w:pPr>
          </w:p>
        </w:tc>
        <w:tc>
          <w:tcPr>
            <w:tcW w:w="8960" w:type="dxa"/>
            <w:vAlign w:val="bottom"/>
            <w:tcBorders>
              <w:bottom w:val="single" w:sz="8" w:color="F2F2F2"/>
            </w:tcBorders>
            <w:shd w:val="clear" w:color="auto" w:fill="F2F2F2"/>
          </w:tcPr>
          <w:p>
            <w:pPr>
              <w:ind w:left="120"/>
              <w:spacing w:after="0"/>
              <w:rPr>
                <w:sz w:val="20"/>
                <w:szCs w:val="20"/>
                <w:color w:val="auto"/>
              </w:rPr>
            </w:pPr>
            <w:r>
              <w:rPr>
                <w:rFonts w:ascii="Arial" w:cs="Arial" w:eastAsia="Arial" w:hAnsi="Arial"/>
                <w:sz w:val="16"/>
                <w:szCs w:val="16"/>
                <w:color w:val="auto"/>
              </w:rPr>
              <w:t>committee) regarding risk identification, risk management and risk mitigation strategies.</w:t>
            </w:r>
          </w:p>
        </w:tc>
        <w:tc>
          <w:tcPr>
            <w:tcW w:w="0" w:type="dxa"/>
            <w:vAlign w:val="bottom"/>
          </w:tcPr>
          <w:p>
            <w:pPr>
              <w:spacing w:after="0"/>
              <w:rPr>
                <w:sz w:val="1"/>
                <w:szCs w:val="1"/>
                <w:color w:val="auto"/>
              </w:rPr>
            </w:pPr>
          </w:p>
        </w:tc>
      </w:tr>
      <w:tr>
        <w:trPr>
          <w:trHeight w:val="230"/>
        </w:trPr>
        <w:tc>
          <w:tcPr>
            <w:tcW w:w="1320" w:type="dxa"/>
            <w:vAlign w:val="bottom"/>
            <w:tcBorders>
              <w:top w:val="single" w:sz="8" w:color="0066BA"/>
            </w:tcBorders>
          </w:tcPr>
          <w:p>
            <w:pPr>
              <w:spacing w:after="0"/>
              <w:rPr>
                <w:sz w:val="20"/>
                <w:szCs w:val="20"/>
                <w:color w:val="auto"/>
              </w:rPr>
            </w:pPr>
          </w:p>
        </w:tc>
        <w:tc>
          <w:tcPr>
            <w:tcW w:w="8960" w:type="dxa"/>
            <w:vAlign w:val="bottom"/>
            <w:tcBorders>
              <w:top w:val="single" w:sz="8" w:color="0066BA"/>
            </w:tcBorders>
            <w:shd w:val="clear" w:color="auto" w:fill="F2F2F2"/>
          </w:tcPr>
          <w:p>
            <w:pPr>
              <w:ind w:left="120"/>
              <w:spacing w:after="0"/>
              <w:rPr>
                <w:sz w:val="20"/>
                <w:szCs w:val="20"/>
                <w:color w:val="auto"/>
              </w:rPr>
            </w:pPr>
            <w:r>
              <w:rPr>
                <w:rFonts w:ascii="Arial" w:cs="Arial" w:eastAsia="Arial" w:hAnsi="Arial"/>
                <w:sz w:val="16"/>
                <w:szCs w:val="16"/>
                <w:color w:val="auto"/>
                <w:w w:val="88"/>
              </w:rPr>
              <w:t>The Board of Directors’ role in the Company’s risk oversight process includes receiving regular reports from members of senior management</w:t>
            </w:r>
          </w:p>
        </w:tc>
        <w:tc>
          <w:tcPr>
            <w:tcW w:w="0" w:type="dxa"/>
            <w:vAlign w:val="bottom"/>
          </w:tcPr>
          <w:p>
            <w:pPr>
              <w:spacing w:after="0"/>
              <w:rPr>
                <w:sz w:val="1"/>
                <w:szCs w:val="1"/>
                <w:color w:val="auto"/>
              </w:rPr>
            </w:pPr>
          </w:p>
        </w:tc>
      </w:tr>
      <w:tr>
        <w:trPr>
          <w:trHeight w:val="195"/>
        </w:trPr>
        <w:tc>
          <w:tcPr>
            <w:tcW w:w="1320" w:type="dxa"/>
            <w:vAlign w:val="bottom"/>
            <w:vMerge w:val="restart"/>
          </w:tcPr>
          <w:p>
            <w:pPr>
              <w:ind w:left="60"/>
              <w:spacing w:after="0"/>
              <w:rPr>
                <w:sz w:val="20"/>
                <w:szCs w:val="20"/>
                <w:color w:val="auto"/>
              </w:rPr>
            </w:pPr>
            <w:r>
              <w:rPr>
                <w:rFonts w:ascii="Arial" w:cs="Arial" w:eastAsia="Arial" w:hAnsi="Arial"/>
                <w:sz w:val="16"/>
                <w:szCs w:val="16"/>
                <w:color w:val="auto"/>
              </w:rPr>
              <w:t>Board of</w:t>
            </w:r>
          </w:p>
        </w:tc>
        <w:tc>
          <w:tcPr>
            <w:tcW w:w="8960" w:type="dxa"/>
            <w:vAlign w:val="bottom"/>
            <w:shd w:val="clear" w:color="auto" w:fill="F2F2F2"/>
          </w:tcPr>
          <w:p>
            <w:pPr>
              <w:ind w:left="120"/>
              <w:spacing w:after="0"/>
              <w:rPr>
                <w:sz w:val="20"/>
                <w:szCs w:val="20"/>
                <w:color w:val="auto"/>
              </w:rPr>
            </w:pPr>
            <w:r>
              <w:rPr>
                <w:rFonts w:ascii="Arial" w:cs="Arial" w:eastAsia="Arial" w:hAnsi="Arial"/>
                <w:sz w:val="16"/>
                <w:szCs w:val="16"/>
                <w:color w:val="auto"/>
                <w:w w:val="90"/>
              </w:rPr>
              <w:t>on areas of material risk to the Company. Specifically, our Chief Risk Officer, who oversee internal enterprise risk management programs</w:t>
            </w:r>
          </w:p>
        </w:tc>
        <w:tc>
          <w:tcPr>
            <w:tcW w:w="0" w:type="dxa"/>
            <w:vAlign w:val="bottom"/>
          </w:tcPr>
          <w:p>
            <w:pPr>
              <w:spacing w:after="0"/>
              <w:rPr>
                <w:sz w:val="1"/>
                <w:szCs w:val="1"/>
                <w:color w:val="auto"/>
              </w:rPr>
            </w:pPr>
          </w:p>
        </w:tc>
      </w:tr>
      <w:tr>
        <w:trPr>
          <w:trHeight w:val="182"/>
        </w:trPr>
        <w:tc>
          <w:tcPr>
            <w:tcW w:w="1320" w:type="dxa"/>
            <w:vAlign w:val="bottom"/>
            <w:vMerge w:val="continue"/>
          </w:tcPr>
          <w:p>
            <w:pPr>
              <w:spacing w:after="0"/>
              <w:rPr>
                <w:sz w:val="15"/>
                <w:szCs w:val="15"/>
                <w:color w:val="auto"/>
              </w:rPr>
            </w:pPr>
          </w:p>
        </w:tc>
        <w:tc>
          <w:tcPr>
            <w:tcW w:w="8960" w:type="dxa"/>
            <w:vAlign w:val="bottom"/>
            <w:shd w:val="clear" w:color="auto" w:fill="F2F2F2"/>
          </w:tcPr>
          <w:p>
            <w:pPr>
              <w:ind w:left="120"/>
              <w:spacing w:after="0" w:line="182" w:lineRule="exact"/>
              <w:rPr>
                <w:sz w:val="20"/>
                <w:szCs w:val="20"/>
                <w:color w:val="auto"/>
              </w:rPr>
            </w:pPr>
            <w:r>
              <w:rPr>
                <w:rFonts w:ascii="Arial" w:cs="Arial" w:eastAsia="Arial" w:hAnsi="Arial"/>
                <w:sz w:val="16"/>
                <w:szCs w:val="16"/>
                <w:color w:val="auto"/>
                <w:w w:val="89"/>
              </w:rPr>
              <w:t>and chairs our Enterprise Risk Management Committee, provides regular reports to our full Board of Directors regarding our management of</w:t>
            </w:r>
          </w:p>
        </w:tc>
        <w:tc>
          <w:tcPr>
            <w:tcW w:w="0" w:type="dxa"/>
            <w:vAlign w:val="bottom"/>
          </w:tcPr>
          <w:p>
            <w:pPr>
              <w:spacing w:after="0"/>
              <w:rPr>
                <w:sz w:val="1"/>
                <w:szCs w:val="1"/>
                <w:color w:val="auto"/>
              </w:rPr>
            </w:pPr>
          </w:p>
        </w:tc>
      </w:tr>
      <w:tr>
        <w:trPr>
          <w:trHeight w:val="208"/>
        </w:trPr>
        <w:tc>
          <w:tcPr>
            <w:tcW w:w="1320" w:type="dxa"/>
            <w:vAlign w:val="bottom"/>
          </w:tcPr>
          <w:p>
            <w:pPr>
              <w:ind w:left="60"/>
              <w:spacing w:after="0"/>
              <w:rPr>
                <w:sz w:val="20"/>
                <w:szCs w:val="20"/>
                <w:color w:val="auto"/>
              </w:rPr>
            </w:pPr>
            <w:r>
              <w:rPr>
                <w:rFonts w:ascii="Arial" w:cs="Arial" w:eastAsia="Arial" w:hAnsi="Arial"/>
                <w:sz w:val="16"/>
                <w:szCs w:val="16"/>
                <w:color w:val="auto"/>
              </w:rPr>
              <w:t>Directors</w:t>
            </w:r>
          </w:p>
        </w:tc>
        <w:tc>
          <w:tcPr>
            <w:tcW w:w="8960" w:type="dxa"/>
            <w:vAlign w:val="bottom"/>
            <w:shd w:val="clear" w:color="auto" w:fill="F2F2F2"/>
          </w:tcPr>
          <w:p>
            <w:pPr>
              <w:ind w:left="120"/>
              <w:spacing w:after="0"/>
              <w:rPr>
                <w:sz w:val="20"/>
                <w:szCs w:val="20"/>
                <w:color w:val="auto"/>
              </w:rPr>
            </w:pPr>
            <w:r>
              <w:rPr>
                <w:rFonts w:ascii="Arial" w:cs="Arial" w:eastAsia="Arial" w:hAnsi="Arial"/>
                <w:sz w:val="16"/>
                <w:szCs w:val="16"/>
                <w:color w:val="auto"/>
                <w:w w:val="87"/>
              </w:rPr>
              <w:t>all enterprise and operational risks and our enterprise risk management program, with periodic updates on focus areas, such as cybersecurity.</w:t>
            </w:r>
          </w:p>
        </w:tc>
        <w:tc>
          <w:tcPr>
            <w:tcW w:w="0" w:type="dxa"/>
            <w:vAlign w:val="bottom"/>
          </w:tcPr>
          <w:p>
            <w:pPr>
              <w:spacing w:after="0"/>
              <w:rPr>
                <w:sz w:val="1"/>
                <w:szCs w:val="1"/>
                <w:color w:val="auto"/>
              </w:rPr>
            </w:pPr>
          </w:p>
        </w:tc>
      </w:tr>
      <w:tr>
        <w:trPr>
          <w:trHeight w:val="195"/>
        </w:trPr>
        <w:tc>
          <w:tcPr>
            <w:tcW w:w="1320" w:type="dxa"/>
            <w:vAlign w:val="bottom"/>
          </w:tcPr>
          <w:p>
            <w:pPr>
              <w:spacing w:after="0"/>
              <w:rPr>
                <w:sz w:val="16"/>
                <w:szCs w:val="16"/>
                <w:color w:val="auto"/>
              </w:rPr>
            </w:pPr>
          </w:p>
        </w:tc>
        <w:tc>
          <w:tcPr>
            <w:tcW w:w="8960" w:type="dxa"/>
            <w:vAlign w:val="bottom"/>
            <w:shd w:val="clear" w:color="auto" w:fill="F2F2F2"/>
          </w:tcPr>
          <w:p>
            <w:pPr>
              <w:ind w:left="120"/>
              <w:spacing w:after="0"/>
              <w:rPr>
                <w:sz w:val="20"/>
                <w:szCs w:val="20"/>
                <w:color w:val="auto"/>
              </w:rPr>
            </w:pPr>
            <w:r>
              <w:rPr>
                <w:rFonts w:ascii="Arial" w:cs="Arial" w:eastAsia="Arial" w:hAnsi="Arial"/>
                <w:sz w:val="16"/>
                <w:szCs w:val="16"/>
                <w:color w:val="auto"/>
                <w:w w:val="89"/>
              </w:rPr>
              <w:t>The Board also receives regular updates from our Audit Committee, Compensation Committee and Nominating and Corporate Governance</w:t>
            </w:r>
          </w:p>
        </w:tc>
        <w:tc>
          <w:tcPr>
            <w:tcW w:w="0" w:type="dxa"/>
            <w:vAlign w:val="bottom"/>
          </w:tcPr>
          <w:p>
            <w:pPr>
              <w:spacing w:after="0"/>
              <w:rPr>
                <w:sz w:val="1"/>
                <w:szCs w:val="1"/>
                <w:color w:val="auto"/>
              </w:rPr>
            </w:pPr>
          </w:p>
        </w:tc>
      </w:tr>
      <w:tr>
        <w:trPr>
          <w:trHeight w:val="231"/>
        </w:trPr>
        <w:tc>
          <w:tcPr>
            <w:tcW w:w="1320" w:type="dxa"/>
            <w:vAlign w:val="bottom"/>
          </w:tcPr>
          <w:p>
            <w:pPr>
              <w:spacing w:after="0"/>
              <w:rPr>
                <w:sz w:val="20"/>
                <w:szCs w:val="20"/>
                <w:color w:val="auto"/>
              </w:rPr>
            </w:pPr>
          </w:p>
        </w:tc>
        <w:tc>
          <w:tcPr>
            <w:tcW w:w="8960" w:type="dxa"/>
            <w:vAlign w:val="bottom"/>
            <w:tcBorders>
              <w:bottom w:val="single" w:sz="8" w:color="F2F2F2"/>
            </w:tcBorders>
            <w:shd w:val="clear" w:color="auto" w:fill="F2F2F2"/>
          </w:tcPr>
          <w:p>
            <w:pPr>
              <w:ind w:left="120"/>
              <w:spacing w:after="0"/>
              <w:rPr>
                <w:sz w:val="20"/>
                <w:szCs w:val="20"/>
                <w:color w:val="auto"/>
              </w:rPr>
            </w:pPr>
            <w:r>
              <w:rPr>
                <w:rFonts w:ascii="Arial" w:cs="Arial" w:eastAsia="Arial" w:hAnsi="Arial"/>
                <w:sz w:val="16"/>
                <w:szCs w:val="16"/>
                <w:color w:val="auto"/>
              </w:rPr>
              <w:t>Committee, which provide our Board with thorough insight about how ADI manages risk.</w:t>
            </w:r>
          </w:p>
        </w:tc>
        <w:tc>
          <w:tcPr>
            <w:tcW w:w="0" w:type="dxa"/>
            <w:vAlign w:val="bottom"/>
          </w:tcPr>
          <w:p>
            <w:pPr>
              <w:spacing w:after="0"/>
              <w:rPr>
                <w:sz w:val="1"/>
                <w:szCs w:val="1"/>
                <w:color w:val="auto"/>
              </w:rPr>
            </w:pPr>
          </w:p>
        </w:tc>
      </w:tr>
      <w:tr>
        <w:trPr>
          <w:trHeight w:val="230"/>
        </w:trPr>
        <w:tc>
          <w:tcPr>
            <w:tcW w:w="1320" w:type="dxa"/>
            <w:vAlign w:val="bottom"/>
            <w:tcBorders>
              <w:top w:val="single" w:sz="8" w:color="0066BA"/>
            </w:tcBorders>
          </w:tcPr>
          <w:p>
            <w:pPr>
              <w:spacing w:after="0"/>
              <w:rPr>
                <w:sz w:val="20"/>
                <w:szCs w:val="20"/>
                <w:color w:val="auto"/>
              </w:rPr>
            </w:pPr>
          </w:p>
        </w:tc>
        <w:tc>
          <w:tcPr>
            <w:tcW w:w="8960" w:type="dxa"/>
            <w:vAlign w:val="bottom"/>
            <w:tcBorders>
              <w:top w:val="single" w:sz="8" w:color="0066BA"/>
            </w:tcBorders>
            <w:shd w:val="clear" w:color="auto" w:fill="F2F2F2"/>
          </w:tcPr>
          <w:p>
            <w:pPr>
              <w:ind w:left="120"/>
              <w:spacing w:after="0"/>
              <w:rPr>
                <w:sz w:val="20"/>
                <w:szCs w:val="20"/>
                <w:color w:val="auto"/>
              </w:rPr>
            </w:pPr>
            <w:r>
              <w:rPr>
                <w:rFonts w:ascii="Arial" w:cs="Arial" w:eastAsia="Arial" w:hAnsi="Arial"/>
                <w:sz w:val="16"/>
                <w:szCs w:val="16"/>
                <w:color w:val="auto"/>
                <w:w w:val="90"/>
              </w:rPr>
              <w:t>The Audit Committee is chaired by Karen Golz, who previously served on EY’s Global Risk Management Executive Committee. The Audit</w:t>
            </w:r>
          </w:p>
        </w:tc>
        <w:tc>
          <w:tcPr>
            <w:tcW w:w="0" w:type="dxa"/>
            <w:vAlign w:val="bottom"/>
          </w:tcPr>
          <w:p>
            <w:pPr>
              <w:spacing w:after="0"/>
              <w:rPr>
                <w:sz w:val="1"/>
                <w:szCs w:val="1"/>
                <w:color w:val="auto"/>
              </w:rPr>
            </w:pPr>
          </w:p>
        </w:tc>
      </w:tr>
      <w:tr>
        <w:trPr>
          <w:trHeight w:val="195"/>
        </w:trPr>
        <w:tc>
          <w:tcPr>
            <w:tcW w:w="1320" w:type="dxa"/>
            <w:vAlign w:val="bottom"/>
          </w:tcPr>
          <w:p>
            <w:pPr>
              <w:spacing w:after="0"/>
              <w:rPr>
                <w:sz w:val="16"/>
                <w:szCs w:val="16"/>
                <w:color w:val="auto"/>
              </w:rPr>
            </w:pPr>
          </w:p>
        </w:tc>
        <w:tc>
          <w:tcPr>
            <w:tcW w:w="8960" w:type="dxa"/>
            <w:vAlign w:val="bottom"/>
            <w:shd w:val="clear" w:color="auto" w:fill="F2F2F2"/>
          </w:tcPr>
          <w:p>
            <w:pPr>
              <w:ind w:left="120"/>
              <w:spacing w:after="0"/>
              <w:rPr>
                <w:sz w:val="20"/>
                <w:szCs w:val="20"/>
                <w:color w:val="auto"/>
              </w:rPr>
            </w:pPr>
            <w:r>
              <w:rPr>
                <w:rFonts w:ascii="Arial" w:cs="Arial" w:eastAsia="Arial" w:hAnsi="Arial"/>
                <w:sz w:val="16"/>
                <w:szCs w:val="16"/>
                <w:color w:val="auto"/>
                <w:w w:val="90"/>
              </w:rPr>
              <w:t>Committee has oversight responsibility with respect to ADI’s risk assessment and risk management programs, especially as they apply to</w:t>
            </w:r>
          </w:p>
        </w:tc>
        <w:tc>
          <w:tcPr>
            <w:tcW w:w="0" w:type="dxa"/>
            <w:vAlign w:val="bottom"/>
          </w:tcPr>
          <w:p>
            <w:pPr>
              <w:spacing w:after="0"/>
              <w:rPr>
                <w:sz w:val="1"/>
                <w:szCs w:val="1"/>
                <w:color w:val="auto"/>
              </w:rPr>
            </w:pPr>
          </w:p>
        </w:tc>
      </w:tr>
      <w:tr>
        <w:trPr>
          <w:trHeight w:val="195"/>
        </w:trPr>
        <w:tc>
          <w:tcPr>
            <w:tcW w:w="1320" w:type="dxa"/>
            <w:vAlign w:val="bottom"/>
            <w:vMerge w:val="restart"/>
          </w:tcPr>
          <w:p>
            <w:pPr>
              <w:ind w:left="60"/>
              <w:spacing w:after="0"/>
              <w:rPr>
                <w:sz w:val="20"/>
                <w:szCs w:val="20"/>
                <w:color w:val="auto"/>
              </w:rPr>
            </w:pPr>
            <w:r>
              <w:rPr>
                <w:rFonts w:ascii="Arial" w:cs="Arial" w:eastAsia="Arial" w:hAnsi="Arial"/>
                <w:sz w:val="16"/>
                <w:szCs w:val="16"/>
                <w:color w:val="auto"/>
              </w:rPr>
              <w:t>Audit</w:t>
            </w:r>
          </w:p>
        </w:tc>
        <w:tc>
          <w:tcPr>
            <w:tcW w:w="8960" w:type="dxa"/>
            <w:vAlign w:val="bottom"/>
            <w:shd w:val="clear" w:color="auto" w:fill="F2F2F2"/>
          </w:tcPr>
          <w:p>
            <w:pPr>
              <w:ind w:left="120"/>
              <w:spacing w:after="0"/>
              <w:rPr>
                <w:sz w:val="20"/>
                <w:szCs w:val="20"/>
                <w:color w:val="auto"/>
              </w:rPr>
            </w:pPr>
            <w:r>
              <w:rPr>
                <w:rFonts w:ascii="Arial" w:cs="Arial" w:eastAsia="Arial" w:hAnsi="Arial"/>
                <w:sz w:val="16"/>
                <w:szCs w:val="16"/>
                <w:color w:val="auto"/>
                <w:w w:val="90"/>
              </w:rPr>
              <w:t>ADI’s financial statement integrity and reporting and internal controls. The Audit Committee also receives regular reports from our Director</w:t>
            </w:r>
          </w:p>
        </w:tc>
        <w:tc>
          <w:tcPr>
            <w:tcW w:w="0" w:type="dxa"/>
            <w:vAlign w:val="bottom"/>
          </w:tcPr>
          <w:p>
            <w:pPr>
              <w:spacing w:after="0"/>
              <w:rPr>
                <w:sz w:val="1"/>
                <w:szCs w:val="1"/>
                <w:color w:val="auto"/>
              </w:rPr>
            </w:pPr>
          </w:p>
        </w:tc>
      </w:tr>
      <w:tr>
        <w:trPr>
          <w:trHeight w:val="91"/>
        </w:trPr>
        <w:tc>
          <w:tcPr>
            <w:tcW w:w="1320" w:type="dxa"/>
            <w:vAlign w:val="bottom"/>
            <w:vMerge w:val="continue"/>
          </w:tcPr>
          <w:p>
            <w:pPr>
              <w:spacing w:after="0"/>
              <w:rPr>
                <w:sz w:val="7"/>
                <w:szCs w:val="7"/>
                <w:color w:val="auto"/>
              </w:rPr>
            </w:pPr>
          </w:p>
        </w:tc>
        <w:tc>
          <w:tcPr>
            <w:tcW w:w="8960" w:type="dxa"/>
            <w:vAlign w:val="bottom"/>
            <w:vMerge w:val="restart"/>
            <w:shd w:val="clear" w:color="auto" w:fill="F2F2F2"/>
          </w:tcPr>
          <w:p>
            <w:pPr>
              <w:ind w:left="120"/>
              <w:spacing w:after="0"/>
              <w:rPr>
                <w:sz w:val="20"/>
                <w:szCs w:val="20"/>
                <w:color w:val="auto"/>
              </w:rPr>
            </w:pPr>
            <w:r>
              <w:rPr>
                <w:rFonts w:ascii="Arial" w:cs="Arial" w:eastAsia="Arial" w:hAnsi="Arial"/>
                <w:sz w:val="16"/>
                <w:szCs w:val="16"/>
                <w:color w:val="auto"/>
                <w:w w:val="94"/>
              </w:rPr>
              <w:t>of Internal Audit on internal audit matters and, since our Chief Risk Officer joined in August 2021, from our Chief Risk Officer on risk</w:t>
            </w:r>
          </w:p>
        </w:tc>
        <w:tc>
          <w:tcPr>
            <w:tcW w:w="0" w:type="dxa"/>
            <w:vAlign w:val="bottom"/>
          </w:tcPr>
          <w:p>
            <w:pPr>
              <w:spacing w:after="0"/>
              <w:rPr>
                <w:sz w:val="1"/>
                <w:szCs w:val="1"/>
                <w:color w:val="auto"/>
              </w:rPr>
            </w:pPr>
          </w:p>
        </w:tc>
      </w:tr>
      <w:tr>
        <w:trPr>
          <w:trHeight w:val="104"/>
        </w:trPr>
        <w:tc>
          <w:tcPr>
            <w:tcW w:w="1320" w:type="dxa"/>
            <w:vAlign w:val="bottom"/>
            <w:vMerge w:val="restart"/>
          </w:tcPr>
          <w:p>
            <w:pPr>
              <w:ind w:left="60"/>
              <w:spacing w:after="0"/>
              <w:rPr>
                <w:sz w:val="20"/>
                <w:szCs w:val="20"/>
                <w:color w:val="auto"/>
              </w:rPr>
            </w:pPr>
            <w:r>
              <w:rPr>
                <w:rFonts w:ascii="Arial" w:cs="Arial" w:eastAsia="Arial" w:hAnsi="Arial"/>
                <w:sz w:val="16"/>
                <w:szCs w:val="16"/>
                <w:color w:val="auto"/>
              </w:rPr>
              <w:t>Committee</w:t>
            </w:r>
          </w:p>
        </w:tc>
        <w:tc>
          <w:tcPr>
            <w:tcW w:w="8960" w:type="dxa"/>
            <w:vAlign w:val="bottom"/>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320" w:type="dxa"/>
            <w:vAlign w:val="bottom"/>
            <w:vMerge w:val="continue"/>
          </w:tcPr>
          <w:p>
            <w:pPr>
              <w:spacing w:after="0"/>
              <w:rPr>
                <w:sz w:val="8"/>
                <w:szCs w:val="8"/>
                <w:color w:val="auto"/>
              </w:rPr>
            </w:pPr>
          </w:p>
        </w:tc>
        <w:tc>
          <w:tcPr>
            <w:tcW w:w="8960" w:type="dxa"/>
            <w:vAlign w:val="bottom"/>
            <w:vMerge w:val="restart"/>
            <w:shd w:val="clear" w:color="auto" w:fill="F2F2F2"/>
          </w:tcPr>
          <w:p>
            <w:pPr>
              <w:ind w:left="120"/>
              <w:spacing w:after="0"/>
              <w:rPr>
                <w:sz w:val="20"/>
                <w:szCs w:val="20"/>
                <w:color w:val="auto"/>
              </w:rPr>
            </w:pPr>
            <w:r>
              <w:rPr>
                <w:rFonts w:ascii="Arial" w:cs="Arial" w:eastAsia="Arial" w:hAnsi="Arial"/>
                <w:sz w:val="16"/>
                <w:szCs w:val="16"/>
                <w:color w:val="auto"/>
                <w:w w:val="94"/>
              </w:rPr>
              <w:t>management matters. The Audit Committee also receives reports at least annually from our Chief Information Officer on information</w:t>
            </w:r>
          </w:p>
        </w:tc>
        <w:tc>
          <w:tcPr>
            <w:tcW w:w="0" w:type="dxa"/>
            <w:vAlign w:val="bottom"/>
          </w:tcPr>
          <w:p>
            <w:pPr>
              <w:spacing w:after="0"/>
              <w:rPr>
                <w:sz w:val="1"/>
                <w:szCs w:val="1"/>
                <w:color w:val="auto"/>
              </w:rPr>
            </w:pPr>
          </w:p>
        </w:tc>
      </w:tr>
      <w:tr>
        <w:trPr>
          <w:trHeight w:val="100"/>
        </w:trPr>
        <w:tc>
          <w:tcPr>
            <w:tcW w:w="1320" w:type="dxa"/>
            <w:vAlign w:val="bottom"/>
          </w:tcPr>
          <w:p>
            <w:pPr>
              <w:spacing w:after="0"/>
              <w:rPr>
                <w:sz w:val="8"/>
                <w:szCs w:val="8"/>
                <w:color w:val="auto"/>
              </w:rPr>
            </w:pPr>
          </w:p>
        </w:tc>
        <w:tc>
          <w:tcPr>
            <w:tcW w:w="8960" w:type="dxa"/>
            <w:vAlign w:val="bottom"/>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320" w:type="dxa"/>
            <w:vAlign w:val="bottom"/>
          </w:tcPr>
          <w:p>
            <w:pPr>
              <w:spacing w:after="0"/>
              <w:rPr>
                <w:sz w:val="16"/>
                <w:szCs w:val="16"/>
                <w:color w:val="auto"/>
              </w:rPr>
            </w:pPr>
          </w:p>
        </w:tc>
        <w:tc>
          <w:tcPr>
            <w:tcW w:w="8960" w:type="dxa"/>
            <w:vAlign w:val="bottom"/>
            <w:shd w:val="clear" w:color="auto" w:fill="F2F2F2"/>
          </w:tcPr>
          <w:p>
            <w:pPr>
              <w:ind w:left="120"/>
              <w:spacing w:after="0"/>
              <w:rPr>
                <w:sz w:val="20"/>
                <w:szCs w:val="20"/>
                <w:color w:val="auto"/>
              </w:rPr>
            </w:pPr>
            <w:r>
              <w:rPr>
                <w:rFonts w:ascii="Arial" w:cs="Arial" w:eastAsia="Arial" w:hAnsi="Arial"/>
                <w:sz w:val="16"/>
                <w:szCs w:val="16"/>
                <w:color w:val="auto"/>
                <w:w w:val="94"/>
              </w:rPr>
              <w:t>security, technology and data privacy and protection. The Chief Information Officer also provides an annual report to the full Board of</w:t>
            </w:r>
          </w:p>
        </w:tc>
        <w:tc>
          <w:tcPr>
            <w:tcW w:w="0" w:type="dxa"/>
            <w:vAlign w:val="bottom"/>
          </w:tcPr>
          <w:p>
            <w:pPr>
              <w:spacing w:after="0"/>
              <w:rPr>
                <w:sz w:val="1"/>
                <w:szCs w:val="1"/>
                <w:color w:val="auto"/>
              </w:rPr>
            </w:pPr>
          </w:p>
        </w:tc>
      </w:tr>
      <w:tr>
        <w:trPr>
          <w:trHeight w:val="231"/>
        </w:trPr>
        <w:tc>
          <w:tcPr>
            <w:tcW w:w="1320" w:type="dxa"/>
            <w:vAlign w:val="bottom"/>
          </w:tcPr>
          <w:p>
            <w:pPr>
              <w:spacing w:after="0"/>
              <w:rPr>
                <w:sz w:val="20"/>
                <w:szCs w:val="20"/>
                <w:color w:val="auto"/>
              </w:rPr>
            </w:pPr>
          </w:p>
        </w:tc>
        <w:tc>
          <w:tcPr>
            <w:tcW w:w="8960" w:type="dxa"/>
            <w:vAlign w:val="bottom"/>
            <w:tcBorders>
              <w:bottom w:val="single" w:sz="8" w:color="F2F2F2"/>
            </w:tcBorders>
            <w:shd w:val="clear" w:color="auto" w:fill="F2F2F2"/>
          </w:tcPr>
          <w:p>
            <w:pPr>
              <w:ind w:left="120"/>
              <w:spacing w:after="0"/>
              <w:rPr>
                <w:sz w:val="20"/>
                <w:szCs w:val="20"/>
                <w:color w:val="auto"/>
              </w:rPr>
            </w:pPr>
            <w:r>
              <w:rPr>
                <w:rFonts w:ascii="Arial" w:cs="Arial" w:eastAsia="Arial" w:hAnsi="Arial"/>
                <w:sz w:val="16"/>
                <w:szCs w:val="16"/>
                <w:color w:val="auto"/>
              </w:rPr>
              <w:t>Directors regarding cybersecurity risk.</w:t>
            </w:r>
          </w:p>
        </w:tc>
        <w:tc>
          <w:tcPr>
            <w:tcW w:w="0" w:type="dxa"/>
            <w:vAlign w:val="bottom"/>
          </w:tcPr>
          <w:p>
            <w:pPr>
              <w:spacing w:after="0"/>
              <w:rPr>
                <w:sz w:val="1"/>
                <w:szCs w:val="1"/>
                <w:color w:val="auto"/>
              </w:rPr>
            </w:pPr>
          </w:p>
        </w:tc>
      </w:tr>
      <w:tr>
        <w:trPr>
          <w:trHeight w:val="230"/>
        </w:trPr>
        <w:tc>
          <w:tcPr>
            <w:tcW w:w="1320" w:type="dxa"/>
            <w:vAlign w:val="bottom"/>
            <w:tcBorders>
              <w:top w:val="single" w:sz="8" w:color="0066BA"/>
            </w:tcBorders>
          </w:tcPr>
          <w:p>
            <w:pPr>
              <w:ind w:left="60"/>
              <w:spacing w:after="0"/>
              <w:rPr>
                <w:sz w:val="20"/>
                <w:szCs w:val="20"/>
                <w:color w:val="auto"/>
              </w:rPr>
            </w:pPr>
            <w:r>
              <w:rPr>
                <w:rFonts w:ascii="Arial" w:cs="Arial" w:eastAsia="Arial" w:hAnsi="Arial"/>
                <w:sz w:val="16"/>
                <w:szCs w:val="16"/>
                <w:color w:val="auto"/>
              </w:rPr>
              <w:t>Compensation</w:t>
            </w:r>
          </w:p>
        </w:tc>
        <w:tc>
          <w:tcPr>
            <w:tcW w:w="8960" w:type="dxa"/>
            <w:vAlign w:val="bottom"/>
            <w:tcBorders>
              <w:top w:val="single" w:sz="8" w:color="0066BA"/>
            </w:tcBorders>
            <w:shd w:val="clear" w:color="auto" w:fill="F2F2F2"/>
          </w:tcPr>
          <w:p>
            <w:pPr>
              <w:ind w:left="120"/>
              <w:spacing w:after="0"/>
              <w:rPr>
                <w:sz w:val="20"/>
                <w:szCs w:val="20"/>
                <w:color w:val="auto"/>
              </w:rPr>
            </w:pPr>
            <w:r>
              <w:rPr>
                <w:rFonts w:ascii="Arial" w:cs="Arial" w:eastAsia="Arial" w:hAnsi="Arial"/>
                <w:sz w:val="16"/>
                <w:szCs w:val="16"/>
                <w:color w:val="auto"/>
                <w:w w:val="92"/>
              </w:rPr>
              <w:t>The Compensation Committee assesses risk associated with their areas of oversight, including whether ADI’s executive compensation</w:t>
            </w:r>
          </w:p>
        </w:tc>
        <w:tc>
          <w:tcPr>
            <w:tcW w:w="0" w:type="dxa"/>
            <w:vAlign w:val="bottom"/>
          </w:tcPr>
          <w:p>
            <w:pPr>
              <w:spacing w:after="0"/>
              <w:rPr>
                <w:sz w:val="1"/>
                <w:szCs w:val="1"/>
                <w:color w:val="auto"/>
              </w:rPr>
            </w:pPr>
          </w:p>
        </w:tc>
      </w:tr>
      <w:tr>
        <w:trPr>
          <w:trHeight w:val="231"/>
        </w:trPr>
        <w:tc>
          <w:tcPr>
            <w:tcW w:w="1320" w:type="dxa"/>
            <w:vAlign w:val="bottom"/>
          </w:tcPr>
          <w:p>
            <w:pPr>
              <w:ind w:left="60"/>
              <w:spacing w:after="0"/>
              <w:rPr>
                <w:sz w:val="20"/>
                <w:szCs w:val="20"/>
                <w:color w:val="auto"/>
              </w:rPr>
            </w:pPr>
            <w:r>
              <w:rPr>
                <w:rFonts w:ascii="Arial" w:cs="Arial" w:eastAsia="Arial" w:hAnsi="Arial"/>
                <w:sz w:val="16"/>
                <w:szCs w:val="16"/>
                <w:color w:val="auto"/>
              </w:rPr>
              <w:t>Committee</w:t>
            </w:r>
          </w:p>
        </w:tc>
        <w:tc>
          <w:tcPr>
            <w:tcW w:w="8960" w:type="dxa"/>
            <w:vAlign w:val="bottom"/>
            <w:tcBorders>
              <w:bottom w:val="single" w:sz="8" w:color="F2F2F2"/>
            </w:tcBorders>
            <w:shd w:val="clear" w:color="auto" w:fill="F2F2F2"/>
          </w:tcPr>
          <w:p>
            <w:pPr>
              <w:ind w:left="120"/>
              <w:spacing w:after="0"/>
              <w:rPr>
                <w:sz w:val="20"/>
                <w:szCs w:val="20"/>
                <w:color w:val="auto"/>
              </w:rPr>
            </w:pPr>
            <w:r>
              <w:rPr>
                <w:rFonts w:ascii="Arial" w:cs="Arial" w:eastAsia="Arial" w:hAnsi="Arial"/>
                <w:sz w:val="16"/>
                <w:szCs w:val="16"/>
                <w:color w:val="auto"/>
              </w:rPr>
              <w:t>program and non-executive director compensation practices encourage excessive or inappropriate risk taking.</w:t>
            </w:r>
          </w:p>
        </w:tc>
        <w:tc>
          <w:tcPr>
            <w:tcW w:w="0" w:type="dxa"/>
            <w:vAlign w:val="bottom"/>
          </w:tcPr>
          <w:p>
            <w:pPr>
              <w:spacing w:after="0"/>
              <w:rPr>
                <w:sz w:val="1"/>
                <w:szCs w:val="1"/>
                <w:color w:val="auto"/>
              </w:rPr>
            </w:pPr>
          </w:p>
        </w:tc>
      </w:tr>
      <w:tr>
        <w:trPr>
          <w:trHeight w:val="230"/>
        </w:trPr>
        <w:tc>
          <w:tcPr>
            <w:tcW w:w="1320" w:type="dxa"/>
            <w:vAlign w:val="bottom"/>
            <w:tcBorders>
              <w:top w:val="single" w:sz="8" w:color="0066BA"/>
            </w:tcBorders>
          </w:tcPr>
          <w:p>
            <w:pPr>
              <w:ind w:left="60"/>
              <w:spacing w:after="0"/>
              <w:rPr>
                <w:sz w:val="20"/>
                <w:szCs w:val="20"/>
                <w:color w:val="auto"/>
              </w:rPr>
            </w:pPr>
            <w:r>
              <w:rPr>
                <w:rFonts w:ascii="Arial" w:cs="Arial" w:eastAsia="Arial" w:hAnsi="Arial"/>
                <w:sz w:val="16"/>
                <w:szCs w:val="16"/>
                <w:color w:val="auto"/>
              </w:rPr>
              <w:t>Nominating</w:t>
            </w:r>
          </w:p>
        </w:tc>
        <w:tc>
          <w:tcPr>
            <w:tcW w:w="8960" w:type="dxa"/>
            <w:vAlign w:val="bottom"/>
            <w:tcBorders>
              <w:top w:val="single" w:sz="8" w:color="0066BA"/>
            </w:tcBorders>
            <w:shd w:val="clear" w:color="auto" w:fill="F2F2F2"/>
          </w:tcPr>
          <w:p>
            <w:pPr>
              <w:ind w:left="120"/>
              <w:spacing w:after="0"/>
              <w:rPr>
                <w:sz w:val="20"/>
                <w:szCs w:val="20"/>
                <w:color w:val="auto"/>
              </w:rPr>
            </w:pPr>
            <w:r>
              <w:rPr>
                <w:rFonts w:ascii="Arial" w:cs="Arial" w:eastAsia="Arial" w:hAnsi="Arial"/>
                <w:sz w:val="16"/>
                <w:szCs w:val="16"/>
                <w:color w:val="auto"/>
                <w:w w:val="88"/>
              </w:rPr>
              <w:t>The Nominating and Corporate Governance Committee leads the Board with respect to the adequacy of the Company’s governance structure</w:t>
            </w:r>
          </w:p>
        </w:tc>
        <w:tc>
          <w:tcPr>
            <w:tcW w:w="0" w:type="dxa"/>
            <w:vAlign w:val="bottom"/>
          </w:tcPr>
          <w:p>
            <w:pPr>
              <w:spacing w:after="0"/>
              <w:rPr>
                <w:sz w:val="1"/>
                <w:szCs w:val="1"/>
                <w:color w:val="auto"/>
              </w:rPr>
            </w:pPr>
          </w:p>
        </w:tc>
      </w:tr>
      <w:tr>
        <w:trPr>
          <w:trHeight w:val="195"/>
        </w:trPr>
        <w:tc>
          <w:tcPr>
            <w:tcW w:w="1320" w:type="dxa"/>
            <w:vAlign w:val="bottom"/>
          </w:tcPr>
          <w:p>
            <w:pPr>
              <w:ind w:left="60"/>
              <w:spacing w:after="0"/>
              <w:rPr>
                <w:sz w:val="20"/>
                <w:szCs w:val="20"/>
                <w:color w:val="auto"/>
              </w:rPr>
            </w:pPr>
            <w:r>
              <w:rPr>
                <w:rFonts w:ascii="Arial" w:cs="Arial" w:eastAsia="Arial" w:hAnsi="Arial"/>
                <w:sz w:val="16"/>
                <w:szCs w:val="16"/>
                <w:color w:val="auto"/>
              </w:rPr>
              <w:t>and Corporate</w:t>
            </w:r>
          </w:p>
        </w:tc>
        <w:tc>
          <w:tcPr>
            <w:tcW w:w="8960" w:type="dxa"/>
            <w:vAlign w:val="bottom"/>
            <w:shd w:val="clear" w:color="auto" w:fill="F2F2F2"/>
          </w:tcPr>
          <w:p>
            <w:pPr>
              <w:ind w:left="120"/>
              <w:spacing w:after="0"/>
              <w:rPr>
                <w:sz w:val="20"/>
                <w:szCs w:val="20"/>
                <w:color w:val="auto"/>
              </w:rPr>
            </w:pPr>
            <w:r>
              <w:rPr>
                <w:rFonts w:ascii="Arial" w:cs="Arial" w:eastAsia="Arial" w:hAnsi="Arial"/>
                <w:sz w:val="16"/>
                <w:szCs w:val="16"/>
                <w:color w:val="auto"/>
                <w:w w:val="91"/>
              </w:rPr>
              <w:t>and process and of succession planning for the Company’s Board of Directors, Chief Executive Officer and other executive officers. The</w:t>
            </w:r>
          </w:p>
        </w:tc>
        <w:tc>
          <w:tcPr>
            <w:tcW w:w="0" w:type="dxa"/>
            <w:vAlign w:val="bottom"/>
          </w:tcPr>
          <w:p>
            <w:pPr>
              <w:spacing w:after="0"/>
              <w:rPr>
                <w:sz w:val="1"/>
                <w:szCs w:val="1"/>
                <w:color w:val="auto"/>
              </w:rPr>
            </w:pPr>
          </w:p>
        </w:tc>
      </w:tr>
      <w:tr>
        <w:trPr>
          <w:trHeight w:val="195"/>
        </w:trPr>
        <w:tc>
          <w:tcPr>
            <w:tcW w:w="1320" w:type="dxa"/>
            <w:vAlign w:val="bottom"/>
          </w:tcPr>
          <w:p>
            <w:pPr>
              <w:ind w:left="60"/>
              <w:spacing w:after="0"/>
              <w:rPr>
                <w:sz w:val="20"/>
                <w:szCs w:val="20"/>
                <w:color w:val="auto"/>
              </w:rPr>
            </w:pPr>
            <w:r>
              <w:rPr>
                <w:rFonts w:ascii="Arial" w:cs="Arial" w:eastAsia="Arial" w:hAnsi="Arial"/>
                <w:sz w:val="16"/>
                <w:szCs w:val="16"/>
                <w:color w:val="auto"/>
              </w:rPr>
              <w:t>Governance</w:t>
            </w:r>
          </w:p>
        </w:tc>
        <w:tc>
          <w:tcPr>
            <w:tcW w:w="8960" w:type="dxa"/>
            <w:vAlign w:val="bottom"/>
            <w:shd w:val="clear" w:color="auto" w:fill="F2F2F2"/>
          </w:tcPr>
          <w:p>
            <w:pPr>
              <w:ind w:left="120"/>
              <w:spacing w:after="0"/>
              <w:rPr>
                <w:sz w:val="20"/>
                <w:szCs w:val="20"/>
                <w:color w:val="auto"/>
              </w:rPr>
            </w:pPr>
            <w:r>
              <w:rPr>
                <w:rFonts w:ascii="Arial" w:cs="Arial" w:eastAsia="Arial" w:hAnsi="Arial"/>
                <w:sz w:val="16"/>
                <w:szCs w:val="16"/>
                <w:color w:val="auto"/>
                <w:w w:val="88"/>
              </w:rPr>
              <w:t>Committee oversees the Company’s environmental, social and governance policies, goals and programs, including reviewing the Company’s</w:t>
            </w:r>
          </w:p>
        </w:tc>
        <w:tc>
          <w:tcPr>
            <w:tcW w:w="0" w:type="dxa"/>
            <w:vAlign w:val="bottom"/>
          </w:tcPr>
          <w:p>
            <w:pPr>
              <w:spacing w:after="0"/>
              <w:rPr>
                <w:sz w:val="1"/>
                <w:szCs w:val="1"/>
                <w:color w:val="auto"/>
              </w:rPr>
            </w:pPr>
          </w:p>
        </w:tc>
      </w:tr>
      <w:tr>
        <w:trPr>
          <w:trHeight w:val="224"/>
        </w:trPr>
        <w:tc>
          <w:tcPr>
            <w:tcW w:w="1320" w:type="dxa"/>
            <w:vAlign w:val="bottom"/>
          </w:tcPr>
          <w:p>
            <w:pPr>
              <w:ind w:left="60"/>
              <w:spacing w:after="0"/>
              <w:rPr>
                <w:sz w:val="20"/>
                <w:szCs w:val="20"/>
                <w:color w:val="auto"/>
              </w:rPr>
            </w:pPr>
            <w:r>
              <w:rPr>
                <w:rFonts w:ascii="Arial" w:cs="Arial" w:eastAsia="Arial" w:hAnsi="Arial"/>
                <w:sz w:val="16"/>
                <w:szCs w:val="16"/>
                <w:color w:val="auto"/>
              </w:rPr>
              <w:t>Committee</w:t>
            </w:r>
          </w:p>
        </w:tc>
        <w:tc>
          <w:tcPr>
            <w:tcW w:w="8960" w:type="dxa"/>
            <w:vAlign w:val="bottom"/>
            <w:tcBorders>
              <w:bottom w:val="single" w:sz="8" w:color="F2F2F2"/>
            </w:tcBorders>
            <w:shd w:val="clear" w:color="auto" w:fill="F2F2F2"/>
          </w:tcPr>
          <w:p>
            <w:pPr>
              <w:ind w:left="120"/>
              <w:spacing w:after="0"/>
              <w:rPr>
                <w:sz w:val="20"/>
                <w:szCs w:val="20"/>
                <w:color w:val="auto"/>
              </w:rPr>
            </w:pPr>
            <w:r>
              <w:rPr>
                <w:rFonts w:ascii="Arial" w:cs="Arial" w:eastAsia="Arial" w:hAnsi="Arial"/>
                <w:sz w:val="16"/>
                <w:szCs w:val="16"/>
                <w:color w:val="auto"/>
              </w:rPr>
              <w:t>sustainability initiatives and goals and the Company’s progress toward achieving those goals.</w:t>
            </w:r>
          </w:p>
        </w:tc>
        <w:tc>
          <w:tcPr>
            <w:tcW w:w="0" w:type="dxa"/>
            <w:vAlign w:val="bottom"/>
          </w:tcPr>
          <w:p>
            <w:pPr>
              <w:spacing w:after="0"/>
              <w:rPr>
                <w:sz w:val="1"/>
                <w:szCs w:val="1"/>
                <w:color w:val="auto"/>
              </w:rPr>
            </w:pPr>
          </w:p>
        </w:tc>
      </w:tr>
      <w:tr>
        <w:trPr>
          <w:trHeight w:val="20"/>
        </w:trPr>
        <w:tc>
          <w:tcPr>
            <w:tcW w:w="1320" w:type="dxa"/>
            <w:vAlign w:val="bottom"/>
            <w:shd w:val="clear" w:color="auto" w:fill="0066BA"/>
          </w:tcPr>
          <w:p>
            <w:pPr>
              <w:spacing w:after="0" w:line="20" w:lineRule="exact"/>
              <w:rPr>
                <w:sz w:val="1"/>
                <w:szCs w:val="1"/>
                <w:color w:val="auto"/>
              </w:rPr>
            </w:pPr>
          </w:p>
        </w:tc>
        <w:tc>
          <w:tcPr>
            <w:tcW w:w="8960" w:type="dxa"/>
            <w:vAlign w:val="bottom"/>
            <w:shd w:val="clear" w:color="auto" w:fill="0066B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33333"/>
        </w:rPr>
        <w:t>Engagement with Our Shareholders</w:t>
      </w:r>
    </w:p>
    <w:p>
      <w:pPr>
        <w:spacing w:after="0" w:line="125" w:lineRule="exact"/>
        <w:rPr>
          <w:sz w:val="20"/>
          <w:szCs w:val="20"/>
          <w:color w:val="auto"/>
        </w:rPr>
      </w:pPr>
    </w:p>
    <w:p>
      <w:pPr>
        <w:ind w:left="480" w:right="180"/>
        <w:spacing w:after="0" w:line="281" w:lineRule="auto"/>
        <w:rPr>
          <w:sz w:val="20"/>
          <w:szCs w:val="20"/>
          <w:color w:val="auto"/>
        </w:rPr>
      </w:pPr>
      <w:r>
        <w:rPr>
          <w:rFonts w:ascii="Arial" w:cs="Arial" w:eastAsia="Arial" w:hAnsi="Arial"/>
          <w:sz w:val="16"/>
          <w:szCs w:val="16"/>
          <w:color w:val="auto"/>
        </w:rPr>
        <w:t>Since our inception as a public company, we have maintained an active engagement program with our shareholders, meeting with them extensively throughout the year as part of our investor outreach efforts. In fiscal 2021, we conducted more than 200 unique engagements with our shareholders, including the majority of our top 25 shareholders, on a variety of topics. We also continued our specific outreach effort with our institutional investors to discuss corporate governance issues affecting the Company. During fiscal 2021, we reached out to our top 25 shareholders, representing approximately 45% of our outstanding shares, with an invitation to have discussions with their corporate governance teams. Of the shareholders who accepted our engagement invitation, topics covered in these meetings included:</w:t>
      </w:r>
    </w:p>
    <w:p>
      <w:pPr>
        <w:spacing w:after="0" w:line="21" w:lineRule="exact"/>
        <w:rPr>
          <w:sz w:val="20"/>
          <w:szCs w:val="20"/>
          <w:color w:val="auto"/>
        </w:rPr>
      </w:pPr>
    </w:p>
    <w:p>
      <w:pPr>
        <w:ind w:left="860" w:hanging="385"/>
        <w:spacing w:after="0"/>
        <w:tabs>
          <w:tab w:leader="none" w:pos="8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Board composition and risk oversight</w:t>
      </w:r>
    </w:p>
    <w:p>
      <w:pPr>
        <w:spacing w:after="0" w:line="77" w:lineRule="exact"/>
        <w:rPr>
          <w:rFonts w:ascii="Arial" w:cs="Arial" w:eastAsia="Arial" w:hAnsi="Arial"/>
          <w:sz w:val="17"/>
          <w:szCs w:val="17"/>
          <w:color w:val="auto"/>
        </w:rPr>
      </w:pPr>
    </w:p>
    <w:p>
      <w:pPr>
        <w:ind w:left="860" w:hanging="385"/>
        <w:spacing w:after="0"/>
        <w:tabs>
          <w:tab w:leader="none" w:pos="8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Board evaluations and refreshment</w:t>
      </w:r>
    </w:p>
    <w:p>
      <w:pPr>
        <w:spacing w:after="0" w:line="77" w:lineRule="exact"/>
        <w:rPr>
          <w:rFonts w:ascii="Arial" w:cs="Arial" w:eastAsia="Arial" w:hAnsi="Arial"/>
          <w:sz w:val="17"/>
          <w:szCs w:val="17"/>
          <w:color w:val="auto"/>
        </w:rPr>
      </w:pPr>
    </w:p>
    <w:p>
      <w:pPr>
        <w:ind w:left="860" w:hanging="385"/>
        <w:spacing w:after="0"/>
        <w:tabs>
          <w:tab w:leader="none" w:pos="8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Corporate governance trends</w:t>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0940"/>
          </w:cols>
          <w:pgMar w:left="320" w:top="447" w:right="6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860" w:hanging="385"/>
        <w:spacing w:after="0"/>
        <w:tabs>
          <w:tab w:leader="none" w:pos="8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Environmental, social and governance considerations, including diversity, equity and inclusion and human capital management</w:t>
      </w:r>
    </w:p>
    <w:p>
      <w:pPr>
        <w:spacing w:after="0" w:line="77" w:lineRule="exact"/>
        <w:rPr>
          <w:rFonts w:ascii="Arial" w:cs="Arial" w:eastAsia="Arial" w:hAnsi="Arial"/>
          <w:sz w:val="17"/>
          <w:szCs w:val="17"/>
          <w:color w:val="auto"/>
        </w:rPr>
      </w:pPr>
    </w:p>
    <w:p>
      <w:pPr>
        <w:ind w:left="860" w:hanging="385"/>
        <w:spacing w:after="0"/>
        <w:tabs>
          <w:tab w:leader="none" w:pos="8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Executive compensation practices and design</w:t>
      </w:r>
    </w:p>
    <w:p>
      <w:pPr>
        <w:spacing w:after="0" w:line="117" w:lineRule="exact"/>
        <w:rPr>
          <w:sz w:val="20"/>
          <w:szCs w:val="20"/>
          <w:color w:val="auto"/>
        </w:rPr>
      </w:pPr>
    </w:p>
    <w:p>
      <w:pPr>
        <w:ind w:left="480" w:right="60"/>
        <w:spacing w:after="0" w:line="265" w:lineRule="auto"/>
        <w:rPr>
          <w:sz w:val="20"/>
          <w:szCs w:val="20"/>
          <w:color w:val="auto"/>
        </w:rPr>
      </w:pPr>
      <w:r>
        <w:rPr>
          <w:rFonts w:ascii="Arial" w:cs="Arial" w:eastAsia="Arial" w:hAnsi="Arial"/>
          <w:sz w:val="17"/>
          <w:szCs w:val="17"/>
          <w:color w:val="auto"/>
        </w:rPr>
        <w:t>In the spirit of continuous improvement, we have reviewed with our Board of Directors the key takeaways from these meetings with our shareholders with the goal of continuing to evolve our corporate governance practices to best meet the needs of the Company and our shareholders. Our dialogue has led to enhancements to our practices and disclosure, which our Board believes is in the best interests of our company and our shareholders. For example:</w:t>
      </w:r>
    </w:p>
    <w:p>
      <w:pPr>
        <w:spacing w:after="0" w:line="216" w:lineRule="exact"/>
        <w:rPr>
          <w:sz w:val="20"/>
          <w:szCs w:val="20"/>
          <w:color w:val="auto"/>
        </w:rPr>
      </w:pPr>
    </w:p>
    <w:tbl>
      <w:tblPr>
        <w:tblLayout w:type="fixed"/>
        <w:tblInd w:w="480" w:type="dxa"/>
        <w:tblCellMar>
          <w:top w:w="0" w:type="dxa"/>
          <w:left w:w="0" w:type="dxa"/>
          <w:bottom w:w="0" w:type="dxa"/>
          <w:right w:w="0" w:type="dxa"/>
        </w:tblCellMar>
      </w:tblPr>
      <w:tr>
        <w:trPr>
          <w:trHeight w:val="197"/>
        </w:trPr>
        <w:tc>
          <w:tcPr>
            <w:tcW w:w="1020" w:type="dxa"/>
            <w:vAlign w:val="bottom"/>
            <w:tcBorders>
              <w:right w:val="single" w:sz="8" w:color="0066BA"/>
            </w:tcBorders>
            <w:shd w:val="clear" w:color="auto" w:fill="0066BA"/>
          </w:tcPr>
          <w:p>
            <w:pPr>
              <w:ind w:left="60"/>
              <w:spacing w:after="0"/>
              <w:rPr>
                <w:sz w:val="20"/>
                <w:szCs w:val="20"/>
                <w:color w:val="auto"/>
              </w:rPr>
            </w:pPr>
            <w:r>
              <w:rPr>
                <w:rFonts w:ascii="Arial" w:cs="Arial" w:eastAsia="Arial" w:hAnsi="Arial"/>
                <w:sz w:val="14"/>
                <w:szCs w:val="14"/>
                <w:b w:val="1"/>
                <w:bCs w:val="1"/>
                <w:color w:val="FFFFFF"/>
              </w:rPr>
              <w:t>Topics of</w:t>
            </w:r>
          </w:p>
        </w:tc>
        <w:tc>
          <w:tcPr>
            <w:tcW w:w="180" w:type="dxa"/>
            <w:vAlign w:val="bottom"/>
            <w:shd w:val="clear" w:color="auto" w:fill="0066BA"/>
          </w:tcPr>
          <w:p>
            <w:pPr>
              <w:spacing w:after="0"/>
              <w:rPr>
                <w:sz w:val="17"/>
                <w:szCs w:val="17"/>
                <w:color w:val="auto"/>
              </w:rPr>
            </w:pPr>
          </w:p>
        </w:tc>
        <w:tc>
          <w:tcPr>
            <w:tcW w:w="9080" w:type="dxa"/>
            <w:vAlign w:val="bottom"/>
            <w:shd w:val="clear" w:color="auto" w:fill="0066BA"/>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020" w:type="dxa"/>
            <w:vAlign w:val="bottom"/>
            <w:tcBorders>
              <w:bottom w:val="single" w:sz="8" w:color="0066BA"/>
              <w:right w:val="single" w:sz="8" w:color="0066BA"/>
            </w:tcBorders>
            <w:shd w:val="clear" w:color="auto" w:fill="0066BA"/>
          </w:tcPr>
          <w:p>
            <w:pPr>
              <w:ind w:left="60"/>
              <w:spacing w:after="0"/>
              <w:rPr>
                <w:sz w:val="20"/>
                <w:szCs w:val="20"/>
                <w:color w:val="auto"/>
              </w:rPr>
            </w:pPr>
            <w:r>
              <w:rPr>
                <w:rFonts w:ascii="Arial" w:cs="Arial" w:eastAsia="Arial" w:hAnsi="Arial"/>
                <w:sz w:val="14"/>
                <w:szCs w:val="14"/>
                <w:b w:val="1"/>
                <w:bCs w:val="1"/>
                <w:color w:val="FFFFFF"/>
              </w:rPr>
              <w:t>Discussion</w:t>
            </w:r>
          </w:p>
        </w:tc>
        <w:tc>
          <w:tcPr>
            <w:tcW w:w="9260" w:type="dxa"/>
            <w:vAlign w:val="bottom"/>
            <w:tcBorders>
              <w:bottom w:val="single" w:sz="8" w:color="0066BA"/>
            </w:tcBorders>
            <w:gridSpan w:val="2"/>
            <w:shd w:val="clear" w:color="auto" w:fill="0066BA"/>
          </w:tcPr>
          <w:p>
            <w:pPr>
              <w:ind w:left="100"/>
              <w:spacing w:after="0"/>
              <w:rPr>
                <w:sz w:val="20"/>
                <w:szCs w:val="20"/>
                <w:color w:val="auto"/>
              </w:rPr>
            </w:pPr>
            <w:r>
              <w:rPr>
                <w:rFonts w:ascii="Arial" w:cs="Arial" w:eastAsia="Arial" w:hAnsi="Arial"/>
                <w:sz w:val="14"/>
                <w:szCs w:val="14"/>
                <w:b w:val="1"/>
                <w:bCs w:val="1"/>
                <w:color w:val="FFFFFF"/>
              </w:rPr>
              <w:t>Recent Outcomes of Engagement</w:t>
            </w:r>
          </w:p>
        </w:tc>
        <w:tc>
          <w:tcPr>
            <w:tcW w:w="0" w:type="dxa"/>
            <w:vAlign w:val="bottom"/>
          </w:tcPr>
          <w:p>
            <w:pPr>
              <w:spacing w:after="0"/>
              <w:rPr>
                <w:sz w:val="1"/>
                <w:szCs w:val="1"/>
                <w:color w:val="auto"/>
              </w:rPr>
            </w:pPr>
          </w:p>
        </w:tc>
      </w:tr>
      <w:tr>
        <w:trPr>
          <w:trHeight w:val="263"/>
        </w:trPr>
        <w:tc>
          <w:tcPr>
            <w:tcW w:w="1020" w:type="dxa"/>
            <w:vAlign w:val="bottom"/>
            <w:tcBorders>
              <w:right w:val="single" w:sz="8" w:color="EAEAEA"/>
            </w:tcBorders>
          </w:tcPr>
          <w:p>
            <w:pPr>
              <w:spacing w:after="0"/>
              <w:rPr>
                <w:sz w:val="22"/>
                <w:szCs w:val="22"/>
                <w:color w:val="auto"/>
              </w:rPr>
            </w:pPr>
          </w:p>
        </w:tc>
        <w:tc>
          <w:tcPr>
            <w:tcW w:w="180" w:type="dxa"/>
            <w:vAlign w:val="bottom"/>
            <w:shd w:val="clear" w:color="auto" w:fill="EAEAEA"/>
          </w:tcPr>
          <w:p>
            <w:pPr>
              <w:ind w:left="100"/>
              <w:spacing w:after="0"/>
              <w:rPr>
                <w:sz w:val="20"/>
                <w:szCs w:val="20"/>
                <w:color w:val="auto"/>
              </w:rPr>
            </w:pPr>
            <w:r>
              <w:rPr>
                <w:rFonts w:ascii="Arial" w:cs="Arial" w:eastAsia="Arial" w:hAnsi="Arial"/>
                <w:sz w:val="16"/>
                <w:szCs w:val="16"/>
                <w:color w:val="auto"/>
              </w:rPr>
              <w:t>•</w:t>
            </w:r>
          </w:p>
        </w:tc>
        <w:tc>
          <w:tcPr>
            <w:tcW w:w="9080" w:type="dxa"/>
            <w:vAlign w:val="bottom"/>
            <w:shd w:val="clear" w:color="auto" w:fill="EAEAEA"/>
          </w:tcPr>
          <w:p>
            <w:pPr>
              <w:ind w:left="40"/>
              <w:spacing w:after="0"/>
              <w:rPr>
                <w:sz w:val="20"/>
                <w:szCs w:val="20"/>
                <w:color w:val="auto"/>
              </w:rPr>
            </w:pPr>
            <w:r>
              <w:rPr>
                <w:rFonts w:ascii="Arial" w:cs="Arial" w:eastAsia="Arial" w:hAnsi="Arial"/>
                <w:sz w:val="16"/>
                <w:szCs w:val="16"/>
                <w:color w:val="auto"/>
                <w:w w:val="88"/>
              </w:rPr>
              <w:t>Continued focus on active Board refreshment and diversity; added one new female director to the Board, bringing female representation to more</w:t>
            </w:r>
          </w:p>
        </w:tc>
        <w:tc>
          <w:tcPr>
            <w:tcW w:w="0" w:type="dxa"/>
            <w:vAlign w:val="bottom"/>
          </w:tcPr>
          <w:p>
            <w:pPr>
              <w:spacing w:after="0"/>
              <w:rPr>
                <w:sz w:val="1"/>
                <w:szCs w:val="1"/>
                <w:color w:val="auto"/>
              </w:rPr>
            </w:pPr>
          </w:p>
        </w:tc>
      </w:tr>
      <w:tr>
        <w:trPr>
          <w:trHeight w:val="199"/>
        </w:trPr>
        <w:tc>
          <w:tcPr>
            <w:tcW w:w="1020" w:type="dxa"/>
            <w:vAlign w:val="bottom"/>
            <w:tcBorders>
              <w:right w:val="single" w:sz="8" w:color="EAEAEA"/>
            </w:tcBorders>
          </w:tcPr>
          <w:p>
            <w:pPr>
              <w:spacing w:after="0"/>
              <w:rPr>
                <w:sz w:val="17"/>
                <w:szCs w:val="17"/>
                <w:color w:val="auto"/>
              </w:rPr>
            </w:pPr>
          </w:p>
        </w:tc>
        <w:tc>
          <w:tcPr>
            <w:tcW w:w="180" w:type="dxa"/>
            <w:vAlign w:val="bottom"/>
            <w:shd w:val="clear" w:color="auto" w:fill="EAEAEA"/>
          </w:tcPr>
          <w:p>
            <w:pPr>
              <w:spacing w:after="0"/>
              <w:rPr>
                <w:sz w:val="17"/>
                <w:szCs w:val="17"/>
                <w:color w:val="auto"/>
              </w:rPr>
            </w:pPr>
          </w:p>
        </w:tc>
        <w:tc>
          <w:tcPr>
            <w:tcW w:w="9080" w:type="dxa"/>
            <w:vAlign w:val="bottom"/>
            <w:shd w:val="clear" w:color="auto" w:fill="EAEAEA"/>
          </w:tcPr>
          <w:p>
            <w:pPr>
              <w:ind w:left="60"/>
              <w:spacing w:after="0"/>
              <w:rPr>
                <w:sz w:val="20"/>
                <w:szCs w:val="20"/>
                <w:color w:val="auto"/>
              </w:rPr>
            </w:pPr>
            <w:r>
              <w:rPr>
                <w:rFonts w:ascii="Arial" w:cs="Arial" w:eastAsia="Arial" w:hAnsi="Arial"/>
                <w:sz w:val="16"/>
                <w:szCs w:val="16"/>
                <w:color w:val="auto"/>
              </w:rPr>
              <w:t>than 30% of the Board</w:t>
            </w:r>
          </w:p>
        </w:tc>
        <w:tc>
          <w:tcPr>
            <w:tcW w:w="0" w:type="dxa"/>
            <w:vAlign w:val="bottom"/>
          </w:tcPr>
          <w:p>
            <w:pPr>
              <w:spacing w:after="0"/>
              <w:rPr>
                <w:sz w:val="1"/>
                <w:szCs w:val="1"/>
                <w:color w:val="auto"/>
              </w:rPr>
            </w:pPr>
          </w:p>
        </w:tc>
      </w:tr>
      <w:tr>
        <w:trPr>
          <w:trHeight w:val="256"/>
        </w:trPr>
        <w:tc>
          <w:tcPr>
            <w:tcW w:w="1020" w:type="dxa"/>
            <w:vAlign w:val="bottom"/>
            <w:tcBorders>
              <w:right w:val="single" w:sz="8" w:color="EAEAEA"/>
            </w:tcBorders>
          </w:tcPr>
          <w:p>
            <w:pPr>
              <w:spacing w:after="0"/>
              <w:rPr>
                <w:sz w:val="20"/>
                <w:szCs w:val="20"/>
                <w:color w:val="auto"/>
              </w:rPr>
            </w:pPr>
            <w:r>
              <w:rPr>
                <w:rFonts w:ascii="Arial" w:cs="Arial" w:eastAsia="Arial" w:hAnsi="Arial"/>
                <w:sz w:val="16"/>
                <w:szCs w:val="16"/>
                <w:color w:val="auto"/>
              </w:rPr>
              <w:t>Corporate</w:t>
            </w:r>
          </w:p>
        </w:tc>
        <w:tc>
          <w:tcPr>
            <w:tcW w:w="180" w:type="dxa"/>
            <w:vAlign w:val="bottom"/>
            <w:shd w:val="clear" w:color="auto" w:fill="EAEAEA"/>
          </w:tcPr>
          <w:p>
            <w:pPr>
              <w:ind w:left="100"/>
              <w:spacing w:after="0"/>
              <w:rPr>
                <w:sz w:val="20"/>
                <w:szCs w:val="20"/>
                <w:color w:val="auto"/>
              </w:rPr>
            </w:pPr>
            <w:r>
              <w:rPr>
                <w:rFonts w:ascii="Arial" w:cs="Arial" w:eastAsia="Arial" w:hAnsi="Arial"/>
                <w:sz w:val="16"/>
                <w:szCs w:val="16"/>
                <w:color w:val="auto"/>
              </w:rPr>
              <w:t>•</w:t>
            </w:r>
          </w:p>
        </w:tc>
        <w:tc>
          <w:tcPr>
            <w:tcW w:w="9080" w:type="dxa"/>
            <w:vAlign w:val="bottom"/>
            <w:shd w:val="clear" w:color="auto" w:fill="EAEAEA"/>
          </w:tcPr>
          <w:p>
            <w:pPr>
              <w:ind w:left="40"/>
              <w:spacing w:after="0"/>
              <w:rPr>
                <w:sz w:val="20"/>
                <w:szCs w:val="20"/>
                <w:color w:val="auto"/>
              </w:rPr>
            </w:pPr>
            <w:r>
              <w:rPr>
                <w:rFonts w:ascii="Arial" w:cs="Arial" w:eastAsia="Arial" w:hAnsi="Arial"/>
                <w:sz w:val="16"/>
                <w:szCs w:val="16"/>
                <w:color w:val="auto"/>
                <w:w w:val="92"/>
              </w:rPr>
              <w:t>Enhanced risk oversight practices for our Board, including cybersecurity at the Board level and ESG under the Nominating and Corporate</w:t>
            </w:r>
          </w:p>
        </w:tc>
        <w:tc>
          <w:tcPr>
            <w:tcW w:w="0" w:type="dxa"/>
            <w:vAlign w:val="bottom"/>
          </w:tcPr>
          <w:p>
            <w:pPr>
              <w:spacing w:after="0"/>
              <w:rPr>
                <w:sz w:val="1"/>
                <w:szCs w:val="1"/>
                <w:color w:val="auto"/>
              </w:rPr>
            </w:pPr>
          </w:p>
        </w:tc>
      </w:tr>
      <w:tr>
        <w:trPr>
          <w:trHeight w:val="199"/>
        </w:trPr>
        <w:tc>
          <w:tcPr>
            <w:tcW w:w="1020" w:type="dxa"/>
            <w:vAlign w:val="bottom"/>
            <w:tcBorders>
              <w:right w:val="single" w:sz="8" w:color="EAEAEA"/>
            </w:tcBorders>
          </w:tcPr>
          <w:p>
            <w:pPr>
              <w:spacing w:after="0"/>
              <w:rPr>
                <w:sz w:val="20"/>
                <w:szCs w:val="20"/>
                <w:color w:val="auto"/>
              </w:rPr>
            </w:pPr>
            <w:r>
              <w:rPr>
                <w:rFonts w:ascii="Arial" w:cs="Arial" w:eastAsia="Arial" w:hAnsi="Arial"/>
                <w:sz w:val="16"/>
                <w:szCs w:val="16"/>
                <w:color w:val="auto"/>
              </w:rPr>
              <w:t>Governance</w:t>
            </w:r>
          </w:p>
        </w:tc>
        <w:tc>
          <w:tcPr>
            <w:tcW w:w="180" w:type="dxa"/>
            <w:vAlign w:val="bottom"/>
            <w:shd w:val="clear" w:color="auto" w:fill="EAEAEA"/>
          </w:tcPr>
          <w:p>
            <w:pPr>
              <w:spacing w:after="0"/>
              <w:rPr>
                <w:sz w:val="17"/>
                <w:szCs w:val="17"/>
                <w:color w:val="auto"/>
              </w:rPr>
            </w:pPr>
          </w:p>
        </w:tc>
        <w:tc>
          <w:tcPr>
            <w:tcW w:w="9080" w:type="dxa"/>
            <w:vAlign w:val="bottom"/>
            <w:shd w:val="clear" w:color="auto" w:fill="EAEAEA"/>
          </w:tcPr>
          <w:p>
            <w:pPr>
              <w:ind w:left="60"/>
              <w:spacing w:after="0"/>
              <w:rPr>
                <w:sz w:val="20"/>
                <w:szCs w:val="20"/>
                <w:color w:val="auto"/>
              </w:rPr>
            </w:pPr>
            <w:r>
              <w:rPr>
                <w:rFonts w:ascii="Arial" w:cs="Arial" w:eastAsia="Arial" w:hAnsi="Arial"/>
                <w:sz w:val="16"/>
                <w:szCs w:val="16"/>
                <w:color w:val="auto"/>
              </w:rPr>
              <w:t>Governance Committee</w:t>
            </w:r>
          </w:p>
        </w:tc>
        <w:tc>
          <w:tcPr>
            <w:tcW w:w="0" w:type="dxa"/>
            <w:vAlign w:val="bottom"/>
          </w:tcPr>
          <w:p>
            <w:pPr>
              <w:spacing w:after="0"/>
              <w:rPr>
                <w:sz w:val="1"/>
                <w:szCs w:val="1"/>
                <w:color w:val="auto"/>
              </w:rPr>
            </w:pPr>
          </w:p>
        </w:tc>
      </w:tr>
      <w:tr>
        <w:trPr>
          <w:trHeight w:val="256"/>
        </w:trPr>
        <w:tc>
          <w:tcPr>
            <w:tcW w:w="1020" w:type="dxa"/>
            <w:vAlign w:val="bottom"/>
            <w:tcBorders>
              <w:right w:val="single" w:sz="8" w:color="EAEAEA"/>
            </w:tcBorders>
          </w:tcPr>
          <w:p>
            <w:pPr>
              <w:spacing w:after="0"/>
              <w:rPr>
                <w:sz w:val="22"/>
                <w:szCs w:val="22"/>
                <w:color w:val="auto"/>
              </w:rPr>
            </w:pPr>
          </w:p>
        </w:tc>
        <w:tc>
          <w:tcPr>
            <w:tcW w:w="180" w:type="dxa"/>
            <w:vAlign w:val="bottom"/>
            <w:shd w:val="clear" w:color="auto" w:fill="EAEAEA"/>
          </w:tcPr>
          <w:p>
            <w:pPr>
              <w:ind w:left="100"/>
              <w:spacing w:after="0"/>
              <w:rPr>
                <w:sz w:val="20"/>
                <w:szCs w:val="20"/>
                <w:color w:val="auto"/>
              </w:rPr>
            </w:pPr>
            <w:r>
              <w:rPr>
                <w:rFonts w:ascii="Arial" w:cs="Arial" w:eastAsia="Arial" w:hAnsi="Arial"/>
                <w:sz w:val="16"/>
                <w:szCs w:val="16"/>
                <w:color w:val="auto"/>
              </w:rPr>
              <w:t>•</w:t>
            </w:r>
          </w:p>
        </w:tc>
        <w:tc>
          <w:tcPr>
            <w:tcW w:w="9080" w:type="dxa"/>
            <w:vAlign w:val="bottom"/>
            <w:shd w:val="clear" w:color="auto" w:fill="EAEAEA"/>
          </w:tcPr>
          <w:p>
            <w:pPr>
              <w:ind w:left="40"/>
              <w:spacing w:after="0"/>
              <w:rPr>
                <w:sz w:val="20"/>
                <w:szCs w:val="20"/>
                <w:color w:val="auto"/>
              </w:rPr>
            </w:pPr>
            <w:r>
              <w:rPr>
                <w:rFonts w:ascii="Arial" w:cs="Arial" w:eastAsia="Arial" w:hAnsi="Arial"/>
                <w:sz w:val="16"/>
                <w:szCs w:val="16"/>
                <w:color w:val="auto"/>
                <w:w w:val="89"/>
              </w:rPr>
              <w:t>Named ADI’s first Chief Risk Officer and continued to enhance risk oversight practices with quarterly cross-functional committee meetings and</w:t>
            </w:r>
          </w:p>
        </w:tc>
        <w:tc>
          <w:tcPr>
            <w:tcW w:w="0" w:type="dxa"/>
            <w:vAlign w:val="bottom"/>
          </w:tcPr>
          <w:p>
            <w:pPr>
              <w:spacing w:after="0"/>
              <w:rPr>
                <w:sz w:val="1"/>
                <w:szCs w:val="1"/>
                <w:color w:val="auto"/>
              </w:rPr>
            </w:pPr>
          </w:p>
        </w:tc>
      </w:tr>
      <w:tr>
        <w:trPr>
          <w:trHeight w:val="199"/>
        </w:trPr>
        <w:tc>
          <w:tcPr>
            <w:tcW w:w="1020" w:type="dxa"/>
            <w:vAlign w:val="bottom"/>
            <w:tcBorders>
              <w:right w:val="single" w:sz="8" w:color="EAEAEA"/>
            </w:tcBorders>
          </w:tcPr>
          <w:p>
            <w:pPr>
              <w:spacing w:after="0"/>
              <w:rPr>
                <w:sz w:val="17"/>
                <w:szCs w:val="17"/>
                <w:color w:val="auto"/>
              </w:rPr>
            </w:pPr>
          </w:p>
        </w:tc>
        <w:tc>
          <w:tcPr>
            <w:tcW w:w="180" w:type="dxa"/>
            <w:vAlign w:val="bottom"/>
            <w:shd w:val="clear" w:color="auto" w:fill="EAEAEA"/>
          </w:tcPr>
          <w:p>
            <w:pPr>
              <w:spacing w:after="0"/>
              <w:rPr>
                <w:sz w:val="17"/>
                <w:szCs w:val="17"/>
                <w:color w:val="auto"/>
              </w:rPr>
            </w:pPr>
          </w:p>
        </w:tc>
        <w:tc>
          <w:tcPr>
            <w:tcW w:w="9080" w:type="dxa"/>
            <w:vAlign w:val="bottom"/>
            <w:shd w:val="clear" w:color="auto" w:fill="EAEAEA"/>
          </w:tcPr>
          <w:p>
            <w:pPr>
              <w:ind w:left="60"/>
              <w:spacing w:after="0"/>
              <w:rPr>
                <w:sz w:val="20"/>
                <w:szCs w:val="20"/>
                <w:color w:val="auto"/>
              </w:rPr>
            </w:pPr>
            <w:r>
              <w:rPr>
                <w:rFonts w:ascii="Arial" w:cs="Arial" w:eastAsia="Arial" w:hAnsi="Arial"/>
                <w:sz w:val="16"/>
                <w:szCs w:val="16"/>
                <w:color w:val="auto"/>
              </w:rPr>
              <w:t>regular updates to Board</w:t>
            </w:r>
          </w:p>
        </w:tc>
        <w:tc>
          <w:tcPr>
            <w:tcW w:w="0" w:type="dxa"/>
            <w:vAlign w:val="bottom"/>
          </w:tcPr>
          <w:p>
            <w:pPr>
              <w:spacing w:after="0"/>
              <w:rPr>
                <w:sz w:val="1"/>
                <w:szCs w:val="1"/>
                <w:color w:val="auto"/>
              </w:rPr>
            </w:pPr>
          </w:p>
        </w:tc>
      </w:tr>
      <w:tr>
        <w:trPr>
          <w:trHeight w:val="97"/>
        </w:trPr>
        <w:tc>
          <w:tcPr>
            <w:tcW w:w="1020" w:type="dxa"/>
            <w:vAlign w:val="bottom"/>
            <w:tcBorders>
              <w:bottom w:val="single" w:sz="8" w:color="0066BA"/>
              <w:right w:val="single" w:sz="8" w:color="EAEAEA"/>
            </w:tcBorders>
          </w:tcPr>
          <w:p>
            <w:pPr>
              <w:spacing w:after="0"/>
              <w:rPr>
                <w:sz w:val="8"/>
                <w:szCs w:val="8"/>
                <w:color w:val="auto"/>
              </w:rPr>
            </w:pPr>
          </w:p>
        </w:tc>
        <w:tc>
          <w:tcPr>
            <w:tcW w:w="180" w:type="dxa"/>
            <w:vAlign w:val="bottom"/>
            <w:tcBorders>
              <w:bottom w:val="single" w:sz="8" w:color="0066BA"/>
            </w:tcBorders>
            <w:shd w:val="clear" w:color="auto" w:fill="EAEAEA"/>
          </w:tcPr>
          <w:p>
            <w:pPr>
              <w:spacing w:after="0"/>
              <w:rPr>
                <w:sz w:val="8"/>
                <w:szCs w:val="8"/>
                <w:color w:val="auto"/>
              </w:rPr>
            </w:pPr>
          </w:p>
        </w:tc>
        <w:tc>
          <w:tcPr>
            <w:tcW w:w="9080" w:type="dxa"/>
            <w:vAlign w:val="bottom"/>
            <w:tcBorders>
              <w:bottom w:val="single" w:sz="8" w:color="0066BA"/>
            </w:tcBorders>
            <w:shd w:val="clear" w:color="auto" w:fill="EAEAEA"/>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020" w:type="dxa"/>
            <w:vAlign w:val="bottom"/>
            <w:tcBorders>
              <w:right w:val="single" w:sz="8" w:color="EAEAEA"/>
            </w:tcBorders>
          </w:tcPr>
          <w:p>
            <w:pPr>
              <w:spacing w:after="0"/>
              <w:rPr>
                <w:sz w:val="22"/>
                <w:szCs w:val="22"/>
                <w:color w:val="auto"/>
              </w:rPr>
            </w:pPr>
          </w:p>
        </w:tc>
        <w:tc>
          <w:tcPr>
            <w:tcW w:w="180" w:type="dxa"/>
            <w:vAlign w:val="bottom"/>
            <w:shd w:val="clear" w:color="auto" w:fill="EAEAEA"/>
          </w:tcPr>
          <w:p>
            <w:pPr>
              <w:ind w:left="100"/>
              <w:spacing w:after="0"/>
              <w:rPr>
                <w:sz w:val="20"/>
                <w:szCs w:val="20"/>
                <w:color w:val="auto"/>
              </w:rPr>
            </w:pPr>
            <w:r>
              <w:rPr>
                <w:rFonts w:ascii="Arial" w:cs="Arial" w:eastAsia="Arial" w:hAnsi="Arial"/>
                <w:sz w:val="16"/>
                <w:szCs w:val="16"/>
                <w:color w:val="auto"/>
              </w:rPr>
              <w:t>•</w:t>
            </w:r>
          </w:p>
        </w:tc>
        <w:tc>
          <w:tcPr>
            <w:tcW w:w="9080" w:type="dxa"/>
            <w:vAlign w:val="bottom"/>
            <w:shd w:val="clear" w:color="auto" w:fill="EAEAEA"/>
          </w:tcPr>
          <w:p>
            <w:pPr>
              <w:ind w:left="40"/>
              <w:spacing w:after="0"/>
              <w:rPr>
                <w:sz w:val="20"/>
                <w:szCs w:val="20"/>
                <w:color w:val="auto"/>
              </w:rPr>
            </w:pPr>
            <w:r>
              <w:rPr>
                <w:rFonts w:ascii="Arial" w:cs="Arial" w:eastAsia="Arial" w:hAnsi="Arial"/>
                <w:sz w:val="16"/>
                <w:szCs w:val="16"/>
                <w:color w:val="auto"/>
              </w:rPr>
              <w:t>Published our second Corporate Responsibility Report in May 2021 that includes enhanced disclosure of our ESG initiatives</w:t>
            </w:r>
          </w:p>
        </w:tc>
        <w:tc>
          <w:tcPr>
            <w:tcW w:w="0" w:type="dxa"/>
            <w:vAlign w:val="bottom"/>
          </w:tcPr>
          <w:p>
            <w:pPr>
              <w:spacing w:after="0"/>
              <w:rPr>
                <w:sz w:val="1"/>
                <w:szCs w:val="1"/>
                <w:color w:val="auto"/>
              </w:rPr>
            </w:pPr>
          </w:p>
        </w:tc>
      </w:tr>
      <w:tr>
        <w:trPr>
          <w:trHeight w:val="256"/>
        </w:trPr>
        <w:tc>
          <w:tcPr>
            <w:tcW w:w="1020" w:type="dxa"/>
            <w:vAlign w:val="bottom"/>
            <w:tcBorders>
              <w:right w:val="single" w:sz="8" w:color="EAEAEA"/>
            </w:tcBorders>
          </w:tcPr>
          <w:p>
            <w:pPr>
              <w:spacing w:after="0"/>
              <w:rPr>
                <w:sz w:val="20"/>
                <w:szCs w:val="20"/>
                <w:color w:val="auto"/>
              </w:rPr>
            </w:pPr>
            <w:r>
              <w:rPr>
                <w:rFonts w:ascii="Arial" w:cs="Arial" w:eastAsia="Arial" w:hAnsi="Arial"/>
                <w:sz w:val="16"/>
                <w:szCs w:val="16"/>
                <w:color w:val="auto"/>
              </w:rPr>
              <w:t>Corporate</w:t>
            </w:r>
          </w:p>
        </w:tc>
        <w:tc>
          <w:tcPr>
            <w:tcW w:w="180" w:type="dxa"/>
            <w:vAlign w:val="bottom"/>
            <w:shd w:val="clear" w:color="auto" w:fill="EAEAEA"/>
          </w:tcPr>
          <w:p>
            <w:pPr>
              <w:ind w:left="100"/>
              <w:spacing w:after="0"/>
              <w:rPr>
                <w:sz w:val="20"/>
                <w:szCs w:val="20"/>
                <w:color w:val="auto"/>
              </w:rPr>
            </w:pPr>
            <w:r>
              <w:rPr>
                <w:rFonts w:ascii="Arial" w:cs="Arial" w:eastAsia="Arial" w:hAnsi="Arial"/>
                <w:sz w:val="16"/>
                <w:szCs w:val="16"/>
                <w:color w:val="auto"/>
              </w:rPr>
              <w:t>•</w:t>
            </w:r>
          </w:p>
        </w:tc>
        <w:tc>
          <w:tcPr>
            <w:tcW w:w="9080" w:type="dxa"/>
            <w:vAlign w:val="bottom"/>
            <w:shd w:val="clear" w:color="auto" w:fill="EAEAEA"/>
          </w:tcPr>
          <w:p>
            <w:pPr>
              <w:ind w:left="40"/>
              <w:spacing w:after="0"/>
              <w:rPr>
                <w:sz w:val="20"/>
                <w:szCs w:val="20"/>
                <w:color w:val="auto"/>
              </w:rPr>
            </w:pPr>
            <w:r>
              <w:rPr>
                <w:rFonts w:ascii="Arial" w:cs="Arial" w:eastAsia="Arial" w:hAnsi="Arial"/>
                <w:sz w:val="16"/>
                <w:szCs w:val="16"/>
                <w:color w:val="auto"/>
                <w:w w:val="94"/>
              </w:rPr>
              <w:t>Enhanced our diversity and inclusion disclosures including publishing our most recent EEO-1 reports online in the interest of increased</w:t>
            </w:r>
          </w:p>
        </w:tc>
        <w:tc>
          <w:tcPr>
            <w:tcW w:w="0" w:type="dxa"/>
            <w:vAlign w:val="bottom"/>
          </w:tcPr>
          <w:p>
            <w:pPr>
              <w:spacing w:after="0"/>
              <w:rPr>
                <w:sz w:val="1"/>
                <w:szCs w:val="1"/>
                <w:color w:val="auto"/>
              </w:rPr>
            </w:pPr>
          </w:p>
        </w:tc>
      </w:tr>
      <w:tr>
        <w:trPr>
          <w:trHeight w:val="195"/>
        </w:trPr>
        <w:tc>
          <w:tcPr>
            <w:tcW w:w="1020" w:type="dxa"/>
            <w:vAlign w:val="bottom"/>
            <w:tcBorders>
              <w:right w:val="single" w:sz="8" w:color="EAEAEA"/>
            </w:tcBorders>
          </w:tcPr>
          <w:p>
            <w:pPr>
              <w:spacing w:after="0"/>
              <w:rPr>
                <w:sz w:val="20"/>
                <w:szCs w:val="20"/>
                <w:color w:val="auto"/>
              </w:rPr>
            </w:pPr>
            <w:r>
              <w:rPr>
                <w:rFonts w:ascii="Arial" w:cs="Arial" w:eastAsia="Arial" w:hAnsi="Arial"/>
                <w:sz w:val="16"/>
                <w:szCs w:val="16"/>
                <w:color w:val="auto"/>
              </w:rPr>
              <w:t>Social</w:t>
            </w:r>
          </w:p>
        </w:tc>
        <w:tc>
          <w:tcPr>
            <w:tcW w:w="180" w:type="dxa"/>
            <w:vAlign w:val="bottom"/>
            <w:shd w:val="clear" w:color="auto" w:fill="EAEAEA"/>
          </w:tcPr>
          <w:p>
            <w:pPr>
              <w:spacing w:after="0"/>
              <w:rPr>
                <w:sz w:val="16"/>
                <w:szCs w:val="16"/>
                <w:color w:val="auto"/>
              </w:rPr>
            </w:pPr>
          </w:p>
        </w:tc>
        <w:tc>
          <w:tcPr>
            <w:tcW w:w="9080" w:type="dxa"/>
            <w:vAlign w:val="bottom"/>
            <w:shd w:val="clear" w:color="auto" w:fill="EAEAEA"/>
          </w:tcPr>
          <w:p>
            <w:pPr>
              <w:ind w:left="60"/>
              <w:spacing w:after="0"/>
              <w:rPr>
                <w:sz w:val="20"/>
                <w:szCs w:val="20"/>
                <w:color w:val="auto"/>
              </w:rPr>
            </w:pPr>
            <w:r>
              <w:rPr>
                <w:rFonts w:ascii="Arial" w:cs="Arial" w:eastAsia="Arial" w:hAnsi="Arial"/>
                <w:sz w:val="16"/>
                <w:szCs w:val="16"/>
                <w:color w:val="auto"/>
              </w:rPr>
              <w:t>transparency</w:t>
            </w:r>
          </w:p>
        </w:tc>
        <w:tc>
          <w:tcPr>
            <w:tcW w:w="0" w:type="dxa"/>
            <w:vAlign w:val="bottom"/>
          </w:tcPr>
          <w:p>
            <w:pPr>
              <w:spacing w:after="0"/>
              <w:rPr>
                <w:sz w:val="1"/>
                <w:szCs w:val="1"/>
                <w:color w:val="auto"/>
              </w:rPr>
            </w:pPr>
          </w:p>
        </w:tc>
      </w:tr>
      <w:tr>
        <w:trPr>
          <w:trHeight w:val="199"/>
        </w:trPr>
        <w:tc>
          <w:tcPr>
            <w:tcW w:w="1020" w:type="dxa"/>
            <w:vAlign w:val="bottom"/>
            <w:tcBorders>
              <w:right w:val="single" w:sz="8" w:color="EAEAEA"/>
            </w:tcBorders>
          </w:tcPr>
          <w:p>
            <w:pPr>
              <w:spacing w:after="0"/>
              <w:rPr>
                <w:sz w:val="20"/>
                <w:szCs w:val="20"/>
                <w:color w:val="auto"/>
              </w:rPr>
            </w:pPr>
            <w:r>
              <w:rPr>
                <w:rFonts w:ascii="Arial" w:cs="Arial" w:eastAsia="Arial" w:hAnsi="Arial"/>
                <w:sz w:val="16"/>
                <w:szCs w:val="16"/>
                <w:color w:val="auto"/>
                <w:w w:val="99"/>
              </w:rPr>
              <w:t>Responsibility</w:t>
            </w:r>
          </w:p>
        </w:tc>
        <w:tc>
          <w:tcPr>
            <w:tcW w:w="180" w:type="dxa"/>
            <w:vAlign w:val="bottom"/>
            <w:vMerge w:val="restart"/>
            <w:shd w:val="clear" w:color="auto" w:fill="EAEAEA"/>
          </w:tcPr>
          <w:p>
            <w:pPr>
              <w:ind w:left="100"/>
              <w:spacing w:after="0"/>
              <w:rPr>
                <w:sz w:val="20"/>
                <w:szCs w:val="20"/>
                <w:color w:val="auto"/>
              </w:rPr>
            </w:pPr>
            <w:r>
              <w:rPr>
                <w:rFonts w:ascii="Arial" w:cs="Arial" w:eastAsia="Arial" w:hAnsi="Arial"/>
                <w:sz w:val="16"/>
                <w:szCs w:val="16"/>
                <w:color w:val="auto"/>
              </w:rPr>
              <w:t>•</w:t>
            </w:r>
          </w:p>
        </w:tc>
        <w:tc>
          <w:tcPr>
            <w:tcW w:w="9080" w:type="dxa"/>
            <w:vAlign w:val="bottom"/>
            <w:vMerge w:val="restart"/>
            <w:shd w:val="clear" w:color="auto" w:fill="EAEAEA"/>
          </w:tcPr>
          <w:p>
            <w:pPr>
              <w:ind w:left="40"/>
              <w:spacing w:after="0"/>
              <w:rPr>
                <w:sz w:val="20"/>
                <w:szCs w:val="20"/>
                <w:color w:val="auto"/>
              </w:rPr>
            </w:pPr>
            <w:r>
              <w:rPr>
                <w:rFonts w:ascii="Arial" w:cs="Arial" w:eastAsia="Arial" w:hAnsi="Arial"/>
                <w:sz w:val="16"/>
                <w:szCs w:val="16"/>
                <w:color w:val="auto"/>
                <w:w w:val="87"/>
              </w:rPr>
              <w:t>Continued to refine our shareholder engagement process to connect our shareholders with key stakeholders within our company around topics of</w:t>
            </w:r>
          </w:p>
        </w:tc>
        <w:tc>
          <w:tcPr>
            <w:tcW w:w="0" w:type="dxa"/>
            <w:vAlign w:val="bottom"/>
          </w:tcPr>
          <w:p>
            <w:pPr>
              <w:spacing w:after="0"/>
              <w:rPr>
                <w:sz w:val="1"/>
                <w:szCs w:val="1"/>
                <w:color w:val="auto"/>
              </w:rPr>
            </w:pPr>
          </w:p>
        </w:tc>
      </w:tr>
      <w:tr>
        <w:trPr>
          <w:trHeight w:val="61"/>
        </w:trPr>
        <w:tc>
          <w:tcPr>
            <w:tcW w:w="1020" w:type="dxa"/>
            <w:vAlign w:val="bottom"/>
            <w:tcBorders>
              <w:right w:val="single" w:sz="8" w:color="EAEAEA"/>
            </w:tcBorders>
          </w:tcPr>
          <w:p>
            <w:pPr>
              <w:spacing w:after="0"/>
              <w:rPr>
                <w:sz w:val="5"/>
                <w:szCs w:val="5"/>
                <w:color w:val="auto"/>
              </w:rPr>
            </w:pPr>
          </w:p>
        </w:tc>
        <w:tc>
          <w:tcPr>
            <w:tcW w:w="180" w:type="dxa"/>
            <w:vAlign w:val="bottom"/>
            <w:vMerge w:val="continue"/>
            <w:shd w:val="clear" w:color="auto" w:fill="EAEAEA"/>
          </w:tcPr>
          <w:p>
            <w:pPr>
              <w:spacing w:after="0"/>
              <w:rPr>
                <w:sz w:val="5"/>
                <w:szCs w:val="5"/>
                <w:color w:val="auto"/>
              </w:rPr>
            </w:pPr>
          </w:p>
        </w:tc>
        <w:tc>
          <w:tcPr>
            <w:tcW w:w="9080" w:type="dxa"/>
            <w:vAlign w:val="bottom"/>
            <w:vMerge w:val="continue"/>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1020" w:type="dxa"/>
            <w:vAlign w:val="bottom"/>
            <w:tcBorders>
              <w:right w:val="single" w:sz="8" w:color="EAEAEA"/>
            </w:tcBorders>
          </w:tcPr>
          <w:p>
            <w:pPr>
              <w:spacing w:after="0"/>
              <w:rPr>
                <w:sz w:val="17"/>
                <w:szCs w:val="17"/>
                <w:color w:val="auto"/>
              </w:rPr>
            </w:pPr>
          </w:p>
        </w:tc>
        <w:tc>
          <w:tcPr>
            <w:tcW w:w="180" w:type="dxa"/>
            <w:vAlign w:val="bottom"/>
            <w:shd w:val="clear" w:color="auto" w:fill="EAEAEA"/>
          </w:tcPr>
          <w:p>
            <w:pPr>
              <w:spacing w:after="0"/>
              <w:rPr>
                <w:sz w:val="17"/>
                <w:szCs w:val="17"/>
                <w:color w:val="auto"/>
              </w:rPr>
            </w:pPr>
          </w:p>
        </w:tc>
        <w:tc>
          <w:tcPr>
            <w:tcW w:w="9080" w:type="dxa"/>
            <w:vAlign w:val="bottom"/>
            <w:shd w:val="clear" w:color="auto" w:fill="EAEAEA"/>
          </w:tcPr>
          <w:p>
            <w:pPr>
              <w:ind w:left="60"/>
              <w:spacing w:after="0"/>
              <w:rPr>
                <w:sz w:val="20"/>
                <w:szCs w:val="20"/>
                <w:color w:val="auto"/>
              </w:rPr>
            </w:pPr>
            <w:r>
              <w:rPr>
                <w:rFonts w:ascii="Arial" w:cs="Arial" w:eastAsia="Arial" w:hAnsi="Arial"/>
                <w:sz w:val="16"/>
                <w:szCs w:val="16"/>
                <w:color w:val="auto"/>
              </w:rPr>
              <w:t>interest</w:t>
            </w:r>
          </w:p>
        </w:tc>
        <w:tc>
          <w:tcPr>
            <w:tcW w:w="0" w:type="dxa"/>
            <w:vAlign w:val="bottom"/>
          </w:tcPr>
          <w:p>
            <w:pPr>
              <w:spacing w:after="0"/>
              <w:rPr>
                <w:sz w:val="1"/>
                <w:szCs w:val="1"/>
                <w:color w:val="auto"/>
              </w:rPr>
            </w:pPr>
          </w:p>
        </w:tc>
      </w:tr>
      <w:tr>
        <w:trPr>
          <w:trHeight w:val="97"/>
        </w:trPr>
        <w:tc>
          <w:tcPr>
            <w:tcW w:w="1020" w:type="dxa"/>
            <w:vAlign w:val="bottom"/>
            <w:tcBorders>
              <w:bottom w:val="single" w:sz="8" w:color="0066BA"/>
              <w:right w:val="single" w:sz="8" w:color="EAEAEA"/>
            </w:tcBorders>
          </w:tcPr>
          <w:p>
            <w:pPr>
              <w:spacing w:after="0"/>
              <w:rPr>
                <w:sz w:val="8"/>
                <w:szCs w:val="8"/>
                <w:color w:val="auto"/>
              </w:rPr>
            </w:pPr>
          </w:p>
        </w:tc>
        <w:tc>
          <w:tcPr>
            <w:tcW w:w="180" w:type="dxa"/>
            <w:vAlign w:val="bottom"/>
            <w:tcBorders>
              <w:bottom w:val="single" w:sz="8" w:color="0066BA"/>
            </w:tcBorders>
            <w:shd w:val="clear" w:color="auto" w:fill="EAEAEA"/>
          </w:tcPr>
          <w:p>
            <w:pPr>
              <w:spacing w:after="0"/>
              <w:rPr>
                <w:sz w:val="8"/>
                <w:szCs w:val="8"/>
                <w:color w:val="auto"/>
              </w:rPr>
            </w:pPr>
          </w:p>
        </w:tc>
        <w:tc>
          <w:tcPr>
            <w:tcW w:w="9080" w:type="dxa"/>
            <w:vAlign w:val="bottom"/>
            <w:tcBorders>
              <w:bottom w:val="single" w:sz="8" w:color="0066BA"/>
            </w:tcBorders>
            <w:shd w:val="clear" w:color="auto" w:fill="EAEAEA"/>
          </w:tcPr>
          <w:p>
            <w:pPr>
              <w:spacing w:after="0"/>
              <w:rPr>
                <w:sz w:val="8"/>
                <w:szCs w:val="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We intend to continue our shareholder outreach efforts on an on-going basis and look forward to continuing to engage with our valued shareholders.</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33333"/>
        </w:rPr>
        <w:t>Corporate Responsibility Highlights</w:t>
      </w:r>
    </w:p>
    <w:p>
      <w:pPr>
        <w:spacing w:after="0" w:line="229" w:lineRule="exact"/>
        <w:rPr>
          <w:sz w:val="20"/>
          <w:szCs w:val="20"/>
          <w:color w:val="auto"/>
        </w:rPr>
      </w:pPr>
    </w:p>
    <w:p>
      <w:pPr>
        <w:ind w:left="480" w:right="300"/>
        <w:spacing w:after="0" w:line="263" w:lineRule="auto"/>
        <w:rPr>
          <w:sz w:val="20"/>
          <w:szCs w:val="20"/>
          <w:color w:val="auto"/>
        </w:rPr>
      </w:pPr>
      <w:r>
        <w:rPr>
          <w:rFonts w:ascii="Arial" w:cs="Arial" w:eastAsia="Arial" w:hAnsi="Arial"/>
          <w:sz w:val="17"/>
          <w:szCs w:val="17"/>
          <w:color w:val="auto"/>
        </w:rPr>
        <w:t>We believe that sustainability is about delivering holistic solutions to ensure we are making a real, positive impact in the world. ADI strives to create a rewarding workplace and be a trusted partner, leading corporate citizen, environmental steward and contributor to our communities. We periodically evaluate our sustainability priorities outlined in our 2020 Corporate Responsibility Report, entitled Engineering Good, to ensure alignment with our long-term strategy. As part of this process, we regularly engage with key stakeholders to ensure we continue to focus on the most important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137160</wp:posOffset>
            </wp:positionV>
            <wp:extent cx="6534150" cy="2146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534150" cy="214630"/>
                    </a:xfrm>
                    <a:prstGeom prst="rect">
                      <a:avLst/>
                    </a:prstGeom>
                    <a:noFill/>
                  </pic:spPr>
                </pic:pic>
              </a:graphicData>
            </a:graphic>
          </wp:anchor>
        </w:drawing>
      </w:r>
    </w:p>
    <w:p>
      <w:pPr>
        <w:spacing w:after="0" w:line="247" w:lineRule="exact"/>
        <w:rPr>
          <w:sz w:val="20"/>
          <w:szCs w:val="20"/>
          <w:color w:val="auto"/>
        </w:rPr>
      </w:pPr>
    </w:p>
    <w:p>
      <w:pPr>
        <w:ind w:left="520"/>
        <w:spacing w:after="0"/>
        <w:rPr>
          <w:sz w:val="20"/>
          <w:szCs w:val="20"/>
          <w:color w:val="auto"/>
        </w:rPr>
      </w:pPr>
      <w:r>
        <w:rPr>
          <w:rFonts w:ascii="Arial" w:cs="Arial" w:eastAsia="Arial" w:hAnsi="Arial"/>
          <w:sz w:val="19"/>
          <w:szCs w:val="19"/>
          <w:b w:val="1"/>
          <w:bCs w:val="1"/>
          <w:color w:val="auto"/>
        </w:rPr>
        <w:t>Approach to Stakeholder Engagement</w:t>
      </w:r>
    </w:p>
    <w:p>
      <w:pPr>
        <w:sectPr>
          <w:pgSz w:w="11900" w:h="16838" w:orient="portrait"/>
          <w:cols w:equalWidth="0" w:num="1">
            <w:col w:w="10760"/>
          </w:cols>
          <w:pgMar w:left="320" w:top="447" w:right="819" w:bottom="1440" w:gutter="0" w:footer="0" w:header="0"/>
        </w:sectPr>
      </w:pPr>
    </w:p>
    <w:p>
      <w:pPr>
        <w:spacing w:after="0" w:line="135" w:lineRule="exact"/>
        <w:rPr>
          <w:sz w:val="20"/>
          <w:szCs w:val="20"/>
          <w:color w:val="auto"/>
        </w:rPr>
      </w:pPr>
    </w:p>
    <w:p>
      <w:pPr>
        <w:ind w:left="480"/>
        <w:spacing w:after="0"/>
        <w:rPr>
          <w:sz w:val="20"/>
          <w:szCs w:val="20"/>
          <w:color w:val="auto"/>
        </w:rPr>
      </w:pPr>
      <w:r>
        <w:rPr>
          <w:rFonts w:ascii="Arial" w:cs="Arial" w:eastAsia="Arial" w:hAnsi="Arial"/>
          <w:sz w:val="17"/>
          <w:szCs w:val="17"/>
          <w:color w:val="0066BA"/>
        </w:rPr>
        <w:t>Our Shareholders</w:t>
      </w:r>
    </w:p>
    <w:p>
      <w:pPr>
        <w:spacing w:after="0" w:line="91" w:lineRule="exact"/>
        <w:rPr>
          <w:sz w:val="20"/>
          <w:szCs w:val="20"/>
          <w:color w:val="auto"/>
        </w:rPr>
      </w:pPr>
    </w:p>
    <w:p>
      <w:pPr>
        <w:ind w:left="480"/>
        <w:spacing w:after="0" w:line="311" w:lineRule="auto"/>
        <w:rPr>
          <w:sz w:val="20"/>
          <w:szCs w:val="20"/>
          <w:color w:val="auto"/>
        </w:rPr>
      </w:pPr>
      <w:r>
        <w:rPr>
          <w:rFonts w:ascii="Arial" w:cs="Arial" w:eastAsia="Arial" w:hAnsi="Arial"/>
          <w:sz w:val="15"/>
          <w:szCs w:val="15"/>
          <w:color w:val="auto"/>
        </w:rPr>
        <w:t>We actively engage with our shareholders around topics of interest, including sustainability reporting and human capital management.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0066BA"/>
        </w:rPr>
        <w:t>Our Workforce</w:t>
      </w:r>
    </w:p>
    <w:p>
      <w:pPr>
        <w:spacing w:after="0" w:line="91"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We solicit employee feedback through our quarterly ADI Pulse engagement survey and empower employee-led Green Teams to champion and improve sustainability initiatives at local offices globally.</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0066BA"/>
        </w:rPr>
        <w:t>Our Suppliers</w:t>
      </w:r>
    </w:p>
    <w:p>
      <w:pPr>
        <w:spacing w:after="0" w:line="9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ADI is a proud member of the Responsible Business Alliance and requires our suppliers adhere to its code of conduct.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0066BA"/>
        </w:rPr>
        <w:t>Our Communities</w:t>
      </w:r>
    </w:p>
    <w:p>
      <w:pPr>
        <w:spacing w:after="0" w:line="91"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ADI continues to fund and support STEM education and local environmental initiatives across the globe.</w:t>
      </w:r>
    </w:p>
    <w:p>
      <w:pPr>
        <w:spacing w:after="0" w:line="697" w:lineRule="exact"/>
        <w:rPr>
          <w:sz w:val="20"/>
          <w:szCs w:val="20"/>
          <w:color w:val="auto"/>
        </w:rPr>
      </w:pPr>
    </w:p>
    <w:p>
      <w:pPr>
        <w:sectPr>
          <w:pgSz w:w="11900" w:h="16838" w:orient="portrait"/>
          <w:cols w:equalWidth="0" w:num="4">
            <w:col w:w="3120" w:space="360"/>
            <w:col w:w="2320" w:space="140"/>
            <w:col w:w="2300" w:space="180"/>
            <w:col w:w="2340"/>
          </w:cols>
          <w:pgMar w:left="320" w:top="447" w:right="819" w:bottom="1440" w:gutter="0" w:footer="0" w:header="0"/>
          <w:type w:val="continuous"/>
        </w:sectPr>
      </w:pPr>
    </w:p>
    <w:p>
      <w:pPr>
        <w:ind w:left="480"/>
        <w:spacing w:after="0" w:line="287" w:lineRule="auto"/>
        <w:rPr>
          <w:sz w:val="20"/>
          <w:szCs w:val="20"/>
          <w:color w:val="auto"/>
        </w:rPr>
      </w:pPr>
      <w:r>
        <w:rPr>
          <w:rFonts w:ascii="Arial" w:cs="Arial" w:eastAsia="Arial" w:hAnsi="Arial"/>
          <w:sz w:val="16"/>
          <w:szCs w:val="16"/>
          <w:color w:val="auto"/>
        </w:rPr>
        <w:t>Our sustainability agenda is led and managed by our Chief Executive Officer alongside a senior management team that includes our Chief People Officer, Chief Financial Officer, Chief Legal and Risk Officer, Senior Vice President, Automotive &amp; Energy, Communications and Aerospace Group, Chief Customer Officer, and our recently appointed Senior Director, ESG and Sustainability Programs. In addition, our Board of Directors is fully engaged and receives updates from senior management about our progress against our sustainability initiatives.</w:t>
      </w:r>
    </w:p>
    <w:p>
      <w:pPr>
        <w:spacing w:after="0" w:line="200" w:lineRule="exact"/>
        <w:rPr>
          <w:sz w:val="20"/>
          <w:szCs w:val="20"/>
          <w:color w:val="auto"/>
        </w:rPr>
      </w:pPr>
    </w:p>
    <w:p>
      <w:pPr>
        <w:spacing w:after="0" w:line="22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0760"/>
          </w:cols>
          <w:pgMar w:left="320" w:top="447" w:right="819" w:bottom="1440" w:gutter="0" w:footer="0" w:header="0"/>
          <w:type w:val="continuous"/>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480" w:right="480"/>
        <w:spacing w:after="0" w:line="265" w:lineRule="auto"/>
        <w:rPr>
          <w:sz w:val="20"/>
          <w:szCs w:val="20"/>
          <w:color w:val="auto"/>
        </w:rPr>
      </w:pPr>
      <w:r>
        <w:rPr>
          <w:rFonts w:ascii="Arial" w:cs="Arial" w:eastAsia="Arial" w:hAnsi="Arial"/>
          <w:sz w:val="17"/>
          <w:szCs w:val="17"/>
          <w:color w:val="auto"/>
        </w:rPr>
        <w:t>We utilize third-party disclosure initiatives to inform our sustainability activities and reporting. In fiscal 2021, we aligned our Corporate Responsibility Report with two additional frameworks (TCFD and SASB) as well as with the Global Reporting Initiative: Core Option. We also report separately to the CDP Climate Change and Water Security Projects. Our sustainability activities and reporting are aligned with the UN Sustainable Development Goals.</w:t>
      </w:r>
    </w:p>
    <w:p>
      <w:pPr>
        <w:spacing w:after="0" w:line="73" w:lineRule="exact"/>
        <w:rPr>
          <w:sz w:val="20"/>
          <w:szCs w:val="20"/>
          <w:color w:val="auto"/>
        </w:rPr>
      </w:pPr>
    </w:p>
    <w:p>
      <w:pPr>
        <w:ind w:left="480" w:right="480"/>
        <w:spacing w:after="0" w:line="286" w:lineRule="auto"/>
        <w:rPr>
          <w:sz w:val="20"/>
          <w:szCs w:val="20"/>
          <w:color w:val="auto"/>
        </w:rPr>
      </w:pPr>
      <w:r>
        <w:rPr>
          <w:rFonts w:ascii="Arial" w:cs="Arial" w:eastAsia="Arial" w:hAnsi="Arial"/>
          <w:sz w:val="17"/>
          <w:szCs w:val="17"/>
          <w:color w:val="auto"/>
        </w:rPr>
        <w:t>We have a long history of leadership in corporate responsibility and pursue a four-pronged strategy — Protect and Regenerate the Environment, Empower People, Impact Through Engagement and Promoting Good Governance.</w:t>
      </w:r>
    </w:p>
    <w:p>
      <w:pPr>
        <w:spacing w:after="0" w:line="54" w:lineRule="exact"/>
        <w:rPr>
          <w:sz w:val="20"/>
          <w:szCs w:val="20"/>
          <w:color w:val="auto"/>
        </w:rPr>
      </w:pPr>
    </w:p>
    <w:p>
      <w:pPr>
        <w:ind w:left="480" w:right="400"/>
        <w:spacing w:after="0" w:line="265" w:lineRule="auto"/>
        <w:rPr>
          <w:sz w:val="20"/>
          <w:szCs w:val="20"/>
          <w:color w:val="auto"/>
        </w:rPr>
      </w:pPr>
      <w:r>
        <w:rPr>
          <w:rFonts w:ascii="Arial" w:cs="Arial" w:eastAsia="Arial" w:hAnsi="Arial"/>
          <w:sz w:val="17"/>
          <w:szCs w:val="17"/>
          <w:color w:val="0066BA"/>
        </w:rPr>
        <w:t xml:space="preserve">Protect and Regenerate the Environment </w:t>
      </w:r>
      <w:r>
        <w:rPr>
          <w:rFonts w:ascii="Arial" w:cs="Arial" w:eastAsia="Arial" w:hAnsi="Arial"/>
          <w:sz w:val="17"/>
          <w:szCs w:val="17"/>
          <w:color w:val="000000"/>
        </w:rPr>
        <w:t>— While we are focused on reducing our carbon footprint and our impact on the environment today, we</w:t>
      </w:r>
      <w:r>
        <w:rPr>
          <w:rFonts w:ascii="Arial" w:cs="Arial" w:eastAsia="Arial" w:hAnsi="Arial"/>
          <w:sz w:val="17"/>
          <w:szCs w:val="17"/>
          <w:color w:val="0066BA"/>
        </w:rPr>
        <w:t xml:space="preserve"> </w:t>
      </w:r>
      <w:r>
        <w:rPr>
          <w:rFonts w:ascii="Arial" w:cs="Arial" w:eastAsia="Arial" w:hAnsi="Arial"/>
          <w:sz w:val="17"/>
          <w:szCs w:val="17"/>
          <w:color w:val="000000"/>
        </w:rPr>
        <w:t>also strive to deliver an even greater environmental impact. Our goal is to make meaningful progress on environmental regeneration efforts and partner with our customers to help them solve their sustainability challenges. We leverage our expertise to develop new solutions to help restore natural resources, regenerate the quality of our biosphere and reduce carbon.</w:t>
      </w:r>
    </w:p>
    <w:p>
      <w:pPr>
        <w:spacing w:after="0" w:line="73" w:lineRule="exact"/>
        <w:rPr>
          <w:sz w:val="20"/>
          <w:szCs w:val="20"/>
          <w:color w:val="auto"/>
        </w:rPr>
      </w:pPr>
    </w:p>
    <w:p>
      <w:pPr>
        <w:ind w:left="480" w:right="200"/>
        <w:spacing w:after="0" w:line="257" w:lineRule="auto"/>
        <w:rPr>
          <w:sz w:val="20"/>
          <w:szCs w:val="20"/>
          <w:color w:val="auto"/>
        </w:rPr>
      </w:pPr>
      <w:r>
        <w:rPr>
          <w:rFonts w:ascii="Arial" w:cs="Arial" w:eastAsia="Arial" w:hAnsi="Arial"/>
          <w:sz w:val="17"/>
          <w:szCs w:val="17"/>
          <w:color w:val="auto"/>
        </w:rPr>
        <w:t>We have established both long-term environmental goals and interim environmental performance objectives using a five-year planning horizon, and make annual updates to our objectives, targets, and programs. In fiscal 2021, ADI set and developed emission reduction plans approved by the SBTi. Additionally, ADI has set goals to become carbon neutral by 2030 and achieve net zero emissions by 2050 or sooner — and is part of the UN Global Compact and their campaign, Business Ambition for 1.5°C. We were also the first U.S. technology company to deploy a sustainable finance instrument with an inaugural green bond issuance, followed by the issuance of a sustainability-linked revolving credit facility and a sustainability-linked bond offering. At the business level, we continued to innovate and develop solutions with meaningful environmental benefits, including our Battery Management Solutions,</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Energy Storage Systems and leveraging our intelligent sensing systems to make data centers greener.</w:t>
      </w:r>
    </w:p>
    <w:p>
      <w:pPr>
        <w:spacing w:after="0" w:line="104" w:lineRule="exact"/>
        <w:rPr>
          <w:sz w:val="20"/>
          <w:szCs w:val="20"/>
          <w:color w:val="auto"/>
        </w:rPr>
      </w:pPr>
    </w:p>
    <w:p>
      <w:pPr>
        <w:ind w:left="480" w:right="300"/>
        <w:spacing w:after="0" w:line="270" w:lineRule="auto"/>
        <w:rPr>
          <w:sz w:val="20"/>
          <w:szCs w:val="20"/>
          <w:color w:val="auto"/>
        </w:rPr>
      </w:pPr>
      <w:r>
        <w:rPr>
          <w:rFonts w:ascii="Arial" w:cs="Arial" w:eastAsia="Arial" w:hAnsi="Arial"/>
          <w:sz w:val="17"/>
          <w:szCs w:val="17"/>
          <w:color w:val="0066BA"/>
        </w:rPr>
        <w:t xml:space="preserve">Empower People </w:t>
      </w:r>
      <w:r>
        <w:rPr>
          <w:rFonts w:ascii="Arial" w:cs="Arial" w:eastAsia="Arial" w:hAnsi="Arial"/>
          <w:sz w:val="17"/>
          <w:szCs w:val="17"/>
          <w:color w:val="000000"/>
        </w:rPr>
        <w:t>— We are committed to helping our employees thrive through education, inclusion and support. We are focused on building</w:t>
      </w:r>
      <w:r>
        <w:rPr>
          <w:rFonts w:ascii="Arial" w:cs="Arial" w:eastAsia="Arial" w:hAnsi="Arial"/>
          <w:sz w:val="17"/>
          <w:szCs w:val="17"/>
          <w:color w:val="0066BA"/>
        </w:rPr>
        <w:t xml:space="preserve"> </w:t>
      </w:r>
      <w:r>
        <w:rPr>
          <w:rFonts w:ascii="Arial" w:cs="Arial" w:eastAsia="Arial" w:hAnsi="Arial"/>
          <w:sz w:val="17"/>
          <w:szCs w:val="17"/>
          <w:color w:val="000000"/>
        </w:rPr>
        <w:t>programs within ADI to enhance our diverse and accepting workplace culture, while also broadening availability of STEM education, training and employment to underserved communities across the globe.</w:t>
      </w:r>
    </w:p>
    <w:p>
      <w:pPr>
        <w:spacing w:after="0" w:line="69" w:lineRule="exact"/>
        <w:rPr>
          <w:sz w:val="20"/>
          <w:szCs w:val="20"/>
          <w:color w:val="auto"/>
        </w:rPr>
      </w:pPr>
    </w:p>
    <w:p>
      <w:pPr>
        <w:ind w:left="480" w:right="300"/>
        <w:spacing w:after="0" w:line="306" w:lineRule="auto"/>
        <w:rPr>
          <w:sz w:val="20"/>
          <w:szCs w:val="20"/>
          <w:color w:val="auto"/>
        </w:rPr>
      </w:pPr>
      <w:r>
        <w:rPr>
          <w:rFonts w:ascii="Arial" w:cs="Arial" w:eastAsia="Arial" w:hAnsi="Arial"/>
          <w:sz w:val="15"/>
          <w:szCs w:val="15"/>
          <w:color w:val="auto"/>
        </w:rPr>
        <w:t>As we continue to evolve our business offerings and innovate our designs, we are also placing our environmental and social responsibilities at the center of our operations. The empowerment of our people is a key focus area. Core to our empowerment strategy is embracing diversity and building a culture of inclusion across the organization. This year we launched a Diversity Council and Working Group following a global listening tour focused on accelerating ADI’s diversity, equity, and inclusion journey. We plan to continue to expand the diversity of our workforce, creating growth and development opportunities for our employees, embracing different perspectives and fostering an inclusive work environment for all.</w:t>
      </w:r>
    </w:p>
    <w:p>
      <w:pPr>
        <w:spacing w:after="0" w:line="45" w:lineRule="exact"/>
        <w:rPr>
          <w:sz w:val="20"/>
          <w:szCs w:val="20"/>
          <w:color w:val="auto"/>
        </w:rPr>
      </w:pPr>
    </w:p>
    <w:p>
      <w:pPr>
        <w:jc w:val="both"/>
        <w:ind w:left="480" w:right="360"/>
        <w:spacing w:after="0" w:line="295" w:lineRule="auto"/>
        <w:rPr>
          <w:sz w:val="20"/>
          <w:szCs w:val="20"/>
          <w:color w:val="auto"/>
        </w:rPr>
      </w:pPr>
      <w:r>
        <w:rPr>
          <w:rFonts w:ascii="Arial" w:cs="Arial" w:eastAsia="Arial" w:hAnsi="Arial"/>
          <w:sz w:val="16"/>
          <w:szCs w:val="16"/>
          <w:color w:val="0066BA"/>
        </w:rPr>
        <w:t xml:space="preserve">Impact Through Engagement </w:t>
      </w:r>
      <w:r>
        <w:rPr>
          <w:rFonts w:ascii="Arial" w:cs="Arial" w:eastAsia="Arial" w:hAnsi="Arial"/>
          <w:sz w:val="16"/>
          <w:szCs w:val="16"/>
          <w:color w:val="000000"/>
        </w:rPr>
        <w:t>— ADI takes an active role in addressing problems that impact our employees, our communities and our planet. We</w:t>
      </w:r>
      <w:r>
        <w:rPr>
          <w:rFonts w:ascii="Arial" w:cs="Arial" w:eastAsia="Arial" w:hAnsi="Arial"/>
          <w:sz w:val="16"/>
          <w:szCs w:val="16"/>
          <w:color w:val="0066BA"/>
        </w:rPr>
        <w:t xml:space="preserve"> </w:t>
      </w:r>
      <w:r>
        <w:rPr>
          <w:rFonts w:ascii="Arial" w:cs="Arial" w:eastAsia="Arial" w:hAnsi="Arial"/>
          <w:sz w:val="16"/>
          <w:szCs w:val="16"/>
          <w:color w:val="000000"/>
        </w:rPr>
        <w:t>stand behind our employee engagement efforts and are proud to contribute to their causes. For example, the Analog Devices Foundation provided $1.8 million in community grants and matched $720,000 in employee donations in fiscal 2021 supporting 900+ unique organizations.</w:t>
      </w:r>
    </w:p>
    <w:p>
      <w:pPr>
        <w:spacing w:after="0" w:line="50" w:lineRule="exact"/>
        <w:rPr>
          <w:sz w:val="20"/>
          <w:szCs w:val="20"/>
          <w:color w:val="auto"/>
        </w:rPr>
      </w:pPr>
    </w:p>
    <w:p>
      <w:pPr>
        <w:ind w:left="480" w:right="200"/>
        <w:spacing w:after="0" w:line="283" w:lineRule="auto"/>
        <w:rPr>
          <w:sz w:val="20"/>
          <w:szCs w:val="20"/>
          <w:color w:val="auto"/>
        </w:rPr>
      </w:pPr>
      <w:r>
        <w:rPr>
          <w:rFonts w:ascii="Arial" w:cs="Arial" w:eastAsia="Arial" w:hAnsi="Arial"/>
          <w:sz w:val="16"/>
          <w:szCs w:val="16"/>
          <w:color w:val="auto"/>
        </w:rPr>
        <w:t>Promoting Good Governance — We have long believed that good corporate governance is important to ensure Analog Devices is managed for the long-term benefit of our shareholders. We review our corporate governance policies and practices annually and compare them to those suggested by various authorities in corporate governance and the practices of other public companies. In 2021 we revised our policies and practices in ways that enhance transparency and that we believe are in the best interests of Analog Devices and our shareholders. For example, we recently published our EEO-1 reports online, creating greater transparency about the make-up of our workforce.</w:t>
      </w:r>
    </w:p>
    <w:p>
      <w:pPr>
        <w:spacing w:after="0" w:line="60" w:lineRule="exact"/>
        <w:rPr>
          <w:sz w:val="20"/>
          <w:szCs w:val="20"/>
          <w:color w:val="auto"/>
        </w:rPr>
      </w:pPr>
    </w:p>
    <w:p>
      <w:pPr>
        <w:ind w:left="480" w:right="200"/>
        <w:spacing w:after="0" w:line="286" w:lineRule="auto"/>
        <w:rPr>
          <w:sz w:val="20"/>
          <w:szCs w:val="20"/>
          <w:color w:val="auto"/>
        </w:rPr>
      </w:pPr>
      <w:r>
        <w:rPr>
          <w:rFonts w:ascii="Arial" w:cs="Arial" w:eastAsia="Arial" w:hAnsi="Arial"/>
          <w:sz w:val="17"/>
          <w:szCs w:val="17"/>
          <w:color w:val="auto"/>
        </w:rPr>
        <w:t>Sustainability is infused into all aspects of how we do business, and we are proud that our sustainability commitment is routinely recognized around the globe, including most recently with the following awards:</w:t>
      </w:r>
    </w:p>
    <w:p>
      <w:pPr>
        <w:spacing w:after="0" w:line="143"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Employer Brand</w:t>
      </w:r>
    </w:p>
    <w:p>
      <w:pPr>
        <w:spacing w:after="0" w:line="122" w:lineRule="exact"/>
        <w:rPr>
          <w:sz w:val="20"/>
          <w:szCs w:val="20"/>
          <w:color w:val="auto"/>
        </w:rPr>
      </w:pPr>
    </w:p>
    <w:tbl>
      <w:tblPr>
        <w:tblLayout w:type="fixed"/>
        <w:tblInd w:w="480" w:type="dxa"/>
        <w:tblCellMar>
          <w:top w:w="0" w:type="dxa"/>
          <w:left w:w="0" w:type="dxa"/>
          <w:bottom w:w="0" w:type="dxa"/>
          <w:right w:w="0" w:type="dxa"/>
        </w:tblCellMar>
      </w:tblPr>
      <w:tr>
        <w:trPr>
          <w:trHeight w:val="208"/>
        </w:trPr>
        <w:tc>
          <w:tcPr>
            <w:tcW w:w="200" w:type="dxa"/>
            <w:vAlign w:val="bottom"/>
          </w:tcPr>
          <w:p>
            <w:pPr>
              <w:spacing w:after="0"/>
              <w:rPr>
                <w:sz w:val="20"/>
                <w:szCs w:val="20"/>
                <w:color w:val="auto"/>
              </w:rPr>
            </w:pPr>
            <w:r>
              <w:rPr>
                <w:rFonts w:ascii="Arial" w:cs="Arial" w:eastAsia="Arial" w:hAnsi="Arial"/>
                <w:sz w:val="17"/>
                <w:szCs w:val="17"/>
                <w:color w:val="auto"/>
              </w:rPr>
              <w:t>•</w:t>
            </w:r>
          </w:p>
        </w:tc>
        <w:tc>
          <w:tcPr>
            <w:tcW w:w="4460" w:type="dxa"/>
            <w:vAlign w:val="bottom"/>
            <w:gridSpan w:val="2"/>
          </w:tcPr>
          <w:p>
            <w:pPr>
              <w:ind w:left="140"/>
              <w:spacing w:after="0"/>
              <w:rPr>
                <w:sz w:val="20"/>
                <w:szCs w:val="20"/>
                <w:color w:val="auto"/>
              </w:rPr>
            </w:pPr>
            <w:r>
              <w:rPr>
                <w:rFonts w:ascii="Arial" w:cs="Arial" w:eastAsia="Arial" w:hAnsi="Arial"/>
                <w:sz w:val="17"/>
                <w:szCs w:val="17"/>
                <w:color w:val="auto"/>
              </w:rPr>
              <w:t>The Boston Globe’s Top Places to Work (2017–2021)</w:t>
            </w:r>
          </w:p>
        </w:tc>
        <w:tc>
          <w:tcPr>
            <w:tcW w:w="800" w:type="dxa"/>
            <w:vAlign w:val="bottom"/>
          </w:tcPr>
          <w:p>
            <w:pPr>
              <w:ind w:left="580"/>
              <w:spacing w:after="0"/>
              <w:rPr>
                <w:sz w:val="20"/>
                <w:szCs w:val="20"/>
                <w:color w:val="auto"/>
              </w:rPr>
            </w:pPr>
            <w:r>
              <w:rPr>
                <w:rFonts w:ascii="Arial" w:cs="Arial" w:eastAsia="Arial" w:hAnsi="Arial"/>
                <w:sz w:val="17"/>
                <w:szCs w:val="17"/>
                <w:color w:val="auto"/>
              </w:rPr>
              <w:t>•</w:t>
            </w:r>
          </w:p>
        </w:tc>
        <w:tc>
          <w:tcPr>
            <w:tcW w:w="4420" w:type="dxa"/>
            <w:vAlign w:val="bottom"/>
            <w:gridSpan w:val="2"/>
          </w:tcPr>
          <w:p>
            <w:pPr>
              <w:ind w:left="140"/>
              <w:spacing w:after="0"/>
              <w:rPr>
                <w:sz w:val="20"/>
                <w:szCs w:val="20"/>
                <w:color w:val="auto"/>
              </w:rPr>
            </w:pPr>
            <w:r>
              <w:rPr>
                <w:rFonts w:ascii="Arial" w:cs="Arial" w:eastAsia="Arial" w:hAnsi="Arial"/>
                <w:sz w:val="17"/>
                <w:szCs w:val="17"/>
                <w:color w:val="auto"/>
                <w:w w:val="92"/>
              </w:rPr>
              <w:t>Forbes 2021 World’s Top Female-Friendly Companies (2021)</w:t>
            </w:r>
          </w:p>
        </w:tc>
      </w:tr>
      <w:tr>
        <w:trPr>
          <w:trHeight w:val="221"/>
        </w:trPr>
        <w:tc>
          <w:tcPr>
            <w:tcW w:w="200" w:type="dxa"/>
            <w:vAlign w:val="bottom"/>
          </w:tcPr>
          <w:p>
            <w:pPr>
              <w:spacing w:after="0"/>
              <w:rPr>
                <w:sz w:val="19"/>
                <w:szCs w:val="19"/>
                <w:color w:val="auto"/>
              </w:rPr>
            </w:pPr>
          </w:p>
        </w:tc>
        <w:tc>
          <w:tcPr>
            <w:tcW w:w="380" w:type="dxa"/>
            <w:vAlign w:val="bottom"/>
          </w:tcPr>
          <w:p>
            <w:pPr>
              <w:ind w:left="160"/>
              <w:spacing w:after="0"/>
              <w:rPr>
                <w:sz w:val="20"/>
                <w:szCs w:val="20"/>
                <w:color w:val="auto"/>
              </w:rPr>
            </w:pPr>
            <w:r>
              <w:rPr>
                <w:rFonts w:ascii="Arial" w:cs="Arial" w:eastAsia="Arial" w:hAnsi="Arial"/>
                <w:sz w:val="17"/>
                <w:szCs w:val="17"/>
                <w:color w:val="auto"/>
              </w:rPr>
              <w:t>—</w:t>
            </w:r>
          </w:p>
        </w:tc>
        <w:tc>
          <w:tcPr>
            <w:tcW w:w="4080" w:type="dxa"/>
            <w:vAlign w:val="bottom"/>
          </w:tcPr>
          <w:p>
            <w:pPr>
              <w:ind w:left="60"/>
              <w:spacing w:after="0"/>
              <w:rPr>
                <w:sz w:val="20"/>
                <w:szCs w:val="20"/>
                <w:color w:val="auto"/>
              </w:rPr>
            </w:pPr>
            <w:r>
              <w:rPr>
                <w:rFonts w:ascii="Arial" w:cs="Arial" w:eastAsia="Arial" w:hAnsi="Arial"/>
                <w:sz w:val="17"/>
                <w:szCs w:val="17"/>
                <w:color w:val="auto"/>
              </w:rPr>
              <w:t>Rankings based on employee satisfaction</w:t>
            </w:r>
          </w:p>
        </w:tc>
        <w:tc>
          <w:tcPr>
            <w:tcW w:w="800" w:type="dxa"/>
            <w:vAlign w:val="bottom"/>
          </w:tcPr>
          <w:p>
            <w:pPr>
              <w:spacing w:after="0"/>
              <w:rPr>
                <w:sz w:val="19"/>
                <w:szCs w:val="19"/>
                <w:color w:val="auto"/>
              </w:rPr>
            </w:pPr>
          </w:p>
        </w:tc>
        <w:tc>
          <w:tcPr>
            <w:tcW w:w="360" w:type="dxa"/>
            <w:vAlign w:val="bottom"/>
          </w:tcPr>
          <w:p>
            <w:pPr>
              <w:ind w:left="140"/>
              <w:spacing w:after="0"/>
              <w:rPr>
                <w:sz w:val="20"/>
                <w:szCs w:val="20"/>
                <w:color w:val="auto"/>
              </w:rPr>
            </w:pPr>
            <w:r>
              <w:rPr>
                <w:rFonts w:ascii="Arial" w:cs="Arial" w:eastAsia="Arial" w:hAnsi="Arial"/>
                <w:sz w:val="17"/>
                <w:szCs w:val="17"/>
                <w:color w:val="auto"/>
              </w:rPr>
              <w:t>—</w:t>
            </w:r>
          </w:p>
        </w:tc>
        <w:tc>
          <w:tcPr>
            <w:tcW w:w="4060" w:type="dxa"/>
            <w:vAlign w:val="bottom"/>
          </w:tcPr>
          <w:p>
            <w:pPr>
              <w:ind w:left="60"/>
              <w:spacing w:after="0"/>
              <w:rPr>
                <w:sz w:val="20"/>
                <w:szCs w:val="20"/>
                <w:color w:val="auto"/>
              </w:rPr>
            </w:pPr>
            <w:r>
              <w:rPr>
                <w:rFonts w:ascii="Arial" w:cs="Arial" w:eastAsia="Arial" w:hAnsi="Arial"/>
                <w:sz w:val="17"/>
                <w:szCs w:val="17"/>
                <w:color w:val="auto"/>
              </w:rPr>
              <w:t>Rankings based on independent survey</w:t>
            </w:r>
          </w:p>
        </w:tc>
      </w:tr>
      <w:tr>
        <w:trPr>
          <w:trHeight w:val="261"/>
        </w:trPr>
        <w:tc>
          <w:tcPr>
            <w:tcW w:w="200" w:type="dxa"/>
            <w:vAlign w:val="bottom"/>
          </w:tcPr>
          <w:p>
            <w:pPr>
              <w:spacing w:after="0"/>
              <w:rPr>
                <w:sz w:val="20"/>
                <w:szCs w:val="20"/>
                <w:color w:val="auto"/>
              </w:rPr>
            </w:pPr>
            <w:r>
              <w:rPr>
                <w:rFonts w:ascii="Arial" w:cs="Arial" w:eastAsia="Arial" w:hAnsi="Arial"/>
                <w:sz w:val="17"/>
                <w:szCs w:val="17"/>
                <w:color w:val="auto"/>
              </w:rPr>
              <w:t>•</w:t>
            </w:r>
          </w:p>
        </w:tc>
        <w:tc>
          <w:tcPr>
            <w:tcW w:w="4460" w:type="dxa"/>
            <w:vAlign w:val="bottom"/>
            <w:gridSpan w:val="2"/>
          </w:tcPr>
          <w:p>
            <w:pPr>
              <w:ind w:left="140"/>
              <w:spacing w:after="0"/>
              <w:rPr>
                <w:sz w:val="20"/>
                <w:szCs w:val="20"/>
                <w:color w:val="auto"/>
              </w:rPr>
            </w:pPr>
            <w:r>
              <w:rPr>
                <w:rFonts w:ascii="Arial" w:cs="Arial" w:eastAsia="Arial" w:hAnsi="Arial"/>
                <w:sz w:val="17"/>
                <w:szCs w:val="17"/>
                <w:color w:val="auto"/>
              </w:rPr>
              <w:t>Forbes World’s Best Employers (2018–2020)</w:t>
            </w:r>
          </w:p>
        </w:tc>
        <w:tc>
          <w:tcPr>
            <w:tcW w:w="800" w:type="dxa"/>
            <w:vAlign w:val="bottom"/>
          </w:tcPr>
          <w:p>
            <w:pPr>
              <w:ind w:left="580"/>
              <w:spacing w:after="0"/>
              <w:rPr>
                <w:sz w:val="20"/>
                <w:szCs w:val="20"/>
                <w:color w:val="auto"/>
              </w:rPr>
            </w:pPr>
            <w:r>
              <w:rPr>
                <w:rFonts w:ascii="Arial" w:cs="Arial" w:eastAsia="Arial" w:hAnsi="Arial"/>
                <w:sz w:val="17"/>
                <w:szCs w:val="17"/>
                <w:color w:val="auto"/>
              </w:rPr>
              <w:t>•</w:t>
            </w:r>
          </w:p>
        </w:tc>
        <w:tc>
          <w:tcPr>
            <w:tcW w:w="4420" w:type="dxa"/>
            <w:vAlign w:val="bottom"/>
            <w:gridSpan w:val="2"/>
          </w:tcPr>
          <w:p>
            <w:pPr>
              <w:ind w:left="140"/>
              <w:spacing w:after="0"/>
              <w:rPr>
                <w:sz w:val="20"/>
                <w:szCs w:val="20"/>
                <w:color w:val="auto"/>
              </w:rPr>
            </w:pPr>
            <w:r>
              <w:rPr>
                <w:rFonts w:ascii="Arial" w:cs="Arial" w:eastAsia="Arial" w:hAnsi="Arial"/>
                <w:sz w:val="17"/>
                <w:szCs w:val="17"/>
                <w:color w:val="auto"/>
                <w:w w:val="99"/>
              </w:rPr>
              <w:t>Newsweek’s Most Responsible Companies (2021–2022)</w:t>
            </w:r>
          </w:p>
        </w:tc>
      </w:tr>
      <w:tr>
        <w:trPr>
          <w:trHeight w:val="221"/>
        </w:trPr>
        <w:tc>
          <w:tcPr>
            <w:tcW w:w="200" w:type="dxa"/>
            <w:vAlign w:val="bottom"/>
          </w:tcPr>
          <w:p>
            <w:pPr>
              <w:spacing w:after="0"/>
              <w:rPr>
                <w:sz w:val="19"/>
                <w:szCs w:val="19"/>
                <w:color w:val="auto"/>
              </w:rPr>
            </w:pPr>
          </w:p>
        </w:tc>
        <w:tc>
          <w:tcPr>
            <w:tcW w:w="380" w:type="dxa"/>
            <w:vAlign w:val="bottom"/>
          </w:tcPr>
          <w:p>
            <w:pPr>
              <w:ind w:left="160"/>
              <w:spacing w:after="0"/>
              <w:rPr>
                <w:sz w:val="20"/>
                <w:szCs w:val="20"/>
                <w:color w:val="auto"/>
              </w:rPr>
            </w:pPr>
            <w:r>
              <w:rPr>
                <w:rFonts w:ascii="Arial" w:cs="Arial" w:eastAsia="Arial" w:hAnsi="Arial"/>
                <w:sz w:val="17"/>
                <w:szCs w:val="17"/>
                <w:color w:val="auto"/>
              </w:rPr>
              <w:t>—</w:t>
            </w:r>
          </w:p>
        </w:tc>
        <w:tc>
          <w:tcPr>
            <w:tcW w:w="4080" w:type="dxa"/>
            <w:vAlign w:val="bottom"/>
          </w:tcPr>
          <w:p>
            <w:pPr>
              <w:ind w:left="60"/>
              <w:spacing w:after="0"/>
              <w:rPr>
                <w:sz w:val="20"/>
                <w:szCs w:val="20"/>
                <w:color w:val="auto"/>
              </w:rPr>
            </w:pPr>
            <w:r>
              <w:rPr>
                <w:rFonts w:ascii="Arial" w:cs="Arial" w:eastAsia="Arial" w:hAnsi="Arial"/>
                <w:sz w:val="17"/>
                <w:szCs w:val="17"/>
                <w:color w:val="auto"/>
              </w:rPr>
              <w:t>Rankings based on independent survey</w:t>
            </w:r>
          </w:p>
        </w:tc>
        <w:tc>
          <w:tcPr>
            <w:tcW w:w="800" w:type="dxa"/>
            <w:vAlign w:val="bottom"/>
          </w:tcPr>
          <w:p>
            <w:pPr>
              <w:spacing w:after="0"/>
              <w:rPr>
                <w:sz w:val="19"/>
                <w:szCs w:val="19"/>
                <w:color w:val="auto"/>
              </w:rPr>
            </w:pPr>
          </w:p>
        </w:tc>
        <w:tc>
          <w:tcPr>
            <w:tcW w:w="360" w:type="dxa"/>
            <w:vAlign w:val="bottom"/>
          </w:tcPr>
          <w:p>
            <w:pPr>
              <w:ind w:left="140"/>
              <w:spacing w:after="0"/>
              <w:rPr>
                <w:sz w:val="20"/>
                <w:szCs w:val="20"/>
                <w:color w:val="auto"/>
              </w:rPr>
            </w:pPr>
            <w:r>
              <w:rPr>
                <w:rFonts w:ascii="Arial" w:cs="Arial" w:eastAsia="Arial" w:hAnsi="Arial"/>
                <w:sz w:val="17"/>
                <w:szCs w:val="17"/>
                <w:color w:val="auto"/>
              </w:rPr>
              <w:t>—</w:t>
            </w:r>
          </w:p>
        </w:tc>
        <w:tc>
          <w:tcPr>
            <w:tcW w:w="4060" w:type="dxa"/>
            <w:vAlign w:val="bottom"/>
          </w:tcPr>
          <w:p>
            <w:pPr>
              <w:ind w:left="60"/>
              <w:spacing w:after="0"/>
              <w:rPr>
                <w:sz w:val="20"/>
                <w:szCs w:val="20"/>
                <w:color w:val="auto"/>
              </w:rPr>
            </w:pPr>
            <w:r>
              <w:rPr>
                <w:rFonts w:ascii="Arial" w:cs="Arial" w:eastAsia="Arial" w:hAnsi="Arial"/>
                <w:sz w:val="17"/>
                <w:szCs w:val="17"/>
                <w:color w:val="auto"/>
              </w:rPr>
              <w:t>Rankings based on independent survey</w:t>
            </w:r>
          </w:p>
        </w:tc>
      </w:tr>
    </w:tbl>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0940"/>
          </w:cols>
          <w:pgMar w:left="320" w:top="447" w:right="6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Corporate Reputation</w:t>
      </w:r>
    </w:p>
    <w:p>
      <w:pPr>
        <w:sectPr>
          <w:pgSz w:w="11900" w:h="16838" w:orient="portrait"/>
          <w:cols w:equalWidth="0" w:num="1">
            <w:col w:w="10760"/>
          </w:cols>
          <w:pgMar w:left="320" w:top="447" w:right="819" w:bottom="1440" w:gutter="0" w:footer="0" w:header="0"/>
        </w:sectPr>
      </w:pPr>
    </w:p>
    <w:p>
      <w:pPr>
        <w:spacing w:after="0" w:line="12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hanging="3"/>
        <w:spacing w:after="0" w:line="266" w:lineRule="auto"/>
        <w:rPr>
          <w:sz w:val="20"/>
          <w:szCs w:val="20"/>
          <w:color w:val="auto"/>
        </w:rPr>
      </w:pPr>
      <w:r>
        <w:rPr>
          <w:rFonts w:ascii="Arial" w:cs="Arial" w:eastAsia="Arial" w:hAnsi="Arial"/>
          <w:sz w:val="17"/>
          <w:szCs w:val="17"/>
          <w:color w:val="auto"/>
        </w:rPr>
        <w:t>Clarivate Top 100 Global Innovators</w:t>
      </w:r>
      <w:r>
        <w:rPr>
          <w:rFonts w:ascii="Arial" w:cs="Arial" w:eastAsia="Arial" w:hAnsi="Arial"/>
          <w:sz w:val="14"/>
          <w:szCs w:val="14"/>
          <w:color w:val="auto"/>
        </w:rPr>
        <w:t>™</w:t>
      </w:r>
      <w:r>
        <w:rPr>
          <w:rFonts w:ascii="Arial" w:cs="Arial" w:eastAsia="Arial" w:hAnsi="Arial"/>
          <w:sz w:val="17"/>
          <w:szCs w:val="17"/>
          <w:color w:val="auto"/>
        </w:rPr>
        <w:t xml:space="preserve"> (2016–2021) — Recognizes companies at the pinnacle of the global innovation landscape by measuring the ideation culture that produces patents</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Shingo Accreditation (2021)</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 Global recognition for premier quality and operational</w:t>
      </w:r>
    </w:p>
    <w:p>
      <w:pPr>
        <w:spacing w:after="0" w:line="1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excellence; ADI Limerick is the first semiconductor site in the</w:t>
      </w:r>
    </w:p>
    <w:p>
      <w:pPr>
        <w:spacing w:after="0" w:line="2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world to achieve this</w:t>
      </w:r>
    </w:p>
    <w:p>
      <w:pPr>
        <w:spacing w:after="0" w:line="233" w:lineRule="exact"/>
        <w:rPr>
          <w:sz w:val="20"/>
          <w:szCs w:val="20"/>
          <w:color w:val="auto"/>
        </w:rPr>
      </w:pPr>
    </w:p>
    <w:p>
      <w:pPr>
        <w:sectPr>
          <w:pgSz w:w="11900" w:h="16838" w:orient="portrait"/>
          <w:cols w:equalWidth="0" w:num="4">
            <w:col w:w="540" w:space="300"/>
            <w:col w:w="4400" w:space="480"/>
            <w:col w:w="60" w:space="300"/>
            <w:col w:w="4680"/>
          </w:cols>
          <w:pgMar w:left="320" w:top="447" w:right="819" w:bottom="1440" w:gutter="0" w:footer="0" w:header="0"/>
          <w:type w:val="continuous"/>
        </w:sectPr>
      </w:pPr>
    </w:p>
    <w:p>
      <w:pPr>
        <w:spacing w:after="0" w:line="144" w:lineRule="exact"/>
        <w:rPr>
          <w:sz w:val="20"/>
          <w:szCs w:val="20"/>
          <w:color w:val="auto"/>
        </w:rPr>
      </w:pPr>
    </w:p>
    <w:p>
      <w:pPr>
        <w:ind w:left="480" w:right="20"/>
        <w:spacing w:after="0" w:line="356" w:lineRule="auto"/>
        <w:rPr>
          <w:sz w:val="20"/>
          <w:szCs w:val="20"/>
          <w:color w:val="auto"/>
        </w:rPr>
      </w:pPr>
      <w:r>
        <w:rPr>
          <w:rFonts w:ascii="Arial" w:cs="Arial" w:eastAsia="Arial" w:hAnsi="Arial"/>
          <w:sz w:val="15"/>
          <w:szCs w:val="15"/>
          <w:color w:val="auto"/>
        </w:rPr>
        <w:t>For more information about our corporate responsibility efforts, please refer to our Corporate Responsibility Report available at analog.com/csr. We are not including the information contained in our Corporate Responsibility Report in, or incorporating it by reference into, this proxy statement.</w:t>
      </w:r>
    </w:p>
    <w:p>
      <w:pPr>
        <w:spacing w:after="0" w:line="92"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33333"/>
        </w:rPr>
        <w:t>Director Compensation</w:t>
      </w:r>
    </w:p>
    <w:p>
      <w:pPr>
        <w:spacing w:after="0" w:line="125" w:lineRule="exact"/>
        <w:rPr>
          <w:sz w:val="20"/>
          <w:szCs w:val="20"/>
          <w:color w:val="auto"/>
        </w:rPr>
      </w:pPr>
    </w:p>
    <w:p>
      <w:pPr>
        <w:ind w:left="480" w:right="60"/>
        <w:spacing w:after="0" w:line="283" w:lineRule="auto"/>
        <w:rPr>
          <w:sz w:val="20"/>
          <w:szCs w:val="20"/>
          <w:color w:val="auto"/>
        </w:rPr>
      </w:pPr>
      <w:r>
        <w:rPr>
          <w:rFonts w:ascii="Arial" w:cs="Arial" w:eastAsia="Arial" w:hAnsi="Arial"/>
          <w:sz w:val="16"/>
          <w:szCs w:val="16"/>
          <w:color w:val="auto"/>
        </w:rPr>
        <w:t>Our non-employee director compensation program is designed to attract and retain experienced and knowledgeable directors and to provide equity-based compensation to align the interests of our directors with those of our shareholders. Each non-employee director receives an annual cash retainer and an annual equity award in the form of RSUs. To reflect their additional responsibilities, the Chairs and members of all committees receive an additional cash retainer. The Presiding Director also receives an additional cash retainer. Mr. Roche, as an employee director, does not receive any additional compensation for his services as director or as Chair of the Corporate Development Committee.</w:t>
      </w:r>
    </w:p>
    <w:p>
      <w:pPr>
        <w:spacing w:after="0" w:line="60" w:lineRule="exact"/>
        <w:rPr>
          <w:sz w:val="20"/>
          <w:szCs w:val="20"/>
          <w:color w:val="auto"/>
        </w:rPr>
      </w:pPr>
    </w:p>
    <w:p>
      <w:pPr>
        <w:ind w:left="480"/>
        <w:spacing w:after="0" w:line="296" w:lineRule="auto"/>
        <w:rPr>
          <w:sz w:val="20"/>
          <w:szCs w:val="20"/>
          <w:color w:val="auto"/>
        </w:rPr>
      </w:pPr>
      <w:r>
        <w:rPr>
          <w:rFonts w:ascii="Arial" w:cs="Arial" w:eastAsia="Arial" w:hAnsi="Arial"/>
          <w:sz w:val="15"/>
          <w:szCs w:val="15"/>
          <w:color w:val="auto"/>
        </w:rPr>
        <w:t>The Board of Directors has delegated to the Compensation Committee the responsibility to review and recommend to the Board of Directors any proposed changes to non-employee director compensation. Annually, the Compensation Committee reviews with Pearl Meyer, the Compensation Committee’s independent compensation consultant, non-employee director compensation information for our peer group to check the alignment of our non-employee director compensation package with market practice and current trends. The Compensation Committee then makes recommendations to the full Board with respect to compensation of our non-employee directors, and the full Board reviews these recommendations and makes a final determination. In fiscal 2021 we granted 100% of the value of the annual equity award to each of our non-employee directors in the form of time-based RSUs. These RSUs vest in full on the earlier of the first anniversary of the date of grant or the date of the Company’s next annual meeting of shareholders. On March 10, 2021, we granted each non- employee director 1,435 RSUs for services to be provided from that date until the earlier of the first anniversary of the date of the grant or the Company’s next annual meeting of shareholders. On September 15, 2021, each of Mercedes Johnson and Tunç Doluca, who joined the Board of Directors in August 2021 in connection with the Company’s acquisition of Maxim Integrated, was granted 685 RSUs for services to be provided from the date of their initial elections as directors through the Annual Meeting.</w:t>
      </w:r>
    </w:p>
    <w:p>
      <w:pPr>
        <w:spacing w:after="0" w:line="5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details the total compensation earned by our non-employee directors in fiscal 2021.</w:t>
      </w:r>
    </w:p>
    <w:p>
      <w:pPr>
        <w:spacing w:after="0" w:line="209"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0066BA"/>
        </w:rPr>
        <w:t>Fiscal 2021 Director Compensation</w:t>
      </w:r>
    </w:p>
    <w:p>
      <w:pPr>
        <w:spacing w:after="0" w:line="150"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3620" w:type="dxa"/>
            <w:vAlign w:val="bottom"/>
            <w:shd w:val="clear" w:color="auto" w:fill="0066BA"/>
          </w:tcPr>
          <w:p>
            <w:pPr>
              <w:spacing w:after="0"/>
              <w:rPr>
                <w:sz w:val="18"/>
                <w:szCs w:val="18"/>
                <w:color w:val="auto"/>
              </w:rPr>
            </w:pPr>
          </w:p>
        </w:tc>
        <w:tc>
          <w:tcPr>
            <w:tcW w:w="2040" w:type="dxa"/>
            <w:vAlign w:val="bottom"/>
            <w:shd w:val="clear" w:color="auto" w:fill="0066BA"/>
          </w:tcPr>
          <w:p>
            <w:pPr>
              <w:jc w:val="right"/>
              <w:ind w:right="122"/>
              <w:spacing w:after="0"/>
              <w:rPr>
                <w:sz w:val="20"/>
                <w:szCs w:val="20"/>
                <w:color w:val="auto"/>
              </w:rPr>
            </w:pPr>
            <w:r>
              <w:rPr>
                <w:rFonts w:ascii="Arial" w:cs="Arial" w:eastAsia="Arial" w:hAnsi="Arial"/>
                <w:sz w:val="16"/>
                <w:szCs w:val="16"/>
                <w:b w:val="1"/>
                <w:bCs w:val="1"/>
                <w:color w:val="FFFFFF"/>
              </w:rPr>
              <w:t>Fees Earned or Paid in</w:t>
            </w:r>
          </w:p>
        </w:tc>
        <w:tc>
          <w:tcPr>
            <w:tcW w:w="1520" w:type="dxa"/>
            <w:vAlign w:val="bottom"/>
            <w:shd w:val="clear" w:color="auto" w:fill="0066BA"/>
          </w:tcPr>
          <w:p>
            <w:pPr>
              <w:jc w:val="right"/>
              <w:ind w:right="142"/>
              <w:spacing w:after="0"/>
              <w:rPr>
                <w:sz w:val="20"/>
                <w:szCs w:val="20"/>
                <w:color w:val="auto"/>
              </w:rPr>
            </w:pPr>
            <w:r>
              <w:rPr>
                <w:rFonts w:ascii="Arial" w:cs="Arial" w:eastAsia="Arial" w:hAnsi="Arial"/>
                <w:sz w:val="16"/>
                <w:szCs w:val="16"/>
                <w:b w:val="1"/>
                <w:bCs w:val="1"/>
                <w:color w:val="FFFFFF"/>
              </w:rPr>
              <w:t>Stock Awards</w:t>
            </w:r>
          </w:p>
        </w:tc>
        <w:tc>
          <w:tcPr>
            <w:tcW w:w="1940" w:type="dxa"/>
            <w:vAlign w:val="bottom"/>
            <w:shd w:val="clear" w:color="auto" w:fill="0066BA"/>
          </w:tcPr>
          <w:p>
            <w:pPr>
              <w:jc w:val="right"/>
              <w:ind w:right="122"/>
              <w:spacing w:after="0"/>
              <w:rPr>
                <w:sz w:val="20"/>
                <w:szCs w:val="20"/>
                <w:color w:val="auto"/>
              </w:rPr>
            </w:pPr>
            <w:r>
              <w:rPr>
                <w:rFonts w:ascii="Arial" w:cs="Arial" w:eastAsia="Arial" w:hAnsi="Arial"/>
                <w:sz w:val="16"/>
                <w:szCs w:val="16"/>
                <w:b w:val="1"/>
                <w:bCs w:val="1"/>
                <w:color w:val="FFFFFF"/>
              </w:rPr>
              <w:t>All Other</w:t>
            </w:r>
          </w:p>
        </w:tc>
        <w:tc>
          <w:tcPr>
            <w:tcW w:w="1160" w:type="dxa"/>
            <w:vAlign w:val="bottom"/>
            <w:shd w:val="clear" w:color="auto" w:fill="0066BA"/>
          </w:tcPr>
          <w:p>
            <w:pPr>
              <w:spacing w:after="0"/>
              <w:rPr>
                <w:sz w:val="18"/>
                <w:szCs w:val="18"/>
                <w:color w:val="auto"/>
              </w:rPr>
            </w:pPr>
          </w:p>
        </w:tc>
      </w:tr>
      <w:tr>
        <w:trPr>
          <w:trHeight w:val="228"/>
        </w:trPr>
        <w:tc>
          <w:tcPr>
            <w:tcW w:w="3620" w:type="dxa"/>
            <w:vAlign w:val="bottom"/>
            <w:tcBorders>
              <w:bottom w:val="single" w:sz="8" w:color="0066BA"/>
            </w:tcBorders>
            <w:shd w:val="clear" w:color="auto" w:fill="0066BA"/>
          </w:tcPr>
          <w:p>
            <w:pPr>
              <w:ind w:left="60"/>
              <w:spacing w:after="0"/>
              <w:rPr>
                <w:sz w:val="20"/>
                <w:szCs w:val="20"/>
                <w:color w:val="auto"/>
              </w:rPr>
            </w:pPr>
            <w:r>
              <w:rPr>
                <w:rFonts w:ascii="Arial" w:cs="Arial" w:eastAsia="Arial" w:hAnsi="Arial"/>
                <w:sz w:val="16"/>
                <w:szCs w:val="16"/>
                <w:b w:val="1"/>
                <w:bCs w:val="1"/>
                <w:color w:val="FFFFFF"/>
              </w:rPr>
              <w:t>Name</w:t>
            </w:r>
          </w:p>
        </w:tc>
        <w:tc>
          <w:tcPr>
            <w:tcW w:w="2040" w:type="dxa"/>
            <w:vAlign w:val="bottom"/>
            <w:tcBorders>
              <w:bottom w:val="single" w:sz="8" w:color="0066BA"/>
            </w:tcBorders>
            <w:shd w:val="clear" w:color="auto" w:fill="0066BA"/>
          </w:tcPr>
          <w:p>
            <w:pPr>
              <w:jc w:val="right"/>
              <w:ind w:right="122"/>
              <w:spacing w:after="0"/>
              <w:rPr>
                <w:sz w:val="20"/>
                <w:szCs w:val="20"/>
                <w:color w:val="auto"/>
              </w:rPr>
            </w:pPr>
            <w:r>
              <w:rPr>
                <w:rFonts w:ascii="Arial" w:cs="Arial" w:eastAsia="Arial" w:hAnsi="Arial"/>
                <w:sz w:val="16"/>
                <w:szCs w:val="16"/>
                <w:b w:val="1"/>
                <w:bCs w:val="1"/>
                <w:color w:val="FFFFFF"/>
              </w:rPr>
              <w:t>Cash ($) (1)</w:t>
            </w:r>
          </w:p>
        </w:tc>
        <w:tc>
          <w:tcPr>
            <w:tcW w:w="1520" w:type="dxa"/>
            <w:vAlign w:val="bottom"/>
            <w:tcBorders>
              <w:bottom w:val="single" w:sz="8" w:color="0066BA"/>
            </w:tcBorders>
            <w:shd w:val="clear" w:color="auto" w:fill="0066BA"/>
          </w:tcPr>
          <w:p>
            <w:pPr>
              <w:jc w:val="right"/>
              <w:ind w:right="142"/>
              <w:spacing w:after="0"/>
              <w:rPr>
                <w:sz w:val="20"/>
                <w:szCs w:val="20"/>
                <w:color w:val="auto"/>
              </w:rPr>
            </w:pPr>
            <w:r>
              <w:rPr>
                <w:rFonts w:ascii="Arial" w:cs="Arial" w:eastAsia="Arial" w:hAnsi="Arial"/>
                <w:sz w:val="16"/>
                <w:szCs w:val="16"/>
                <w:b w:val="1"/>
                <w:bCs w:val="1"/>
                <w:color w:val="FFFFFF"/>
              </w:rPr>
              <w:t>($)(2) (3)</w:t>
            </w:r>
          </w:p>
        </w:tc>
        <w:tc>
          <w:tcPr>
            <w:tcW w:w="1940" w:type="dxa"/>
            <w:vAlign w:val="bottom"/>
            <w:tcBorders>
              <w:bottom w:val="single" w:sz="8" w:color="0066BA"/>
            </w:tcBorders>
            <w:shd w:val="clear" w:color="auto" w:fill="0066BA"/>
          </w:tcPr>
          <w:p>
            <w:pPr>
              <w:jc w:val="right"/>
              <w:ind w:right="122"/>
              <w:spacing w:after="0"/>
              <w:rPr>
                <w:sz w:val="20"/>
                <w:szCs w:val="20"/>
                <w:color w:val="auto"/>
              </w:rPr>
            </w:pPr>
            <w:r>
              <w:rPr>
                <w:rFonts w:ascii="Arial" w:cs="Arial" w:eastAsia="Arial" w:hAnsi="Arial"/>
                <w:sz w:val="16"/>
                <w:szCs w:val="16"/>
                <w:b w:val="1"/>
                <w:bCs w:val="1"/>
                <w:color w:val="FFFFFF"/>
              </w:rPr>
              <w:t>Compensation ($)(4)</w:t>
            </w:r>
          </w:p>
        </w:tc>
        <w:tc>
          <w:tcPr>
            <w:tcW w:w="1160" w:type="dxa"/>
            <w:vAlign w:val="bottom"/>
            <w:tcBorders>
              <w:bottom w:val="single" w:sz="8" w:color="0066BA"/>
            </w:tcBorders>
            <w:shd w:val="clear" w:color="auto" w:fill="0066BA"/>
          </w:tcPr>
          <w:p>
            <w:pPr>
              <w:jc w:val="right"/>
              <w:ind w:right="142"/>
              <w:spacing w:after="0"/>
              <w:rPr>
                <w:sz w:val="20"/>
                <w:szCs w:val="20"/>
                <w:color w:val="auto"/>
              </w:rPr>
            </w:pPr>
            <w:r>
              <w:rPr>
                <w:rFonts w:ascii="Arial" w:cs="Arial" w:eastAsia="Arial" w:hAnsi="Arial"/>
                <w:sz w:val="16"/>
                <w:szCs w:val="16"/>
                <w:b w:val="1"/>
                <w:bCs w:val="1"/>
                <w:color w:val="FFFFFF"/>
              </w:rPr>
              <w:t>Total ($)</w:t>
            </w:r>
          </w:p>
        </w:tc>
      </w:tr>
      <w:tr>
        <w:trPr>
          <w:trHeight w:val="214"/>
        </w:trPr>
        <w:tc>
          <w:tcPr>
            <w:tcW w:w="36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66BA"/>
              </w:rPr>
              <w:t>James A. Champy</w:t>
            </w:r>
          </w:p>
        </w:tc>
        <w:tc>
          <w:tcPr>
            <w:tcW w:w="2040" w:type="dxa"/>
            <w:vAlign w:val="bottom"/>
            <w:tcBorders>
              <w:bottom w:val="single" w:sz="8" w:color="auto"/>
            </w:tcBorders>
            <w:shd w:val="clear" w:color="auto" w:fill="EAEAEA"/>
          </w:tcPr>
          <w:p>
            <w:pPr>
              <w:jc w:val="right"/>
              <w:ind w:right="122"/>
              <w:spacing w:after="0"/>
              <w:rPr>
                <w:sz w:val="20"/>
                <w:szCs w:val="20"/>
                <w:color w:val="auto"/>
              </w:rPr>
            </w:pPr>
            <w:r>
              <w:rPr>
                <w:rFonts w:ascii="Arial" w:cs="Arial" w:eastAsia="Arial" w:hAnsi="Arial"/>
                <w:sz w:val="16"/>
                <w:szCs w:val="16"/>
                <w:color w:val="auto"/>
              </w:rPr>
              <w:t>125,000</w:t>
            </w:r>
          </w:p>
        </w:tc>
        <w:tc>
          <w:tcPr>
            <w:tcW w:w="15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207,144</w:t>
            </w:r>
          </w:p>
        </w:tc>
        <w:tc>
          <w:tcPr>
            <w:tcW w:w="1940" w:type="dxa"/>
            <w:vAlign w:val="bottom"/>
            <w:tcBorders>
              <w:bottom w:val="single" w:sz="8" w:color="auto"/>
            </w:tcBorders>
            <w:shd w:val="clear" w:color="auto" w:fill="EAEAEA"/>
          </w:tcPr>
          <w:p>
            <w:pPr>
              <w:ind w:left="15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332,144</w:t>
            </w:r>
          </w:p>
        </w:tc>
      </w:tr>
      <w:tr>
        <w:trPr>
          <w:trHeight w:val="214"/>
        </w:trPr>
        <w:tc>
          <w:tcPr>
            <w:tcW w:w="36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66BA"/>
              </w:rPr>
              <w:t>Anantha P. Chandrakasan</w:t>
            </w:r>
          </w:p>
        </w:tc>
        <w:tc>
          <w:tcPr>
            <w:tcW w:w="2040" w:type="dxa"/>
            <w:vAlign w:val="bottom"/>
            <w:tcBorders>
              <w:bottom w:val="single" w:sz="8" w:color="auto"/>
            </w:tcBorders>
            <w:shd w:val="clear" w:color="auto" w:fill="EAEAEA"/>
          </w:tcPr>
          <w:p>
            <w:pPr>
              <w:jc w:val="right"/>
              <w:ind w:right="122"/>
              <w:spacing w:after="0"/>
              <w:rPr>
                <w:sz w:val="20"/>
                <w:szCs w:val="20"/>
                <w:color w:val="auto"/>
              </w:rPr>
            </w:pPr>
            <w:r>
              <w:rPr>
                <w:rFonts w:ascii="Arial" w:cs="Arial" w:eastAsia="Arial" w:hAnsi="Arial"/>
                <w:sz w:val="16"/>
                <w:szCs w:val="16"/>
                <w:color w:val="auto"/>
              </w:rPr>
              <w:t>93,778</w:t>
            </w:r>
          </w:p>
        </w:tc>
        <w:tc>
          <w:tcPr>
            <w:tcW w:w="15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207,144</w:t>
            </w:r>
          </w:p>
        </w:tc>
        <w:tc>
          <w:tcPr>
            <w:tcW w:w="1940" w:type="dxa"/>
            <w:vAlign w:val="bottom"/>
            <w:tcBorders>
              <w:bottom w:val="single" w:sz="8" w:color="auto"/>
            </w:tcBorders>
            <w:shd w:val="clear" w:color="auto" w:fill="EAEAEA"/>
          </w:tcPr>
          <w:p>
            <w:pPr>
              <w:ind w:left="15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300,922</w:t>
            </w:r>
          </w:p>
        </w:tc>
      </w:tr>
      <w:tr>
        <w:trPr>
          <w:trHeight w:val="214"/>
        </w:trPr>
        <w:tc>
          <w:tcPr>
            <w:tcW w:w="36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66BA"/>
              </w:rPr>
              <w:t>Tunç Doluca (5)</w:t>
            </w:r>
          </w:p>
        </w:tc>
        <w:tc>
          <w:tcPr>
            <w:tcW w:w="2040" w:type="dxa"/>
            <w:vAlign w:val="bottom"/>
            <w:tcBorders>
              <w:bottom w:val="single" w:sz="8" w:color="auto"/>
            </w:tcBorders>
            <w:shd w:val="clear" w:color="auto" w:fill="EAEAEA"/>
          </w:tcPr>
          <w:p>
            <w:pPr>
              <w:jc w:val="right"/>
              <w:ind w:right="122"/>
              <w:spacing w:after="0"/>
              <w:rPr>
                <w:sz w:val="20"/>
                <w:szCs w:val="20"/>
                <w:color w:val="auto"/>
              </w:rPr>
            </w:pPr>
            <w:r>
              <w:rPr>
                <w:rFonts w:ascii="Arial" w:cs="Arial" w:eastAsia="Arial" w:hAnsi="Arial"/>
                <w:sz w:val="16"/>
                <w:szCs w:val="16"/>
                <w:color w:val="auto"/>
              </w:rPr>
              <w:t>14,444</w:t>
            </w:r>
          </w:p>
        </w:tc>
        <w:tc>
          <w:tcPr>
            <w:tcW w:w="15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117,354</w:t>
            </w:r>
          </w:p>
        </w:tc>
        <w:tc>
          <w:tcPr>
            <w:tcW w:w="1940" w:type="dxa"/>
            <w:vAlign w:val="bottom"/>
            <w:tcBorders>
              <w:bottom w:val="single" w:sz="8" w:color="auto"/>
            </w:tcBorders>
            <w:shd w:val="clear" w:color="auto" w:fill="EAEAEA"/>
          </w:tcPr>
          <w:p>
            <w:pPr>
              <w:ind w:left="15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131,798</w:t>
            </w:r>
          </w:p>
        </w:tc>
      </w:tr>
      <w:tr>
        <w:trPr>
          <w:trHeight w:val="214"/>
        </w:trPr>
        <w:tc>
          <w:tcPr>
            <w:tcW w:w="36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66BA"/>
              </w:rPr>
              <w:t>Bruce R. Evans</w:t>
            </w:r>
          </w:p>
        </w:tc>
        <w:tc>
          <w:tcPr>
            <w:tcW w:w="2040" w:type="dxa"/>
            <w:vAlign w:val="bottom"/>
            <w:tcBorders>
              <w:bottom w:val="single" w:sz="8" w:color="auto"/>
            </w:tcBorders>
            <w:shd w:val="clear" w:color="auto" w:fill="EAEAEA"/>
          </w:tcPr>
          <w:p>
            <w:pPr>
              <w:jc w:val="right"/>
              <w:ind w:right="122"/>
              <w:spacing w:after="0"/>
              <w:rPr>
                <w:sz w:val="20"/>
                <w:szCs w:val="20"/>
                <w:color w:val="auto"/>
              </w:rPr>
            </w:pPr>
            <w:r>
              <w:rPr>
                <w:rFonts w:ascii="Arial" w:cs="Arial" w:eastAsia="Arial" w:hAnsi="Arial"/>
                <w:sz w:val="16"/>
                <w:szCs w:val="16"/>
                <w:color w:val="auto"/>
              </w:rPr>
              <w:t>98,778</w:t>
            </w:r>
          </w:p>
        </w:tc>
        <w:tc>
          <w:tcPr>
            <w:tcW w:w="15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207,144</w:t>
            </w:r>
          </w:p>
        </w:tc>
        <w:tc>
          <w:tcPr>
            <w:tcW w:w="1940" w:type="dxa"/>
            <w:vAlign w:val="bottom"/>
            <w:tcBorders>
              <w:bottom w:val="single" w:sz="8" w:color="auto"/>
            </w:tcBorders>
            <w:shd w:val="clear" w:color="auto" w:fill="EAEAEA"/>
          </w:tcPr>
          <w:p>
            <w:pPr>
              <w:ind w:left="15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305,922</w:t>
            </w:r>
          </w:p>
        </w:tc>
      </w:tr>
      <w:tr>
        <w:trPr>
          <w:trHeight w:val="214"/>
        </w:trPr>
        <w:tc>
          <w:tcPr>
            <w:tcW w:w="36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66BA"/>
              </w:rPr>
              <w:t>Edward H. Frank</w:t>
            </w:r>
          </w:p>
        </w:tc>
        <w:tc>
          <w:tcPr>
            <w:tcW w:w="2040" w:type="dxa"/>
            <w:vAlign w:val="bottom"/>
            <w:tcBorders>
              <w:bottom w:val="single" w:sz="8" w:color="auto"/>
            </w:tcBorders>
            <w:shd w:val="clear" w:color="auto" w:fill="EAEAEA"/>
          </w:tcPr>
          <w:p>
            <w:pPr>
              <w:jc w:val="right"/>
              <w:ind w:right="122"/>
              <w:spacing w:after="0"/>
              <w:rPr>
                <w:sz w:val="20"/>
                <w:szCs w:val="20"/>
                <w:color w:val="auto"/>
              </w:rPr>
            </w:pPr>
            <w:r>
              <w:rPr>
                <w:rFonts w:ascii="Arial" w:cs="Arial" w:eastAsia="Arial" w:hAnsi="Arial"/>
                <w:sz w:val="16"/>
                <w:szCs w:val="16"/>
                <w:color w:val="auto"/>
              </w:rPr>
              <w:t>103,779</w:t>
            </w:r>
          </w:p>
        </w:tc>
        <w:tc>
          <w:tcPr>
            <w:tcW w:w="15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207,144</w:t>
            </w:r>
          </w:p>
        </w:tc>
        <w:tc>
          <w:tcPr>
            <w:tcW w:w="1940" w:type="dxa"/>
            <w:vAlign w:val="bottom"/>
            <w:tcBorders>
              <w:bottom w:val="single" w:sz="8" w:color="auto"/>
            </w:tcBorders>
            <w:shd w:val="clear" w:color="auto" w:fill="EAEAEA"/>
          </w:tcPr>
          <w:p>
            <w:pPr>
              <w:ind w:left="15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310,923</w:t>
            </w:r>
          </w:p>
        </w:tc>
      </w:tr>
      <w:tr>
        <w:trPr>
          <w:trHeight w:val="214"/>
        </w:trPr>
        <w:tc>
          <w:tcPr>
            <w:tcW w:w="36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66BA"/>
              </w:rPr>
              <w:t>Laurie H. Glimcher</w:t>
            </w:r>
          </w:p>
        </w:tc>
        <w:tc>
          <w:tcPr>
            <w:tcW w:w="2040" w:type="dxa"/>
            <w:vAlign w:val="bottom"/>
            <w:tcBorders>
              <w:bottom w:val="single" w:sz="8" w:color="auto"/>
            </w:tcBorders>
            <w:shd w:val="clear" w:color="auto" w:fill="EAEAEA"/>
          </w:tcPr>
          <w:p>
            <w:pPr>
              <w:jc w:val="right"/>
              <w:ind w:right="122"/>
              <w:spacing w:after="0"/>
              <w:rPr>
                <w:sz w:val="20"/>
                <w:szCs w:val="20"/>
                <w:color w:val="auto"/>
              </w:rPr>
            </w:pPr>
            <w:r>
              <w:rPr>
                <w:rFonts w:ascii="Arial" w:cs="Arial" w:eastAsia="Arial" w:hAnsi="Arial"/>
                <w:sz w:val="16"/>
                <w:szCs w:val="16"/>
                <w:color w:val="auto"/>
              </w:rPr>
              <w:t>90,000</w:t>
            </w:r>
          </w:p>
        </w:tc>
        <w:tc>
          <w:tcPr>
            <w:tcW w:w="15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207,144</w:t>
            </w:r>
          </w:p>
        </w:tc>
        <w:tc>
          <w:tcPr>
            <w:tcW w:w="1940" w:type="dxa"/>
            <w:vAlign w:val="bottom"/>
            <w:tcBorders>
              <w:bottom w:val="single" w:sz="8" w:color="auto"/>
            </w:tcBorders>
            <w:shd w:val="clear" w:color="auto" w:fill="EAEAEA"/>
          </w:tcPr>
          <w:p>
            <w:pPr>
              <w:ind w:left="15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297,144</w:t>
            </w:r>
          </w:p>
        </w:tc>
      </w:tr>
      <w:tr>
        <w:trPr>
          <w:trHeight w:val="214"/>
        </w:trPr>
        <w:tc>
          <w:tcPr>
            <w:tcW w:w="36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66BA"/>
              </w:rPr>
              <w:t>Karen M. Golz</w:t>
            </w:r>
          </w:p>
        </w:tc>
        <w:tc>
          <w:tcPr>
            <w:tcW w:w="2040" w:type="dxa"/>
            <w:vAlign w:val="bottom"/>
            <w:tcBorders>
              <w:bottom w:val="single" w:sz="8" w:color="auto"/>
            </w:tcBorders>
            <w:shd w:val="clear" w:color="auto" w:fill="EAEAEA"/>
          </w:tcPr>
          <w:p>
            <w:pPr>
              <w:jc w:val="right"/>
              <w:ind w:right="122"/>
              <w:spacing w:after="0"/>
              <w:rPr>
                <w:sz w:val="20"/>
                <w:szCs w:val="20"/>
                <w:color w:val="auto"/>
              </w:rPr>
            </w:pPr>
            <w:r>
              <w:rPr>
                <w:rFonts w:ascii="Arial" w:cs="Arial" w:eastAsia="Arial" w:hAnsi="Arial"/>
                <w:sz w:val="16"/>
                <w:szCs w:val="16"/>
                <w:color w:val="auto"/>
              </w:rPr>
              <w:t>97,708</w:t>
            </w:r>
          </w:p>
        </w:tc>
        <w:tc>
          <w:tcPr>
            <w:tcW w:w="15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207,144</w:t>
            </w:r>
          </w:p>
        </w:tc>
        <w:tc>
          <w:tcPr>
            <w:tcW w:w="1940" w:type="dxa"/>
            <w:vAlign w:val="bottom"/>
            <w:tcBorders>
              <w:bottom w:val="single" w:sz="8" w:color="auto"/>
            </w:tcBorders>
            <w:shd w:val="clear" w:color="auto" w:fill="EAEAEA"/>
          </w:tcPr>
          <w:p>
            <w:pPr>
              <w:ind w:left="15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304,852</w:t>
            </w:r>
          </w:p>
        </w:tc>
      </w:tr>
      <w:tr>
        <w:trPr>
          <w:trHeight w:val="214"/>
        </w:trPr>
        <w:tc>
          <w:tcPr>
            <w:tcW w:w="36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66BA"/>
              </w:rPr>
              <w:t>Mercedes Johnson (5)</w:t>
            </w:r>
          </w:p>
        </w:tc>
        <w:tc>
          <w:tcPr>
            <w:tcW w:w="2040" w:type="dxa"/>
            <w:vAlign w:val="bottom"/>
            <w:tcBorders>
              <w:bottom w:val="single" w:sz="8" w:color="auto"/>
            </w:tcBorders>
            <w:shd w:val="clear" w:color="auto" w:fill="EAEAEA"/>
          </w:tcPr>
          <w:p>
            <w:pPr>
              <w:jc w:val="right"/>
              <w:ind w:right="122"/>
              <w:spacing w:after="0"/>
              <w:rPr>
                <w:sz w:val="20"/>
                <w:szCs w:val="20"/>
                <w:color w:val="auto"/>
              </w:rPr>
            </w:pPr>
            <w:r>
              <w:rPr>
                <w:rFonts w:ascii="Arial" w:cs="Arial" w:eastAsia="Arial" w:hAnsi="Arial"/>
                <w:sz w:val="16"/>
                <w:szCs w:val="16"/>
                <w:color w:val="auto"/>
              </w:rPr>
              <w:t>17,152</w:t>
            </w:r>
          </w:p>
        </w:tc>
        <w:tc>
          <w:tcPr>
            <w:tcW w:w="15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117,354</w:t>
            </w:r>
          </w:p>
        </w:tc>
        <w:tc>
          <w:tcPr>
            <w:tcW w:w="1940" w:type="dxa"/>
            <w:vAlign w:val="bottom"/>
            <w:tcBorders>
              <w:bottom w:val="single" w:sz="8" w:color="auto"/>
            </w:tcBorders>
            <w:shd w:val="clear" w:color="auto" w:fill="EAEAEA"/>
          </w:tcPr>
          <w:p>
            <w:pPr>
              <w:ind w:left="15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134,506</w:t>
            </w:r>
          </w:p>
        </w:tc>
      </w:tr>
      <w:tr>
        <w:trPr>
          <w:trHeight w:val="214"/>
        </w:trPr>
        <w:tc>
          <w:tcPr>
            <w:tcW w:w="36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66BA"/>
              </w:rPr>
              <w:t>Mark M. Little</w:t>
            </w:r>
          </w:p>
        </w:tc>
        <w:tc>
          <w:tcPr>
            <w:tcW w:w="2040" w:type="dxa"/>
            <w:vAlign w:val="bottom"/>
            <w:tcBorders>
              <w:bottom w:val="single" w:sz="8" w:color="auto"/>
            </w:tcBorders>
            <w:shd w:val="clear" w:color="auto" w:fill="EAEAEA"/>
          </w:tcPr>
          <w:p>
            <w:pPr>
              <w:jc w:val="right"/>
              <w:ind w:right="122"/>
              <w:spacing w:after="0"/>
              <w:rPr>
                <w:sz w:val="20"/>
                <w:szCs w:val="20"/>
                <w:color w:val="auto"/>
              </w:rPr>
            </w:pPr>
            <w:r>
              <w:rPr>
                <w:rFonts w:ascii="Arial" w:cs="Arial" w:eastAsia="Arial" w:hAnsi="Arial"/>
                <w:sz w:val="16"/>
                <w:szCs w:val="16"/>
                <w:color w:val="auto"/>
              </w:rPr>
              <w:t>90,000</w:t>
            </w:r>
          </w:p>
        </w:tc>
        <w:tc>
          <w:tcPr>
            <w:tcW w:w="15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207,144</w:t>
            </w:r>
          </w:p>
        </w:tc>
        <w:tc>
          <w:tcPr>
            <w:tcW w:w="1940" w:type="dxa"/>
            <w:vAlign w:val="bottom"/>
            <w:tcBorders>
              <w:bottom w:val="single" w:sz="8" w:color="auto"/>
            </w:tcBorders>
            <w:shd w:val="clear" w:color="auto" w:fill="EAEAEA"/>
          </w:tcPr>
          <w:p>
            <w:pPr>
              <w:ind w:left="15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297,144</w:t>
            </w:r>
          </w:p>
        </w:tc>
      </w:tr>
      <w:tr>
        <w:trPr>
          <w:trHeight w:val="214"/>
        </w:trPr>
        <w:tc>
          <w:tcPr>
            <w:tcW w:w="36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66BA"/>
              </w:rPr>
              <w:t>Kenton J. Sicchitano</w:t>
            </w:r>
          </w:p>
        </w:tc>
        <w:tc>
          <w:tcPr>
            <w:tcW w:w="2040" w:type="dxa"/>
            <w:vAlign w:val="bottom"/>
            <w:tcBorders>
              <w:bottom w:val="single" w:sz="8" w:color="auto"/>
            </w:tcBorders>
            <w:shd w:val="clear" w:color="auto" w:fill="EAEAEA"/>
          </w:tcPr>
          <w:p>
            <w:pPr>
              <w:jc w:val="right"/>
              <w:ind w:right="122"/>
              <w:spacing w:after="0"/>
              <w:rPr>
                <w:sz w:val="20"/>
                <w:szCs w:val="20"/>
                <w:color w:val="auto"/>
              </w:rPr>
            </w:pPr>
            <w:r>
              <w:rPr>
                <w:rFonts w:ascii="Arial" w:cs="Arial" w:eastAsia="Arial" w:hAnsi="Arial"/>
                <w:sz w:val="16"/>
                <w:szCs w:val="16"/>
                <w:color w:val="auto"/>
              </w:rPr>
              <w:t>106,388</w:t>
            </w:r>
          </w:p>
        </w:tc>
        <w:tc>
          <w:tcPr>
            <w:tcW w:w="15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207,144</w:t>
            </w:r>
          </w:p>
        </w:tc>
        <w:tc>
          <w:tcPr>
            <w:tcW w:w="1940" w:type="dxa"/>
            <w:vAlign w:val="bottom"/>
            <w:tcBorders>
              <w:bottom w:val="single" w:sz="8" w:color="auto"/>
            </w:tcBorders>
            <w:shd w:val="clear" w:color="auto" w:fill="EAEAEA"/>
          </w:tcPr>
          <w:p>
            <w:pPr>
              <w:ind w:left="15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313,532</w:t>
            </w:r>
          </w:p>
        </w:tc>
      </w:tr>
      <w:tr>
        <w:trPr>
          <w:trHeight w:val="214"/>
        </w:trPr>
        <w:tc>
          <w:tcPr>
            <w:tcW w:w="36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66BA"/>
              </w:rPr>
              <w:t>Ray Stata</w:t>
            </w:r>
          </w:p>
        </w:tc>
        <w:tc>
          <w:tcPr>
            <w:tcW w:w="2040" w:type="dxa"/>
            <w:vAlign w:val="bottom"/>
            <w:tcBorders>
              <w:bottom w:val="single" w:sz="8" w:color="auto"/>
            </w:tcBorders>
            <w:shd w:val="clear" w:color="auto" w:fill="EAEAEA"/>
          </w:tcPr>
          <w:p>
            <w:pPr>
              <w:jc w:val="right"/>
              <w:ind w:right="122"/>
              <w:spacing w:after="0"/>
              <w:rPr>
                <w:sz w:val="20"/>
                <w:szCs w:val="20"/>
                <w:color w:val="auto"/>
              </w:rPr>
            </w:pPr>
            <w:r>
              <w:rPr>
                <w:rFonts w:ascii="Arial" w:cs="Arial" w:eastAsia="Arial" w:hAnsi="Arial"/>
                <w:sz w:val="16"/>
                <w:szCs w:val="16"/>
                <w:color w:val="auto"/>
              </w:rPr>
              <w:t>250,000</w:t>
            </w:r>
          </w:p>
        </w:tc>
        <w:tc>
          <w:tcPr>
            <w:tcW w:w="15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207,144</w:t>
            </w:r>
          </w:p>
        </w:tc>
        <w:tc>
          <w:tcPr>
            <w:tcW w:w="1940" w:type="dxa"/>
            <w:vAlign w:val="bottom"/>
            <w:tcBorders>
              <w:bottom w:val="single" w:sz="8" w:color="auto"/>
            </w:tcBorders>
            <w:shd w:val="clear" w:color="auto" w:fill="EAEAEA"/>
          </w:tcPr>
          <w:p>
            <w:pPr>
              <w:jc w:val="right"/>
              <w:ind w:right="142"/>
              <w:spacing w:after="0"/>
              <w:rPr>
                <w:sz w:val="20"/>
                <w:szCs w:val="20"/>
                <w:color w:val="auto"/>
              </w:rPr>
            </w:pPr>
            <w:r>
              <w:rPr>
                <w:rFonts w:ascii="Arial" w:cs="Arial" w:eastAsia="Arial" w:hAnsi="Arial"/>
                <w:sz w:val="16"/>
                <w:szCs w:val="16"/>
                <w:color w:val="auto"/>
              </w:rPr>
              <w:t>14,948</w:t>
            </w:r>
          </w:p>
        </w:tc>
        <w:tc>
          <w:tcPr>
            <w:tcW w:w="11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472,092</w:t>
            </w:r>
          </w:p>
        </w:tc>
      </w:tr>
      <w:tr>
        <w:trPr>
          <w:trHeight w:val="214"/>
        </w:trPr>
        <w:tc>
          <w:tcPr>
            <w:tcW w:w="3620" w:type="dxa"/>
            <w:vAlign w:val="bottom"/>
            <w:tcBorders>
              <w:bottom w:val="single" w:sz="8" w:color="0066BA"/>
            </w:tcBorders>
          </w:tcPr>
          <w:p>
            <w:pPr>
              <w:ind w:left="60"/>
              <w:spacing w:after="0"/>
              <w:rPr>
                <w:sz w:val="20"/>
                <w:szCs w:val="20"/>
                <w:color w:val="auto"/>
              </w:rPr>
            </w:pPr>
            <w:r>
              <w:rPr>
                <w:rFonts w:ascii="Arial" w:cs="Arial" w:eastAsia="Arial" w:hAnsi="Arial"/>
                <w:sz w:val="16"/>
                <w:szCs w:val="16"/>
                <w:b w:val="1"/>
                <w:bCs w:val="1"/>
                <w:color w:val="0066BA"/>
              </w:rPr>
              <w:t>Susie Wee</w:t>
            </w:r>
          </w:p>
        </w:tc>
        <w:tc>
          <w:tcPr>
            <w:tcW w:w="2040" w:type="dxa"/>
            <w:vAlign w:val="bottom"/>
            <w:tcBorders>
              <w:bottom w:val="single" w:sz="8" w:color="0066BA"/>
            </w:tcBorders>
            <w:shd w:val="clear" w:color="auto" w:fill="EAEAEA"/>
          </w:tcPr>
          <w:p>
            <w:pPr>
              <w:jc w:val="right"/>
              <w:ind w:right="122"/>
              <w:spacing w:after="0"/>
              <w:rPr>
                <w:sz w:val="20"/>
                <w:szCs w:val="20"/>
                <w:color w:val="auto"/>
              </w:rPr>
            </w:pPr>
            <w:r>
              <w:rPr>
                <w:rFonts w:ascii="Arial" w:cs="Arial" w:eastAsia="Arial" w:hAnsi="Arial"/>
                <w:sz w:val="16"/>
                <w:szCs w:val="16"/>
                <w:color w:val="auto"/>
              </w:rPr>
              <w:t>90,000</w:t>
            </w:r>
          </w:p>
        </w:tc>
        <w:tc>
          <w:tcPr>
            <w:tcW w:w="1520" w:type="dxa"/>
            <w:vAlign w:val="bottom"/>
            <w:tcBorders>
              <w:bottom w:val="single" w:sz="8" w:color="0066BA"/>
            </w:tcBorders>
          </w:tcPr>
          <w:p>
            <w:pPr>
              <w:jc w:val="right"/>
              <w:ind w:right="142"/>
              <w:spacing w:after="0"/>
              <w:rPr>
                <w:sz w:val="20"/>
                <w:szCs w:val="20"/>
                <w:color w:val="auto"/>
              </w:rPr>
            </w:pPr>
            <w:r>
              <w:rPr>
                <w:rFonts w:ascii="Arial" w:cs="Arial" w:eastAsia="Arial" w:hAnsi="Arial"/>
                <w:sz w:val="16"/>
                <w:szCs w:val="16"/>
                <w:color w:val="auto"/>
              </w:rPr>
              <w:t>207,144</w:t>
            </w:r>
          </w:p>
        </w:tc>
        <w:tc>
          <w:tcPr>
            <w:tcW w:w="1940" w:type="dxa"/>
            <w:vAlign w:val="bottom"/>
            <w:tcBorders>
              <w:bottom w:val="single" w:sz="8" w:color="0066BA"/>
            </w:tcBorders>
            <w:shd w:val="clear" w:color="auto" w:fill="EAEAEA"/>
          </w:tcPr>
          <w:p>
            <w:pPr>
              <w:ind w:left="15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0066BA"/>
            </w:tcBorders>
          </w:tcPr>
          <w:p>
            <w:pPr>
              <w:jc w:val="right"/>
              <w:ind w:right="142"/>
              <w:spacing w:after="0"/>
              <w:rPr>
                <w:sz w:val="20"/>
                <w:szCs w:val="20"/>
                <w:color w:val="auto"/>
              </w:rPr>
            </w:pPr>
            <w:r>
              <w:rPr>
                <w:rFonts w:ascii="Arial" w:cs="Arial" w:eastAsia="Arial" w:hAnsi="Arial"/>
                <w:sz w:val="16"/>
                <w:szCs w:val="16"/>
                <w:color w:val="auto"/>
              </w:rPr>
              <w:t>297,144</w:t>
            </w:r>
          </w:p>
        </w:tc>
      </w:tr>
    </w:tbl>
    <w:p>
      <w:pPr>
        <w:spacing w:after="0" w:line="53" w:lineRule="exact"/>
        <w:rPr>
          <w:sz w:val="20"/>
          <w:szCs w:val="20"/>
          <w:color w:val="auto"/>
        </w:rPr>
      </w:pPr>
    </w:p>
    <w:p>
      <w:pPr>
        <w:ind w:left="880" w:right="160" w:hanging="405"/>
        <w:spacing w:after="0" w:line="265" w:lineRule="auto"/>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This amount includes an $80,000 annual board retainer. An additional annual retainer of $30,000 was paid to the chair of the Audit Committee, an additional annual retainer of $20,000 was paid to the chair of the Compensation Committee and an additional annual retainer of $20,000 was paid to the chair of the Nominating and Corporate Governance Committee. Mr. Roche, as an employee director, did not receive any additional compensation for his services as director or as Chair of the</w:t>
      </w:r>
    </w:p>
    <w:p>
      <w:pPr>
        <w:spacing w:after="0" w:line="200" w:lineRule="exact"/>
        <w:rPr>
          <w:sz w:val="20"/>
          <w:szCs w:val="20"/>
          <w:color w:val="auto"/>
        </w:rPr>
      </w:pPr>
    </w:p>
    <w:p>
      <w:pPr>
        <w:spacing w:after="0" w:line="22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0760"/>
          </w:cols>
          <w:pgMar w:left="320" w:top="447" w:right="819" w:bottom="1440" w:gutter="0" w:footer="0" w:header="0"/>
          <w:type w:val="continuous"/>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880" w:right="220"/>
        <w:spacing w:after="0" w:line="297" w:lineRule="auto"/>
        <w:rPr>
          <w:sz w:val="20"/>
          <w:szCs w:val="20"/>
          <w:color w:val="auto"/>
        </w:rPr>
      </w:pPr>
      <w:r>
        <w:rPr>
          <w:rFonts w:ascii="Arial" w:cs="Arial" w:eastAsia="Arial" w:hAnsi="Arial"/>
          <w:sz w:val="15"/>
          <w:szCs w:val="15"/>
          <w:color w:val="auto"/>
        </w:rPr>
        <w:t>Corporate Development Committee. The Presiding Director also received an additional annual retainer of $25,000. The members of the Audit Committee (other than the chair) received an additional annual retainer of $15,000, the members of the Compensation Committee (other than the chair) received an additional annual retainer of $10,000, the members of the Nominating and Corporate Governance Committee (other than the chair) received an additional annual retainer of $10,000 and the members of the Corporate Development Committee (other than the chair) received an additional annual retainer of $10,000. For fiscal 2021, Mr. Stata, as Chair of the Board of Directors, received a total annual retainer of $250,000. All cash retainers are paid in quarterly installments each on the 15th day of December, March, June and September of each fiscal year and are pro-rated for a partial year of service. Each director can elect to defer receipt of his or her fees under our Deferred Compensation Plan, or DCP. For more information relating to our DCP, see “Information About Executive Compensation—Non-Qualified Deferred Compensation Plan” below. Dr. Frank and Dr. Gilmcher elected to defer receipt of their fees under the DCP in fiscal 2021.</w:t>
      </w:r>
    </w:p>
    <w:p>
      <w:pPr>
        <w:spacing w:after="0" w:line="69" w:lineRule="exact"/>
        <w:rPr>
          <w:sz w:val="20"/>
          <w:szCs w:val="20"/>
          <w:color w:val="auto"/>
        </w:rPr>
      </w:pPr>
    </w:p>
    <w:p>
      <w:pPr>
        <w:ind w:left="880" w:right="200" w:hanging="405"/>
        <w:spacing w:after="0" w:line="270" w:lineRule="auto"/>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These amounts represent the aggregate grant date fair value of awards for grants of RSUs to each listed director in fiscal 2021. These amounts do not represent the actual amounts paid to or realized by the directors during fiscal 2021. We recognize the fair value as of the grant date for RSUs over the number of days of service required for the award to become vested.</w:t>
      </w:r>
    </w:p>
    <w:p>
      <w:pPr>
        <w:spacing w:after="0" w:line="81" w:lineRule="exact"/>
        <w:rPr>
          <w:rFonts w:ascii="Arial" w:cs="Arial" w:eastAsia="Arial" w:hAnsi="Arial"/>
          <w:sz w:val="17"/>
          <w:szCs w:val="17"/>
          <w:color w:val="auto"/>
        </w:rPr>
      </w:pPr>
    </w:p>
    <w:p>
      <w:pPr>
        <w:ind w:left="880" w:right="420" w:hanging="405"/>
        <w:spacing w:after="0" w:line="286" w:lineRule="auto"/>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aggregate number of stock options and RSUs outstanding held by each non-employee director (representing unexercised stock options and unvested RSUs) at October 30, 2021 is as follows:</w:t>
      </w:r>
    </w:p>
    <w:p>
      <w:pPr>
        <w:spacing w:after="0" w:line="197" w:lineRule="exact"/>
        <w:rPr>
          <w:sz w:val="20"/>
          <w:szCs w:val="20"/>
          <w:color w:val="auto"/>
        </w:rPr>
      </w:pPr>
    </w:p>
    <w:tbl>
      <w:tblPr>
        <w:tblLayout w:type="fixed"/>
        <w:tblInd w:w="480" w:type="dxa"/>
        <w:tblCellMar>
          <w:top w:w="0" w:type="dxa"/>
          <w:left w:w="0" w:type="dxa"/>
          <w:bottom w:w="0" w:type="dxa"/>
          <w:right w:w="0" w:type="dxa"/>
        </w:tblCellMar>
      </w:tblPr>
      <w:tr>
        <w:trPr>
          <w:trHeight w:val="259"/>
        </w:trPr>
        <w:tc>
          <w:tcPr>
            <w:tcW w:w="4520" w:type="dxa"/>
            <w:vAlign w:val="bottom"/>
            <w:shd w:val="clear" w:color="auto" w:fill="0066BA"/>
          </w:tcPr>
          <w:p>
            <w:pPr>
              <w:spacing w:after="0"/>
              <w:rPr>
                <w:sz w:val="22"/>
                <w:szCs w:val="22"/>
                <w:color w:val="auto"/>
              </w:rPr>
            </w:pPr>
          </w:p>
        </w:tc>
        <w:tc>
          <w:tcPr>
            <w:tcW w:w="3380" w:type="dxa"/>
            <w:vAlign w:val="bottom"/>
            <w:gridSpan w:val="2"/>
            <w:shd w:val="clear" w:color="auto" w:fill="0066BA"/>
          </w:tcPr>
          <w:p>
            <w:pPr>
              <w:jc w:val="right"/>
              <w:ind w:right="260"/>
              <w:spacing w:after="0"/>
              <w:rPr>
                <w:sz w:val="20"/>
                <w:szCs w:val="20"/>
                <w:color w:val="auto"/>
              </w:rPr>
            </w:pPr>
            <w:r>
              <w:rPr>
                <w:rFonts w:ascii="Arial" w:cs="Arial" w:eastAsia="Arial" w:hAnsi="Arial"/>
                <w:sz w:val="16"/>
                <w:szCs w:val="16"/>
                <w:b w:val="1"/>
                <w:bCs w:val="1"/>
                <w:color w:val="FFFFFF"/>
                <w:w w:val="91"/>
              </w:rPr>
              <w:t>Number of Shares Subject to Option Awards</w:t>
            </w:r>
          </w:p>
        </w:tc>
        <w:tc>
          <w:tcPr>
            <w:tcW w:w="2380" w:type="dxa"/>
            <w:vAlign w:val="bottom"/>
            <w:shd w:val="clear" w:color="auto" w:fill="0066BA"/>
          </w:tcPr>
          <w:p>
            <w:pPr>
              <w:jc w:val="right"/>
              <w:spacing w:after="0"/>
              <w:rPr>
                <w:sz w:val="20"/>
                <w:szCs w:val="20"/>
                <w:color w:val="auto"/>
              </w:rPr>
            </w:pPr>
            <w:r>
              <w:rPr>
                <w:rFonts w:ascii="Arial" w:cs="Arial" w:eastAsia="Arial" w:hAnsi="Arial"/>
                <w:sz w:val="16"/>
                <w:szCs w:val="16"/>
                <w:b w:val="1"/>
                <w:bCs w:val="1"/>
                <w:color w:val="FFFFFF"/>
                <w:w w:val="99"/>
              </w:rPr>
              <w:t>Number of RSUs that have not</w:t>
            </w:r>
          </w:p>
        </w:tc>
      </w:tr>
      <w:tr>
        <w:trPr>
          <w:trHeight w:val="216"/>
        </w:trPr>
        <w:tc>
          <w:tcPr>
            <w:tcW w:w="4520" w:type="dxa"/>
            <w:vAlign w:val="bottom"/>
            <w:shd w:val="clear" w:color="auto" w:fill="0066BA"/>
          </w:tcPr>
          <w:p>
            <w:pPr>
              <w:ind w:left="60"/>
              <w:spacing w:after="0"/>
              <w:rPr>
                <w:sz w:val="20"/>
                <w:szCs w:val="20"/>
                <w:color w:val="auto"/>
              </w:rPr>
            </w:pPr>
            <w:r>
              <w:rPr>
                <w:rFonts w:ascii="Arial" w:cs="Arial" w:eastAsia="Arial" w:hAnsi="Arial"/>
                <w:sz w:val="16"/>
                <w:szCs w:val="16"/>
                <w:b w:val="1"/>
                <w:bCs w:val="1"/>
                <w:color w:val="FFFFFF"/>
              </w:rPr>
              <w:t>Name</w:t>
            </w:r>
          </w:p>
        </w:tc>
        <w:tc>
          <w:tcPr>
            <w:tcW w:w="3380" w:type="dxa"/>
            <w:vAlign w:val="bottom"/>
            <w:gridSpan w:val="2"/>
            <w:shd w:val="clear" w:color="auto" w:fill="0066BA"/>
          </w:tcPr>
          <w:p>
            <w:pPr>
              <w:jc w:val="right"/>
              <w:ind w:right="260"/>
              <w:spacing w:after="0"/>
              <w:rPr>
                <w:sz w:val="20"/>
                <w:szCs w:val="20"/>
                <w:color w:val="auto"/>
              </w:rPr>
            </w:pPr>
            <w:r>
              <w:rPr>
                <w:rFonts w:ascii="Arial" w:cs="Arial" w:eastAsia="Arial" w:hAnsi="Arial"/>
                <w:sz w:val="16"/>
                <w:szCs w:val="16"/>
                <w:b w:val="1"/>
                <w:bCs w:val="1"/>
                <w:color w:val="FFFFFF"/>
              </w:rPr>
              <w:t>Held as of October 30, 2021</w:t>
            </w:r>
          </w:p>
        </w:tc>
        <w:tc>
          <w:tcPr>
            <w:tcW w:w="2380" w:type="dxa"/>
            <w:vAlign w:val="bottom"/>
            <w:shd w:val="clear" w:color="auto" w:fill="0066BA"/>
          </w:tcPr>
          <w:p>
            <w:pPr>
              <w:jc w:val="right"/>
              <w:spacing w:after="0"/>
              <w:rPr>
                <w:sz w:val="20"/>
                <w:szCs w:val="20"/>
                <w:color w:val="auto"/>
              </w:rPr>
            </w:pPr>
            <w:r>
              <w:rPr>
                <w:rFonts w:ascii="Arial" w:cs="Arial" w:eastAsia="Arial" w:hAnsi="Arial"/>
                <w:sz w:val="16"/>
                <w:szCs w:val="16"/>
                <w:b w:val="1"/>
                <w:bCs w:val="1"/>
                <w:color w:val="FFFFFF"/>
              </w:rPr>
              <w:t>Vested as of October 30, 2021</w:t>
            </w:r>
          </w:p>
        </w:tc>
      </w:tr>
      <w:tr>
        <w:trPr>
          <w:trHeight w:val="71"/>
        </w:trPr>
        <w:tc>
          <w:tcPr>
            <w:tcW w:w="4520" w:type="dxa"/>
            <w:vAlign w:val="bottom"/>
            <w:shd w:val="clear" w:color="auto" w:fill="0066BA"/>
          </w:tcPr>
          <w:p>
            <w:pPr>
              <w:spacing w:after="0"/>
              <w:rPr>
                <w:sz w:val="6"/>
                <w:szCs w:val="6"/>
                <w:color w:val="auto"/>
              </w:rPr>
            </w:pPr>
          </w:p>
        </w:tc>
        <w:tc>
          <w:tcPr>
            <w:tcW w:w="3100" w:type="dxa"/>
            <w:vAlign w:val="bottom"/>
            <w:shd w:val="clear" w:color="auto" w:fill="0066BA"/>
          </w:tcPr>
          <w:p>
            <w:pPr>
              <w:spacing w:after="0"/>
              <w:rPr>
                <w:sz w:val="6"/>
                <w:szCs w:val="6"/>
                <w:color w:val="auto"/>
              </w:rPr>
            </w:pPr>
          </w:p>
        </w:tc>
        <w:tc>
          <w:tcPr>
            <w:tcW w:w="280" w:type="dxa"/>
            <w:vAlign w:val="bottom"/>
            <w:shd w:val="clear" w:color="auto" w:fill="0066BA"/>
          </w:tcPr>
          <w:p>
            <w:pPr>
              <w:spacing w:after="0"/>
              <w:rPr>
                <w:sz w:val="6"/>
                <w:szCs w:val="6"/>
                <w:color w:val="auto"/>
              </w:rPr>
            </w:pPr>
          </w:p>
        </w:tc>
        <w:tc>
          <w:tcPr>
            <w:tcW w:w="2380" w:type="dxa"/>
            <w:vAlign w:val="bottom"/>
            <w:shd w:val="clear" w:color="auto" w:fill="0066BA"/>
          </w:tcPr>
          <w:p>
            <w:pPr>
              <w:spacing w:after="0"/>
              <w:rPr>
                <w:sz w:val="6"/>
                <w:szCs w:val="6"/>
                <w:color w:val="auto"/>
              </w:rPr>
            </w:pPr>
          </w:p>
        </w:tc>
      </w:tr>
      <w:tr>
        <w:trPr>
          <w:trHeight w:val="273"/>
        </w:trPr>
        <w:tc>
          <w:tcPr>
            <w:tcW w:w="4520" w:type="dxa"/>
            <w:vAlign w:val="bottom"/>
          </w:tcPr>
          <w:p>
            <w:pPr>
              <w:ind w:left="60"/>
              <w:spacing w:after="0"/>
              <w:rPr>
                <w:sz w:val="20"/>
                <w:szCs w:val="20"/>
                <w:color w:val="auto"/>
              </w:rPr>
            </w:pPr>
            <w:r>
              <w:rPr>
                <w:rFonts w:ascii="Arial" w:cs="Arial" w:eastAsia="Arial" w:hAnsi="Arial"/>
                <w:sz w:val="16"/>
                <w:szCs w:val="16"/>
                <w:b w:val="1"/>
                <w:bCs w:val="1"/>
                <w:color w:val="0066BA"/>
              </w:rPr>
              <w:t>James A. Champy</w:t>
            </w:r>
          </w:p>
        </w:tc>
        <w:tc>
          <w:tcPr>
            <w:tcW w:w="310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6"/>
                <w:szCs w:val="16"/>
                <w:color w:val="auto"/>
              </w:rPr>
              <w:t>37,620</w:t>
            </w:r>
          </w:p>
        </w:tc>
        <w:tc>
          <w:tcPr>
            <w:tcW w:w="280" w:type="dxa"/>
            <w:vAlign w:val="bottom"/>
          </w:tcPr>
          <w:p>
            <w:pPr>
              <w:spacing w:after="0"/>
              <w:rPr>
                <w:sz w:val="23"/>
                <w:szCs w:val="23"/>
                <w:color w:val="auto"/>
              </w:rPr>
            </w:pPr>
          </w:p>
        </w:tc>
        <w:tc>
          <w:tcPr>
            <w:tcW w:w="2380" w:type="dxa"/>
            <w:vAlign w:val="bottom"/>
          </w:tcPr>
          <w:p>
            <w:pPr>
              <w:jc w:val="right"/>
              <w:spacing w:after="0"/>
              <w:rPr>
                <w:sz w:val="20"/>
                <w:szCs w:val="20"/>
                <w:color w:val="auto"/>
              </w:rPr>
            </w:pPr>
            <w:r>
              <w:rPr>
                <w:rFonts w:ascii="Arial" w:cs="Arial" w:eastAsia="Arial" w:hAnsi="Arial"/>
                <w:sz w:val="16"/>
                <w:szCs w:val="16"/>
                <w:color w:val="auto"/>
              </w:rPr>
              <w:t>1,435</w:t>
            </w:r>
          </w:p>
        </w:tc>
      </w:tr>
      <w:tr>
        <w:trPr>
          <w:trHeight w:val="253"/>
        </w:trPr>
        <w:tc>
          <w:tcPr>
            <w:tcW w:w="452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0066BA"/>
              </w:rPr>
              <w:t>Anantha P. Chandrakasan</w:t>
            </w:r>
          </w:p>
        </w:tc>
        <w:tc>
          <w:tcPr>
            <w:tcW w:w="3100" w:type="dxa"/>
            <w:vAlign w:val="bottom"/>
            <w:tcBorders>
              <w:top w:val="single" w:sz="8" w:color="auto"/>
              <w:bottom w:val="single" w:sz="8" w:color="F2F2F2"/>
            </w:tcBorders>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tcPr>
          <w:p>
            <w:pPr>
              <w:spacing w:after="0"/>
              <w:rPr>
                <w:sz w:val="22"/>
                <w:szCs w:val="22"/>
                <w:color w:val="auto"/>
              </w:rPr>
            </w:pP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1,435</w:t>
            </w:r>
          </w:p>
        </w:tc>
      </w:tr>
      <w:tr>
        <w:trPr>
          <w:trHeight w:val="253"/>
        </w:trPr>
        <w:tc>
          <w:tcPr>
            <w:tcW w:w="452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0066BA"/>
              </w:rPr>
              <w:t>Tunc Doluca</w:t>
            </w:r>
          </w:p>
        </w:tc>
        <w:tc>
          <w:tcPr>
            <w:tcW w:w="3100" w:type="dxa"/>
            <w:vAlign w:val="bottom"/>
            <w:tcBorders>
              <w:top w:val="single" w:sz="8" w:color="auto"/>
              <w:bottom w:val="single" w:sz="8" w:color="F2F2F2"/>
            </w:tcBorders>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tcPr>
          <w:p>
            <w:pPr>
              <w:spacing w:after="0"/>
              <w:rPr>
                <w:sz w:val="22"/>
                <w:szCs w:val="22"/>
                <w:color w:val="auto"/>
              </w:rPr>
            </w:pP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685</w:t>
            </w:r>
          </w:p>
        </w:tc>
      </w:tr>
      <w:tr>
        <w:trPr>
          <w:trHeight w:val="253"/>
        </w:trPr>
        <w:tc>
          <w:tcPr>
            <w:tcW w:w="452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0066BA"/>
              </w:rPr>
              <w:t>Bruce R. Evans</w:t>
            </w:r>
          </w:p>
        </w:tc>
        <w:tc>
          <w:tcPr>
            <w:tcW w:w="3100" w:type="dxa"/>
            <w:vAlign w:val="bottom"/>
            <w:tcBorders>
              <w:top w:val="single" w:sz="8" w:color="auto"/>
              <w:bottom w:val="single" w:sz="8" w:color="F2F2F2"/>
            </w:tcBorders>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tcPr>
          <w:p>
            <w:pPr>
              <w:spacing w:after="0"/>
              <w:rPr>
                <w:sz w:val="22"/>
                <w:szCs w:val="22"/>
                <w:color w:val="auto"/>
              </w:rPr>
            </w:pP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1,435</w:t>
            </w:r>
          </w:p>
        </w:tc>
      </w:tr>
      <w:tr>
        <w:trPr>
          <w:trHeight w:val="253"/>
        </w:trPr>
        <w:tc>
          <w:tcPr>
            <w:tcW w:w="452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0066BA"/>
              </w:rPr>
              <w:t>Edward H. Frank</w:t>
            </w:r>
          </w:p>
        </w:tc>
        <w:tc>
          <w:tcPr>
            <w:tcW w:w="3100" w:type="dxa"/>
            <w:vAlign w:val="bottom"/>
            <w:tcBorders>
              <w:top w:val="single" w:sz="8" w:color="auto"/>
              <w:bottom w:val="single" w:sz="8" w:color="F2F2F2"/>
            </w:tcBorders>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tcPr>
          <w:p>
            <w:pPr>
              <w:spacing w:after="0"/>
              <w:rPr>
                <w:sz w:val="22"/>
                <w:szCs w:val="22"/>
                <w:color w:val="auto"/>
              </w:rPr>
            </w:pP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1,435</w:t>
            </w:r>
          </w:p>
        </w:tc>
      </w:tr>
      <w:tr>
        <w:trPr>
          <w:trHeight w:val="253"/>
        </w:trPr>
        <w:tc>
          <w:tcPr>
            <w:tcW w:w="452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0066BA"/>
              </w:rPr>
              <w:t>Laurie H. Glimcher</w:t>
            </w:r>
          </w:p>
        </w:tc>
        <w:tc>
          <w:tcPr>
            <w:tcW w:w="3100" w:type="dxa"/>
            <w:vAlign w:val="bottom"/>
            <w:tcBorders>
              <w:top w:val="single" w:sz="8" w:color="auto"/>
              <w:bottom w:val="single" w:sz="8" w:color="F2F2F2"/>
            </w:tcBorders>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tcPr>
          <w:p>
            <w:pPr>
              <w:spacing w:after="0"/>
              <w:rPr>
                <w:sz w:val="22"/>
                <w:szCs w:val="22"/>
                <w:color w:val="auto"/>
              </w:rPr>
            </w:pP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1,435</w:t>
            </w:r>
          </w:p>
        </w:tc>
      </w:tr>
      <w:tr>
        <w:trPr>
          <w:trHeight w:val="253"/>
        </w:trPr>
        <w:tc>
          <w:tcPr>
            <w:tcW w:w="452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0066BA"/>
              </w:rPr>
              <w:t>Karen M. Golz</w:t>
            </w:r>
          </w:p>
        </w:tc>
        <w:tc>
          <w:tcPr>
            <w:tcW w:w="3100" w:type="dxa"/>
            <w:vAlign w:val="bottom"/>
            <w:tcBorders>
              <w:top w:val="single" w:sz="8" w:color="auto"/>
              <w:bottom w:val="single" w:sz="8" w:color="F2F2F2"/>
            </w:tcBorders>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tcPr>
          <w:p>
            <w:pPr>
              <w:spacing w:after="0"/>
              <w:rPr>
                <w:sz w:val="22"/>
                <w:szCs w:val="22"/>
                <w:color w:val="auto"/>
              </w:rPr>
            </w:pP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1,435</w:t>
            </w:r>
          </w:p>
        </w:tc>
      </w:tr>
      <w:tr>
        <w:trPr>
          <w:trHeight w:val="253"/>
        </w:trPr>
        <w:tc>
          <w:tcPr>
            <w:tcW w:w="452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0066BA"/>
              </w:rPr>
              <w:t>Mercedes Johnson</w:t>
            </w:r>
          </w:p>
        </w:tc>
        <w:tc>
          <w:tcPr>
            <w:tcW w:w="3100" w:type="dxa"/>
            <w:vAlign w:val="bottom"/>
            <w:tcBorders>
              <w:top w:val="single" w:sz="8" w:color="auto"/>
              <w:bottom w:val="single" w:sz="8" w:color="F2F2F2"/>
            </w:tcBorders>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tcPr>
          <w:p>
            <w:pPr>
              <w:spacing w:after="0"/>
              <w:rPr>
                <w:sz w:val="22"/>
                <w:szCs w:val="22"/>
                <w:color w:val="auto"/>
              </w:rPr>
            </w:pP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685</w:t>
            </w:r>
          </w:p>
        </w:tc>
      </w:tr>
      <w:tr>
        <w:trPr>
          <w:trHeight w:val="253"/>
        </w:trPr>
        <w:tc>
          <w:tcPr>
            <w:tcW w:w="452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0066BA"/>
              </w:rPr>
              <w:t>Mark M. Little</w:t>
            </w:r>
          </w:p>
        </w:tc>
        <w:tc>
          <w:tcPr>
            <w:tcW w:w="3100" w:type="dxa"/>
            <w:vAlign w:val="bottom"/>
            <w:tcBorders>
              <w:top w:val="single" w:sz="8" w:color="auto"/>
              <w:bottom w:val="single" w:sz="8" w:color="F2F2F2"/>
            </w:tcBorders>
            <w:shd w:val="clear" w:color="auto" w:fill="F2F2F2"/>
          </w:tcPr>
          <w:p>
            <w:pPr>
              <w:jc w:val="right"/>
              <w:spacing w:after="0"/>
              <w:rPr>
                <w:sz w:val="20"/>
                <w:szCs w:val="20"/>
                <w:color w:val="auto"/>
              </w:rPr>
            </w:pPr>
            <w:r>
              <w:rPr>
                <w:rFonts w:ascii="Arial" w:cs="Arial" w:eastAsia="Arial" w:hAnsi="Arial"/>
                <w:sz w:val="16"/>
                <w:szCs w:val="16"/>
                <w:color w:val="auto"/>
              </w:rPr>
              <w:t>1,040</w:t>
            </w:r>
          </w:p>
        </w:tc>
        <w:tc>
          <w:tcPr>
            <w:tcW w:w="280" w:type="dxa"/>
            <w:vAlign w:val="bottom"/>
            <w:tcBorders>
              <w:top w:val="single" w:sz="8" w:color="auto"/>
            </w:tcBorders>
          </w:tcPr>
          <w:p>
            <w:pPr>
              <w:spacing w:after="0"/>
              <w:rPr>
                <w:sz w:val="22"/>
                <w:szCs w:val="22"/>
                <w:color w:val="auto"/>
              </w:rPr>
            </w:pP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1,435</w:t>
            </w:r>
          </w:p>
        </w:tc>
      </w:tr>
      <w:tr>
        <w:trPr>
          <w:trHeight w:val="253"/>
        </w:trPr>
        <w:tc>
          <w:tcPr>
            <w:tcW w:w="452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0066BA"/>
              </w:rPr>
              <w:t>Kenton J. Sicchitano</w:t>
            </w:r>
          </w:p>
        </w:tc>
        <w:tc>
          <w:tcPr>
            <w:tcW w:w="3100" w:type="dxa"/>
            <w:vAlign w:val="bottom"/>
            <w:tcBorders>
              <w:top w:val="single" w:sz="8" w:color="auto"/>
              <w:bottom w:val="single" w:sz="8" w:color="F2F2F2"/>
            </w:tcBorders>
            <w:shd w:val="clear" w:color="auto" w:fill="F2F2F2"/>
          </w:tcPr>
          <w:p>
            <w:pPr>
              <w:jc w:val="right"/>
              <w:spacing w:after="0"/>
              <w:rPr>
                <w:sz w:val="20"/>
                <w:szCs w:val="20"/>
                <w:color w:val="auto"/>
              </w:rPr>
            </w:pPr>
            <w:r>
              <w:rPr>
                <w:rFonts w:ascii="Arial" w:cs="Arial" w:eastAsia="Arial" w:hAnsi="Arial"/>
                <w:sz w:val="16"/>
                <w:szCs w:val="16"/>
                <w:color w:val="auto"/>
              </w:rPr>
              <w:t>16,100</w:t>
            </w:r>
          </w:p>
        </w:tc>
        <w:tc>
          <w:tcPr>
            <w:tcW w:w="280" w:type="dxa"/>
            <w:vAlign w:val="bottom"/>
            <w:tcBorders>
              <w:top w:val="single" w:sz="8" w:color="auto"/>
            </w:tcBorders>
          </w:tcPr>
          <w:p>
            <w:pPr>
              <w:spacing w:after="0"/>
              <w:rPr>
                <w:sz w:val="22"/>
                <w:szCs w:val="22"/>
                <w:color w:val="auto"/>
              </w:rPr>
            </w:pP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1,435</w:t>
            </w:r>
          </w:p>
        </w:tc>
      </w:tr>
      <w:tr>
        <w:trPr>
          <w:trHeight w:val="253"/>
        </w:trPr>
        <w:tc>
          <w:tcPr>
            <w:tcW w:w="452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0066BA"/>
              </w:rPr>
              <w:t>Ray Stata</w:t>
            </w:r>
          </w:p>
        </w:tc>
        <w:tc>
          <w:tcPr>
            <w:tcW w:w="3100" w:type="dxa"/>
            <w:vAlign w:val="bottom"/>
            <w:tcBorders>
              <w:top w:val="single" w:sz="8" w:color="auto"/>
              <w:bottom w:val="single" w:sz="8" w:color="F2F2F2"/>
            </w:tcBorders>
            <w:shd w:val="clear" w:color="auto" w:fill="F2F2F2"/>
          </w:tcPr>
          <w:p>
            <w:pPr>
              <w:jc w:val="right"/>
              <w:spacing w:after="0"/>
              <w:rPr>
                <w:sz w:val="20"/>
                <w:szCs w:val="20"/>
                <w:color w:val="auto"/>
              </w:rPr>
            </w:pPr>
            <w:r>
              <w:rPr>
                <w:rFonts w:ascii="Arial" w:cs="Arial" w:eastAsia="Arial" w:hAnsi="Arial"/>
                <w:sz w:val="16"/>
                <w:szCs w:val="16"/>
                <w:color w:val="auto"/>
              </w:rPr>
              <w:t>37,620</w:t>
            </w:r>
          </w:p>
        </w:tc>
        <w:tc>
          <w:tcPr>
            <w:tcW w:w="280" w:type="dxa"/>
            <w:vAlign w:val="bottom"/>
            <w:tcBorders>
              <w:top w:val="single" w:sz="8" w:color="auto"/>
            </w:tcBorders>
          </w:tcPr>
          <w:p>
            <w:pPr>
              <w:spacing w:after="0"/>
              <w:rPr>
                <w:sz w:val="22"/>
                <w:szCs w:val="22"/>
                <w:color w:val="auto"/>
              </w:rPr>
            </w:pP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1,435</w:t>
            </w:r>
          </w:p>
        </w:tc>
      </w:tr>
      <w:tr>
        <w:trPr>
          <w:trHeight w:val="233"/>
        </w:trPr>
        <w:tc>
          <w:tcPr>
            <w:tcW w:w="452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0066BA"/>
              </w:rPr>
              <w:t>Susie Wee</w:t>
            </w:r>
          </w:p>
        </w:tc>
        <w:tc>
          <w:tcPr>
            <w:tcW w:w="3100" w:type="dxa"/>
            <w:vAlign w:val="bottom"/>
            <w:tcBorders>
              <w:top w:val="single" w:sz="8" w:color="auto"/>
              <w:bottom w:val="single" w:sz="8" w:color="F2F2F2"/>
            </w:tcBorders>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tcPr>
          <w:p>
            <w:pPr>
              <w:spacing w:after="0"/>
              <w:rPr>
                <w:sz w:val="20"/>
                <w:szCs w:val="20"/>
                <w:color w:val="auto"/>
              </w:rPr>
            </w:pP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1,435</w:t>
            </w:r>
          </w:p>
        </w:tc>
      </w:tr>
      <w:tr>
        <w:trPr>
          <w:trHeight w:val="20"/>
        </w:trPr>
        <w:tc>
          <w:tcPr>
            <w:tcW w:w="4520" w:type="dxa"/>
            <w:vAlign w:val="bottom"/>
            <w:shd w:val="clear" w:color="auto" w:fill="0066BA"/>
          </w:tcPr>
          <w:p>
            <w:pPr>
              <w:spacing w:after="0" w:line="20" w:lineRule="exact"/>
              <w:rPr>
                <w:sz w:val="1"/>
                <w:szCs w:val="1"/>
                <w:color w:val="auto"/>
              </w:rPr>
            </w:pPr>
          </w:p>
        </w:tc>
        <w:tc>
          <w:tcPr>
            <w:tcW w:w="3100" w:type="dxa"/>
            <w:vAlign w:val="bottom"/>
            <w:shd w:val="clear" w:color="auto" w:fill="0066BA"/>
          </w:tcPr>
          <w:p>
            <w:pPr>
              <w:spacing w:after="0" w:line="20" w:lineRule="exact"/>
              <w:rPr>
                <w:sz w:val="1"/>
                <w:szCs w:val="1"/>
                <w:color w:val="auto"/>
              </w:rPr>
            </w:pPr>
          </w:p>
        </w:tc>
        <w:tc>
          <w:tcPr>
            <w:tcW w:w="280" w:type="dxa"/>
            <w:vAlign w:val="bottom"/>
            <w:shd w:val="clear" w:color="auto" w:fill="0066BA"/>
          </w:tcPr>
          <w:p>
            <w:pPr>
              <w:spacing w:after="0" w:line="20" w:lineRule="exact"/>
              <w:rPr>
                <w:sz w:val="1"/>
                <w:szCs w:val="1"/>
                <w:color w:val="auto"/>
              </w:rPr>
            </w:pPr>
          </w:p>
        </w:tc>
        <w:tc>
          <w:tcPr>
            <w:tcW w:w="2380" w:type="dxa"/>
            <w:vAlign w:val="bottom"/>
            <w:shd w:val="clear" w:color="auto" w:fill="0066BA"/>
          </w:tcPr>
          <w:p>
            <w:pPr>
              <w:spacing w:after="0" w:line="20" w:lineRule="exact"/>
              <w:rPr>
                <w:sz w:val="1"/>
                <w:szCs w:val="1"/>
                <w:color w:val="auto"/>
              </w:rPr>
            </w:pPr>
          </w:p>
        </w:tc>
      </w:tr>
    </w:tbl>
    <w:p>
      <w:pPr>
        <w:spacing w:after="0" w:line="92" w:lineRule="exact"/>
        <w:rPr>
          <w:sz w:val="20"/>
          <w:szCs w:val="20"/>
          <w:color w:val="auto"/>
        </w:rPr>
      </w:pPr>
    </w:p>
    <w:p>
      <w:pPr>
        <w:ind w:left="480" w:right="680"/>
        <w:spacing w:after="0" w:line="286" w:lineRule="auto"/>
        <w:rPr>
          <w:sz w:val="20"/>
          <w:szCs w:val="20"/>
          <w:color w:val="auto"/>
        </w:rPr>
      </w:pPr>
      <w:r>
        <w:rPr>
          <w:rFonts w:ascii="Arial" w:cs="Arial" w:eastAsia="Arial" w:hAnsi="Arial"/>
          <w:sz w:val="17"/>
          <w:szCs w:val="17"/>
          <w:color w:val="auto"/>
        </w:rPr>
        <w:t>The following table includes the assumptions, rounded to the nearest hundredth, which we used to calculate the grant date fair value amounts included in the “Stock Awards” column for fiscal 2021 Director Compensation.</w:t>
      </w:r>
    </w:p>
    <w:p>
      <w:pPr>
        <w:spacing w:after="0" w:line="172" w:lineRule="exact"/>
        <w:rPr>
          <w:sz w:val="20"/>
          <w:szCs w:val="20"/>
          <w:color w:val="auto"/>
        </w:rPr>
      </w:pPr>
    </w:p>
    <w:tbl>
      <w:tblPr>
        <w:tblLayout w:type="fixed"/>
        <w:tblInd w:w="480" w:type="dxa"/>
        <w:tblCellMar>
          <w:top w:w="0" w:type="dxa"/>
          <w:left w:w="0" w:type="dxa"/>
          <w:bottom w:w="0" w:type="dxa"/>
          <w:right w:w="0" w:type="dxa"/>
        </w:tblCellMar>
      </w:tblPr>
      <w:tr>
        <w:trPr>
          <w:trHeight w:val="187"/>
        </w:trPr>
        <w:tc>
          <w:tcPr>
            <w:tcW w:w="272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Grant Date</w:t>
            </w:r>
          </w:p>
        </w:tc>
        <w:tc>
          <w:tcPr>
            <w:tcW w:w="1780" w:type="dxa"/>
            <w:vAlign w:val="bottom"/>
            <w:shd w:val="clear" w:color="auto" w:fill="0066BA"/>
          </w:tcPr>
          <w:p>
            <w:pPr>
              <w:spacing w:after="0"/>
              <w:rPr>
                <w:sz w:val="16"/>
                <w:szCs w:val="16"/>
                <w:color w:val="auto"/>
              </w:rPr>
            </w:pPr>
          </w:p>
        </w:tc>
        <w:tc>
          <w:tcPr>
            <w:tcW w:w="2400" w:type="dxa"/>
            <w:vAlign w:val="bottom"/>
            <w:gridSpan w:val="2"/>
            <w:shd w:val="clear" w:color="auto" w:fill="0066BA"/>
          </w:tcPr>
          <w:p>
            <w:pPr>
              <w:jc w:val="right"/>
              <w:ind w:right="220"/>
              <w:spacing w:after="0"/>
              <w:rPr>
                <w:sz w:val="20"/>
                <w:szCs w:val="20"/>
                <w:color w:val="auto"/>
              </w:rPr>
            </w:pPr>
            <w:r>
              <w:rPr>
                <w:rFonts w:ascii="Arial" w:cs="Arial" w:eastAsia="Arial" w:hAnsi="Arial"/>
                <w:sz w:val="12"/>
                <w:szCs w:val="12"/>
                <w:b w:val="1"/>
                <w:bCs w:val="1"/>
                <w:color w:val="FFFFFF"/>
              </w:rPr>
              <w:t>Assumptions</w:t>
            </w:r>
          </w:p>
        </w:tc>
        <w:tc>
          <w:tcPr>
            <w:tcW w:w="980" w:type="dxa"/>
            <w:vAlign w:val="bottom"/>
            <w:shd w:val="clear" w:color="auto" w:fill="0066BA"/>
          </w:tcPr>
          <w:p>
            <w:pPr>
              <w:spacing w:after="0"/>
              <w:rPr>
                <w:sz w:val="16"/>
                <w:szCs w:val="16"/>
                <w:color w:val="auto"/>
              </w:rPr>
            </w:pPr>
          </w:p>
        </w:tc>
        <w:tc>
          <w:tcPr>
            <w:tcW w:w="540" w:type="dxa"/>
            <w:vAlign w:val="bottom"/>
            <w:shd w:val="clear" w:color="auto" w:fill="0066BA"/>
          </w:tcPr>
          <w:p>
            <w:pPr>
              <w:spacing w:after="0"/>
              <w:rPr>
                <w:sz w:val="16"/>
                <w:szCs w:val="16"/>
                <w:color w:val="auto"/>
              </w:rPr>
            </w:pPr>
          </w:p>
        </w:tc>
        <w:tc>
          <w:tcPr>
            <w:tcW w:w="1860" w:type="dxa"/>
            <w:vAlign w:val="bottom"/>
            <w:vMerge w:val="restart"/>
            <w:shd w:val="clear" w:color="auto" w:fill="0066BA"/>
          </w:tcPr>
          <w:p>
            <w:pPr>
              <w:jc w:val="right"/>
              <w:ind w:right="91"/>
              <w:spacing w:after="0"/>
              <w:rPr>
                <w:sz w:val="20"/>
                <w:szCs w:val="20"/>
                <w:color w:val="auto"/>
              </w:rPr>
            </w:pPr>
            <w:r>
              <w:rPr>
                <w:rFonts w:ascii="Arial" w:cs="Arial" w:eastAsia="Arial" w:hAnsi="Arial"/>
                <w:sz w:val="12"/>
                <w:szCs w:val="12"/>
                <w:b w:val="1"/>
                <w:bCs w:val="1"/>
                <w:color w:val="FFFFFF"/>
              </w:rPr>
              <w:t>Grant Date Fair Value</w:t>
            </w:r>
          </w:p>
        </w:tc>
        <w:tc>
          <w:tcPr>
            <w:tcW w:w="0" w:type="dxa"/>
            <w:vAlign w:val="bottom"/>
          </w:tcPr>
          <w:p>
            <w:pPr>
              <w:spacing w:after="0"/>
              <w:rPr>
                <w:sz w:val="1"/>
                <w:szCs w:val="1"/>
                <w:color w:val="auto"/>
              </w:rPr>
            </w:pPr>
          </w:p>
        </w:tc>
      </w:tr>
      <w:tr>
        <w:trPr>
          <w:trHeight w:val="111"/>
        </w:trPr>
        <w:tc>
          <w:tcPr>
            <w:tcW w:w="2720" w:type="dxa"/>
            <w:vAlign w:val="bottom"/>
            <w:shd w:val="clear" w:color="auto" w:fill="0066BA"/>
          </w:tcPr>
          <w:p>
            <w:pPr>
              <w:spacing w:after="0"/>
              <w:rPr>
                <w:sz w:val="9"/>
                <w:szCs w:val="9"/>
                <w:color w:val="auto"/>
              </w:rPr>
            </w:pPr>
          </w:p>
        </w:tc>
        <w:tc>
          <w:tcPr>
            <w:tcW w:w="1780" w:type="dxa"/>
            <w:vAlign w:val="bottom"/>
            <w:shd w:val="clear" w:color="auto" w:fill="0066BA"/>
          </w:tcPr>
          <w:p>
            <w:pPr>
              <w:spacing w:after="0"/>
              <w:rPr>
                <w:sz w:val="9"/>
                <w:szCs w:val="9"/>
                <w:color w:val="auto"/>
              </w:rPr>
            </w:pPr>
          </w:p>
        </w:tc>
        <w:tc>
          <w:tcPr>
            <w:tcW w:w="2400" w:type="dxa"/>
            <w:vAlign w:val="bottom"/>
            <w:gridSpan w:val="2"/>
            <w:shd w:val="clear" w:color="auto" w:fill="0066BA"/>
          </w:tcPr>
          <w:p>
            <w:pPr>
              <w:jc w:val="right"/>
              <w:ind w:right="480"/>
              <w:spacing w:after="0" w:line="111" w:lineRule="exact"/>
              <w:rPr>
                <w:sz w:val="20"/>
                <w:szCs w:val="20"/>
                <w:color w:val="auto"/>
              </w:rPr>
            </w:pPr>
            <w:r>
              <w:rPr>
                <w:rFonts w:ascii="Arial" w:cs="Arial" w:eastAsia="Arial" w:hAnsi="Arial"/>
                <w:sz w:val="12"/>
                <w:szCs w:val="12"/>
                <w:b w:val="1"/>
                <w:bCs w:val="1"/>
                <w:color w:val="FFFFFF"/>
              </w:rPr>
              <w:t>Risk-Free</w:t>
            </w:r>
          </w:p>
        </w:tc>
        <w:tc>
          <w:tcPr>
            <w:tcW w:w="980" w:type="dxa"/>
            <w:vAlign w:val="bottom"/>
            <w:shd w:val="clear" w:color="auto" w:fill="0066BA"/>
          </w:tcPr>
          <w:p>
            <w:pPr>
              <w:jc w:val="right"/>
              <w:spacing w:after="0" w:line="111" w:lineRule="exact"/>
              <w:rPr>
                <w:sz w:val="20"/>
                <w:szCs w:val="20"/>
                <w:color w:val="auto"/>
              </w:rPr>
            </w:pPr>
            <w:r>
              <w:rPr>
                <w:rFonts w:ascii="Arial" w:cs="Arial" w:eastAsia="Arial" w:hAnsi="Arial"/>
                <w:sz w:val="12"/>
                <w:szCs w:val="12"/>
                <w:b w:val="1"/>
                <w:bCs w:val="1"/>
                <w:color w:val="FFFFFF"/>
              </w:rPr>
              <w:t>Dividend Yield</w:t>
            </w:r>
          </w:p>
        </w:tc>
        <w:tc>
          <w:tcPr>
            <w:tcW w:w="540" w:type="dxa"/>
            <w:vAlign w:val="bottom"/>
            <w:shd w:val="clear" w:color="auto" w:fill="0066BA"/>
          </w:tcPr>
          <w:p>
            <w:pPr>
              <w:spacing w:after="0"/>
              <w:rPr>
                <w:sz w:val="9"/>
                <w:szCs w:val="9"/>
                <w:color w:val="auto"/>
              </w:rPr>
            </w:pPr>
          </w:p>
        </w:tc>
        <w:tc>
          <w:tcPr>
            <w:tcW w:w="1860" w:type="dxa"/>
            <w:vAlign w:val="bottom"/>
            <w:vMerge w:val="continue"/>
            <w:shd w:val="clear" w:color="auto" w:fill="0066BA"/>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720" w:type="dxa"/>
            <w:vAlign w:val="bottom"/>
            <w:shd w:val="clear" w:color="auto" w:fill="0066BA"/>
          </w:tcPr>
          <w:p>
            <w:pPr>
              <w:spacing w:after="0"/>
              <w:rPr>
                <w:sz w:val="13"/>
                <w:szCs w:val="13"/>
                <w:color w:val="auto"/>
              </w:rPr>
            </w:pPr>
          </w:p>
        </w:tc>
        <w:tc>
          <w:tcPr>
            <w:tcW w:w="1780" w:type="dxa"/>
            <w:vAlign w:val="bottom"/>
            <w:shd w:val="clear" w:color="auto" w:fill="0066BA"/>
          </w:tcPr>
          <w:p>
            <w:pPr>
              <w:spacing w:after="0"/>
              <w:rPr>
                <w:sz w:val="13"/>
                <w:szCs w:val="13"/>
                <w:color w:val="auto"/>
              </w:rPr>
            </w:pPr>
          </w:p>
        </w:tc>
        <w:tc>
          <w:tcPr>
            <w:tcW w:w="2400" w:type="dxa"/>
            <w:vAlign w:val="bottom"/>
            <w:gridSpan w:val="2"/>
            <w:shd w:val="clear" w:color="auto" w:fill="0066BA"/>
          </w:tcPr>
          <w:p>
            <w:pPr>
              <w:jc w:val="right"/>
              <w:ind w:right="480"/>
              <w:spacing w:after="0"/>
              <w:rPr>
                <w:sz w:val="20"/>
                <w:szCs w:val="20"/>
                <w:color w:val="auto"/>
              </w:rPr>
            </w:pPr>
            <w:r>
              <w:rPr>
                <w:rFonts w:ascii="Arial" w:cs="Arial" w:eastAsia="Arial" w:hAnsi="Arial"/>
                <w:sz w:val="12"/>
                <w:szCs w:val="12"/>
                <w:b w:val="1"/>
                <w:bCs w:val="1"/>
                <w:color w:val="FFFFFF"/>
              </w:rPr>
              <w:t>Interest Rate (%)</w:t>
            </w:r>
          </w:p>
        </w:tc>
        <w:tc>
          <w:tcPr>
            <w:tcW w:w="980" w:type="dxa"/>
            <w:vAlign w:val="bottom"/>
            <w:shd w:val="clear" w:color="auto" w:fill="0066BA"/>
          </w:tcPr>
          <w:p>
            <w:pPr>
              <w:jc w:val="right"/>
              <w:spacing w:after="0"/>
              <w:rPr>
                <w:sz w:val="20"/>
                <w:szCs w:val="20"/>
                <w:color w:val="auto"/>
              </w:rPr>
            </w:pPr>
            <w:r>
              <w:rPr>
                <w:rFonts w:ascii="Arial" w:cs="Arial" w:eastAsia="Arial" w:hAnsi="Arial"/>
                <w:sz w:val="12"/>
                <w:szCs w:val="12"/>
                <w:b w:val="1"/>
                <w:bCs w:val="1"/>
                <w:color w:val="FFFFFF"/>
              </w:rPr>
              <w:t>(%)</w:t>
            </w:r>
          </w:p>
        </w:tc>
        <w:tc>
          <w:tcPr>
            <w:tcW w:w="540" w:type="dxa"/>
            <w:vAlign w:val="bottom"/>
            <w:shd w:val="clear" w:color="auto" w:fill="0066BA"/>
          </w:tcPr>
          <w:p>
            <w:pPr>
              <w:spacing w:after="0"/>
              <w:rPr>
                <w:sz w:val="13"/>
                <w:szCs w:val="13"/>
                <w:color w:val="auto"/>
              </w:rPr>
            </w:pPr>
          </w:p>
        </w:tc>
        <w:tc>
          <w:tcPr>
            <w:tcW w:w="1860" w:type="dxa"/>
            <w:vAlign w:val="bottom"/>
            <w:shd w:val="clear" w:color="auto" w:fill="0066BA"/>
          </w:tcPr>
          <w:p>
            <w:pPr>
              <w:jc w:val="right"/>
              <w:ind w:right="91"/>
              <w:spacing w:after="0"/>
              <w:rPr>
                <w:sz w:val="20"/>
                <w:szCs w:val="20"/>
                <w:color w:val="auto"/>
              </w:rPr>
            </w:pPr>
            <w:r>
              <w:rPr>
                <w:rFonts w:ascii="Arial" w:cs="Arial" w:eastAsia="Arial" w:hAnsi="Arial"/>
                <w:sz w:val="12"/>
                <w:szCs w:val="12"/>
                <w:b w:val="1"/>
                <w:bCs w:val="1"/>
                <w:color w:val="FFFFFF"/>
              </w:rPr>
              <w:t>Per Share ($)</w:t>
            </w:r>
          </w:p>
        </w:tc>
        <w:tc>
          <w:tcPr>
            <w:tcW w:w="0" w:type="dxa"/>
            <w:vAlign w:val="bottom"/>
          </w:tcPr>
          <w:p>
            <w:pPr>
              <w:spacing w:after="0"/>
              <w:rPr>
                <w:sz w:val="1"/>
                <w:szCs w:val="1"/>
                <w:color w:val="auto"/>
              </w:rPr>
            </w:pPr>
          </w:p>
        </w:tc>
      </w:tr>
      <w:tr>
        <w:trPr>
          <w:trHeight w:val="273"/>
        </w:trPr>
        <w:tc>
          <w:tcPr>
            <w:tcW w:w="2720" w:type="dxa"/>
            <w:vAlign w:val="bottom"/>
          </w:tcPr>
          <w:p>
            <w:pPr>
              <w:ind w:left="60"/>
              <w:spacing w:after="0"/>
              <w:rPr>
                <w:sz w:val="20"/>
                <w:szCs w:val="20"/>
                <w:color w:val="auto"/>
              </w:rPr>
            </w:pPr>
            <w:r>
              <w:rPr>
                <w:rFonts w:ascii="Arial" w:cs="Arial" w:eastAsia="Arial" w:hAnsi="Arial"/>
                <w:sz w:val="16"/>
                <w:szCs w:val="16"/>
                <w:b w:val="1"/>
                <w:bCs w:val="1"/>
                <w:color w:val="0066BA"/>
              </w:rPr>
              <w:t>3/10/2021</w:t>
            </w:r>
          </w:p>
        </w:tc>
        <w:tc>
          <w:tcPr>
            <w:tcW w:w="1780" w:type="dxa"/>
            <w:vAlign w:val="bottom"/>
          </w:tcPr>
          <w:p>
            <w:pPr>
              <w:ind w:left="1420"/>
              <w:spacing w:after="0"/>
              <w:rPr>
                <w:sz w:val="20"/>
                <w:szCs w:val="20"/>
                <w:color w:val="auto"/>
              </w:rPr>
            </w:pPr>
            <w:r>
              <w:rPr>
                <w:rFonts w:ascii="Arial" w:cs="Arial" w:eastAsia="Arial" w:hAnsi="Arial"/>
                <w:sz w:val="16"/>
                <w:szCs w:val="16"/>
                <w:color w:val="auto"/>
                <w:w w:val="81"/>
              </w:rPr>
              <w:t>RSUs</w:t>
            </w:r>
          </w:p>
        </w:tc>
        <w:tc>
          <w:tcPr>
            <w:tcW w:w="190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0.08</w:t>
            </w:r>
          </w:p>
        </w:tc>
        <w:tc>
          <w:tcPr>
            <w:tcW w:w="5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1.88</w:t>
            </w:r>
          </w:p>
        </w:tc>
        <w:tc>
          <w:tcPr>
            <w:tcW w:w="540" w:type="dxa"/>
            <w:vAlign w:val="bottom"/>
            <w:tcBorders>
              <w:bottom w:val="single" w:sz="8" w:color="EAEAEA"/>
            </w:tcBorders>
            <w:shd w:val="clear" w:color="auto" w:fill="EAEAEA"/>
          </w:tcPr>
          <w:p>
            <w:pPr>
              <w:spacing w:after="0"/>
              <w:rPr>
                <w:sz w:val="23"/>
                <w:szCs w:val="23"/>
                <w:color w:val="auto"/>
              </w:rPr>
            </w:pPr>
          </w:p>
        </w:tc>
        <w:tc>
          <w:tcPr>
            <w:tcW w:w="1860" w:type="dxa"/>
            <w:vAlign w:val="bottom"/>
            <w:tcBorders>
              <w:bottom w:val="single" w:sz="8" w:color="EAEAEA"/>
            </w:tcBorders>
            <w:shd w:val="clear" w:color="auto" w:fill="EAEAEA"/>
          </w:tcPr>
          <w:p>
            <w:pPr>
              <w:jc w:val="right"/>
              <w:ind w:right="91"/>
              <w:spacing w:after="0"/>
              <w:rPr>
                <w:sz w:val="20"/>
                <w:szCs w:val="20"/>
                <w:color w:val="auto"/>
              </w:rPr>
            </w:pPr>
            <w:r>
              <w:rPr>
                <w:rFonts w:ascii="Arial" w:cs="Arial" w:eastAsia="Arial" w:hAnsi="Arial"/>
                <w:sz w:val="16"/>
                <w:szCs w:val="16"/>
                <w:color w:val="auto"/>
              </w:rPr>
              <w:t>144.35</w:t>
            </w:r>
          </w:p>
        </w:tc>
        <w:tc>
          <w:tcPr>
            <w:tcW w:w="0" w:type="dxa"/>
            <w:vAlign w:val="bottom"/>
          </w:tcPr>
          <w:p>
            <w:pPr>
              <w:spacing w:after="0"/>
              <w:rPr>
                <w:sz w:val="1"/>
                <w:szCs w:val="1"/>
                <w:color w:val="auto"/>
              </w:rPr>
            </w:pPr>
          </w:p>
        </w:tc>
      </w:tr>
      <w:tr>
        <w:trPr>
          <w:trHeight w:val="233"/>
        </w:trPr>
        <w:tc>
          <w:tcPr>
            <w:tcW w:w="272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0066BA"/>
              </w:rPr>
              <w:t>9/15/2021</w:t>
            </w:r>
          </w:p>
        </w:tc>
        <w:tc>
          <w:tcPr>
            <w:tcW w:w="1780" w:type="dxa"/>
            <w:vAlign w:val="bottom"/>
            <w:tcBorders>
              <w:top w:val="single" w:sz="8" w:color="auto"/>
            </w:tcBorders>
          </w:tcPr>
          <w:p>
            <w:pPr>
              <w:ind w:left="1420"/>
              <w:spacing w:after="0"/>
              <w:rPr>
                <w:sz w:val="20"/>
                <w:szCs w:val="20"/>
                <w:color w:val="auto"/>
              </w:rPr>
            </w:pPr>
            <w:r>
              <w:rPr>
                <w:rFonts w:ascii="Arial" w:cs="Arial" w:eastAsia="Arial" w:hAnsi="Arial"/>
                <w:sz w:val="16"/>
                <w:szCs w:val="16"/>
                <w:color w:val="auto"/>
                <w:w w:val="81"/>
              </w:rPr>
              <w:t>RSUs</w:t>
            </w:r>
          </w:p>
        </w:tc>
        <w:tc>
          <w:tcPr>
            <w:tcW w:w="190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0.07</w:t>
            </w: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540" w:type="dxa"/>
            <w:vAlign w:val="bottom"/>
            <w:tcBorders>
              <w:top w:val="single" w:sz="8" w:color="auto"/>
              <w:bottom w:val="single" w:sz="8" w:color="EAEAEA"/>
            </w:tcBorders>
            <w:shd w:val="clear" w:color="auto" w:fill="EAEAEA"/>
          </w:tcPr>
          <w:p>
            <w:pPr>
              <w:spacing w:after="0"/>
              <w:rPr>
                <w:sz w:val="20"/>
                <w:szCs w:val="20"/>
                <w:color w:val="auto"/>
              </w:rPr>
            </w:pPr>
          </w:p>
        </w:tc>
        <w:tc>
          <w:tcPr>
            <w:tcW w:w="1860" w:type="dxa"/>
            <w:vAlign w:val="bottom"/>
            <w:tcBorders>
              <w:top w:val="single" w:sz="8" w:color="auto"/>
              <w:bottom w:val="single" w:sz="8" w:color="EAEAEA"/>
            </w:tcBorders>
            <w:shd w:val="clear" w:color="auto" w:fill="EAEAEA"/>
          </w:tcPr>
          <w:p>
            <w:pPr>
              <w:jc w:val="right"/>
              <w:ind w:right="91"/>
              <w:spacing w:after="0"/>
              <w:rPr>
                <w:sz w:val="20"/>
                <w:szCs w:val="20"/>
                <w:color w:val="auto"/>
              </w:rPr>
            </w:pPr>
            <w:r>
              <w:rPr>
                <w:rFonts w:ascii="Arial" w:cs="Arial" w:eastAsia="Arial" w:hAnsi="Arial"/>
                <w:sz w:val="16"/>
                <w:szCs w:val="16"/>
                <w:color w:val="auto"/>
              </w:rPr>
              <w:t>171.32</w:t>
            </w:r>
          </w:p>
        </w:tc>
        <w:tc>
          <w:tcPr>
            <w:tcW w:w="0" w:type="dxa"/>
            <w:vAlign w:val="bottom"/>
          </w:tcPr>
          <w:p>
            <w:pPr>
              <w:spacing w:after="0"/>
              <w:rPr>
                <w:sz w:val="1"/>
                <w:szCs w:val="1"/>
                <w:color w:val="auto"/>
              </w:rPr>
            </w:pPr>
          </w:p>
        </w:tc>
      </w:tr>
      <w:tr>
        <w:trPr>
          <w:trHeight w:val="20"/>
        </w:trPr>
        <w:tc>
          <w:tcPr>
            <w:tcW w:w="2720" w:type="dxa"/>
            <w:vAlign w:val="bottom"/>
            <w:shd w:val="clear" w:color="auto" w:fill="0066BA"/>
          </w:tcPr>
          <w:p>
            <w:pPr>
              <w:spacing w:after="0" w:line="20" w:lineRule="exact"/>
              <w:rPr>
                <w:sz w:val="1"/>
                <w:szCs w:val="1"/>
                <w:color w:val="auto"/>
              </w:rPr>
            </w:pPr>
          </w:p>
        </w:tc>
        <w:tc>
          <w:tcPr>
            <w:tcW w:w="1780" w:type="dxa"/>
            <w:vAlign w:val="bottom"/>
            <w:shd w:val="clear" w:color="auto" w:fill="0066BA"/>
          </w:tcPr>
          <w:p>
            <w:pPr>
              <w:spacing w:after="0" w:line="20" w:lineRule="exact"/>
              <w:rPr>
                <w:sz w:val="1"/>
                <w:szCs w:val="1"/>
                <w:color w:val="auto"/>
              </w:rPr>
            </w:pPr>
          </w:p>
        </w:tc>
        <w:tc>
          <w:tcPr>
            <w:tcW w:w="1900" w:type="dxa"/>
            <w:vAlign w:val="bottom"/>
            <w:shd w:val="clear" w:color="auto" w:fill="0066BA"/>
          </w:tcPr>
          <w:p>
            <w:pPr>
              <w:spacing w:after="0" w:line="20" w:lineRule="exact"/>
              <w:rPr>
                <w:sz w:val="1"/>
                <w:szCs w:val="1"/>
                <w:color w:val="auto"/>
              </w:rPr>
            </w:pPr>
          </w:p>
        </w:tc>
        <w:tc>
          <w:tcPr>
            <w:tcW w:w="500" w:type="dxa"/>
            <w:vAlign w:val="bottom"/>
            <w:shd w:val="clear" w:color="auto" w:fill="0066BA"/>
          </w:tcPr>
          <w:p>
            <w:pPr>
              <w:spacing w:after="0" w:line="20" w:lineRule="exact"/>
              <w:rPr>
                <w:sz w:val="1"/>
                <w:szCs w:val="1"/>
                <w:color w:val="auto"/>
              </w:rPr>
            </w:pPr>
          </w:p>
        </w:tc>
        <w:tc>
          <w:tcPr>
            <w:tcW w:w="980" w:type="dxa"/>
            <w:vAlign w:val="bottom"/>
            <w:shd w:val="clear" w:color="auto" w:fill="0066BA"/>
          </w:tcPr>
          <w:p>
            <w:pPr>
              <w:spacing w:after="0" w:line="20" w:lineRule="exact"/>
              <w:rPr>
                <w:sz w:val="1"/>
                <w:szCs w:val="1"/>
                <w:color w:val="auto"/>
              </w:rPr>
            </w:pPr>
          </w:p>
        </w:tc>
        <w:tc>
          <w:tcPr>
            <w:tcW w:w="540" w:type="dxa"/>
            <w:vAlign w:val="bottom"/>
            <w:shd w:val="clear" w:color="auto" w:fill="0066BA"/>
          </w:tcPr>
          <w:p>
            <w:pPr>
              <w:spacing w:after="0" w:line="20" w:lineRule="exact"/>
              <w:rPr>
                <w:sz w:val="1"/>
                <w:szCs w:val="1"/>
                <w:color w:val="auto"/>
              </w:rPr>
            </w:pPr>
          </w:p>
        </w:tc>
        <w:tc>
          <w:tcPr>
            <w:tcW w:w="1860" w:type="dxa"/>
            <w:vAlign w:val="bottom"/>
            <w:shd w:val="clear" w:color="auto" w:fill="0066B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80" w:right="280"/>
        <w:spacing w:after="0" w:line="263" w:lineRule="auto"/>
        <w:rPr>
          <w:sz w:val="20"/>
          <w:szCs w:val="20"/>
          <w:color w:val="auto"/>
        </w:rPr>
      </w:pPr>
      <w:r>
        <w:rPr>
          <w:rFonts w:ascii="Arial" w:cs="Arial" w:eastAsia="Arial" w:hAnsi="Arial"/>
          <w:sz w:val="17"/>
          <w:szCs w:val="17"/>
          <w:color w:val="auto"/>
        </w:rPr>
        <w:t>The grant date fair value of RSUs represents the value of our common stock on the date of grant, reduced by the present value of dividends expected to be paid on our common stock prior to vesting. For a more detailed description of the assumptions used for purposes of determining grant date fair value, see Note 3 to the Consolidated Financial Statements and “Management’s Discussion and Analysis of Financial Condition and Results of Operations—Critical Accounting Policies and Estimates—Stock-Based Compensation,” included in our Annual Report on Form 10-K for the year ended October 30, 2021.</w:t>
      </w:r>
    </w:p>
    <w:p>
      <w:pPr>
        <w:spacing w:after="0" w:line="87" w:lineRule="exact"/>
        <w:rPr>
          <w:sz w:val="20"/>
          <w:szCs w:val="20"/>
          <w:color w:val="auto"/>
        </w:rPr>
      </w:pPr>
    </w:p>
    <w:p>
      <w:pPr>
        <w:ind w:left="880" w:hanging="405"/>
        <w:spacing w:after="0"/>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amount represents payment of medical and dental insurance premiums on behalf of Mr. Stata and his spouse.</w:t>
      </w:r>
    </w:p>
    <w:p>
      <w:pPr>
        <w:spacing w:after="0" w:line="129" w:lineRule="exact"/>
        <w:rPr>
          <w:rFonts w:ascii="Arial" w:cs="Arial" w:eastAsia="Arial" w:hAnsi="Arial"/>
          <w:sz w:val="17"/>
          <w:szCs w:val="17"/>
          <w:color w:val="auto"/>
        </w:rPr>
      </w:pPr>
    </w:p>
    <w:p>
      <w:pPr>
        <w:ind w:left="880" w:right="280" w:hanging="405"/>
        <w:spacing w:after="0" w:line="286" w:lineRule="auto"/>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Tunç Doluca and Mercedes Johnson joined the Board on August 26, 2021, and in accordance with our Equity Award Grant Date Policy, each was granted a pro rata RSU award for his or her service from August 26, 2021 through our Annual Meeting.</w:t>
      </w:r>
    </w:p>
    <w:p>
      <w:pPr>
        <w:spacing w:after="0" w:line="5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also reimburse our directors for travel to Board meetings and other related expenses.</w:t>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0940"/>
          </w:cols>
          <w:pgMar w:left="320" w:top="447" w:right="63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0066BA"/>
        </w:rPr>
        <w:t>Stock Ownership Guidelines for Non-Employee Directors</w:t>
      </w:r>
    </w:p>
    <w:p>
      <w:pPr>
        <w:spacing w:after="0" w:line="124" w:lineRule="exact"/>
        <w:rPr>
          <w:sz w:val="20"/>
          <w:szCs w:val="20"/>
          <w:color w:val="auto"/>
        </w:rPr>
      </w:pPr>
    </w:p>
    <w:p>
      <w:pPr>
        <w:ind w:left="480" w:right="60"/>
        <w:spacing w:after="0" w:line="311" w:lineRule="auto"/>
        <w:rPr>
          <w:sz w:val="20"/>
          <w:szCs w:val="20"/>
          <w:color w:val="auto"/>
        </w:rPr>
      </w:pPr>
      <w:r>
        <w:rPr>
          <w:rFonts w:ascii="Arial" w:cs="Arial" w:eastAsia="Arial" w:hAnsi="Arial"/>
          <w:sz w:val="15"/>
          <w:szCs w:val="15"/>
          <w:color w:val="auto"/>
        </w:rPr>
        <w:t>Under our stock ownership guidelines, the target share ownership level for non-employee directors is at least four times the directors’ annual cash retainer. Directors have four years to achieve their targeted level. Shares subject to unexercised options, whether or not vested, and any shares that have been pledged as collateral for a loan will not be counted for purposes of satisfying these guidelines. Unvested RSUs are counted for purposes of satisfying the guidelines. All of our non-employee directors were in compliance with our stock ownership guidelines as of the end of fiscal 2021.</w:t>
      </w:r>
    </w:p>
    <w:p>
      <w:pPr>
        <w:spacing w:after="0" w:line="239"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0066BA"/>
        </w:rPr>
        <w:t>Equity Award Grant Date Policy for Non-Employee Directors</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During fiscal 2021, our Equity Award Grant Date Policy for non-employee directors provided for the following:</w:t>
      </w:r>
    </w:p>
    <w:p>
      <w:pPr>
        <w:spacing w:after="0" w:line="130" w:lineRule="exact"/>
        <w:rPr>
          <w:sz w:val="20"/>
          <w:szCs w:val="20"/>
          <w:color w:val="auto"/>
        </w:rPr>
      </w:pPr>
    </w:p>
    <w:p>
      <w:pPr>
        <w:ind w:left="860" w:right="120" w:hanging="385"/>
        <w:spacing w:after="0" w:line="319" w:lineRule="auto"/>
        <w:tabs>
          <w:tab w:leader="none" w:pos="8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Each newly elected non-employee director elected other than at an annual meeting of shareholders is granted under the 2020 Plan an RSU award for a number of shares of our common stock approved by the Board of Directors, on the 15th day of the month following the month of the date of initial election as a director, or if Nasdaq is closed on that day, the next succeeding business day that Nasdaq is open.</w:t>
      </w:r>
    </w:p>
    <w:p>
      <w:pPr>
        <w:spacing w:after="0" w:line="1" w:lineRule="exact"/>
        <w:rPr>
          <w:rFonts w:ascii="Arial" w:cs="Arial" w:eastAsia="Arial" w:hAnsi="Arial"/>
          <w:sz w:val="15"/>
          <w:szCs w:val="15"/>
          <w:color w:val="auto"/>
        </w:rPr>
      </w:pPr>
    </w:p>
    <w:p>
      <w:pPr>
        <w:ind w:left="860" w:right="180" w:hanging="385"/>
        <w:spacing w:after="0" w:line="270" w:lineRule="auto"/>
        <w:tabs>
          <w:tab w:leader="none" w:pos="8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On an annual basis, each non-employee director elected or re-elected at an annual meeting of shareholders is granted under the 2020 Plan an RSU award for a number of shares of our common stock approved by the Board of Directors, on the date of our annual meeting of shareholders, or if Nasdaq is closed on that day, the next succeeding business day that Nasdaq is open.</w:t>
      </w:r>
    </w:p>
    <w:p>
      <w:pPr>
        <w:spacing w:after="0" w:line="69" w:lineRule="exact"/>
        <w:rPr>
          <w:sz w:val="20"/>
          <w:szCs w:val="20"/>
          <w:color w:val="auto"/>
        </w:rPr>
      </w:pPr>
    </w:p>
    <w:p>
      <w:pPr>
        <w:ind w:left="480"/>
        <w:spacing w:after="0" w:line="261" w:lineRule="auto"/>
        <w:rPr>
          <w:sz w:val="20"/>
          <w:szCs w:val="20"/>
          <w:color w:val="auto"/>
        </w:rPr>
      </w:pPr>
      <w:r>
        <w:rPr>
          <w:rFonts w:ascii="Arial" w:cs="Arial" w:eastAsia="Arial" w:hAnsi="Arial"/>
          <w:sz w:val="17"/>
          <w:szCs w:val="17"/>
          <w:color w:val="auto"/>
        </w:rPr>
        <w:t>For fiscal 2021, RSUs granted to our non-employee directors under the 2020 Plan vest on the earlier of the date of the Annual Meeting and the first anniversary of the date of grant, subject to acceleration as described below. The RSU awards vest in full upon the occurrence of a Change in Control Event (as defined in the 2020 Plan) or the director’s death. If the director ceases to serve as a director by reason of his or her disability, as determined by the Board of Directors, each outstanding and unvested RSU will vest in full at the time he or she ceases to be a director. In addition, upon the occurrence of a Change in Control Event or in the event of the director’s death, disability or retirement after age 60, each vested option will continue to be exercisable for the balance of its term.</w:t>
      </w:r>
    </w:p>
    <w:p>
      <w:pPr>
        <w:spacing w:after="0" w:line="265"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33333"/>
        </w:rPr>
        <w:t>Certain Relationships and Related Transactions</w:t>
      </w:r>
    </w:p>
    <w:p>
      <w:pPr>
        <w:spacing w:after="0" w:line="218"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0066BA"/>
        </w:rPr>
        <w:t>Transactions with Related Persons</w:t>
      </w:r>
    </w:p>
    <w:p>
      <w:pPr>
        <w:spacing w:after="0" w:line="124" w:lineRule="exact"/>
        <w:rPr>
          <w:sz w:val="20"/>
          <w:szCs w:val="20"/>
          <w:color w:val="auto"/>
        </w:rPr>
      </w:pPr>
    </w:p>
    <w:p>
      <w:pPr>
        <w:ind w:left="480" w:right="60"/>
        <w:spacing w:after="0" w:line="283" w:lineRule="auto"/>
        <w:rPr>
          <w:sz w:val="20"/>
          <w:szCs w:val="20"/>
          <w:color w:val="auto"/>
        </w:rPr>
      </w:pPr>
      <w:r>
        <w:rPr>
          <w:rFonts w:ascii="Arial" w:cs="Arial" w:eastAsia="Arial" w:hAnsi="Arial"/>
          <w:sz w:val="16"/>
          <w:szCs w:val="16"/>
          <w:color w:val="auto"/>
        </w:rPr>
        <w:t>During fiscal 2021, Mr. Stata, our founder and Chair of the Board, received a cash retainer for service on the Board of $250,000. Following his retirement as an employee in 2012, the Company agreed to provide medical and dental benefits to Mr. Stata and his spouse during their lifetimes on the same basis as provided to U.S. employees of the Company. The value of those medical and dental benefits in fiscal 2021 was $14,948. On March 10, 2021, we granted 1,435 RSUs to Mr. Stata. This award is identical to the award granted to our other non-employee directors on March 10, 2021 and vests on the earlier of the date of the Annual Meeting or the first anniversary of the grant date.</w:t>
      </w:r>
    </w:p>
    <w:p>
      <w:pPr>
        <w:spacing w:after="0" w:line="60" w:lineRule="exact"/>
        <w:rPr>
          <w:sz w:val="20"/>
          <w:szCs w:val="20"/>
          <w:color w:val="auto"/>
        </w:rPr>
      </w:pPr>
    </w:p>
    <w:p>
      <w:pPr>
        <w:ind w:left="480" w:right="680"/>
        <w:spacing w:after="0" w:line="270" w:lineRule="auto"/>
        <w:rPr>
          <w:sz w:val="20"/>
          <w:szCs w:val="20"/>
          <w:color w:val="auto"/>
        </w:rPr>
      </w:pPr>
      <w:r>
        <w:rPr>
          <w:rFonts w:ascii="Arial" w:cs="Arial" w:eastAsia="Arial" w:hAnsi="Arial"/>
          <w:sz w:val="17"/>
          <w:szCs w:val="17"/>
          <w:color w:val="auto"/>
        </w:rPr>
        <w:t>The Company contributes annually to Massachusetts Institute of Technology (MIT) to fund university research projects. In fiscal 2021, the Company made approximately $1.4 million in total contributions to MIT of which $120,000 funded a graduate student working in Dr. Chandrakasan’s laboratory.</w:t>
      </w:r>
    </w:p>
    <w:p>
      <w:pPr>
        <w:spacing w:after="0" w:line="161"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0066BA"/>
        </w:rPr>
        <w:t>Policies and Procedures for Related Person Transactions</w:t>
      </w:r>
    </w:p>
    <w:p>
      <w:pPr>
        <w:spacing w:after="0" w:line="124" w:lineRule="exact"/>
        <w:rPr>
          <w:sz w:val="20"/>
          <w:szCs w:val="20"/>
          <w:color w:val="auto"/>
        </w:rPr>
      </w:pPr>
    </w:p>
    <w:p>
      <w:pPr>
        <w:jc w:val="both"/>
        <w:ind w:left="480" w:right="100"/>
        <w:spacing w:after="0" w:line="295" w:lineRule="auto"/>
        <w:rPr>
          <w:sz w:val="20"/>
          <w:szCs w:val="20"/>
          <w:color w:val="auto"/>
        </w:rPr>
      </w:pPr>
      <w:r>
        <w:rPr>
          <w:rFonts w:ascii="Arial" w:cs="Arial" w:eastAsia="Arial" w:hAnsi="Arial"/>
          <w:sz w:val="16"/>
          <w:szCs w:val="16"/>
          <w:color w:val="auto"/>
        </w:rPr>
        <w:t>Our Board of Directors has adopted written policies and procedures for the review of any transaction, arrangement or relationship in which Analog Devices is a participant, the amount involved exceeds $120,000, and one of our executive officers, directors, director nominees or 5% shareholders (or their immediate family members), each of whom we refer to as a related person, has a direct or indirect material interest.</w:t>
      </w:r>
    </w:p>
    <w:p>
      <w:pPr>
        <w:spacing w:after="0" w:line="50" w:lineRule="exact"/>
        <w:rPr>
          <w:sz w:val="20"/>
          <w:szCs w:val="20"/>
          <w:color w:val="auto"/>
        </w:rPr>
      </w:pPr>
    </w:p>
    <w:p>
      <w:pPr>
        <w:ind w:left="480" w:right="120"/>
        <w:spacing w:after="0" w:line="260" w:lineRule="auto"/>
        <w:rPr>
          <w:sz w:val="20"/>
          <w:szCs w:val="20"/>
          <w:color w:val="auto"/>
        </w:rPr>
      </w:pPr>
      <w:r>
        <w:rPr>
          <w:rFonts w:ascii="Arial" w:cs="Arial" w:eastAsia="Arial" w:hAnsi="Arial"/>
          <w:sz w:val="17"/>
          <w:szCs w:val="17"/>
          <w:color w:val="auto"/>
        </w:rPr>
        <w:t>If a related person proposes to enter into such a transaction, arrangement or relationship, which we refer to as a related person transaction, the related person must report the proposed related person transaction to our Chief Legal Officer. The policy calls for the proposed related person transaction to be reviewed and, if deemed appropriate, approved by the Nominating and Corporate Governance Committee. Whenever practicable, the reporting, review and approval will occur prior to entry into the transaction. If our Chief Legal Officer determines that advance review and approval is not practicable, the Nominating and Corporate Governance Committee will review, and, in its discretion, may ratify the related person transaction at the next meeting of the Nominating and Corporate Governance Committee. The policy also permits the Chair of the Nominating and Corporate Governance Committee to</w:t>
      </w:r>
    </w:p>
    <w:p>
      <w:pPr>
        <w:spacing w:after="0" w:line="200" w:lineRule="exact"/>
        <w:rPr>
          <w:sz w:val="20"/>
          <w:szCs w:val="20"/>
          <w:color w:val="auto"/>
        </w:rPr>
      </w:pPr>
    </w:p>
    <w:p>
      <w:pPr>
        <w:spacing w:after="0" w:line="24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0780"/>
          </w:cols>
          <w:pgMar w:left="320" w:top="447" w:right="79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480" w:right="360"/>
        <w:spacing w:after="0" w:line="270" w:lineRule="auto"/>
        <w:rPr>
          <w:sz w:val="20"/>
          <w:szCs w:val="20"/>
          <w:color w:val="auto"/>
        </w:rPr>
      </w:pPr>
      <w:r>
        <w:rPr>
          <w:rFonts w:ascii="Arial" w:cs="Arial" w:eastAsia="Arial" w:hAnsi="Arial"/>
          <w:sz w:val="17"/>
          <w:szCs w:val="17"/>
          <w:color w:val="auto"/>
        </w:rPr>
        <w:t>review and, if deemed appropriate, approve proposed related person transactions that arise between committee meetings, subject to ratification by the Nominating and Corporate Governance Committee at its next meeting. Any related person transactions that are ongoing in nature will be reviewed annually.</w:t>
      </w:r>
    </w:p>
    <w:p>
      <w:pPr>
        <w:spacing w:after="0" w:line="69" w:lineRule="exact"/>
        <w:rPr>
          <w:sz w:val="20"/>
          <w:szCs w:val="20"/>
          <w:color w:val="auto"/>
        </w:rPr>
      </w:pPr>
    </w:p>
    <w:p>
      <w:pPr>
        <w:ind w:left="480" w:right="240"/>
        <w:spacing w:after="0" w:line="270" w:lineRule="auto"/>
        <w:rPr>
          <w:sz w:val="20"/>
          <w:szCs w:val="20"/>
          <w:color w:val="auto"/>
        </w:rPr>
      </w:pPr>
      <w:r>
        <w:rPr>
          <w:rFonts w:ascii="Arial" w:cs="Arial" w:eastAsia="Arial" w:hAnsi="Arial"/>
          <w:sz w:val="17"/>
          <w:szCs w:val="17"/>
          <w:color w:val="auto"/>
        </w:rPr>
        <w:t>A related person transaction reviewed under the policy will be considered approved or ratified if it is authorized by the Nominating and Corporate Governance Committee after full disclosure of the related person’s interest in the transaction. As appropriate for the circumstances, the Nominating and Corporate Governance Committee will review and consider:</w:t>
      </w:r>
    </w:p>
    <w:p>
      <w:pPr>
        <w:spacing w:after="0" w:line="82" w:lineRule="exact"/>
        <w:rPr>
          <w:sz w:val="20"/>
          <w:szCs w:val="20"/>
          <w:color w:val="auto"/>
        </w:rPr>
      </w:pPr>
    </w:p>
    <w:p>
      <w:pPr>
        <w:ind w:left="860" w:hanging="385"/>
        <w:spacing w:after="0"/>
        <w:tabs>
          <w:tab w:leader="none" w:pos="8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related person’s interest in the related person transaction;</w:t>
      </w:r>
    </w:p>
    <w:p>
      <w:pPr>
        <w:spacing w:after="0" w:line="77" w:lineRule="exact"/>
        <w:rPr>
          <w:rFonts w:ascii="Arial" w:cs="Arial" w:eastAsia="Arial" w:hAnsi="Arial"/>
          <w:sz w:val="17"/>
          <w:szCs w:val="17"/>
          <w:color w:val="auto"/>
        </w:rPr>
      </w:pPr>
    </w:p>
    <w:p>
      <w:pPr>
        <w:ind w:left="860" w:hanging="385"/>
        <w:spacing w:after="0"/>
        <w:tabs>
          <w:tab w:leader="none" w:pos="8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approximate dollar value of the amount involved in the related person transaction;</w:t>
      </w:r>
    </w:p>
    <w:p>
      <w:pPr>
        <w:spacing w:after="0" w:line="77" w:lineRule="exact"/>
        <w:rPr>
          <w:rFonts w:ascii="Arial" w:cs="Arial" w:eastAsia="Arial" w:hAnsi="Arial"/>
          <w:sz w:val="17"/>
          <w:szCs w:val="17"/>
          <w:color w:val="auto"/>
        </w:rPr>
      </w:pPr>
    </w:p>
    <w:p>
      <w:pPr>
        <w:ind w:left="860" w:right="500" w:hanging="385"/>
        <w:spacing w:after="0" w:line="286" w:lineRule="auto"/>
        <w:tabs>
          <w:tab w:leader="none" w:pos="8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approximate dollar value of the amount of the related person’s interest in the transaction without regard to the amount of any profit or loss;</w:t>
      </w:r>
    </w:p>
    <w:p>
      <w:pPr>
        <w:spacing w:after="0" w:line="15" w:lineRule="exact"/>
        <w:rPr>
          <w:rFonts w:ascii="Arial" w:cs="Arial" w:eastAsia="Arial" w:hAnsi="Arial"/>
          <w:sz w:val="17"/>
          <w:szCs w:val="17"/>
          <w:color w:val="auto"/>
        </w:rPr>
      </w:pPr>
    </w:p>
    <w:p>
      <w:pPr>
        <w:ind w:left="860" w:hanging="385"/>
        <w:spacing w:after="0"/>
        <w:tabs>
          <w:tab w:leader="none" w:pos="8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Whether the transaction was undertaken in the ordinary course of our business;</w:t>
      </w:r>
    </w:p>
    <w:p>
      <w:pPr>
        <w:spacing w:after="0" w:line="77" w:lineRule="exact"/>
        <w:rPr>
          <w:rFonts w:ascii="Arial" w:cs="Arial" w:eastAsia="Arial" w:hAnsi="Arial"/>
          <w:sz w:val="17"/>
          <w:szCs w:val="17"/>
          <w:color w:val="auto"/>
        </w:rPr>
      </w:pPr>
    </w:p>
    <w:p>
      <w:pPr>
        <w:ind w:left="860" w:hanging="385"/>
        <w:spacing w:after="0"/>
        <w:tabs>
          <w:tab w:leader="none" w:pos="8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Whether the terms of the transaction are no less favorable to us than the terms that could have been reached with an unrelated third party;</w:t>
      </w:r>
    </w:p>
    <w:p>
      <w:pPr>
        <w:spacing w:after="0" w:line="89" w:lineRule="exact"/>
        <w:rPr>
          <w:rFonts w:ascii="Arial" w:cs="Arial" w:eastAsia="Arial" w:hAnsi="Arial"/>
          <w:sz w:val="16"/>
          <w:szCs w:val="16"/>
          <w:color w:val="auto"/>
        </w:rPr>
      </w:pPr>
    </w:p>
    <w:p>
      <w:pPr>
        <w:ind w:left="860" w:hanging="385"/>
        <w:spacing w:after="0"/>
        <w:tabs>
          <w:tab w:leader="none" w:pos="8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purpose of, and the potential benefits to us of, the transaction; and</w:t>
      </w:r>
    </w:p>
    <w:p>
      <w:pPr>
        <w:spacing w:after="0" w:line="77" w:lineRule="exact"/>
        <w:rPr>
          <w:rFonts w:ascii="Arial" w:cs="Arial" w:eastAsia="Arial" w:hAnsi="Arial"/>
          <w:sz w:val="17"/>
          <w:szCs w:val="17"/>
          <w:color w:val="auto"/>
        </w:rPr>
      </w:pPr>
    </w:p>
    <w:p>
      <w:pPr>
        <w:ind w:left="860" w:right="360" w:hanging="385"/>
        <w:spacing w:after="0" w:line="286" w:lineRule="auto"/>
        <w:tabs>
          <w:tab w:leader="none" w:pos="8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54" w:lineRule="exact"/>
        <w:rPr>
          <w:sz w:val="20"/>
          <w:szCs w:val="20"/>
          <w:color w:val="auto"/>
        </w:rPr>
      </w:pPr>
    </w:p>
    <w:p>
      <w:pPr>
        <w:ind w:left="480" w:right="440"/>
        <w:spacing w:after="0" w:line="265" w:lineRule="auto"/>
        <w:rPr>
          <w:sz w:val="20"/>
          <w:szCs w:val="20"/>
          <w:color w:val="auto"/>
        </w:rPr>
      </w:pPr>
      <w:r>
        <w:rPr>
          <w:rFonts w:ascii="Arial" w:cs="Arial" w:eastAsia="Arial" w:hAnsi="Arial"/>
          <w:sz w:val="17"/>
          <w:szCs w:val="17"/>
          <w:color w:val="auto"/>
        </w:rPr>
        <w:t>The Nominating and Corporate Governance Committee may approve or ratify the transaction only if the Nominating and Corporate Governance Committee determines that, under all of the circumstances, the transaction is in Analog Devices’ best interests. The Nominating and Corporate Governance Committee may, in its sole discretion, impose any conditions on us or the related person in connection with approval of the related person transaction.</w:t>
      </w:r>
    </w:p>
    <w:p>
      <w:pPr>
        <w:spacing w:after="0" w:line="73" w:lineRule="exact"/>
        <w:rPr>
          <w:sz w:val="20"/>
          <w:szCs w:val="20"/>
          <w:color w:val="auto"/>
        </w:rPr>
      </w:pPr>
    </w:p>
    <w:p>
      <w:pPr>
        <w:ind w:left="480" w:right="300"/>
        <w:spacing w:after="0" w:line="270" w:lineRule="auto"/>
        <w:rPr>
          <w:sz w:val="20"/>
          <w:szCs w:val="20"/>
          <w:color w:val="auto"/>
        </w:rPr>
      </w:pPr>
      <w:r>
        <w:rPr>
          <w:rFonts w:ascii="Arial" w:cs="Arial" w:eastAsia="Arial" w:hAnsi="Arial"/>
          <w:sz w:val="17"/>
          <w:szCs w:val="17"/>
          <w:color w:val="auto"/>
        </w:rPr>
        <w:t>In addition to the transactions that are excluded by the instructions to the SEC’s related person transaction disclosure rule, the Board of Directors has determined that the following transactions do not create a material direct or indirect interest on behalf of related persons and, therefore, are not related person transactions for purposes of this policy:</w:t>
      </w:r>
    </w:p>
    <w:p>
      <w:pPr>
        <w:spacing w:after="0" w:line="82" w:lineRule="exact"/>
        <w:rPr>
          <w:sz w:val="20"/>
          <w:szCs w:val="20"/>
          <w:color w:val="auto"/>
        </w:rPr>
      </w:pPr>
    </w:p>
    <w:p>
      <w:pPr>
        <w:ind w:left="660" w:right="180" w:hanging="185"/>
        <w:spacing w:after="0" w:line="283"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Interests arising solely from the related person’s position as an executive officer of another entity (whether or not the person is also a director of that entity), that is a participant in a transaction, where (a) the related person and all other related persons own in the aggregate less than a 10% equity interest in the entity, (b) the related person and his or her immediate family members are not involved in the negotiation of the terms of the transaction and do not receive any special benefits as a result of the transaction, and (c) the amount involved in the transaction equals less than the greater of $200,000 or 5% of the annual gross revenues of the company receiving payment under the transaction; or</w:t>
      </w:r>
    </w:p>
    <w:p>
      <w:pPr>
        <w:spacing w:after="0" w:line="21" w:lineRule="exact"/>
        <w:rPr>
          <w:rFonts w:ascii="Arial" w:cs="Arial" w:eastAsia="Arial" w:hAnsi="Arial"/>
          <w:sz w:val="16"/>
          <w:szCs w:val="16"/>
          <w:color w:val="auto"/>
        </w:rPr>
      </w:pPr>
    </w:p>
    <w:p>
      <w:pPr>
        <w:ind w:left="660" w:hanging="185"/>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transactions that are specifically contemplated by provisions of Analog Devices’ charter or bylaws.</w:t>
      </w:r>
    </w:p>
    <w:p>
      <w:pPr>
        <w:spacing w:after="0" w:line="117" w:lineRule="exact"/>
        <w:rPr>
          <w:sz w:val="20"/>
          <w:szCs w:val="20"/>
          <w:color w:val="auto"/>
        </w:rPr>
      </w:pPr>
    </w:p>
    <w:p>
      <w:pPr>
        <w:ind w:left="480" w:right="720"/>
        <w:spacing w:after="0" w:line="286" w:lineRule="auto"/>
        <w:rPr>
          <w:sz w:val="20"/>
          <w:szCs w:val="20"/>
          <w:color w:val="auto"/>
        </w:rPr>
      </w:pPr>
      <w:r>
        <w:rPr>
          <w:rFonts w:ascii="Arial" w:cs="Arial" w:eastAsia="Arial" w:hAnsi="Arial"/>
          <w:sz w:val="17"/>
          <w:szCs w:val="17"/>
          <w:color w:val="auto"/>
        </w:rPr>
        <w:t>The policy provides that the transactions involving compensation of executive officers shall be reviewed and approved by the Compensation Committee in the manner specified in its charter.</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0940"/>
          </w:cols>
          <w:pgMar w:left="320" w:top="447" w:right="63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20" w:lineRule="exact"/>
        <w:rPr>
          <w:sz w:val="20"/>
          <w:szCs w:val="20"/>
          <w:color w:val="auto"/>
        </w:rPr>
      </w:pPr>
    </w:p>
    <w:p>
      <w:pPr>
        <w:ind w:left="480"/>
        <w:spacing w:after="0"/>
        <w:rPr>
          <w:sz w:val="20"/>
          <w:szCs w:val="20"/>
          <w:color w:val="auto"/>
        </w:rPr>
      </w:pPr>
      <w:r>
        <w:rPr>
          <w:rFonts w:ascii="Arial" w:cs="Arial" w:eastAsia="Arial" w:hAnsi="Arial"/>
          <w:sz w:val="55"/>
          <w:szCs w:val="55"/>
          <w:color w:val="0066BA"/>
        </w:rPr>
        <w:t>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67310</wp:posOffset>
            </wp:positionV>
            <wp:extent cx="264160" cy="2641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64160" cy="264160"/>
                    </a:xfrm>
                    <a:prstGeom prst="rect">
                      <a:avLst/>
                    </a:prstGeom>
                    <a:noFill/>
                  </pic:spPr>
                </pic:pic>
              </a:graphicData>
            </a:graphic>
          </wp:anchor>
        </w:drawing>
      </w:r>
    </w:p>
    <w:p>
      <w:pPr>
        <w:spacing w:after="0" w:line="92" w:lineRule="exact"/>
        <w:rPr>
          <w:sz w:val="20"/>
          <w:szCs w:val="20"/>
          <w:color w:val="auto"/>
        </w:rPr>
      </w:pPr>
    </w:p>
    <w:p>
      <w:pPr>
        <w:ind w:left="1300" w:right="2200" w:firstLine="69"/>
        <w:spacing w:after="0" w:line="241" w:lineRule="auto"/>
        <w:rPr>
          <w:sz w:val="20"/>
          <w:szCs w:val="20"/>
          <w:color w:val="auto"/>
        </w:rPr>
      </w:pPr>
      <w:r>
        <w:rPr>
          <w:rFonts w:ascii="Arial" w:cs="Arial" w:eastAsia="Arial" w:hAnsi="Arial"/>
          <w:sz w:val="45"/>
          <w:szCs w:val="45"/>
          <w:color w:val="auto"/>
        </w:rPr>
        <w:t>ADVISORY VOTE ON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96520</wp:posOffset>
            </wp:positionV>
            <wp:extent cx="654240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542405"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480"/>
        <w:spacing w:after="0" w:line="246" w:lineRule="auto"/>
        <w:rPr>
          <w:sz w:val="20"/>
          <w:szCs w:val="20"/>
          <w:color w:val="auto"/>
        </w:rPr>
      </w:pPr>
      <w:r>
        <w:rPr>
          <w:rFonts w:ascii="Arial" w:cs="Arial" w:eastAsia="Arial" w:hAnsi="Arial"/>
          <w:sz w:val="28"/>
          <w:szCs w:val="28"/>
          <w:color w:val="0066BA"/>
        </w:rPr>
        <w:t xml:space="preserve">Our Board of Directors unanimously recommends that you vote </w:t>
      </w:r>
      <w:r>
        <w:rPr>
          <w:rFonts w:ascii="Arial" w:cs="Arial" w:eastAsia="Arial" w:hAnsi="Arial"/>
          <w:sz w:val="22"/>
          <w:szCs w:val="22"/>
          <w:color w:val="FFFFFF"/>
          <w:shd w:val="clear" w:color="auto" w:fill="0066BA"/>
        </w:rPr>
        <w:t>FOR</w:t>
      </w:r>
      <w:r>
        <w:rPr>
          <w:rFonts w:ascii="Arial" w:cs="Arial" w:eastAsia="Arial" w:hAnsi="Arial"/>
          <w:sz w:val="28"/>
          <w:szCs w:val="28"/>
          <w:color w:val="0066BA"/>
        </w:rPr>
        <w:t xml:space="preserve"> approval of the compensation of our named executive officers as disclosed in this proxy statement.</w:t>
      </w:r>
    </w:p>
    <w:p>
      <w:pPr>
        <w:spacing w:after="0" w:line="81" w:lineRule="exact"/>
        <w:rPr>
          <w:sz w:val="20"/>
          <w:szCs w:val="20"/>
          <w:color w:val="auto"/>
        </w:rPr>
      </w:pPr>
    </w:p>
    <w:p>
      <w:pPr>
        <w:ind w:left="480" w:right="140"/>
        <w:spacing w:after="0" w:line="283" w:lineRule="auto"/>
        <w:rPr>
          <w:sz w:val="20"/>
          <w:szCs w:val="20"/>
          <w:color w:val="auto"/>
        </w:rPr>
      </w:pPr>
      <w:r>
        <w:rPr>
          <w:rFonts w:ascii="Arial" w:cs="Arial" w:eastAsia="Arial" w:hAnsi="Arial"/>
          <w:sz w:val="16"/>
          <w:szCs w:val="16"/>
          <w:color w:val="auto"/>
        </w:rPr>
        <w:t>We are requesting shareholder approval of the compensation of the executive officers named in our Summary Compensation Table below, who we refer to as our named executive officers or NEOs. We are required to provide our shareholders with the opportunity to vote to approve, on an advisory (non-binding) basis, the compensation of our NEOs as disclosed in this proxy statement in accordance with the SEC’s rules. At the 2017 annual meeting of shareholders, our shareholders voted in favor of holding future “say on pay” votes every year. In accordance with the results of that vote, our Board of Directors determined to submit “say on pay” proposals to our shareholders every year.</w:t>
      </w:r>
    </w:p>
    <w:p>
      <w:pPr>
        <w:spacing w:after="0" w:line="6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Board of Directors is asking shareholders to approve the following non-binding advisory resolution:</w:t>
      </w:r>
    </w:p>
    <w:p>
      <w:pPr>
        <w:spacing w:after="0" w:line="111" w:lineRule="exact"/>
        <w:rPr>
          <w:sz w:val="20"/>
          <w:szCs w:val="20"/>
          <w:color w:val="auto"/>
        </w:rPr>
      </w:pPr>
    </w:p>
    <w:p>
      <w:pPr>
        <w:ind w:left="480" w:right="300"/>
        <w:spacing w:after="0" w:line="274" w:lineRule="auto"/>
        <w:rPr>
          <w:sz w:val="20"/>
          <w:szCs w:val="20"/>
          <w:color w:val="auto"/>
        </w:rPr>
      </w:pPr>
      <w:r>
        <w:rPr>
          <w:rFonts w:ascii="Arial" w:cs="Arial" w:eastAsia="Arial" w:hAnsi="Arial"/>
          <w:sz w:val="17"/>
          <w:szCs w:val="17"/>
          <w:b w:val="1"/>
          <w:bCs w:val="1"/>
          <w:color w:val="auto"/>
        </w:rPr>
        <w:t>RESOLVED, that the compensation paid to the Company’s NEOs, as disclosed pursuant to Item 402 of Regulation S-K, including the Compensation Discussion and Analysis, compensation tables and accompanying narrative disclosures in this proxy statement, is hereby approved.</w:t>
      </w:r>
    </w:p>
    <w:p>
      <w:pPr>
        <w:spacing w:after="0" w:line="65" w:lineRule="exact"/>
        <w:rPr>
          <w:sz w:val="20"/>
          <w:szCs w:val="20"/>
          <w:color w:val="auto"/>
        </w:rPr>
      </w:pPr>
    </w:p>
    <w:p>
      <w:pPr>
        <w:ind w:left="480" w:right="100"/>
        <w:spacing w:after="0" w:line="263" w:lineRule="auto"/>
        <w:rPr>
          <w:sz w:val="20"/>
          <w:szCs w:val="20"/>
          <w:color w:val="auto"/>
        </w:rPr>
      </w:pPr>
      <w:r>
        <w:rPr>
          <w:rFonts w:ascii="Arial" w:cs="Arial" w:eastAsia="Arial" w:hAnsi="Arial"/>
          <w:sz w:val="17"/>
          <w:szCs w:val="17"/>
          <w:color w:val="auto"/>
        </w:rPr>
        <w:t>As required by the Dodd-Frank Act, this is an advisory vote, which means that this proposal is not binding on us. Our Compensation Committee, however, values the opinions expressed by our shareholders and will carefully consider the outcome of the vote when making future compensation decisions for our NEOs. You may vote for, against or abstain from voting on this matter. At our 2021 annual meeting of shareholders, our compensation program for our NEOs received the support of 94.95% of the total votes cast. In light of the support received, our Compensation Committee did not make significant changes to our executive compensation program.</w:t>
      </w:r>
    </w:p>
    <w:p>
      <w:pPr>
        <w:spacing w:after="0" w:line="74" w:lineRule="exact"/>
        <w:rPr>
          <w:sz w:val="20"/>
          <w:szCs w:val="20"/>
          <w:color w:val="auto"/>
        </w:rPr>
      </w:pPr>
    </w:p>
    <w:p>
      <w:pPr>
        <w:ind w:left="480" w:right="40"/>
        <w:spacing w:after="0" w:line="263" w:lineRule="auto"/>
        <w:rPr>
          <w:sz w:val="20"/>
          <w:szCs w:val="20"/>
          <w:color w:val="auto"/>
        </w:rPr>
      </w:pPr>
      <w:r>
        <w:rPr>
          <w:rFonts w:ascii="Arial" w:cs="Arial" w:eastAsia="Arial" w:hAnsi="Arial"/>
          <w:sz w:val="17"/>
          <w:szCs w:val="17"/>
          <w:color w:val="auto"/>
        </w:rPr>
        <w:t>As described in detail in the “Compensation Discussion and Analysis” section of this proxy statement, ADI’s executive compensation program is significantly performance-based and designed to attract, retain and motivate strong executives to lead our complex, global organization and to align their interests with those of our shareholders. We seek to provide total compensation to our executive officers, including our named executive officers, that is competitive with our peers, and we believe that our executive compensation program is designed to encourage the most talented individuals to grow their careers at ADI.</w:t>
      </w:r>
    </w:p>
    <w:p>
      <w:pPr>
        <w:spacing w:after="0" w:line="74" w:lineRule="exact"/>
        <w:rPr>
          <w:sz w:val="20"/>
          <w:szCs w:val="20"/>
          <w:color w:val="auto"/>
        </w:rPr>
      </w:pPr>
    </w:p>
    <w:p>
      <w:pPr>
        <w:ind w:left="480"/>
        <w:spacing w:after="0" w:line="259" w:lineRule="auto"/>
        <w:rPr>
          <w:sz w:val="20"/>
          <w:szCs w:val="20"/>
          <w:color w:val="auto"/>
        </w:rPr>
      </w:pPr>
      <w:r>
        <w:rPr>
          <w:rFonts w:ascii="Arial" w:cs="Arial" w:eastAsia="Arial" w:hAnsi="Arial"/>
          <w:sz w:val="17"/>
          <w:szCs w:val="17"/>
          <w:color w:val="auto"/>
        </w:rPr>
        <w:t>ADI has a longstanding philosophy and practice of paying executives for performance. In order to align our pay practices with shareholder interests, we tie a significant percentage of each executive’s compensation to the Company’s performance, in the form of variable cash incentive bonus payments, and equity awards that are subject to performance vesting and rise in value only if our stock price increases. In fiscal 2021, a year in which</w:t>
      </w:r>
    </w:p>
    <w:p>
      <w:pPr>
        <w:spacing w:after="0" w:line="1" w:lineRule="exact"/>
        <w:rPr>
          <w:sz w:val="20"/>
          <w:szCs w:val="20"/>
          <w:color w:val="auto"/>
        </w:rPr>
      </w:pPr>
    </w:p>
    <w:p>
      <w:pPr>
        <w:ind w:left="480" w:right="180"/>
        <w:spacing w:after="0" w:line="271" w:lineRule="auto"/>
        <w:rPr>
          <w:sz w:val="20"/>
          <w:szCs w:val="20"/>
          <w:color w:val="auto"/>
        </w:rPr>
      </w:pPr>
      <w:r>
        <w:rPr>
          <w:rFonts w:ascii="Arial" w:cs="Arial" w:eastAsia="Arial" w:hAnsi="Arial"/>
          <w:sz w:val="17"/>
          <w:szCs w:val="17"/>
          <w:color w:val="auto"/>
        </w:rPr>
        <w:t>ADI experienced robust year-over-year revenue growth, aggregate payments under our executive performance incentive bonus plan were made at 253% of target, compared to 77% in fiscal 2020 and 95% in fiscal 2019.</w:t>
      </w:r>
    </w:p>
    <w:p>
      <w:pPr>
        <w:spacing w:after="0" w:line="6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We believe that our executive compensation program is working as intended and appropriately aligns executive pay with Company performance.</w:t>
      </w:r>
    </w:p>
    <w:p>
      <w:pPr>
        <w:spacing w:after="0" w:line="200" w:lineRule="exact"/>
        <w:rPr>
          <w:sz w:val="20"/>
          <w:szCs w:val="20"/>
          <w:color w:val="auto"/>
        </w:rPr>
      </w:pPr>
    </w:p>
    <w:p>
      <w:pPr>
        <w:spacing w:after="0" w:line="29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0760"/>
          </w:cols>
          <w:pgMar w:left="320" w:top="447" w:right="81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10" w:lineRule="exact"/>
        <w:rPr>
          <w:sz w:val="20"/>
          <w:szCs w:val="20"/>
          <w:color w:val="auto"/>
        </w:rPr>
      </w:pPr>
    </w:p>
    <w:p>
      <w:pPr>
        <w:ind w:left="480" w:right="4160"/>
        <w:spacing w:after="0" w:line="259" w:lineRule="auto"/>
        <w:rPr>
          <w:sz w:val="20"/>
          <w:szCs w:val="20"/>
          <w:color w:val="auto"/>
        </w:rPr>
      </w:pPr>
      <w:r>
        <w:rPr>
          <w:rFonts w:ascii="Arial" w:cs="Arial" w:eastAsia="Arial" w:hAnsi="Arial"/>
          <w:sz w:val="44"/>
          <w:szCs w:val="44"/>
          <w:color w:val="auto"/>
        </w:rPr>
        <w:t>INFORMATION ABOUT EXECUTIVE COMPENSATION</w:t>
      </w:r>
    </w:p>
    <w:p>
      <w:pPr>
        <w:spacing w:after="0" w:line="104"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33333"/>
        </w:rPr>
        <w:t>Compensation Discussion and Analysis</w:t>
      </w:r>
    </w:p>
    <w:p>
      <w:pPr>
        <w:spacing w:after="0" w:line="125" w:lineRule="exact"/>
        <w:rPr>
          <w:sz w:val="20"/>
          <w:szCs w:val="20"/>
          <w:color w:val="auto"/>
        </w:rPr>
      </w:pPr>
    </w:p>
    <w:p>
      <w:pPr>
        <w:ind w:left="480" w:right="220"/>
        <w:spacing w:after="0" w:line="265" w:lineRule="auto"/>
        <w:rPr>
          <w:sz w:val="20"/>
          <w:szCs w:val="20"/>
          <w:color w:val="auto"/>
        </w:rPr>
      </w:pPr>
      <w:r>
        <w:rPr>
          <w:rFonts w:ascii="Arial" w:cs="Arial" w:eastAsia="Arial" w:hAnsi="Arial"/>
          <w:sz w:val="17"/>
          <w:szCs w:val="17"/>
          <w:color w:val="auto"/>
        </w:rPr>
        <w:t>This Compensation Discussion and Analysis, or CD&amp;A, describes our fiscal 2021 executive compensation goals, philosophies and program design, including the Compensation Committee’s process for determining compensation, the various components of pay, and how our fiscal 2021 financial results affected performance-based compensation. As used in this proxy statement, named executive officers or NEOs refers to the following individuals who served as executive officers during fiscal 2021:</w:t>
      </w:r>
    </w:p>
    <w:p>
      <w:pPr>
        <w:spacing w:after="0" w:line="216" w:lineRule="exact"/>
        <w:rPr>
          <w:sz w:val="20"/>
          <w:szCs w:val="20"/>
          <w:color w:val="auto"/>
        </w:rPr>
      </w:pPr>
    </w:p>
    <w:tbl>
      <w:tblPr>
        <w:tblLayout w:type="fixed"/>
        <w:tblInd w:w="480" w:type="dxa"/>
        <w:tblCellMar>
          <w:top w:w="0" w:type="dxa"/>
          <w:left w:w="0" w:type="dxa"/>
          <w:bottom w:w="0" w:type="dxa"/>
          <w:right w:w="0" w:type="dxa"/>
        </w:tblCellMar>
      </w:tblPr>
      <w:tr>
        <w:trPr>
          <w:trHeight w:val="240"/>
        </w:trPr>
        <w:tc>
          <w:tcPr>
            <w:tcW w:w="2660" w:type="dxa"/>
            <w:vAlign w:val="bottom"/>
            <w:tcBorders>
              <w:bottom w:val="single" w:sz="8" w:color="0066BA"/>
            </w:tcBorders>
            <w:shd w:val="clear" w:color="auto" w:fill="0066BA"/>
          </w:tcPr>
          <w:p>
            <w:pPr>
              <w:ind w:left="60"/>
              <w:spacing w:after="0"/>
              <w:rPr>
                <w:sz w:val="20"/>
                <w:szCs w:val="20"/>
                <w:color w:val="auto"/>
              </w:rPr>
            </w:pPr>
            <w:r>
              <w:rPr>
                <w:rFonts w:ascii="Arial" w:cs="Arial" w:eastAsia="Arial" w:hAnsi="Arial"/>
                <w:sz w:val="14"/>
                <w:szCs w:val="14"/>
                <w:b w:val="1"/>
                <w:bCs w:val="1"/>
                <w:color w:val="FFFFFF"/>
              </w:rPr>
              <w:t>Named Executive Officer</w:t>
            </w:r>
          </w:p>
        </w:tc>
        <w:tc>
          <w:tcPr>
            <w:tcW w:w="7620" w:type="dxa"/>
            <w:vAlign w:val="bottom"/>
            <w:tcBorders>
              <w:bottom w:val="single" w:sz="8" w:color="0066BA"/>
            </w:tcBorders>
            <w:shd w:val="clear" w:color="auto" w:fill="0066BA"/>
          </w:tcPr>
          <w:p>
            <w:pPr>
              <w:ind w:left="120"/>
              <w:spacing w:after="0"/>
              <w:rPr>
                <w:sz w:val="20"/>
                <w:szCs w:val="20"/>
                <w:color w:val="auto"/>
              </w:rPr>
            </w:pPr>
            <w:r>
              <w:rPr>
                <w:rFonts w:ascii="Arial" w:cs="Arial" w:eastAsia="Arial" w:hAnsi="Arial"/>
                <w:sz w:val="14"/>
                <w:szCs w:val="14"/>
                <w:b w:val="1"/>
                <w:bCs w:val="1"/>
                <w:color w:val="FFFFFF"/>
              </w:rPr>
              <w:t>Position</w:t>
            </w:r>
          </w:p>
        </w:tc>
      </w:tr>
      <w:tr>
        <w:trPr>
          <w:trHeight w:val="247"/>
        </w:trPr>
        <w:tc>
          <w:tcPr>
            <w:tcW w:w="2660" w:type="dxa"/>
            <w:vAlign w:val="bottom"/>
          </w:tcPr>
          <w:p>
            <w:pPr>
              <w:ind w:left="60"/>
              <w:spacing w:after="0"/>
              <w:rPr>
                <w:sz w:val="20"/>
                <w:szCs w:val="20"/>
                <w:color w:val="auto"/>
              </w:rPr>
            </w:pPr>
            <w:r>
              <w:rPr>
                <w:rFonts w:ascii="Arial" w:cs="Arial" w:eastAsia="Arial" w:hAnsi="Arial"/>
                <w:sz w:val="16"/>
                <w:szCs w:val="16"/>
                <w:color w:val="auto"/>
              </w:rPr>
              <w:t>Vincent Roche</w:t>
            </w:r>
          </w:p>
        </w:tc>
        <w:tc>
          <w:tcPr>
            <w:tcW w:w="7620" w:type="dxa"/>
            <w:vAlign w:val="bottom"/>
            <w:tcBorders>
              <w:bottom w:val="single" w:sz="8" w:color="EAEAEA"/>
            </w:tcBorders>
            <w:shd w:val="clear" w:color="auto" w:fill="EAEAEA"/>
          </w:tcPr>
          <w:p>
            <w:pPr>
              <w:ind w:left="120"/>
              <w:spacing w:after="0"/>
              <w:rPr>
                <w:sz w:val="20"/>
                <w:szCs w:val="20"/>
                <w:color w:val="auto"/>
              </w:rPr>
            </w:pPr>
            <w:r>
              <w:rPr>
                <w:rFonts w:ascii="Arial" w:cs="Arial" w:eastAsia="Arial" w:hAnsi="Arial"/>
                <w:sz w:val="16"/>
                <w:szCs w:val="16"/>
                <w:color w:val="auto"/>
              </w:rPr>
              <w:t>President and Chief Executive Officer</w:t>
            </w:r>
          </w:p>
        </w:tc>
      </w:tr>
      <w:tr>
        <w:trPr>
          <w:trHeight w:val="227"/>
        </w:trPr>
        <w:tc>
          <w:tcPr>
            <w:tcW w:w="2660" w:type="dxa"/>
            <w:vAlign w:val="bottom"/>
            <w:tcBorders>
              <w:top w:val="single" w:sz="8" w:color="0066BA"/>
            </w:tcBorders>
          </w:tcPr>
          <w:p>
            <w:pPr>
              <w:ind w:left="60"/>
              <w:spacing w:after="0"/>
              <w:rPr>
                <w:sz w:val="20"/>
                <w:szCs w:val="20"/>
                <w:color w:val="auto"/>
              </w:rPr>
            </w:pPr>
            <w:r>
              <w:rPr>
                <w:rFonts w:ascii="Arial" w:cs="Arial" w:eastAsia="Arial" w:hAnsi="Arial"/>
                <w:sz w:val="16"/>
                <w:szCs w:val="16"/>
                <w:color w:val="auto"/>
              </w:rPr>
              <w:t>Prashanth Mahendra-Rajah</w:t>
            </w:r>
          </w:p>
        </w:tc>
        <w:tc>
          <w:tcPr>
            <w:tcW w:w="7620" w:type="dxa"/>
            <w:vAlign w:val="bottom"/>
            <w:tcBorders>
              <w:top w:val="single" w:sz="8" w:color="0066BA"/>
              <w:bottom w:val="single" w:sz="8" w:color="EAEAEA"/>
            </w:tcBorders>
            <w:shd w:val="clear" w:color="auto" w:fill="EAEAEA"/>
          </w:tcPr>
          <w:p>
            <w:pPr>
              <w:ind w:left="120"/>
              <w:spacing w:after="0"/>
              <w:rPr>
                <w:sz w:val="20"/>
                <w:szCs w:val="20"/>
                <w:color w:val="auto"/>
              </w:rPr>
            </w:pPr>
            <w:r>
              <w:rPr>
                <w:rFonts w:ascii="Arial" w:cs="Arial" w:eastAsia="Arial" w:hAnsi="Arial"/>
                <w:sz w:val="16"/>
                <w:szCs w:val="16"/>
                <w:color w:val="auto"/>
              </w:rPr>
              <w:t>Senior Vice President, Finance and Chief Financial Officer</w:t>
            </w:r>
          </w:p>
        </w:tc>
      </w:tr>
      <w:tr>
        <w:trPr>
          <w:trHeight w:val="227"/>
        </w:trPr>
        <w:tc>
          <w:tcPr>
            <w:tcW w:w="2660" w:type="dxa"/>
            <w:vAlign w:val="bottom"/>
            <w:tcBorders>
              <w:top w:val="single" w:sz="8" w:color="0066BA"/>
            </w:tcBorders>
          </w:tcPr>
          <w:p>
            <w:pPr>
              <w:ind w:left="60"/>
              <w:spacing w:after="0"/>
              <w:rPr>
                <w:sz w:val="20"/>
                <w:szCs w:val="20"/>
                <w:color w:val="auto"/>
              </w:rPr>
            </w:pPr>
            <w:r>
              <w:rPr>
                <w:rFonts w:ascii="Arial" w:cs="Arial" w:eastAsia="Arial" w:hAnsi="Arial"/>
                <w:sz w:val="16"/>
                <w:szCs w:val="16"/>
                <w:color w:val="auto"/>
              </w:rPr>
              <w:t>Martin Cotter</w:t>
            </w:r>
          </w:p>
        </w:tc>
        <w:tc>
          <w:tcPr>
            <w:tcW w:w="7620" w:type="dxa"/>
            <w:vAlign w:val="bottom"/>
            <w:tcBorders>
              <w:top w:val="single" w:sz="8" w:color="0066BA"/>
              <w:bottom w:val="single" w:sz="8" w:color="EAEAEA"/>
            </w:tcBorders>
            <w:shd w:val="clear" w:color="auto" w:fill="EAEAEA"/>
          </w:tcPr>
          <w:p>
            <w:pPr>
              <w:ind w:left="120"/>
              <w:spacing w:after="0"/>
              <w:rPr>
                <w:sz w:val="20"/>
                <w:szCs w:val="20"/>
                <w:color w:val="auto"/>
              </w:rPr>
            </w:pPr>
            <w:r>
              <w:rPr>
                <w:rFonts w:ascii="Arial" w:cs="Arial" w:eastAsia="Arial" w:hAnsi="Arial"/>
                <w:sz w:val="16"/>
                <w:szCs w:val="16"/>
                <w:color w:val="auto"/>
              </w:rPr>
              <w:t>Senior Vice President, Industrial and Multi-Markets</w:t>
            </w:r>
          </w:p>
        </w:tc>
      </w:tr>
      <w:tr>
        <w:trPr>
          <w:trHeight w:val="227"/>
        </w:trPr>
        <w:tc>
          <w:tcPr>
            <w:tcW w:w="2660" w:type="dxa"/>
            <w:vAlign w:val="bottom"/>
            <w:tcBorders>
              <w:top w:val="single" w:sz="8" w:color="0066BA"/>
            </w:tcBorders>
          </w:tcPr>
          <w:p>
            <w:pPr>
              <w:ind w:left="60"/>
              <w:spacing w:after="0"/>
              <w:rPr>
                <w:sz w:val="20"/>
                <w:szCs w:val="20"/>
                <w:color w:val="auto"/>
              </w:rPr>
            </w:pPr>
            <w:r>
              <w:rPr>
                <w:rFonts w:ascii="Arial" w:cs="Arial" w:eastAsia="Arial" w:hAnsi="Arial"/>
                <w:sz w:val="16"/>
                <w:szCs w:val="16"/>
                <w:color w:val="auto"/>
              </w:rPr>
              <w:t>John Hassett</w:t>
            </w:r>
          </w:p>
        </w:tc>
        <w:tc>
          <w:tcPr>
            <w:tcW w:w="7620" w:type="dxa"/>
            <w:vAlign w:val="bottom"/>
            <w:tcBorders>
              <w:top w:val="single" w:sz="8" w:color="0066BA"/>
              <w:bottom w:val="single" w:sz="8" w:color="EAEAEA"/>
            </w:tcBorders>
            <w:shd w:val="clear" w:color="auto" w:fill="EAEAEA"/>
          </w:tcPr>
          <w:p>
            <w:pPr>
              <w:ind w:left="120"/>
              <w:spacing w:after="0"/>
              <w:rPr>
                <w:sz w:val="20"/>
                <w:szCs w:val="20"/>
                <w:color w:val="auto"/>
              </w:rPr>
            </w:pPr>
            <w:r>
              <w:rPr>
                <w:rFonts w:ascii="Arial" w:cs="Arial" w:eastAsia="Arial" w:hAnsi="Arial"/>
                <w:sz w:val="16"/>
                <w:szCs w:val="16"/>
                <w:color w:val="auto"/>
              </w:rPr>
              <w:t>Senior Vice President and Chief Operating Officer of the Maxim Integrated Business (1)</w:t>
            </w:r>
          </w:p>
        </w:tc>
      </w:tr>
      <w:tr>
        <w:trPr>
          <w:trHeight w:val="227"/>
        </w:trPr>
        <w:tc>
          <w:tcPr>
            <w:tcW w:w="2660" w:type="dxa"/>
            <w:vAlign w:val="bottom"/>
            <w:tcBorders>
              <w:top w:val="single" w:sz="8" w:color="0066BA"/>
            </w:tcBorders>
          </w:tcPr>
          <w:p>
            <w:pPr>
              <w:ind w:left="60"/>
              <w:spacing w:after="0"/>
              <w:rPr>
                <w:sz w:val="20"/>
                <w:szCs w:val="20"/>
                <w:color w:val="auto"/>
              </w:rPr>
            </w:pPr>
            <w:r>
              <w:rPr>
                <w:rFonts w:ascii="Arial" w:cs="Arial" w:eastAsia="Arial" w:hAnsi="Arial"/>
                <w:sz w:val="16"/>
                <w:szCs w:val="16"/>
                <w:color w:val="auto"/>
              </w:rPr>
              <w:t>Greg Henderson</w:t>
            </w:r>
          </w:p>
        </w:tc>
        <w:tc>
          <w:tcPr>
            <w:tcW w:w="7620" w:type="dxa"/>
            <w:vAlign w:val="bottom"/>
            <w:tcBorders>
              <w:top w:val="single" w:sz="8" w:color="0066BA"/>
              <w:bottom w:val="single" w:sz="8" w:color="EAEAEA"/>
            </w:tcBorders>
            <w:shd w:val="clear" w:color="auto" w:fill="EAEAEA"/>
          </w:tcPr>
          <w:p>
            <w:pPr>
              <w:ind w:left="120"/>
              <w:spacing w:after="0"/>
              <w:rPr>
                <w:sz w:val="20"/>
                <w:szCs w:val="20"/>
                <w:color w:val="auto"/>
              </w:rPr>
            </w:pPr>
            <w:r>
              <w:rPr>
                <w:rFonts w:ascii="Arial" w:cs="Arial" w:eastAsia="Arial" w:hAnsi="Arial"/>
                <w:sz w:val="16"/>
                <w:szCs w:val="16"/>
                <w:color w:val="auto"/>
              </w:rPr>
              <w:t>Senior Vice President, Automotive &amp; Energy, Communications and Aerospace Group</w:t>
            </w:r>
          </w:p>
        </w:tc>
      </w:tr>
      <w:tr>
        <w:trPr>
          <w:trHeight w:val="207"/>
        </w:trPr>
        <w:tc>
          <w:tcPr>
            <w:tcW w:w="2660" w:type="dxa"/>
            <w:vAlign w:val="bottom"/>
            <w:tcBorders>
              <w:top w:val="single" w:sz="8" w:color="0066BA"/>
            </w:tcBorders>
          </w:tcPr>
          <w:p>
            <w:pPr>
              <w:ind w:left="60"/>
              <w:spacing w:after="0"/>
              <w:rPr>
                <w:sz w:val="20"/>
                <w:szCs w:val="20"/>
                <w:color w:val="auto"/>
              </w:rPr>
            </w:pPr>
            <w:r>
              <w:rPr>
                <w:rFonts w:ascii="Arial" w:cs="Arial" w:eastAsia="Arial" w:hAnsi="Arial"/>
                <w:sz w:val="16"/>
                <w:szCs w:val="16"/>
                <w:color w:val="auto"/>
              </w:rPr>
              <w:t>Anelise Sacks</w:t>
            </w:r>
          </w:p>
        </w:tc>
        <w:tc>
          <w:tcPr>
            <w:tcW w:w="7620" w:type="dxa"/>
            <w:vAlign w:val="bottom"/>
            <w:tcBorders>
              <w:top w:val="single" w:sz="8" w:color="0066BA"/>
              <w:bottom w:val="single" w:sz="8" w:color="EAEAEA"/>
            </w:tcBorders>
            <w:shd w:val="clear" w:color="auto" w:fill="EAEAEA"/>
          </w:tcPr>
          <w:p>
            <w:pPr>
              <w:ind w:left="120"/>
              <w:spacing w:after="0"/>
              <w:rPr>
                <w:sz w:val="20"/>
                <w:szCs w:val="20"/>
                <w:color w:val="auto"/>
              </w:rPr>
            </w:pPr>
            <w:r>
              <w:rPr>
                <w:rFonts w:ascii="Arial" w:cs="Arial" w:eastAsia="Arial" w:hAnsi="Arial"/>
                <w:sz w:val="16"/>
                <w:szCs w:val="16"/>
                <w:color w:val="auto"/>
              </w:rPr>
              <w:t>Senior Vice President and Chief Customer Officer</w:t>
            </w:r>
          </w:p>
        </w:tc>
      </w:tr>
      <w:tr>
        <w:trPr>
          <w:trHeight w:val="20"/>
        </w:trPr>
        <w:tc>
          <w:tcPr>
            <w:tcW w:w="2660" w:type="dxa"/>
            <w:vAlign w:val="bottom"/>
            <w:shd w:val="clear" w:color="auto" w:fill="0066BA"/>
          </w:tcPr>
          <w:p>
            <w:pPr>
              <w:spacing w:after="0" w:line="20" w:lineRule="exact"/>
              <w:rPr>
                <w:sz w:val="1"/>
                <w:szCs w:val="1"/>
                <w:color w:val="auto"/>
              </w:rPr>
            </w:pPr>
          </w:p>
        </w:tc>
        <w:tc>
          <w:tcPr>
            <w:tcW w:w="7620" w:type="dxa"/>
            <w:vAlign w:val="bottom"/>
            <w:shd w:val="clear" w:color="auto" w:fill="0066BA"/>
          </w:tcPr>
          <w:p>
            <w:pPr>
              <w:spacing w:after="0" w:line="20" w:lineRule="exact"/>
              <w:rPr>
                <w:sz w:val="1"/>
                <w:szCs w:val="1"/>
                <w:color w:val="auto"/>
              </w:rPr>
            </w:pPr>
          </w:p>
        </w:tc>
      </w:tr>
    </w:tbl>
    <w:p>
      <w:pPr>
        <w:spacing w:after="0" w:line="27" w:lineRule="exact"/>
        <w:rPr>
          <w:sz w:val="20"/>
          <w:szCs w:val="20"/>
          <w:color w:val="auto"/>
        </w:rPr>
      </w:pPr>
    </w:p>
    <w:p>
      <w:pPr>
        <w:ind w:left="880" w:right="240" w:hanging="405"/>
        <w:spacing w:after="0" w:line="260" w:lineRule="auto"/>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Mr. Hassett served as an executive officer and Senior Vice President, Industrial and Consumer for the first few months of fiscal 2021. In February 2021, Mr. Hassett’s role changed to Senior Vice President, Corporate Integration Management and, after consummation of the acquisition of Maxim Integrated, to Senior Vice President and Chief Operating Officer of the Maxim Integrated Business. As of Mr. Hassett’s role change in February 2021, he was no longer considered an executive officer of the Company. He is included as a NEO for fiscal 2021 because he would have been one of the three most highly compensated executive officers of the Company other than our Chief Executive Officer and our Chief Financial Officer during such period, but for the fact that he was not serving as an executive officer as of the end of fiscal 2021.</w:t>
      </w:r>
    </w:p>
    <w:p>
      <w:pPr>
        <w:spacing w:after="0" w:line="275"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0066BA"/>
        </w:rPr>
        <w:t>Performance and Key Pay Decisions</w:t>
      </w:r>
    </w:p>
    <w:p>
      <w:pPr>
        <w:spacing w:after="0" w:line="59" w:lineRule="exact"/>
        <w:rPr>
          <w:sz w:val="20"/>
          <w:szCs w:val="20"/>
          <w:color w:val="auto"/>
        </w:rPr>
      </w:pPr>
    </w:p>
    <w:p>
      <w:pPr>
        <w:ind w:left="480" w:right="180"/>
        <w:spacing w:after="0" w:line="292" w:lineRule="auto"/>
        <w:rPr>
          <w:sz w:val="20"/>
          <w:szCs w:val="20"/>
          <w:color w:val="auto"/>
        </w:rPr>
      </w:pPr>
      <w:r>
        <w:rPr>
          <w:rFonts w:ascii="Arial" w:cs="Arial" w:eastAsia="Arial" w:hAnsi="Arial"/>
          <w:sz w:val="15"/>
          <w:szCs w:val="15"/>
          <w:color w:val="auto"/>
        </w:rPr>
        <w:t>Fiscal 2021 was an important year for ADI. We completed our acquisition of Maxim Integrated, strengthening ADI as a semiconductor leader with increased breadth and scale across multiple attractive end markets. We delivered record financial results against a backdrop of challenging conditions, including global supply chain constraints and ongoing disruptions caused by the COVID-19 pandemic. In fiscal 2021, we delivered sequential revenue growth every quarter, leading to all-time high annual revenue of $7.3 billion and industry-leading gross and operating margins. Importantly, we made progress positioning ADI for continued long-term success through deepening our customer engagements, continuing to invest in our business to drive innovation, extracting value from recent acquisitions and capitalizing on secular trends to drive addressable markets and diversified growth. We also demonstrated our commitment to deliver strong shareholder returns during fiscal 2021, returning approximately</w:t>
      </w:r>
    </w:p>
    <w:p>
      <w:pPr>
        <w:ind w:left="480" w:right="380"/>
        <w:spacing w:after="0" w:line="271" w:lineRule="auto"/>
        <w:rPr>
          <w:sz w:val="20"/>
          <w:szCs w:val="20"/>
          <w:color w:val="auto"/>
        </w:rPr>
      </w:pPr>
      <w:r>
        <w:rPr>
          <w:rFonts w:ascii="Arial" w:cs="Arial" w:eastAsia="Arial" w:hAnsi="Arial"/>
          <w:sz w:val="17"/>
          <w:szCs w:val="17"/>
          <w:color w:val="auto"/>
        </w:rPr>
        <w:t>$3.7 billion to our shareholders in the form of dividends and share buybacks. ADI’s total shareholder return over its last three fiscal years, ending October 30, 2021, was 111%, which is 1.4x the S&amp;P 500 return of 78% over that same time period.</w:t>
      </w:r>
    </w:p>
    <w:p>
      <w:pPr>
        <w:spacing w:after="0" w:line="67" w:lineRule="exact"/>
        <w:rPr>
          <w:sz w:val="20"/>
          <w:szCs w:val="20"/>
          <w:color w:val="auto"/>
        </w:rPr>
      </w:pPr>
    </w:p>
    <w:p>
      <w:pPr>
        <w:ind w:left="480" w:right="240"/>
        <w:spacing w:after="0" w:line="279" w:lineRule="auto"/>
        <w:rPr>
          <w:sz w:val="20"/>
          <w:szCs w:val="20"/>
          <w:color w:val="auto"/>
        </w:rPr>
      </w:pPr>
      <w:r>
        <w:rPr>
          <w:rFonts w:ascii="Arial" w:cs="Arial" w:eastAsia="Arial" w:hAnsi="Arial"/>
          <w:sz w:val="16"/>
          <w:szCs w:val="16"/>
          <w:color w:val="auto"/>
        </w:rPr>
        <w:t>Fiscal 2021 also highlighted the strength of our executive leadership team, including our CEO. Mr. Roche has played a key role in transforming the company since he became CEO in 2013, and the Board recognizes the importance of retaining the continuity of his leadership during this critical phase in ADI’s growth. Since Mr. Roche’s tenure as CEO began in 2013 through the end of fiscal 2021, the Company’s total shareholder return has increased to 371%, which is 1.5x the S&amp;P 500 return of 237% for the same time period, and the Company’s market capitalization has increased by more than $80 billion. Mr. Roche’s unique depth of understanding of ADI, strength of leadership capability and vision are important to driving the long-term corporate strategy and continued success of the Company, particularly given the rapid changes and consolidation taking place within the semiconductor industry and the constant need to transform and grow within this highly competitive environment.</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0940"/>
          </w:cols>
          <w:pgMar w:left="320" w:top="447" w:right="6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95"/>
        </w:trPr>
        <w:tc>
          <w:tcPr>
            <w:tcW w:w="2700" w:type="dxa"/>
            <w:vAlign w:val="bottom"/>
            <w:gridSpan w:val="4"/>
          </w:tcPr>
          <w:p>
            <w:pPr>
              <w:spacing w:after="0"/>
              <w:rPr>
                <w:rFonts w:ascii="Arial" w:cs="Arial" w:eastAsia="Arial" w:hAnsi="Arial"/>
                <w:sz w:val="17"/>
                <w:szCs w:val="17"/>
                <w:b w:val="1"/>
                <w:bCs w:val="1"/>
                <w:color w:val="0000EE"/>
              </w:rPr>
            </w:pPr>
            <w:hyperlink w:anchor="page10">
              <w:r>
                <w:rPr>
                  <w:rFonts w:ascii="Arial" w:cs="Arial" w:eastAsia="Arial" w:hAnsi="Arial"/>
                  <w:sz w:val="17"/>
                  <w:szCs w:val="17"/>
                  <w:b w:val="1"/>
                  <w:bCs w:val="1"/>
                  <w:color w:val="0000EE"/>
                </w:rPr>
                <w:t>Table of Contents</w:t>
              </w:r>
            </w:hyperlink>
          </w:p>
        </w:tc>
        <w:tc>
          <w:tcPr>
            <w:tcW w:w="1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530"/>
        </w:trPr>
        <w:tc>
          <w:tcPr>
            <w:tcW w:w="480" w:type="dxa"/>
            <w:vAlign w:val="bottom"/>
          </w:tcPr>
          <w:p>
            <w:pPr>
              <w:spacing w:after="0"/>
              <w:rPr>
                <w:sz w:val="24"/>
                <w:szCs w:val="24"/>
                <w:color w:val="auto"/>
              </w:rPr>
            </w:pPr>
          </w:p>
        </w:tc>
        <w:tc>
          <w:tcPr>
            <w:tcW w:w="4200" w:type="dxa"/>
            <w:vAlign w:val="bottom"/>
            <w:gridSpan w:val="4"/>
          </w:tcPr>
          <w:p>
            <w:pPr>
              <w:spacing w:after="0"/>
              <w:rPr>
                <w:sz w:val="20"/>
                <w:szCs w:val="20"/>
                <w:color w:val="auto"/>
              </w:rPr>
            </w:pPr>
            <w:r>
              <w:rPr>
                <w:rFonts w:ascii="Arial" w:cs="Arial" w:eastAsia="Arial" w:hAnsi="Arial"/>
                <w:sz w:val="19"/>
                <w:szCs w:val="19"/>
                <w:b w:val="1"/>
                <w:bCs w:val="1"/>
                <w:color w:val="auto"/>
              </w:rPr>
              <w:t>Fiscal 2021 Performance Highlights*</w:t>
            </w: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61"/>
        </w:trPr>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80" w:type="dxa"/>
            <w:vAlign w:val="bottom"/>
          </w:tcPr>
          <w:p>
            <w:pPr>
              <w:spacing w:after="0"/>
              <w:rPr>
                <w:sz w:val="5"/>
                <w:szCs w:val="5"/>
                <w:color w:val="auto"/>
              </w:rPr>
            </w:pPr>
          </w:p>
        </w:tc>
      </w:tr>
      <w:tr>
        <w:trPr>
          <w:trHeight w:val="374"/>
        </w:trPr>
        <w:tc>
          <w:tcPr>
            <w:tcW w:w="480" w:type="dxa"/>
            <w:vAlign w:val="bottom"/>
          </w:tcPr>
          <w:p>
            <w:pPr>
              <w:spacing w:after="0"/>
              <w:rPr>
                <w:sz w:val="24"/>
                <w:szCs w:val="24"/>
                <w:color w:val="auto"/>
              </w:rPr>
            </w:pPr>
          </w:p>
        </w:tc>
        <w:tc>
          <w:tcPr>
            <w:tcW w:w="2040" w:type="dxa"/>
            <w:vAlign w:val="bottom"/>
            <w:gridSpan w:val="2"/>
            <w:shd w:val="clear" w:color="auto" w:fill="E5EFF8"/>
          </w:tcPr>
          <w:p>
            <w:pPr>
              <w:ind w:left="80"/>
              <w:spacing w:after="0" w:line="374" w:lineRule="exact"/>
              <w:rPr>
                <w:sz w:val="20"/>
                <w:szCs w:val="20"/>
                <w:color w:val="auto"/>
              </w:rPr>
            </w:pPr>
            <w:r>
              <w:rPr>
                <w:rFonts w:ascii="Arial" w:cs="Arial" w:eastAsia="Arial" w:hAnsi="Arial"/>
                <w:sz w:val="33"/>
                <w:szCs w:val="33"/>
                <w:color w:val="0066BA"/>
              </w:rPr>
              <w:t>$7.3B</w:t>
            </w:r>
          </w:p>
        </w:tc>
        <w:tc>
          <w:tcPr>
            <w:tcW w:w="180" w:type="dxa"/>
            <w:vAlign w:val="bottom"/>
          </w:tcPr>
          <w:p>
            <w:pPr>
              <w:spacing w:after="0"/>
              <w:rPr>
                <w:sz w:val="24"/>
                <w:szCs w:val="24"/>
                <w:color w:val="auto"/>
              </w:rPr>
            </w:pPr>
          </w:p>
        </w:tc>
        <w:tc>
          <w:tcPr>
            <w:tcW w:w="1980" w:type="dxa"/>
            <w:vAlign w:val="bottom"/>
            <w:shd w:val="clear" w:color="auto" w:fill="E5EFF8"/>
          </w:tcPr>
          <w:p>
            <w:pPr>
              <w:ind w:left="140"/>
              <w:spacing w:after="0" w:line="374" w:lineRule="exact"/>
              <w:rPr>
                <w:sz w:val="20"/>
                <w:szCs w:val="20"/>
                <w:color w:val="auto"/>
              </w:rPr>
            </w:pPr>
            <w:r>
              <w:rPr>
                <w:rFonts w:ascii="Arial" w:cs="Arial" w:eastAsia="Arial" w:hAnsi="Arial"/>
                <w:sz w:val="33"/>
                <w:szCs w:val="33"/>
                <w:color w:val="0066BA"/>
              </w:rPr>
              <w:t>61.8%</w:t>
            </w:r>
          </w:p>
        </w:tc>
        <w:tc>
          <w:tcPr>
            <w:tcW w:w="180" w:type="dxa"/>
            <w:vAlign w:val="bottom"/>
          </w:tcPr>
          <w:p>
            <w:pPr>
              <w:spacing w:after="0"/>
              <w:rPr>
                <w:sz w:val="24"/>
                <w:szCs w:val="24"/>
                <w:color w:val="auto"/>
              </w:rPr>
            </w:pPr>
          </w:p>
        </w:tc>
        <w:tc>
          <w:tcPr>
            <w:tcW w:w="1780" w:type="dxa"/>
            <w:vAlign w:val="bottom"/>
            <w:shd w:val="clear" w:color="auto" w:fill="E5EFF8"/>
          </w:tcPr>
          <w:p>
            <w:pPr>
              <w:ind w:left="140"/>
              <w:spacing w:after="0" w:line="374" w:lineRule="exact"/>
              <w:rPr>
                <w:sz w:val="20"/>
                <w:szCs w:val="20"/>
                <w:color w:val="auto"/>
              </w:rPr>
            </w:pPr>
            <w:r>
              <w:rPr>
                <w:rFonts w:ascii="Arial" w:cs="Arial" w:eastAsia="Arial" w:hAnsi="Arial"/>
                <w:sz w:val="33"/>
                <w:szCs w:val="33"/>
                <w:color w:val="0066BA"/>
              </w:rPr>
              <w:t>23.1%</w:t>
            </w:r>
          </w:p>
        </w:tc>
        <w:tc>
          <w:tcPr>
            <w:tcW w:w="180" w:type="dxa"/>
            <w:vAlign w:val="bottom"/>
          </w:tcPr>
          <w:p>
            <w:pPr>
              <w:spacing w:after="0"/>
              <w:rPr>
                <w:sz w:val="24"/>
                <w:szCs w:val="24"/>
                <w:color w:val="auto"/>
              </w:rPr>
            </w:pPr>
          </w:p>
        </w:tc>
        <w:tc>
          <w:tcPr>
            <w:tcW w:w="1880" w:type="dxa"/>
            <w:vAlign w:val="bottom"/>
            <w:shd w:val="clear" w:color="auto" w:fill="E5EFF8"/>
          </w:tcPr>
          <w:p>
            <w:pPr>
              <w:ind w:left="140"/>
              <w:spacing w:after="0" w:line="374" w:lineRule="exact"/>
              <w:rPr>
                <w:sz w:val="20"/>
                <w:szCs w:val="20"/>
                <w:color w:val="auto"/>
              </w:rPr>
            </w:pPr>
            <w:r>
              <w:rPr>
                <w:rFonts w:ascii="Arial" w:cs="Arial" w:eastAsia="Arial" w:hAnsi="Arial"/>
                <w:sz w:val="33"/>
                <w:szCs w:val="33"/>
                <w:color w:val="0066BA"/>
              </w:rPr>
              <w:t>$3.46</w:t>
            </w:r>
          </w:p>
        </w:tc>
        <w:tc>
          <w:tcPr>
            <w:tcW w:w="180" w:type="dxa"/>
            <w:vAlign w:val="bottom"/>
          </w:tcPr>
          <w:p>
            <w:pPr>
              <w:spacing w:after="0"/>
              <w:rPr>
                <w:sz w:val="24"/>
                <w:szCs w:val="24"/>
                <w:color w:val="auto"/>
              </w:rPr>
            </w:pPr>
          </w:p>
        </w:tc>
        <w:tc>
          <w:tcPr>
            <w:tcW w:w="1880" w:type="dxa"/>
            <w:vAlign w:val="bottom"/>
            <w:shd w:val="clear" w:color="auto" w:fill="E5EFF8"/>
          </w:tcPr>
          <w:p>
            <w:pPr>
              <w:ind w:left="140"/>
              <w:spacing w:after="0" w:line="374" w:lineRule="exact"/>
              <w:rPr>
                <w:sz w:val="20"/>
                <w:szCs w:val="20"/>
                <w:color w:val="auto"/>
              </w:rPr>
            </w:pPr>
            <w:r>
              <w:rPr>
                <w:rFonts w:ascii="Arial" w:cs="Arial" w:eastAsia="Arial" w:hAnsi="Arial"/>
                <w:sz w:val="33"/>
                <w:szCs w:val="33"/>
                <w:color w:val="0066BA"/>
              </w:rPr>
              <w:t>$2.7B</w:t>
            </w:r>
          </w:p>
        </w:tc>
      </w:tr>
      <w:tr>
        <w:trPr>
          <w:trHeight w:val="208"/>
        </w:trPr>
        <w:tc>
          <w:tcPr>
            <w:tcW w:w="480" w:type="dxa"/>
            <w:vAlign w:val="bottom"/>
          </w:tcPr>
          <w:p>
            <w:pPr>
              <w:spacing w:after="0"/>
              <w:rPr>
                <w:sz w:val="18"/>
                <w:szCs w:val="18"/>
                <w:color w:val="auto"/>
              </w:rPr>
            </w:pPr>
          </w:p>
        </w:tc>
        <w:tc>
          <w:tcPr>
            <w:tcW w:w="2040" w:type="dxa"/>
            <w:vAlign w:val="bottom"/>
            <w:gridSpan w:val="2"/>
            <w:shd w:val="clear" w:color="auto" w:fill="E5EFF8"/>
          </w:tcPr>
          <w:p>
            <w:pPr>
              <w:ind w:left="80"/>
              <w:spacing w:after="0" w:line="208" w:lineRule="exact"/>
              <w:rPr>
                <w:sz w:val="20"/>
                <w:szCs w:val="20"/>
                <w:color w:val="auto"/>
              </w:rPr>
            </w:pPr>
            <w:r>
              <w:rPr>
                <w:rFonts w:ascii="Arial" w:cs="Arial" w:eastAsia="Arial" w:hAnsi="Arial"/>
                <w:sz w:val="19"/>
                <w:szCs w:val="19"/>
                <w:color w:val="auto"/>
              </w:rPr>
              <w:t>Revenue</w:t>
            </w:r>
          </w:p>
        </w:tc>
        <w:tc>
          <w:tcPr>
            <w:tcW w:w="180" w:type="dxa"/>
            <w:vAlign w:val="bottom"/>
          </w:tcPr>
          <w:p>
            <w:pPr>
              <w:spacing w:after="0"/>
              <w:rPr>
                <w:sz w:val="18"/>
                <w:szCs w:val="18"/>
                <w:color w:val="auto"/>
              </w:rPr>
            </w:pPr>
          </w:p>
        </w:tc>
        <w:tc>
          <w:tcPr>
            <w:tcW w:w="1980" w:type="dxa"/>
            <w:vAlign w:val="bottom"/>
            <w:shd w:val="clear" w:color="auto" w:fill="E5EFF8"/>
          </w:tcPr>
          <w:p>
            <w:pPr>
              <w:ind w:left="140"/>
              <w:spacing w:after="0" w:line="208" w:lineRule="exact"/>
              <w:rPr>
                <w:sz w:val="20"/>
                <w:szCs w:val="20"/>
                <w:color w:val="auto"/>
              </w:rPr>
            </w:pPr>
            <w:r>
              <w:rPr>
                <w:rFonts w:ascii="Arial" w:cs="Arial" w:eastAsia="Arial" w:hAnsi="Arial"/>
                <w:sz w:val="19"/>
                <w:szCs w:val="19"/>
                <w:color w:val="auto"/>
              </w:rPr>
              <w:t>Gross Margins</w:t>
            </w:r>
          </w:p>
        </w:tc>
        <w:tc>
          <w:tcPr>
            <w:tcW w:w="180" w:type="dxa"/>
            <w:vAlign w:val="bottom"/>
          </w:tcPr>
          <w:p>
            <w:pPr>
              <w:spacing w:after="0"/>
              <w:rPr>
                <w:sz w:val="18"/>
                <w:szCs w:val="18"/>
                <w:color w:val="auto"/>
              </w:rPr>
            </w:pPr>
          </w:p>
        </w:tc>
        <w:tc>
          <w:tcPr>
            <w:tcW w:w="1780" w:type="dxa"/>
            <w:vAlign w:val="bottom"/>
            <w:shd w:val="clear" w:color="auto" w:fill="E5EFF8"/>
          </w:tcPr>
          <w:p>
            <w:pPr>
              <w:ind w:left="140"/>
              <w:spacing w:after="0" w:line="208" w:lineRule="exact"/>
              <w:rPr>
                <w:sz w:val="20"/>
                <w:szCs w:val="20"/>
                <w:color w:val="auto"/>
              </w:rPr>
            </w:pPr>
            <w:r>
              <w:rPr>
                <w:rFonts w:ascii="Arial" w:cs="Arial" w:eastAsia="Arial" w:hAnsi="Arial"/>
                <w:sz w:val="19"/>
                <w:szCs w:val="19"/>
                <w:color w:val="auto"/>
              </w:rPr>
              <w:t>Operating Margins</w:t>
            </w:r>
          </w:p>
        </w:tc>
        <w:tc>
          <w:tcPr>
            <w:tcW w:w="180" w:type="dxa"/>
            <w:vAlign w:val="bottom"/>
          </w:tcPr>
          <w:p>
            <w:pPr>
              <w:spacing w:after="0"/>
              <w:rPr>
                <w:sz w:val="18"/>
                <w:szCs w:val="18"/>
                <w:color w:val="auto"/>
              </w:rPr>
            </w:pPr>
          </w:p>
        </w:tc>
        <w:tc>
          <w:tcPr>
            <w:tcW w:w="1880" w:type="dxa"/>
            <w:vAlign w:val="bottom"/>
            <w:shd w:val="clear" w:color="auto" w:fill="E5EFF8"/>
          </w:tcPr>
          <w:p>
            <w:pPr>
              <w:ind w:left="140"/>
              <w:spacing w:after="0" w:line="208" w:lineRule="exact"/>
              <w:rPr>
                <w:sz w:val="20"/>
                <w:szCs w:val="20"/>
                <w:color w:val="auto"/>
              </w:rPr>
            </w:pPr>
            <w:r>
              <w:rPr>
                <w:rFonts w:ascii="Arial" w:cs="Arial" w:eastAsia="Arial" w:hAnsi="Arial"/>
                <w:sz w:val="19"/>
                <w:szCs w:val="19"/>
                <w:color w:val="auto"/>
              </w:rPr>
              <w:t>Diluted</w:t>
            </w:r>
          </w:p>
        </w:tc>
        <w:tc>
          <w:tcPr>
            <w:tcW w:w="180" w:type="dxa"/>
            <w:vAlign w:val="bottom"/>
          </w:tcPr>
          <w:p>
            <w:pPr>
              <w:spacing w:after="0"/>
              <w:rPr>
                <w:sz w:val="18"/>
                <w:szCs w:val="18"/>
                <w:color w:val="auto"/>
              </w:rPr>
            </w:pPr>
          </w:p>
        </w:tc>
        <w:tc>
          <w:tcPr>
            <w:tcW w:w="1880" w:type="dxa"/>
            <w:vAlign w:val="bottom"/>
            <w:shd w:val="clear" w:color="auto" w:fill="E5EFF8"/>
          </w:tcPr>
          <w:p>
            <w:pPr>
              <w:ind w:left="140"/>
              <w:spacing w:after="0" w:line="208" w:lineRule="exact"/>
              <w:rPr>
                <w:sz w:val="20"/>
                <w:szCs w:val="20"/>
                <w:color w:val="auto"/>
              </w:rPr>
            </w:pPr>
            <w:r>
              <w:rPr>
                <w:rFonts w:ascii="Arial" w:cs="Arial" w:eastAsia="Arial" w:hAnsi="Arial"/>
                <w:sz w:val="19"/>
                <w:szCs w:val="19"/>
                <w:color w:val="auto"/>
              </w:rPr>
              <w:t>Operating</w:t>
            </w:r>
          </w:p>
        </w:tc>
      </w:tr>
      <w:tr>
        <w:trPr>
          <w:trHeight w:val="208"/>
        </w:trPr>
        <w:tc>
          <w:tcPr>
            <w:tcW w:w="480" w:type="dxa"/>
            <w:vAlign w:val="bottom"/>
          </w:tcPr>
          <w:p>
            <w:pPr>
              <w:spacing w:after="0"/>
              <w:rPr>
                <w:sz w:val="18"/>
                <w:szCs w:val="18"/>
                <w:color w:val="auto"/>
              </w:rPr>
            </w:pPr>
          </w:p>
        </w:tc>
        <w:tc>
          <w:tcPr>
            <w:tcW w:w="820" w:type="dxa"/>
            <w:vAlign w:val="bottom"/>
            <w:shd w:val="clear" w:color="auto" w:fill="E5EFF8"/>
          </w:tcPr>
          <w:p>
            <w:pPr>
              <w:spacing w:after="0"/>
              <w:rPr>
                <w:sz w:val="18"/>
                <w:szCs w:val="18"/>
                <w:color w:val="auto"/>
              </w:rPr>
            </w:pPr>
          </w:p>
        </w:tc>
        <w:tc>
          <w:tcPr>
            <w:tcW w:w="1220" w:type="dxa"/>
            <w:vAlign w:val="bottom"/>
            <w:shd w:val="clear" w:color="auto" w:fill="E5EFF8"/>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shd w:val="clear" w:color="auto" w:fill="E5EFF8"/>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shd w:val="clear" w:color="auto" w:fill="E5EFF8"/>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shd w:val="clear" w:color="auto" w:fill="E5EFF8"/>
          </w:tcPr>
          <w:p>
            <w:pPr>
              <w:ind w:left="140"/>
              <w:spacing w:after="0" w:line="208" w:lineRule="exact"/>
              <w:rPr>
                <w:sz w:val="20"/>
                <w:szCs w:val="20"/>
                <w:color w:val="auto"/>
              </w:rPr>
            </w:pPr>
            <w:r>
              <w:rPr>
                <w:rFonts w:ascii="Arial" w:cs="Arial" w:eastAsia="Arial" w:hAnsi="Arial"/>
                <w:sz w:val="19"/>
                <w:szCs w:val="19"/>
                <w:color w:val="auto"/>
              </w:rPr>
              <w:t>Earnings</w:t>
            </w:r>
          </w:p>
        </w:tc>
        <w:tc>
          <w:tcPr>
            <w:tcW w:w="180" w:type="dxa"/>
            <w:vAlign w:val="bottom"/>
          </w:tcPr>
          <w:p>
            <w:pPr>
              <w:spacing w:after="0"/>
              <w:rPr>
                <w:sz w:val="18"/>
                <w:szCs w:val="18"/>
                <w:color w:val="auto"/>
              </w:rPr>
            </w:pPr>
          </w:p>
        </w:tc>
        <w:tc>
          <w:tcPr>
            <w:tcW w:w="1880" w:type="dxa"/>
            <w:vAlign w:val="bottom"/>
            <w:shd w:val="clear" w:color="auto" w:fill="E5EFF8"/>
          </w:tcPr>
          <w:p>
            <w:pPr>
              <w:ind w:left="140"/>
              <w:spacing w:after="0" w:line="208" w:lineRule="exact"/>
              <w:rPr>
                <w:sz w:val="20"/>
                <w:szCs w:val="20"/>
                <w:color w:val="auto"/>
              </w:rPr>
            </w:pPr>
            <w:r>
              <w:rPr>
                <w:rFonts w:ascii="Arial" w:cs="Arial" w:eastAsia="Arial" w:hAnsi="Arial"/>
                <w:sz w:val="19"/>
                <w:szCs w:val="19"/>
                <w:color w:val="auto"/>
              </w:rPr>
              <w:t>Cash Flow</w:t>
            </w:r>
          </w:p>
        </w:tc>
      </w:tr>
      <w:tr>
        <w:trPr>
          <w:trHeight w:val="229"/>
        </w:trPr>
        <w:tc>
          <w:tcPr>
            <w:tcW w:w="480" w:type="dxa"/>
            <w:vAlign w:val="bottom"/>
          </w:tcPr>
          <w:p>
            <w:pPr>
              <w:spacing w:after="0"/>
              <w:rPr>
                <w:sz w:val="19"/>
                <w:szCs w:val="19"/>
                <w:color w:val="auto"/>
              </w:rPr>
            </w:pPr>
          </w:p>
        </w:tc>
        <w:tc>
          <w:tcPr>
            <w:tcW w:w="820" w:type="dxa"/>
            <w:vAlign w:val="bottom"/>
            <w:shd w:val="clear" w:color="auto" w:fill="E5EFF8"/>
          </w:tcPr>
          <w:p>
            <w:pPr>
              <w:spacing w:after="0"/>
              <w:rPr>
                <w:sz w:val="19"/>
                <w:szCs w:val="19"/>
                <w:color w:val="auto"/>
              </w:rPr>
            </w:pPr>
          </w:p>
        </w:tc>
        <w:tc>
          <w:tcPr>
            <w:tcW w:w="1220" w:type="dxa"/>
            <w:vAlign w:val="bottom"/>
            <w:shd w:val="clear" w:color="auto" w:fill="E5EFF8"/>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shd w:val="clear" w:color="auto" w:fill="E5EFF8"/>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shd w:val="clear" w:color="auto" w:fill="E5EFF8"/>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shd w:val="clear" w:color="auto" w:fill="E5EFF8"/>
          </w:tcPr>
          <w:p>
            <w:pPr>
              <w:ind w:left="140"/>
              <w:spacing w:after="0"/>
              <w:rPr>
                <w:sz w:val="20"/>
                <w:szCs w:val="20"/>
                <w:color w:val="auto"/>
              </w:rPr>
            </w:pPr>
            <w:r>
              <w:rPr>
                <w:rFonts w:ascii="Arial" w:cs="Arial" w:eastAsia="Arial" w:hAnsi="Arial"/>
                <w:sz w:val="19"/>
                <w:szCs w:val="19"/>
                <w:color w:val="auto"/>
              </w:rPr>
              <w:t>per Share</w:t>
            </w:r>
          </w:p>
        </w:tc>
        <w:tc>
          <w:tcPr>
            <w:tcW w:w="180" w:type="dxa"/>
            <w:vAlign w:val="bottom"/>
          </w:tcPr>
          <w:p>
            <w:pPr>
              <w:spacing w:after="0"/>
              <w:rPr>
                <w:sz w:val="19"/>
                <w:szCs w:val="19"/>
                <w:color w:val="auto"/>
              </w:rPr>
            </w:pPr>
          </w:p>
        </w:tc>
        <w:tc>
          <w:tcPr>
            <w:tcW w:w="1880" w:type="dxa"/>
            <w:vAlign w:val="bottom"/>
            <w:shd w:val="clear" w:color="auto" w:fill="E5EFF8"/>
          </w:tcPr>
          <w:p>
            <w:pPr>
              <w:spacing w:after="0"/>
              <w:rPr>
                <w:sz w:val="19"/>
                <w:szCs w:val="19"/>
                <w:color w:val="auto"/>
              </w:rPr>
            </w:pPr>
          </w:p>
        </w:tc>
      </w:tr>
      <w:tr>
        <w:trPr>
          <w:trHeight w:val="474"/>
        </w:trPr>
        <w:tc>
          <w:tcPr>
            <w:tcW w:w="480" w:type="dxa"/>
            <w:vAlign w:val="bottom"/>
          </w:tcPr>
          <w:p>
            <w:pPr>
              <w:spacing w:after="0"/>
              <w:rPr>
                <w:sz w:val="24"/>
                <w:szCs w:val="24"/>
                <w:color w:val="auto"/>
              </w:rPr>
            </w:pPr>
          </w:p>
        </w:tc>
        <w:tc>
          <w:tcPr>
            <w:tcW w:w="2040" w:type="dxa"/>
            <w:vAlign w:val="bottom"/>
            <w:gridSpan w:val="2"/>
            <w:shd w:val="clear" w:color="auto" w:fill="E5EFF8"/>
          </w:tcPr>
          <w:p>
            <w:pPr>
              <w:ind w:left="80"/>
              <w:spacing w:after="0"/>
              <w:rPr>
                <w:sz w:val="20"/>
                <w:szCs w:val="20"/>
                <w:color w:val="auto"/>
              </w:rPr>
            </w:pPr>
            <w:r>
              <w:rPr>
                <w:rFonts w:ascii="Arial" w:cs="Arial" w:eastAsia="Arial" w:hAnsi="Arial"/>
                <w:sz w:val="33"/>
                <w:szCs w:val="33"/>
                <w:color w:val="0066BA"/>
              </w:rPr>
              <w:t>~88%</w:t>
            </w:r>
          </w:p>
        </w:tc>
        <w:tc>
          <w:tcPr>
            <w:tcW w:w="180" w:type="dxa"/>
            <w:vAlign w:val="bottom"/>
          </w:tcPr>
          <w:p>
            <w:pPr>
              <w:spacing w:after="0"/>
              <w:rPr>
                <w:sz w:val="24"/>
                <w:szCs w:val="24"/>
                <w:color w:val="auto"/>
              </w:rPr>
            </w:pPr>
          </w:p>
        </w:tc>
        <w:tc>
          <w:tcPr>
            <w:tcW w:w="1980" w:type="dxa"/>
            <w:vAlign w:val="bottom"/>
            <w:shd w:val="clear" w:color="auto" w:fill="E5EFF8"/>
          </w:tcPr>
          <w:p>
            <w:pPr>
              <w:ind w:left="140"/>
              <w:spacing w:after="0"/>
              <w:rPr>
                <w:sz w:val="20"/>
                <w:szCs w:val="20"/>
                <w:color w:val="auto"/>
              </w:rPr>
            </w:pPr>
            <w:r>
              <w:rPr>
                <w:rFonts w:ascii="Arial" w:cs="Arial" w:eastAsia="Arial" w:hAnsi="Arial"/>
                <w:sz w:val="33"/>
                <w:szCs w:val="33"/>
                <w:color w:val="0066BA"/>
              </w:rPr>
              <w:t>70.9%</w:t>
            </w:r>
          </w:p>
        </w:tc>
        <w:tc>
          <w:tcPr>
            <w:tcW w:w="180" w:type="dxa"/>
            <w:vAlign w:val="bottom"/>
          </w:tcPr>
          <w:p>
            <w:pPr>
              <w:spacing w:after="0"/>
              <w:rPr>
                <w:sz w:val="24"/>
                <w:szCs w:val="24"/>
                <w:color w:val="auto"/>
              </w:rPr>
            </w:pPr>
          </w:p>
        </w:tc>
        <w:tc>
          <w:tcPr>
            <w:tcW w:w="1780" w:type="dxa"/>
            <w:vAlign w:val="bottom"/>
            <w:shd w:val="clear" w:color="auto" w:fill="E5EFF8"/>
          </w:tcPr>
          <w:p>
            <w:pPr>
              <w:ind w:left="140"/>
              <w:spacing w:after="0"/>
              <w:rPr>
                <w:sz w:val="20"/>
                <w:szCs w:val="20"/>
                <w:color w:val="auto"/>
              </w:rPr>
            </w:pPr>
            <w:r>
              <w:rPr>
                <w:rFonts w:ascii="Arial" w:cs="Arial" w:eastAsia="Arial" w:hAnsi="Arial"/>
                <w:sz w:val="33"/>
                <w:szCs w:val="33"/>
                <w:color w:val="0066BA"/>
              </w:rPr>
              <w:t>42.4%</w:t>
            </w:r>
          </w:p>
        </w:tc>
        <w:tc>
          <w:tcPr>
            <w:tcW w:w="180" w:type="dxa"/>
            <w:vAlign w:val="bottom"/>
          </w:tcPr>
          <w:p>
            <w:pPr>
              <w:spacing w:after="0"/>
              <w:rPr>
                <w:sz w:val="24"/>
                <w:szCs w:val="24"/>
                <w:color w:val="auto"/>
              </w:rPr>
            </w:pPr>
          </w:p>
        </w:tc>
        <w:tc>
          <w:tcPr>
            <w:tcW w:w="1880" w:type="dxa"/>
            <w:vAlign w:val="bottom"/>
            <w:shd w:val="clear" w:color="auto" w:fill="E5EFF8"/>
          </w:tcPr>
          <w:p>
            <w:pPr>
              <w:ind w:left="140"/>
              <w:spacing w:after="0"/>
              <w:rPr>
                <w:sz w:val="20"/>
                <w:szCs w:val="20"/>
                <w:color w:val="auto"/>
              </w:rPr>
            </w:pPr>
            <w:r>
              <w:rPr>
                <w:rFonts w:ascii="Arial" w:cs="Arial" w:eastAsia="Arial" w:hAnsi="Arial"/>
                <w:sz w:val="33"/>
                <w:szCs w:val="33"/>
                <w:color w:val="0066BA"/>
              </w:rPr>
              <w:t>$6.46</w:t>
            </w:r>
          </w:p>
        </w:tc>
        <w:tc>
          <w:tcPr>
            <w:tcW w:w="180" w:type="dxa"/>
            <w:vAlign w:val="bottom"/>
          </w:tcPr>
          <w:p>
            <w:pPr>
              <w:spacing w:after="0"/>
              <w:rPr>
                <w:sz w:val="24"/>
                <w:szCs w:val="24"/>
                <w:color w:val="auto"/>
              </w:rPr>
            </w:pPr>
          </w:p>
        </w:tc>
        <w:tc>
          <w:tcPr>
            <w:tcW w:w="1880" w:type="dxa"/>
            <w:vAlign w:val="bottom"/>
            <w:shd w:val="clear" w:color="auto" w:fill="E5EFF8"/>
          </w:tcPr>
          <w:p>
            <w:pPr>
              <w:ind w:left="140"/>
              <w:spacing w:after="0"/>
              <w:rPr>
                <w:sz w:val="20"/>
                <w:szCs w:val="20"/>
                <w:color w:val="auto"/>
              </w:rPr>
            </w:pPr>
            <w:r>
              <w:rPr>
                <w:rFonts w:ascii="Arial" w:cs="Arial" w:eastAsia="Arial" w:hAnsi="Arial"/>
                <w:sz w:val="33"/>
                <w:szCs w:val="33"/>
                <w:color w:val="0066BA"/>
              </w:rPr>
              <w:t>$2.4B</w:t>
            </w:r>
          </w:p>
        </w:tc>
      </w:tr>
      <w:tr>
        <w:trPr>
          <w:trHeight w:val="208"/>
        </w:trPr>
        <w:tc>
          <w:tcPr>
            <w:tcW w:w="480" w:type="dxa"/>
            <w:vAlign w:val="bottom"/>
          </w:tcPr>
          <w:p>
            <w:pPr>
              <w:spacing w:after="0"/>
              <w:rPr>
                <w:sz w:val="18"/>
                <w:szCs w:val="18"/>
                <w:color w:val="auto"/>
              </w:rPr>
            </w:pPr>
          </w:p>
        </w:tc>
        <w:tc>
          <w:tcPr>
            <w:tcW w:w="2040" w:type="dxa"/>
            <w:vAlign w:val="bottom"/>
            <w:gridSpan w:val="2"/>
            <w:shd w:val="clear" w:color="auto" w:fill="E5EFF8"/>
          </w:tcPr>
          <w:p>
            <w:pPr>
              <w:ind w:left="80"/>
              <w:spacing w:after="0" w:line="208" w:lineRule="exact"/>
              <w:rPr>
                <w:sz w:val="20"/>
                <w:szCs w:val="20"/>
                <w:color w:val="auto"/>
              </w:rPr>
            </w:pPr>
            <w:r>
              <w:rPr>
                <w:rFonts w:ascii="Arial" w:cs="Arial" w:eastAsia="Arial" w:hAnsi="Arial"/>
                <w:sz w:val="19"/>
                <w:szCs w:val="19"/>
                <w:color w:val="auto"/>
              </w:rPr>
              <w:t>Business- to-Business</w:t>
            </w:r>
          </w:p>
        </w:tc>
        <w:tc>
          <w:tcPr>
            <w:tcW w:w="180" w:type="dxa"/>
            <w:vAlign w:val="bottom"/>
          </w:tcPr>
          <w:p>
            <w:pPr>
              <w:spacing w:after="0"/>
              <w:rPr>
                <w:sz w:val="18"/>
                <w:szCs w:val="18"/>
                <w:color w:val="auto"/>
              </w:rPr>
            </w:pPr>
          </w:p>
        </w:tc>
        <w:tc>
          <w:tcPr>
            <w:tcW w:w="1980" w:type="dxa"/>
            <w:vAlign w:val="bottom"/>
            <w:shd w:val="clear" w:color="auto" w:fill="E5EFF8"/>
          </w:tcPr>
          <w:p>
            <w:pPr>
              <w:ind w:left="140"/>
              <w:spacing w:after="0" w:line="208" w:lineRule="exact"/>
              <w:rPr>
                <w:sz w:val="20"/>
                <w:szCs w:val="20"/>
                <w:color w:val="auto"/>
              </w:rPr>
            </w:pPr>
            <w:r>
              <w:rPr>
                <w:rFonts w:ascii="Arial" w:cs="Arial" w:eastAsia="Arial" w:hAnsi="Arial"/>
                <w:sz w:val="19"/>
                <w:szCs w:val="19"/>
                <w:color w:val="auto"/>
              </w:rPr>
              <w:t>Adjusted Gross</w:t>
            </w:r>
          </w:p>
        </w:tc>
        <w:tc>
          <w:tcPr>
            <w:tcW w:w="180" w:type="dxa"/>
            <w:vAlign w:val="bottom"/>
          </w:tcPr>
          <w:p>
            <w:pPr>
              <w:spacing w:after="0"/>
              <w:rPr>
                <w:sz w:val="18"/>
                <w:szCs w:val="18"/>
                <w:color w:val="auto"/>
              </w:rPr>
            </w:pPr>
          </w:p>
        </w:tc>
        <w:tc>
          <w:tcPr>
            <w:tcW w:w="1780" w:type="dxa"/>
            <w:vAlign w:val="bottom"/>
            <w:shd w:val="clear" w:color="auto" w:fill="E5EFF8"/>
          </w:tcPr>
          <w:p>
            <w:pPr>
              <w:ind w:left="140"/>
              <w:spacing w:after="0" w:line="208" w:lineRule="exact"/>
              <w:rPr>
                <w:sz w:val="20"/>
                <w:szCs w:val="20"/>
                <w:color w:val="auto"/>
              </w:rPr>
            </w:pPr>
            <w:r>
              <w:rPr>
                <w:rFonts w:ascii="Arial" w:cs="Arial" w:eastAsia="Arial" w:hAnsi="Arial"/>
                <w:sz w:val="19"/>
                <w:szCs w:val="19"/>
                <w:color w:val="auto"/>
                <w:w w:val="99"/>
              </w:rPr>
              <w:t>Adjusted Operating</w:t>
            </w:r>
          </w:p>
        </w:tc>
        <w:tc>
          <w:tcPr>
            <w:tcW w:w="180" w:type="dxa"/>
            <w:vAlign w:val="bottom"/>
          </w:tcPr>
          <w:p>
            <w:pPr>
              <w:spacing w:after="0"/>
              <w:rPr>
                <w:sz w:val="18"/>
                <w:szCs w:val="18"/>
                <w:color w:val="auto"/>
              </w:rPr>
            </w:pPr>
          </w:p>
        </w:tc>
        <w:tc>
          <w:tcPr>
            <w:tcW w:w="1880" w:type="dxa"/>
            <w:vAlign w:val="bottom"/>
            <w:shd w:val="clear" w:color="auto" w:fill="E5EFF8"/>
          </w:tcPr>
          <w:p>
            <w:pPr>
              <w:ind w:left="140"/>
              <w:spacing w:after="0" w:line="208" w:lineRule="exact"/>
              <w:rPr>
                <w:sz w:val="20"/>
                <w:szCs w:val="20"/>
                <w:color w:val="auto"/>
              </w:rPr>
            </w:pPr>
            <w:r>
              <w:rPr>
                <w:rFonts w:ascii="Arial" w:cs="Arial" w:eastAsia="Arial" w:hAnsi="Arial"/>
                <w:sz w:val="19"/>
                <w:szCs w:val="19"/>
                <w:color w:val="auto"/>
              </w:rPr>
              <w:t>Adjusted</w:t>
            </w:r>
          </w:p>
        </w:tc>
        <w:tc>
          <w:tcPr>
            <w:tcW w:w="180" w:type="dxa"/>
            <w:vAlign w:val="bottom"/>
          </w:tcPr>
          <w:p>
            <w:pPr>
              <w:spacing w:after="0"/>
              <w:rPr>
                <w:sz w:val="18"/>
                <w:szCs w:val="18"/>
                <w:color w:val="auto"/>
              </w:rPr>
            </w:pPr>
          </w:p>
        </w:tc>
        <w:tc>
          <w:tcPr>
            <w:tcW w:w="1880" w:type="dxa"/>
            <w:vAlign w:val="bottom"/>
            <w:shd w:val="clear" w:color="auto" w:fill="E5EFF8"/>
          </w:tcPr>
          <w:p>
            <w:pPr>
              <w:ind w:left="140"/>
              <w:spacing w:after="0" w:line="208" w:lineRule="exact"/>
              <w:rPr>
                <w:sz w:val="20"/>
                <w:szCs w:val="20"/>
                <w:color w:val="auto"/>
              </w:rPr>
            </w:pPr>
            <w:r>
              <w:rPr>
                <w:rFonts w:ascii="Arial" w:cs="Arial" w:eastAsia="Arial" w:hAnsi="Arial"/>
                <w:sz w:val="19"/>
                <w:szCs w:val="19"/>
                <w:color w:val="auto"/>
              </w:rPr>
              <w:t>Free Cash</w:t>
            </w:r>
          </w:p>
        </w:tc>
      </w:tr>
      <w:tr>
        <w:trPr>
          <w:trHeight w:val="208"/>
        </w:trPr>
        <w:tc>
          <w:tcPr>
            <w:tcW w:w="480" w:type="dxa"/>
            <w:vAlign w:val="bottom"/>
          </w:tcPr>
          <w:p>
            <w:pPr>
              <w:spacing w:after="0"/>
              <w:rPr>
                <w:sz w:val="18"/>
                <w:szCs w:val="18"/>
                <w:color w:val="auto"/>
              </w:rPr>
            </w:pPr>
          </w:p>
        </w:tc>
        <w:tc>
          <w:tcPr>
            <w:tcW w:w="2040" w:type="dxa"/>
            <w:vAlign w:val="bottom"/>
            <w:gridSpan w:val="2"/>
            <w:shd w:val="clear" w:color="auto" w:fill="E5EFF8"/>
          </w:tcPr>
          <w:p>
            <w:pPr>
              <w:ind w:left="80"/>
              <w:spacing w:after="0" w:line="208" w:lineRule="exact"/>
              <w:rPr>
                <w:sz w:val="20"/>
                <w:szCs w:val="20"/>
                <w:color w:val="auto"/>
              </w:rPr>
            </w:pPr>
            <w:r>
              <w:rPr>
                <w:rFonts w:ascii="Arial" w:cs="Arial" w:eastAsia="Arial" w:hAnsi="Arial"/>
                <w:sz w:val="19"/>
                <w:szCs w:val="19"/>
                <w:color w:val="auto"/>
              </w:rPr>
              <w:t>Revenue</w:t>
            </w:r>
          </w:p>
        </w:tc>
        <w:tc>
          <w:tcPr>
            <w:tcW w:w="180" w:type="dxa"/>
            <w:vAlign w:val="bottom"/>
          </w:tcPr>
          <w:p>
            <w:pPr>
              <w:spacing w:after="0"/>
              <w:rPr>
                <w:sz w:val="18"/>
                <w:szCs w:val="18"/>
                <w:color w:val="auto"/>
              </w:rPr>
            </w:pPr>
          </w:p>
        </w:tc>
        <w:tc>
          <w:tcPr>
            <w:tcW w:w="1980" w:type="dxa"/>
            <w:vAlign w:val="bottom"/>
            <w:shd w:val="clear" w:color="auto" w:fill="E5EFF8"/>
          </w:tcPr>
          <w:p>
            <w:pPr>
              <w:ind w:left="140"/>
              <w:spacing w:after="0" w:line="208" w:lineRule="exact"/>
              <w:rPr>
                <w:sz w:val="20"/>
                <w:szCs w:val="20"/>
                <w:color w:val="auto"/>
              </w:rPr>
            </w:pPr>
            <w:r>
              <w:rPr>
                <w:rFonts w:ascii="Arial" w:cs="Arial" w:eastAsia="Arial" w:hAnsi="Arial"/>
                <w:sz w:val="19"/>
                <w:szCs w:val="19"/>
                <w:color w:val="auto"/>
              </w:rPr>
              <w:t>Margins**</w:t>
            </w:r>
          </w:p>
        </w:tc>
        <w:tc>
          <w:tcPr>
            <w:tcW w:w="180" w:type="dxa"/>
            <w:vAlign w:val="bottom"/>
          </w:tcPr>
          <w:p>
            <w:pPr>
              <w:spacing w:after="0"/>
              <w:rPr>
                <w:sz w:val="18"/>
                <w:szCs w:val="18"/>
                <w:color w:val="auto"/>
              </w:rPr>
            </w:pPr>
          </w:p>
        </w:tc>
        <w:tc>
          <w:tcPr>
            <w:tcW w:w="1780" w:type="dxa"/>
            <w:vAlign w:val="bottom"/>
            <w:shd w:val="clear" w:color="auto" w:fill="E5EFF8"/>
          </w:tcPr>
          <w:p>
            <w:pPr>
              <w:ind w:left="140"/>
              <w:spacing w:after="0" w:line="208" w:lineRule="exact"/>
              <w:rPr>
                <w:sz w:val="20"/>
                <w:szCs w:val="20"/>
                <w:color w:val="auto"/>
              </w:rPr>
            </w:pPr>
            <w:r>
              <w:rPr>
                <w:rFonts w:ascii="Arial" w:cs="Arial" w:eastAsia="Arial" w:hAnsi="Arial"/>
                <w:sz w:val="19"/>
                <w:szCs w:val="19"/>
                <w:color w:val="auto"/>
              </w:rPr>
              <w:t>Margins**</w:t>
            </w:r>
          </w:p>
        </w:tc>
        <w:tc>
          <w:tcPr>
            <w:tcW w:w="180" w:type="dxa"/>
            <w:vAlign w:val="bottom"/>
          </w:tcPr>
          <w:p>
            <w:pPr>
              <w:spacing w:after="0"/>
              <w:rPr>
                <w:sz w:val="18"/>
                <w:szCs w:val="18"/>
                <w:color w:val="auto"/>
              </w:rPr>
            </w:pPr>
          </w:p>
        </w:tc>
        <w:tc>
          <w:tcPr>
            <w:tcW w:w="1880" w:type="dxa"/>
            <w:vAlign w:val="bottom"/>
            <w:shd w:val="clear" w:color="auto" w:fill="E5EFF8"/>
          </w:tcPr>
          <w:p>
            <w:pPr>
              <w:ind w:left="140"/>
              <w:spacing w:after="0" w:line="208" w:lineRule="exact"/>
              <w:rPr>
                <w:sz w:val="20"/>
                <w:szCs w:val="20"/>
                <w:color w:val="auto"/>
              </w:rPr>
            </w:pPr>
            <w:r>
              <w:rPr>
                <w:rFonts w:ascii="Arial" w:cs="Arial" w:eastAsia="Arial" w:hAnsi="Arial"/>
                <w:sz w:val="19"/>
                <w:szCs w:val="19"/>
                <w:color w:val="auto"/>
                <w:w w:val="99"/>
              </w:rPr>
              <w:t>Diluted Earnings per</w:t>
            </w:r>
          </w:p>
        </w:tc>
        <w:tc>
          <w:tcPr>
            <w:tcW w:w="180" w:type="dxa"/>
            <w:vAlign w:val="bottom"/>
          </w:tcPr>
          <w:p>
            <w:pPr>
              <w:spacing w:after="0"/>
              <w:rPr>
                <w:sz w:val="18"/>
                <w:szCs w:val="18"/>
                <w:color w:val="auto"/>
              </w:rPr>
            </w:pPr>
          </w:p>
        </w:tc>
        <w:tc>
          <w:tcPr>
            <w:tcW w:w="1880" w:type="dxa"/>
            <w:vAlign w:val="bottom"/>
            <w:shd w:val="clear" w:color="auto" w:fill="E5EFF8"/>
          </w:tcPr>
          <w:p>
            <w:pPr>
              <w:ind w:left="140"/>
              <w:spacing w:after="0" w:line="208" w:lineRule="exact"/>
              <w:rPr>
                <w:sz w:val="20"/>
                <w:szCs w:val="20"/>
                <w:color w:val="auto"/>
              </w:rPr>
            </w:pPr>
            <w:r>
              <w:rPr>
                <w:rFonts w:ascii="Arial" w:cs="Arial" w:eastAsia="Arial" w:hAnsi="Arial"/>
                <w:sz w:val="19"/>
                <w:szCs w:val="19"/>
                <w:color w:val="auto"/>
              </w:rPr>
              <w:t>Flow**</w:t>
            </w:r>
          </w:p>
        </w:tc>
      </w:tr>
      <w:tr>
        <w:trPr>
          <w:trHeight w:val="229"/>
        </w:trPr>
        <w:tc>
          <w:tcPr>
            <w:tcW w:w="480" w:type="dxa"/>
            <w:vAlign w:val="bottom"/>
          </w:tcPr>
          <w:p>
            <w:pPr>
              <w:spacing w:after="0"/>
              <w:rPr>
                <w:sz w:val="19"/>
                <w:szCs w:val="19"/>
                <w:color w:val="auto"/>
              </w:rPr>
            </w:pPr>
          </w:p>
        </w:tc>
        <w:tc>
          <w:tcPr>
            <w:tcW w:w="820" w:type="dxa"/>
            <w:vAlign w:val="bottom"/>
            <w:shd w:val="clear" w:color="auto" w:fill="E5EFF8"/>
          </w:tcPr>
          <w:p>
            <w:pPr>
              <w:spacing w:after="0"/>
              <w:rPr>
                <w:sz w:val="19"/>
                <w:szCs w:val="19"/>
                <w:color w:val="auto"/>
              </w:rPr>
            </w:pPr>
          </w:p>
        </w:tc>
        <w:tc>
          <w:tcPr>
            <w:tcW w:w="1220" w:type="dxa"/>
            <w:vAlign w:val="bottom"/>
            <w:shd w:val="clear" w:color="auto" w:fill="E5EFF8"/>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shd w:val="clear" w:color="auto" w:fill="E5EFF8"/>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shd w:val="clear" w:color="auto" w:fill="E5EFF8"/>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shd w:val="clear" w:color="auto" w:fill="E5EFF8"/>
          </w:tcPr>
          <w:p>
            <w:pPr>
              <w:ind w:left="140"/>
              <w:spacing w:after="0"/>
              <w:rPr>
                <w:sz w:val="20"/>
                <w:szCs w:val="20"/>
                <w:color w:val="auto"/>
              </w:rPr>
            </w:pPr>
            <w:r>
              <w:rPr>
                <w:rFonts w:ascii="Arial" w:cs="Arial" w:eastAsia="Arial" w:hAnsi="Arial"/>
                <w:sz w:val="19"/>
                <w:szCs w:val="19"/>
                <w:color w:val="auto"/>
              </w:rPr>
              <w:t>Share**</w:t>
            </w:r>
          </w:p>
        </w:tc>
        <w:tc>
          <w:tcPr>
            <w:tcW w:w="180" w:type="dxa"/>
            <w:vAlign w:val="bottom"/>
          </w:tcPr>
          <w:p>
            <w:pPr>
              <w:spacing w:after="0"/>
              <w:rPr>
                <w:sz w:val="19"/>
                <w:szCs w:val="19"/>
                <w:color w:val="auto"/>
              </w:rPr>
            </w:pPr>
          </w:p>
        </w:tc>
        <w:tc>
          <w:tcPr>
            <w:tcW w:w="1880" w:type="dxa"/>
            <w:vAlign w:val="bottom"/>
            <w:shd w:val="clear" w:color="auto" w:fill="E5EFF8"/>
          </w:tcPr>
          <w:p>
            <w:pPr>
              <w:spacing w:after="0"/>
              <w:rPr>
                <w:sz w:val="19"/>
                <w:szCs w:val="19"/>
                <w:color w:val="auto"/>
              </w:rPr>
            </w:pPr>
          </w:p>
        </w:tc>
      </w:tr>
      <w:tr>
        <w:trPr>
          <w:trHeight w:val="100"/>
        </w:trPr>
        <w:tc>
          <w:tcPr>
            <w:tcW w:w="480" w:type="dxa"/>
            <w:vAlign w:val="bottom"/>
          </w:tcPr>
          <w:p>
            <w:pPr>
              <w:spacing w:after="0"/>
              <w:rPr>
                <w:sz w:val="8"/>
                <w:szCs w:val="8"/>
                <w:color w:val="auto"/>
              </w:rPr>
            </w:pPr>
          </w:p>
        </w:tc>
        <w:tc>
          <w:tcPr>
            <w:tcW w:w="820" w:type="dxa"/>
            <w:vAlign w:val="bottom"/>
            <w:shd w:val="clear" w:color="auto" w:fill="E5EFF8"/>
          </w:tcPr>
          <w:p>
            <w:pPr>
              <w:spacing w:after="0"/>
              <w:rPr>
                <w:sz w:val="8"/>
                <w:szCs w:val="8"/>
                <w:color w:val="auto"/>
              </w:rPr>
            </w:pPr>
          </w:p>
        </w:tc>
        <w:tc>
          <w:tcPr>
            <w:tcW w:w="1220" w:type="dxa"/>
            <w:vAlign w:val="bottom"/>
            <w:shd w:val="clear" w:color="auto" w:fill="E5EFF8"/>
          </w:tcPr>
          <w:p>
            <w:pPr>
              <w:spacing w:after="0"/>
              <w:rPr>
                <w:sz w:val="8"/>
                <w:szCs w:val="8"/>
                <w:color w:val="auto"/>
              </w:rPr>
            </w:pPr>
          </w:p>
        </w:tc>
        <w:tc>
          <w:tcPr>
            <w:tcW w:w="180" w:type="dxa"/>
            <w:vAlign w:val="bottom"/>
          </w:tcPr>
          <w:p>
            <w:pPr>
              <w:spacing w:after="0"/>
              <w:rPr>
                <w:sz w:val="8"/>
                <w:szCs w:val="8"/>
                <w:color w:val="auto"/>
              </w:rPr>
            </w:pPr>
          </w:p>
        </w:tc>
        <w:tc>
          <w:tcPr>
            <w:tcW w:w="1980" w:type="dxa"/>
            <w:vAlign w:val="bottom"/>
            <w:shd w:val="clear" w:color="auto" w:fill="E5EFF8"/>
          </w:tcPr>
          <w:p>
            <w:pPr>
              <w:spacing w:after="0"/>
              <w:rPr>
                <w:sz w:val="8"/>
                <w:szCs w:val="8"/>
                <w:color w:val="auto"/>
              </w:rPr>
            </w:pPr>
          </w:p>
        </w:tc>
        <w:tc>
          <w:tcPr>
            <w:tcW w:w="180" w:type="dxa"/>
            <w:vAlign w:val="bottom"/>
          </w:tcPr>
          <w:p>
            <w:pPr>
              <w:spacing w:after="0"/>
              <w:rPr>
                <w:sz w:val="8"/>
                <w:szCs w:val="8"/>
                <w:color w:val="auto"/>
              </w:rPr>
            </w:pPr>
          </w:p>
        </w:tc>
        <w:tc>
          <w:tcPr>
            <w:tcW w:w="1780" w:type="dxa"/>
            <w:vAlign w:val="bottom"/>
            <w:shd w:val="clear" w:color="auto" w:fill="E5EFF8"/>
          </w:tcPr>
          <w:p>
            <w:pPr>
              <w:spacing w:after="0"/>
              <w:rPr>
                <w:sz w:val="8"/>
                <w:szCs w:val="8"/>
                <w:color w:val="auto"/>
              </w:rPr>
            </w:pPr>
          </w:p>
        </w:tc>
        <w:tc>
          <w:tcPr>
            <w:tcW w:w="180" w:type="dxa"/>
            <w:vAlign w:val="bottom"/>
          </w:tcPr>
          <w:p>
            <w:pPr>
              <w:spacing w:after="0"/>
              <w:rPr>
                <w:sz w:val="8"/>
                <w:szCs w:val="8"/>
                <w:color w:val="auto"/>
              </w:rPr>
            </w:pPr>
          </w:p>
        </w:tc>
        <w:tc>
          <w:tcPr>
            <w:tcW w:w="1880" w:type="dxa"/>
            <w:vAlign w:val="bottom"/>
            <w:shd w:val="clear" w:color="auto" w:fill="E5EFF8"/>
          </w:tcPr>
          <w:p>
            <w:pPr>
              <w:spacing w:after="0"/>
              <w:rPr>
                <w:sz w:val="8"/>
                <w:szCs w:val="8"/>
                <w:color w:val="auto"/>
              </w:rPr>
            </w:pPr>
          </w:p>
        </w:tc>
        <w:tc>
          <w:tcPr>
            <w:tcW w:w="180" w:type="dxa"/>
            <w:vAlign w:val="bottom"/>
          </w:tcPr>
          <w:p>
            <w:pPr>
              <w:spacing w:after="0"/>
              <w:rPr>
                <w:sz w:val="8"/>
                <w:szCs w:val="8"/>
                <w:color w:val="auto"/>
              </w:rPr>
            </w:pPr>
          </w:p>
        </w:tc>
        <w:tc>
          <w:tcPr>
            <w:tcW w:w="1880" w:type="dxa"/>
            <w:vAlign w:val="bottom"/>
            <w:shd w:val="clear" w:color="auto" w:fill="E5EFF8"/>
          </w:tcPr>
          <w:p>
            <w:pPr>
              <w:spacing w:after="0"/>
              <w:rPr>
                <w:sz w:val="8"/>
                <w:szCs w:val="8"/>
                <w:color w:val="auto"/>
              </w:rPr>
            </w:pPr>
          </w:p>
        </w:tc>
      </w:tr>
    </w:tbl>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p>
    <w:p>
      <w:pPr>
        <w:ind w:left="680" w:right="20" w:hanging="205"/>
        <w:spacing w:after="0" w:line="262" w:lineRule="auto"/>
        <w:tabs>
          <w:tab w:leader="none" w:pos="680" w:val="left"/>
        </w:tabs>
        <w:numPr>
          <w:ilvl w:val="0"/>
          <w:numId w:val="38"/>
        </w:numPr>
        <w:rPr>
          <w:rFonts w:ascii="Arial" w:cs="Arial" w:eastAsia="Arial" w:hAnsi="Arial"/>
          <w:sz w:val="13"/>
          <w:szCs w:val="13"/>
          <w:i w:val="1"/>
          <w:iCs w:val="1"/>
          <w:color w:val="auto"/>
        </w:rPr>
      </w:pPr>
      <w:r>
        <w:rPr>
          <w:rFonts w:ascii="Arial" w:cs="Arial" w:eastAsia="Arial" w:hAnsi="Arial"/>
          <w:sz w:val="13"/>
          <w:szCs w:val="13"/>
          <w:i w:val="1"/>
          <w:iCs w:val="1"/>
          <w:color w:val="auto"/>
        </w:rPr>
        <w:t>The fiscal 2021 financial results in this proxy statement include the financial results of Maxim Integrated prospectively from the closing date of the Maxim Integrated acquisition, or Acquisition Date.</w:t>
      </w:r>
    </w:p>
    <w:p>
      <w:pPr>
        <w:spacing w:after="0" w:line="25" w:lineRule="exact"/>
        <w:rPr>
          <w:sz w:val="20"/>
          <w:szCs w:val="20"/>
          <w:color w:val="auto"/>
        </w:rPr>
      </w:pPr>
    </w:p>
    <w:p>
      <w:pPr>
        <w:ind w:left="680" w:right="500" w:hanging="205"/>
        <w:spacing w:after="0" w:line="262" w:lineRule="auto"/>
        <w:tabs>
          <w:tab w:leader="none" w:pos="680" w:val="left"/>
        </w:tabs>
        <w:numPr>
          <w:ilvl w:val="0"/>
          <w:numId w:val="39"/>
        </w:numPr>
        <w:rPr>
          <w:rFonts w:ascii="Arial" w:cs="Arial" w:eastAsia="Arial" w:hAnsi="Arial"/>
          <w:sz w:val="13"/>
          <w:szCs w:val="13"/>
          <w:i w:val="1"/>
          <w:iCs w:val="1"/>
          <w:color w:val="auto"/>
        </w:rPr>
      </w:pPr>
      <w:r>
        <w:rPr>
          <w:rFonts w:ascii="Arial" w:cs="Arial" w:eastAsia="Arial" w:hAnsi="Arial"/>
          <w:sz w:val="13"/>
          <w:szCs w:val="13"/>
          <w:i w:val="1"/>
          <w:iCs w:val="1"/>
          <w:color w:val="auto"/>
        </w:rPr>
        <w:t>See Additional Information for additional information regarding non-GAAP financial measures and reconciliations of non-GAAP financial measures to their most directly comparable GAAP financial measures.</w:t>
      </w:r>
    </w:p>
    <w:p>
      <w:pPr>
        <w:spacing w:after="0" w:line="298"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Fiscal 2021 Shareholder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-120650</wp:posOffset>
            </wp:positionV>
            <wp:extent cx="6534150" cy="1320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534150" cy="13208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159385</wp:posOffset>
            </wp:positionV>
            <wp:extent cx="454025" cy="2806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54025" cy="280670"/>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85090</wp:posOffset>
            </wp:positionV>
            <wp:extent cx="371475" cy="3549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71475" cy="354965"/>
                    </a:xfrm>
                    <a:prstGeom prst="rect">
                      <a:avLst/>
                    </a:prstGeom>
                    <a:noFill/>
                  </pic:spPr>
                </pic:pic>
              </a:graphicData>
            </a:graphic>
          </wp:anchor>
        </w:drawing>
      </w:r>
    </w:p>
    <w:p>
      <w:pPr>
        <w:sectPr>
          <w:pgSz w:w="11900" w:h="16838" w:orient="portrait"/>
          <w:cols w:equalWidth="0" w:num="1">
            <w:col w:w="10760"/>
          </w:cols>
          <w:pgMar w:left="320" w:top="438"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80"/>
        <w:spacing w:after="0" w:line="323" w:lineRule="auto"/>
        <w:rPr>
          <w:sz w:val="20"/>
          <w:szCs w:val="20"/>
          <w:color w:val="auto"/>
        </w:rPr>
      </w:pPr>
      <w:r>
        <w:rPr>
          <w:rFonts w:ascii="Arial" w:cs="Arial" w:eastAsia="Arial" w:hAnsi="Arial"/>
          <w:sz w:val="15"/>
          <w:szCs w:val="15"/>
          <w:color w:val="auto"/>
        </w:rPr>
        <w:t>Returned $3.7B to shareholders in the form of dividends and share repurchases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Increased our dividends per share paid to shareholders by 11% on an annualized basis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1820"/>
        <w:spacing w:after="0" w:line="271" w:lineRule="auto"/>
        <w:rPr>
          <w:sz w:val="20"/>
          <w:szCs w:val="20"/>
          <w:color w:val="auto"/>
        </w:rPr>
      </w:pPr>
      <w:r>
        <w:rPr>
          <w:rFonts w:ascii="Arial" w:cs="Arial" w:eastAsia="Arial" w:hAnsi="Arial"/>
          <w:sz w:val="17"/>
          <w:szCs w:val="17"/>
          <w:color w:val="auto"/>
        </w:rPr>
        <w:t>1-, 3- and 5-year TSR</w:t>
      </w:r>
      <w:r>
        <w:rPr>
          <w:rFonts w:ascii="Arial" w:cs="Arial" w:eastAsia="Arial" w:hAnsi="Arial"/>
          <w:sz w:val="14"/>
          <w:szCs w:val="14"/>
          <w:color w:val="auto"/>
        </w:rPr>
        <w:t>1</w:t>
      </w:r>
      <w:r>
        <w:rPr>
          <w:rFonts w:ascii="Arial" w:cs="Arial" w:eastAsia="Arial" w:hAnsi="Arial"/>
          <w:sz w:val="17"/>
          <w:szCs w:val="17"/>
          <w:color w:val="auto"/>
        </w:rPr>
        <w:t xml:space="preserve"> of 49%, 111% and 202%, respectively, which outperformed the S&amp;P 500 over the same periods</w:t>
      </w:r>
    </w:p>
    <w:p>
      <w:pPr>
        <w:spacing w:after="0" w:line="91" w:lineRule="exact"/>
        <w:rPr>
          <w:sz w:val="20"/>
          <w:szCs w:val="20"/>
          <w:color w:val="auto"/>
        </w:rPr>
      </w:pPr>
    </w:p>
    <w:p>
      <w:pPr>
        <w:sectPr>
          <w:pgSz w:w="11900" w:h="16838" w:orient="portrait"/>
          <w:cols w:equalWidth="0" w:num="3">
            <w:col w:w="2680" w:space="420"/>
            <w:col w:w="2020" w:space="420"/>
            <w:col w:w="5220"/>
          </w:cols>
          <w:pgMar w:left="320" w:top="438" w:right="819" w:bottom="1440" w:gutter="0" w:footer="0" w:header="0"/>
          <w:type w:val="continuous"/>
        </w:sectPr>
      </w:pPr>
    </w:p>
    <w:p>
      <w:pPr>
        <w:ind w:left="680" w:right="480" w:hanging="205"/>
        <w:spacing w:after="0" w:line="262" w:lineRule="auto"/>
        <w:tabs>
          <w:tab w:leader="none" w:pos="680" w:val="left"/>
        </w:tabs>
        <w:numPr>
          <w:ilvl w:val="0"/>
          <w:numId w:val="40"/>
        </w:numPr>
        <w:rPr>
          <w:rFonts w:ascii="Arial" w:cs="Arial" w:eastAsia="Arial" w:hAnsi="Arial"/>
          <w:sz w:val="13"/>
          <w:szCs w:val="13"/>
          <w:i w:val="1"/>
          <w:iCs w:val="1"/>
          <w:color w:val="auto"/>
        </w:rPr>
      </w:pPr>
      <w:r>
        <w:rPr>
          <w:rFonts w:ascii="Arial" w:cs="Arial" w:eastAsia="Arial" w:hAnsi="Arial"/>
          <w:sz w:val="13"/>
          <w:szCs w:val="13"/>
          <w:i w:val="1"/>
          <w:iCs w:val="1"/>
          <w:color w:val="auto"/>
        </w:rPr>
        <w:t>Total Shareholder Return, or TSR, calculation is share price appreciation plus cumulative cash dividend payments, and the effect of reinvesting those dividends into the security, for the one-, three- and five-year periods ended October 30, 2021.</w:t>
      </w:r>
    </w:p>
    <w:p>
      <w:pPr>
        <w:spacing w:after="0" w:line="259"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Important Fiscal 2021 Compensation Actions</w:t>
      </w:r>
    </w:p>
    <w:p>
      <w:pPr>
        <w:spacing w:after="0" w:line="57" w:lineRule="exact"/>
        <w:rPr>
          <w:sz w:val="20"/>
          <w:szCs w:val="20"/>
          <w:color w:val="auto"/>
        </w:rPr>
      </w:pPr>
    </w:p>
    <w:p>
      <w:pPr>
        <w:ind w:left="480" w:right="120"/>
        <w:spacing w:after="0" w:line="260" w:lineRule="auto"/>
        <w:rPr>
          <w:sz w:val="20"/>
          <w:szCs w:val="20"/>
          <w:color w:val="auto"/>
        </w:rPr>
      </w:pPr>
      <w:r>
        <w:rPr>
          <w:rFonts w:ascii="Arial" w:cs="Arial" w:eastAsia="Arial" w:hAnsi="Arial"/>
          <w:sz w:val="17"/>
          <w:szCs w:val="17"/>
          <w:color w:val="auto"/>
        </w:rPr>
        <w:t>Our executive team has been key in weathering the impact of COVID-19, completing key strategic integrations, and delivering strong financial results. In December 2020, while the Maxim Integrated acquisition remained pending, the Compensation Committee considered the importance of maintaining leadership continuity, and especially the importance of retaining Vincent Roche as our Chief Executive Officer in light of the significant value he has created since becoming our Chief Executive Officer in 2013. The Committee also considered the need to incentivize continued stock price appreciation, particularly following an all-equity acquisition, and the importance of a successful integration of Maxim Integrated. In light of this, the Committee established two entirely performance-based special awards that were awarded in addition to our annual compensation program:</w:t>
      </w:r>
    </w:p>
    <w:p>
      <w:pPr>
        <w:spacing w:after="0" w:line="92" w:lineRule="exact"/>
        <w:rPr>
          <w:sz w:val="20"/>
          <w:szCs w:val="20"/>
          <w:color w:val="auto"/>
        </w:rPr>
      </w:pPr>
    </w:p>
    <w:p>
      <w:pPr>
        <w:jc w:val="both"/>
        <w:ind w:left="880" w:right="180" w:hanging="405"/>
        <w:spacing w:after="0" w:line="270" w:lineRule="auto"/>
        <w:tabs>
          <w:tab w:leader="none" w:pos="8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CEO Performance Stock Option Award, which was awarded to Vincent Roche and is a performance option award tied to the attainment of challenging stock price goals over a five-year performance period. The target award is not earned unless the stock price grows by at least 79% from the date the award was determined.</w:t>
      </w:r>
    </w:p>
    <w:p>
      <w:pPr>
        <w:spacing w:after="0" w:line="29" w:lineRule="exact"/>
        <w:rPr>
          <w:rFonts w:ascii="Arial" w:cs="Arial" w:eastAsia="Arial" w:hAnsi="Arial"/>
          <w:sz w:val="17"/>
          <w:szCs w:val="17"/>
          <w:color w:val="auto"/>
        </w:rPr>
      </w:pPr>
    </w:p>
    <w:p>
      <w:pPr>
        <w:ind w:left="880" w:right="120" w:hanging="405"/>
        <w:spacing w:after="0" w:line="319" w:lineRule="auto"/>
        <w:tabs>
          <w:tab w:leader="none" w:pos="8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Maxim Integration PRSUs, which were awarded to our executives officers other than the CEO, are performance-based RSUs, which are tied to achieving key synergies related to the Maxim Integrated acquisition in a timely manner, as well as strong profit margins.</w:t>
      </w:r>
    </w:p>
    <w:p>
      <w:pPr>
        <w:spacing w:after="0" w:line="13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These awards are described in greater detail below in the section entitled “Special Equity Awards.”</w:t>
      </w:r>
    </w:p>
    <w:p>
      <w:pPr>
        <w:spacing w:after="0" w:line="313"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0066BA"/>
        </w:rPr>
        <w:t>Compensation Philosophy and Objectives</w:t>
      </w:r>
    </w:p>
    <w:p>
      <w:pPr>
        <w:spacing w:after="0" w:line="72" w:lineRule="exact"/>
        <w:rPr>
          <w:sz w:val="20"/>
          <w:szCs w:val="20"/>
          <w:color w:val="auto"/>
        </w:rPr>
      </w:pPr>
    </w:p>
    <w:p>
      <w:pPr>
        <w:ind w:left="480" w:right="40"/>
        <w:spacing w:after="0" w:line="311" w:lineRule="auto"/>
        <w:rPr>
          <w:sz w:val="20"/>
          <w:szCs w:val="20"/>
          <w:color w:val="auto"/>
        </w:rPr>
      </w:pPr>
      <w:r>
        <w:rPr>
          <w:rFonts w:ascii="Arial" w:cs="Arial" w:eastAsia="Arial" w:hAnsi="Arial"/>
          <w:sz w:val="15"/>
          <w:szCs w:val="15"/>
          <w:color w:val="auto"/>
        </w:rPr>
        <w:t>Our business is based on innovation and helping our customers solve some of the world’s most complex problems. As a knowledge-based business, we believe that the skills, expertise, and experience of our employees, including our NEOs, are unique and critical factors in our overall success. The competition for talent in the technology sector is fierce. To drive continued successful operational and financial performance, we must attract, motivate, reward, and retain top executive talent. Accordingly, our executive compensation program is designed to:</w:t>
      </w:r>
    </w:p>
    <w:p>
      <w:pPr>
        <w:spacing w:after="0" w:line="4" w:lineRule="exact"/>
        <w:rPr>
          <w:sz w:val="20"/>
          <w:szCs w:val="20"/>
          <w:color w:val="auto"/>
        </w:rPr>
      </w:pPr>
    </w:p>
    <w:p>
      <w:pPr>
        <w:ind w:left="860" w:hanging="385"/>
        <w:spacing w:after="0"/>
        <w:tabs>
          <w:tab w:leader="none" w:pos="8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Create alignment between executive and shareholder interests;</w:t>
      </w:r>
    </w:p>
    <w:p>
      <w:pPr>
        <w:spacing w:after="0" w:line="77" w:lineRule="exact"/>
        <w:rPr>
          <w:rFonts w:ascii="Arial" w:cs="Arial" w:eastAsia="Arial" w:hAnsi="Arial"/>
          <w:sz w:val="17"/>
          <w:szCs w:val="17"/>
          <w:color w:val="auto"/>
        </w:rPr>
      </w:pPr>
    </w:p>
    <w:p>
      <w:pPr>
        <w:ind w:left="860" w:hanging="385"/>
        <w:spacing w:after="0"/>
        <w:tabs>
          <w:tab w:leader="none" w:pos="8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Pay for performance by ensuring incentives are tied to multiple business performance metrics; and</w:t>
      </w:r>
    </w:p>
    <w:p>
      <w:pPr>
        <w:spacing w:after="0" w:line="77" w:lineRule="exact"/>
        <w:rPr>
          <w:rFonts w:ascii="Arial" w:cs="Arial" w:eastAsia="Arial" w:hAnsi="Arial"/>
          <w:sz w:val="17"/>
          <w:szCs w:val="17"/>
          <w:color w:val="auto"/>
        </w:rPr>
      </w:pPr>
    </w:p>
    <w:p>
      <w:pPr>
        <w:ind w:left="860" w:hanging="385"/>
        <w:spacing w:after="0"/>
        <w:tabs>
          <w:tab w:leader="none" w:pos="8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Provide highly competitive compensation to attract and retain top executive talent.</w:t>
      </w:r>
    </w:p>
    <w:p>
      <w:pPr>
        <w:spacing w:after="0" w:line="200" w:lineRule="exact"/>
        <w:rPr>
          <w:sz w:val="20"/>
          <w:szCs w:val="20"/>
          <w:color w:val="auto"/>
        </w:rPr>
      </w:pPr>
    </w:p>
    <w:p>
      <w:pPr>
        <w:spacing w:after="0" w:line="28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0760"/>
          </w:cols>
          <w:pgMar w:left="320" w:top="438" w:right="819" w:bottom="1440" w:gutter="0" w:footer="0" w:header="0"/>
          <w:type w:val="continuous"/>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Each of these important elements is discussed in more detail below.</w:t>
      </w:r>
    </w:p>
    <w:p>
      <w:pPr>
        <w:spacing w:after="0" w:line="313"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0066BA"/>
        </w:rPr>
        <w:t>Pay and Governance Best Practices</w:t>
      </w:r>
    </w:p>
    <w:p>
      <w:pPr>
        <w:spacing w:after="0" w:line="7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pay and governance practices are designed to align our executive officers’ interests with those of our shareholders.</w:t>
      </w:r>
    </w:p>
    <w:p>
      <w:pPr>
        <w:spacing w:after="0" w:line="2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For example:</w:t>
      </w:r>
    </w:p>
    <w:p>
      <w:pPr>
        <w:spacing w:after="0" w:line="117" w:lineRule="exact"/>
        <w:rPr>
          <w:sz w:val="20"/>
          <w:szCs w:val="20"/>
          <w:color w:val="auto"/>
        </w:rPr>
      </w:pPr>
    </w:p>
    <w:p>
      <w:pPr>
        <w:ind w:left="860" w:hanging="385"/>
        <w:spacing w:after="0"/>
        <w:tabs>
          <w:tab w:leader="none" w:pos="8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cash incentive bonus awards are based solely on our financial performance</w:t>
      </w:r>
    </w:p>
    <w:p>
      <w:pPr>
        <w:spacing w:after="0" w:line="77" w:lineRule="exact"/>
        <w:rPr>
          <w:rFonts w:ascii="Arial" w:cs="Arial" w:eastAsia="Arial" w:hAnsi="Arial"/>
          <w:sz w:val="17"/>
          <w:szCs w:val="17"/>
          <w:color w:val="auto"/>
        </w:rPr>
      </w:pPr>
    </w:p>
    <w:p>
      <w:pPr>
        <w:ind w:left="860" w:hanging="385"/>
        <w:spacing w:after="0"/>
        <w:tabs>
          <w:tab w:leader="none" w:pos="8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significant portion of equity awards are contingent upon long-term performance achievement</w:t>
      </w:r>
    </w:p>
    <w:p>
      <w:pPr>
        <w:spacing w:after="0" w:line="77" w:lineRule="exact"/>
        <w:rPr>
          <w:rFonts w:ascii="Arial" w:cs="Arial" w:eastAsia="Arial" w:hAnsi="Arial"/>
          <w:sz w:val="17"/>
          <w:szCs w:val="17"/>
          <w:color w:val="auto"/>
        </w:rPr>
      </w:pPr>
    </w:p>
    <w:p>
      <w:pPr>
        <w:ind w:left="860" w:hanging="385"/>
        <w:spacing w:after="0"/>
        <w:tabs>
          <w:tab w:leader="none" w:pos="8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Incentive awards are tied to rigorous performance targets aligned with our corporate strategy</w:t>
      </w:r>
    </w:p>
    <w:p>
      <w:pPr>
        <w:spacing w:after="0" w:line="77" w:lineRule="exact"/>
        <w:rPr>
          <w:rFonts w:ascii="Arial" w:cs="Arial" w:eastAsia="Arial" w:hAnsi="Arial"/>
          <w:sz w:val="17"/>
          <w:szCs w:val="17"/>
          <w:color w:val="auto"/>
        </w:rPr>
      </w:pPr>
    </w:p>
    <w:p>
      <w:pPr>
        <w:ind w:left="860" w:hanging="385"/>
        <w:spacing w:after="0"/>
        <w:tabs>
          <w:tab w:leader="none" w:pos="8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Payout for relative TSR-based awards capped at target for instances of negative absolute TSR</w:t>
      </w:r>
    </w:p>
    <w:p>
      <w:pPr>
        <w:spacing w:after="0" w:line="77" w:lineRule="exact"/>
        <w:rPr>
          <w:rFonts w:ascii="Arial" w:cs="Arial" w:eastAsia="Arial" w:hAnsi="Arial"/>
          <w:sz w:val="17"/>
          <w:szCs w:val="17"/>
          <w:color w:val="auto"/>
        </w:rPr>
      </w:pPr>
    </w:p>
    <w:p>
      <w:pPr>
        <w:ind w:left="860" w:hanging="385"/>
        <w:spacing w:after="0"/>
        <w:tabs>
          <w:tab w:leader="none" w:pos="8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have a clawback policy for all executive officers in the event of a material financial restatement due to fraud or willful misconduct</w:t>
      </w:r>
    </w:p>
    <w:p>
      <w:pPr>
        <w:spacing w:after="0" w:line="77" w:lineRule="exact"/>
        <w:rPr>
          <w:rFonts w:ascii="Arial" w:cs="Arial" w:eastAsia="Arial" w:hAnsi="Arial"/>
          <w:sz w:val="17"/>
          <w:szCs w:val="17"/>
          <w:color w:val="auto"/>
        </w:rPr>
      </w:pPr>
    </w:p>
    <w:p>
      <w:pPr>
        <w:ind w:left="860" w:right="320" w:hanging="385"/>
        <w:spacing w:after="0" w:line="286" w:lineRule="auto"/>
        <w:tabs>
          <w:tab w:leader="none" w:pos="8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have a specific policy regarding the grant dates of stock options, RSUs and other stock-based awards for our directors, executive officers and employees</w:t>
      </w:r>
    </w:p>
    <w:p>
      <w:pPr>
        <w:spacing w:after="0" w:line="15" w:lineRule="exact"/>
        <w:rPr>
          <w:rFonts w:ascii="Arial" w:cs="Arial" w:eastAsia="Arial" w:hAnsi="Arial"/>
          <w:sz w:val="17"/>
          <w:szCs w:val="17"/>
          <w:color w:val="auto"/>
        </w:rPr>
      </w:pPr>
    </w:p>
    <w:p>
      <w:pPr>
        <w:ind w:left="860" w:right="360" w:hanging="385"/>
        <w:spacing w:after="0" w:line="286" w:lineRule="auto"/>
        <w:tabs>
          <w:tab w:leader="none" w:pos="8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have stock ownership guidelines for all directors, and have recently increased the stock ownership guidelines for our CEO to 5x, and for all other members of our Leadership Team to 3x</w:t>
      </w:r>
    </w:p>
    <w:p>
      <w:pPr>
        <w:spacing w:after="0" w:line="15" w:lineRule="exact"/>
        <w:rPr>
          <w:rFonts w:ascii="Arial" w:cs="Arial" w:eastAsia="Arial" w:hAnsi="Arial"/>
          <w:sz w:val="17"/>
          <w:szCs w:val="17"/>
          <w:color w:val="auto"/>
        </w:rPr>
      </w:pPr>
    </w:p>
    <w:p>
      <w:pPr>
        <w:ind w:left="860" w:hanging="385"/>
        <w:spacing w:after="0"/>
        <w:tabs>
          <w:tab w:leader="none" w:pos="8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We prohibit hedging and pledging of ADI securities</w:t>
      </w:r>
    </w:p>
    <w:p>
      <w:pPr>
        <w:spacing w:after="0" w:line="77" w:lineRule="exact"/>
        <w:rPr>
          <w:rFonts w:ascii="Arial" w:cs="Arial" w:eastAsia="Arial" w:hAnsi="Arial"/>
          <w:sz w:val="17"/>
          <w:szCs w:val="17"/>
          <w:color w:val="auto"/>
        </w:rPr>
      </w:pPr>
    </w:p>
    <w:p>
      <w:pPr>
        <w:ind w:left="860" w:hanging="385"/>
        <w:spacing w:after="0"/>
        <w:tabs>
          <w:tab w:leader="none" w:pos="8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Annual “say on pay” vote</w:t>
      </w:r>
    </w:p>
    <w:p>
      <w:pPr>
        <w:spacing w:after="0" w:line="310"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Pay for Performance</w:t>
      </w:r>
    </w:p>
    <w:p>
      <w:pPr>
        <w:spacing w:after="0" w:line="109" w:lineRule="exact"/>
        <w:rPr>
          <w:sz w:val="20"/>
          <w:szCs w:val="20"/>
          <w:color w:val="auto"/>
        </w:rPr>
      </w:pPr>
    </w:p>
    <w:p>
      <w:pPr>
        <w:ind w:left="480" w:right="280"/>
        <w:spacing w:after="0" w:line="263" w:lineRule="auto"/>
        <w:rPr>
          <w:sz w:val="20"/>
          <w:szCs w:val="20"/>
          <w:color w:val="auto"/>
        </w:rPr>
      </w:pPr>
      <w:r>
        <w:rPr>
          <w:rFonts w:ascii="Arial" w:cs="Arial" w:eastAsia="Arial" w:hAnsi="Arial"/>
          <w:sz w:val="17"/>
          <w:szCs w:val="17"/>
          <w:color w:val="auto"/>
        </w:rPr>
        <w:t>A significant portion of the total target compensation for our executive officers, including our NEOs, is in the form of variable, performance-based incentive compensation, with only a small portion of the total target compensation provided in the form of “fixed” compensation. We believe this provides our executive officers an opportunity to earn above average compensation, as compared to our peer group companies, if ADI delivers strong results. Conversely, if the Company delivers weaker results, our executive officers will earn less compensation. The target pay mix for our NEOs for fiscal 2021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137160</wp:posOffset>
            </wp:positionV>
            <wp:extent cx="5526405" cy="22548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526405" cy="225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80" w:right="220"/>
        <w:spacing w:after="0" w:line="257" w:lineRule="auto"/>
        <w:rPr>
          <w:sz w:val="20"/>
          <w:szCs w:val="20"/>
          <w:color w:val="auto"/>
        </w:rPr>
      </w:pPr>
      <w:r>
        <w:rPr>
          <w:rFonts w:ascii="Arial" w:cs="Arial" w:eastAsia="Arial" w:hAnsi="Arial"/>
          <w:sz w:val="17"/>
          <w:szCs w:val="17"/>
          <w:color w:val="auto"/>
        </w:rPr>
        <w:t>In order to best illustrate the underlying structure of our executive compensation program, the pay mix charts above exclude the impact of the special one-time, performance-vested equity awards granted to our NEOs in fiscal 2021, which are described below under “Special Equity Awards” and reflect the regular annual target compensation consisting of the annual rate of base salary and short-term and long-term incentive targets approved by the Compensation Committee as part of its annual executive compensation review. When taking into account the impact of the special one-time equity awards in fiscal 2021, the percentage of total compensation which is tied to performance based incentives increases to 96% for the CEO and 89% for the other NEOs. For more information about the components of the performance-based incentive compensation for our NEOs, see</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“Compensation Discussion and Analysis—Components of Executive Compensation.”</w:t>
      </w:r>
    </w:p>
    <w:p>
      <w:pPr>
        <w:spacing w:after="0" w:line="206" w:lineRule="exact"/>
        <w:rPr>
          <w:sz w:val="20"/>
          <w:szCs w:val="20"/>
          <w:color w:val="auto"/>
        </w:rPr>
      </w:pPr>
    </w:p>
    <w:p>
      <w:pPr>
        <w:ind w:left="480"/>
        <w:spacing w:after="0"/>
        <w:rPr>
          <w:sz w:val="20"/>
          <w:szCs w:val="20"/>
          <w:color w:val="auto"/>
        </w:rPr>
      </w:pPr>
      <w:r>
        <w:rPr>
          <w:rFonts w:ascii="Arial" w:cs="Arial" w:eastAsia="Arial" w:hAnsi="Arial"/>
          <w:sz w:val="13"/>
          <w:szCs w:val="13"/>
          <w:i w:val="1"/>
          <w:iCs w:val="1"/>
          <w:color w:val="auto"/>
        </w:rPr>
        <w:t>(1) The sum of the individual amounts may not equal the total due to rounding.</w:t>
      </w: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0940"/>
          </w:cols>
          <w:pgMar w:left="320" w:top="447" w:right="63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Summary of Direct Compensation Elements</w:t>
      </w:r>
    </w:p>
    <w:p>
      <w:pPr>
        <w:spacing w:after="0" w:line="83" w:lineRule="exact"/>
        <w:rPr>
          <w:sz w:val="20"/>
          <w:szCs w:val="20"/>
          <w:color w:val="auto"/>
        </w:rPr>
      </w:pPr>
    </w:p>
    <w:p>
      <w:pPr>
        <w:ind w:left="480" w:right="580"/>
        <w:spacing w:after="0" w:line="286" w:lineRule="auto"/>
        <w:rPr>
          <w:sz w:val="20"/>
          <w:szCs w:val="20"/>
          <w:color w:val="auto"/>
        </w:rPr>
      </w:pPr>
      <w:r>
        <w:rPr>
          <w:rFonts w:ascii="Arial" w:cs="Arial" w:eastAsia="Arial" w:hAnsi="Arial"/>
          <w:sz w:val="17"/>
          <w:szCs w:val="17"/>
          <w:color w:val="auto"/>
        </w:rPr>
        <w:t>We provide a mix of compensation elements that support our goals of attracting and retaining top executive talent and incentivizing our key performance objectives in the short- and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199390</wp:posOffset>
            </wp:positionV>
            <wp:extent cx="6534150" cy="4546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534150" cy="454660"/>
                    </a:xfrm>
                    <a:prstGeom prst="rect">
                      <a:avLst/>
                    </a:prstGeom>
                    <a:noFill/>
                  </pic:spPr>
                </pic:pic>
              </a:graphicData>
            </a:graphic>
          </wp:anchor>
        </w:drawing>
      </w:r>
    </w:p>
    <w:p>
      <w:pPr>
        <w:sectPr>
          <w:pgSz w:w="11900" w:h="16838" w:orient="portrait"/>
          <w:cols w:equalWidth="0" w:num="1">
            <w:col w:w="10740"/>
          </w:cols>
          <w:pgMar w:left="320" w:top="447" w:right="8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auto"/>
        </w:rPr>
        <w:t>Pay Element</w:t>
      </w:r>
    </w:p>
    <w:p>
      <w:pPr>
        <w:spacing w:after="0" w:line="200" w:lineRule="exact"/>
        <w:rPr>
          <w:sz w:val="20"/>
          <w:szCs w:val="20"/>
          <w:color w:val="auto"/>
        </w:rPr>
      </w:pPr>
    </w:p>
    <w:p>
      <w:pPr>
        <w:spacing w:after="0" w:line="255" w:lineRule="exact"/>
        <w:rPr>
          <w:sz w:val="20"/>
          <w:szCs w:val="20"/>
          <w:color w:val="auto"/>
        </w:rPr>
      </w:pPr>
    </w:p>
    <w:p>
      <w:pPr>
        <w:ind w:left="620" w:hanging="141"/>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 Salary</w:t>
      </w:r>
    </w:p>
    <w:p>
      <w:pPr>
        <w:spacing w:after="0" w:line="200" w:lineRule="exact"/>
        <w:rPr>
          <w:rFonts w:ascii="Arial" w:cs="Arial" w:eastAsia="Arial" w:hAnsi="Arial"/>
          <w:sz w:val="17"/>
          <w:szCs w:val="17"/>
          <w:color w:val="auto"/>
        </w:rPr>
      </w:pPr>
    </w:p>
    <w:p>
      <w:pPr>
        <w:spacing w:after="0" w:line="267" w:lineRule="exact"/>
        <w:rPr>
          <w:rFonts w:ascii="Arial" w:cs="Arial" w:eastAsia="Arial" w:hAnsi="Arial"/>
          <w:sz w:val="17"/>
          <w:szCs w:val="17"/>
          <w:color w:val="auto"/>
        </w:rPr>
      </w:pPr>
    </w:p>
    <w:p>
      <w:pPr>
        <w:ind w:left="620" w:hanging="141"/>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Variable Cash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1056640</wp:posOffset>
            </wp:positionV>
            <wp:extent cx="16357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635760" cy="8255"/>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-156845</wp:posOffset>
            </wp:positionV>
            <wp:extent cx="163576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635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80"/>
        <w:spacing w:after="0"/>
        <w:tabs>
          <w:tab w:leader="none" w:pos="1800" w:val="left"/>
        </w:tabs>
        <w:rPr>
          <w:sz w:val="20"/>
          <w:szCs w:val="20"/>
          <w:color w:val="auto"/>
        </w:rPr>
      </w:pPr>
      <w:r>
        <w:rPr>
          <w:rFonts w:ascii="Arial" w:cs="Arial" w:eastAsia="Arial" w:hAnsi="Arial"/>
          <w:sz w:val="17"/>
          <w:szCs w:val="17"/>
          <w:color w:val="auto"/>
        </w:rPr>
        <w:t>• Annual</w:t>
      </w:r>
      <w:r>
        <w:rPr>
          <w:sz w:val="20"/>
          <w:szCs w:val="20"/>
          <w:color w:val="auto"/>
        </w:rPr>
        <w:tab/>
      </w:r>
      <w:r>
        <w:rPr>
          <w:rFonts w:ascii="Arial" w:cs="Arial" w:eastAsia="Arial" w:hAnsi="Arial"/>
          <w:sz w:val="16"/>
          <w:szCs w:val="16"/>
          <w:color w:val="auto"/>
        </w:rPr>
        <w:t>• TSR PRSUs –</w:t>
      </w:r>
    </w:p>
    <w:p>
      <w:pPr>
        <w:spacing w:after="0" w:line="25" w:lineRule="exact"/>
        <w:rPr>
          <w:sz w:val="20"/>
          <w:szCs w:val="20"/>
          <w:color w:val="auto"/>
        </w:rPr>
      </w:pPr>
    </w:p>
    <w:p>
      <w:pPr>
        <w:ind w:left="620"/>
        <w:spacing w:after="0"/>
        <w:tabs>
          <w:tab w:leader="none" w:pos="1940" w:val="left"/>
        </w:tabs>
        <w:rPr>
          <w:sz w:val="20"/>
          <w:szCs w:val="20"/>
          <w:color w:val="auto"/>
        </w:rPr>
      </w:pPr>
      <w:r>
        <w:rPr>
          <w:rFonts w:ascii="Arial" w:cs="Arial" w:eastAsia="Arial" w:hAnsi="Arial"/>
          <w:sz w:val="17"/>
          <w:szCs w:val="17"/>
          <w:color w:val="auto"/>
        </w:rPr>
        <w:t>Long-Term</w:t>
      </w:r>
      <w:r>
        <w:rPr>
          <w:sz w:val="20"/>
          <w:szCs w:val="20"/>
          <w:color w:val="auto"/>
        </w:rPr>
        <w:tab/>
      </w:r>
      <w:r>
        <w:rPr>
          <w:rFonts w:ascii="Arial" w:cs="Arial" w:eastAsia="Arial" w:hAnsi="Arial"/>
          <w:sz w:val="15"/>
          <w:szCs w:val="15"/>
          <w:color w:val="auto"/>
        </w:rPr>
        <w:t>25%</w:t>
      </w:r>
    </w:p>
    <w:p>
      <w:pPr>
        <w:spacing w:after="0" w:line="1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387985</wp:posOffset>
            </wp:positionV>
            <wp:extent cx="163576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635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820"/>
        <w:spacing w:after="0"/>
        <w:rPr>
          <w:sz w:val="20"/>
          <w:szCs w:val="20"/>
          <w:color w:val="auto"/>
        </w:rPr>
      </w:pPr>
      <w:r>
        <w:rPr>
          <w:rFonts w:ascii="Arial" w:cs="Arial" w:eastAsia="Arial" w:hAnsi="Arial"/>
          <w:sz w:val="17"/>
          <w:szCs w:val="17"/>
          <w:color w:val="auto"/>
        </w:rPr>
        <w:t>• Financial</w:t>
      </w:r>
    </w:p>
    <w:p>
      <w:pPr>
        <w:spacing w:after="0" w:line="25"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Metric</w:t>
      </w:r>
    </w:p>
    <w:p>
      <w:pPr>
        <w:spacing w:after="0" w:line="13" w:lineRule="exact"/>
        <w:rPr>
          <w:sz w:val="20"/>
          <w:szCs w:val="20"/>
          <w:color w:val="auto"/>
        </w:rPr>
      </w:pPr>
    </w:p>
    <w:p>
      <w:pPr>
        <w:ind w:left="1960"/>
        <w:spacing w:after="0"/>
        <w:rPr>
          <w:sz w:val="20"/>
          <w:szCs w:val="20"/>
          <w:color w:val="auto"/>
        </w:rPr>
      </w:pPr>
      <w:r>
        <w:rPr>
          <w:rFonts w:ascii="Arial" w:cs="Arial" w:eastAsia="Arial" w:hAnsi="Arial"/>
          <w:sz w:val="15"/>
          <w:szCs w:val="15"/>
          <w:color w:val="auto"/>
        </w:rPr>
        <w:t>PRSUs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270510</wp:posOffset>
            </wp:positionV>
            <wp:extent cx="163576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63576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Stock Options</w:t>
      </w:r>
    </w:p>
    <w:p>
      <w:pPr>
        <w:spacing w:after="0" w:line="25"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387985</wp:posOffset>
            </wp:positionV>
            <wp:extent cx="16357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635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820"/>
        <w:spacing w:after="0"/>
        <w:rPr>
          <w:sz w:val="20"/>
          <w:szCs w:val="20"/>
          <w:color w:val="auto"/>
        </w:rPr>
      </w:pPr>
      <w:r>
        <w:rPr>
          <w:rFonts w:ascii="Arial" w:cs="Arial" w:eastAsia="Arial" w:hAnsi="Arial"/>
          <w:sz w:val="17"/>
          <w:szCs w:val="17"/>
          <w:color w:val="auto"/>
        </w:rPr>
        <w:t>• RSUs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263525</wp:posOffset>
            </wp:positionV>
            <wp:extent cx="163576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6357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ind w:left="61"/>
        <w:spacing w:after="0"/>
        <w:rPr>
          <w:sz w:val="20"/>
          <w:szCs w:val="20"/>
          <w:color w:val="auto"/>
        </w:rPr>
      </w:pPr>
      <w:r>
        <w:rPr>
          <w:rFonts w:ascii="Arial" w:cs="Arial" w:eastAsia="Arial" w:hAnsi="Arial"/>
          <w:sz w:val="19"/>
          <w:szCs w:val="19"/>
          <w:b w:val="1"/>
          <w:bCs w:val="1"/>
          <w:color w:val="auto"/>
        </w:rPr>
        <w:t>Purpose</w:t>
      </w:r>
    </w:p>
    <w:p>
      <w:pPr>
        <w:spacing w:after="0" w:line="200" w:lineRule="exact"/>
        <w:rPr>
          <w:sz w:val="20"/>
          <w:szCs w:val="20"/>
          <w:color w:val="auto"/>
        </w:rPr>
      </w:pPr>
    </w:p>
    <w:p>
      <w:pPr>
        <w:spacing w:after="0" w:line="255" w:lineRule="exact"/>
        <w:rPr>
          <w:sz w:val="20"/>
          <w:szCs w:val="20"/>
          <w:color w:val="auto"/>
        </w:rPr>
      </w:pPr>
    </w:p>
    <w:p>
      <w:pPr>
        <w:ind w:left="141" w:right="528" w:hanging="141"/>
        <w:spacing w:after="0" w:line="356" w:lineRule="auto"/>
        <w:tabs>
          <w:tab w:leader="none" w:pos="1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Attract and retain executive talent</w:t>
      </w:r>
    </w:p>
    <w:p>
      <w:pPr>
        <w:spacing w:after="0" w:line="151" w:lineRule="exact"/>
        <w:rPr>
          <w:rFonts w:ascii="Arial" w:cs="Arial" w:eastAsia="Arial" w:hAnsi="Arial"/>
          <w:sz w:val="15"/>
          <w:szCs w:val="15"/>
          <w:color w:val="auto"/>
        </w:rPr>
      </w:pPr>
    </w:p>
    <w:p>
      <w:pPr>
        <w:ind w:left="141" w:right="8" w:hanging="141"/>
        <w:spacing w:after="0" w:line="281" w:lineRule="auto"/>
        <w:tabs>
          <w:tab w:leader="none" w:pos="150" w:val="left"/>
        </w:tabs>
        <w:numPr>
          <w:ilvl w:val="0"/>
          <w:numId w:val="45"/>
        </w:numPr>
        <w:rPr>
          <w:rFonts w:ascii="Arial" w:cs="Arial" w:eastAsia="Arial" w:hAnsi="Arial"/>
          <w:sz w:val="16"/>
          <w:szCs w:val="16"/>
          <w:color w:val="auto"/>
        </w:rPr>
      </w:pPr>
      <w:r>
        <w:rPr>
          <w:rFonts w:ascii="Arial" w:cs="Arial" w:eastAsia="Arial" w:hAnsi="Arial"/>
          <w:sz w:val="16"/>
          <w:szCs w:val="16"/>
          <w:color w:val="auto"/>
        </w:rPr>
        <w:t>Motivate and reward our executive officers for achieving short-term Company financial objectives aligned with value creation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9" w:lineRule="exact"/>
        <w:rPr>
          <w:rFonts w:ascii="Arial" w:cs="Arial" w:eastAsia="Arial" w:hAnsi="Arial"/>
          <w:sz w:val="16"/>
          <w:szCs w:val="16"/>
          <w:color w:val="auto"/>
        </w:rPr>
      </w:pPr>
    </w:p>
    <w:p>
      <w:pPr>
        <w:jc w:val="both"/>
        <w:ind w:left="141" w:right="28" w:hanging="141"/>
        <w:spacing w:after="0" w:line="311" w:lineRule="auto"/>
        <w:tabs>
          <w:tab w:leader="none" w:pos="1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Align executive officer and shareholder interest to drive superior relative TSR results</w:t>
      </w:r>
    </w:p>
    <w:p>
      <w:pPr>
        <w:spacing w:after="0" w:line="393" w:lineRule="exact"/>
        <w:rPr>
          <w:rFonts w:ascii="Arial" w:cs="Arial" w:eastAsia="Arial" w:hAnsi="Arial"/>
          <w:sz w:val="15"/>
          <w:szCs w:val="15"/>
          <w:color w:val="auto"/>
        </w:rPr>
      </w:pPr>
    </w:p>
    <w:p>
      <w:pPr>
        <w:ind w:left="141" w:right="8" w:hanging="141"/>
        <w:spacing w:after="0" w:line="265" w:lineRule="auto"/>
        <w:tabs>
          <w:tab w:leader="none" w:pos="1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Align executive officer and shareholder interests with long-term profitability</w:t>
      </w:r>
    </w:p>
    <w:p>
      <w:pPr>
        <w:spacing w:after="0" w:line="216" w:lineRule="exact"/>
        <w:rPr>
          <w:rFonts w:ascii="Arial" w:cs="Arial" w:eastAsia="Arial" w:hAnsi="Arial"/>
          <w:sz w:val="17"/>
          <w:szCs w:val="17"/>
          <w:color w:val="auto"/>
        </w:rPr>
      </w:pPr>
    </w:p>
    <w:p>
      <w:pPr>
        <w:ind w:left="141" w:right="8" w:hanging="141"/>
        <w:spacing w:after="0" w:line="287" w:lineRule="auto"/>
        <w:tabs>
          <w:tab w:leader="none" w:pos="1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Align executive officer and shareholder interests in absolute stock price appreciation</w:t>
      </w:r>
    </w:p>
    <w:p>
      <w:pPr>
        <w:spacing w:after="0" w:line="199" w:lineRule="exact"/>
        <w:rPr>
          <w:rFonts w:ascii="Arial" w:cs="Arial" w:eastAsia="Arial" w:hAnsi="Arial"/>
          <w:sz w:val="16"/>
          <w:szCs w:val="16"/>
          <w:color w:val="auto"/>
        </w:rPr>
      </w:pPr>
    </w:p>
    <w:p>
      <w:pPr>
        <w:ind w:left="141" w:right="228" w:hanging="141"/>
        <w:spacing w:after="0" w:line="286" w:lineRule="auto"/>
        <w:tabs>
          <w:tab w:leader="none" w:pos="1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Attract and retain key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92075</wp:posOffset>
            </wp:positionV>
            <wp:extent cx="13131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313180" cy="8255"/>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-328930</wp:posOffset>
            </wp:positionV>
            <wp:extent cx="13131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313180" cy="8255"/>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-1014095</wp:posOffset>
            </wp:positionV>
            <wp:extent cx="13131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313180" cy="8255"/>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-1699895</wp:posOffset>
            </wp:positionV>
            <wp:extent cx="13131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313180" cy="8255"/>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-2517775</wp:posOffset>
            </wp:positionV>
            <wp:extent cx="13131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313180" cy="8255"/>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-3731895</wp:posOffset>
            </wp:positionV>
            <wp:extent cx="13131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ind w:left="72"/>
        <w:spacing w:after="0"/>
        <w:rPr>
          <w:sz w:val="20"/>
          <w:szCs w:val="20"/>
          <w:color w:val="auto"/>
        </w:rPr>
      </w:pPr>
      <w:r>
        <w:rPr>
          <w:rFonts w:ascii="Arial" w:cs="Arial" w:eastAsia="Arial" w:hAnsi="Arial"/>
          <w:sz w:val="19"/>
          <w:szCs w:val="19"/>
          <w:b w:val="1"/>
          <w:bCs w:val="1"/>
          <w:color w:val="auto"/>
        </w:rPr>
        <w:t>Time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-99060</wp:posOffset>
            </wp:positionV>
            <wp:extent cx="156845" cy="156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clrChange>
                        <a:clrFrom>
                          <a:srgbClr val="000000"/>
                        </a:clrFrom>
                        <a:clrTo>
                          <a:srgbClr val="000000">
                            <a:alpha val="0"/>
                          </a:srgbClr>
                        </a:clrTo>
                      </a:clrChange>
                      <a:extLst>
                        <a:ext uri="{28A0092B-C50C-407E-A947-70E740481C1C}"/>
                      </a:extLst>
                    </a:blip>
                    <a:srcRect/>
                    <a:stretch>
                      <a:fillRect/>
                    </a:stretch>
                  </pic:blipFill>
                  <pic:spPr bwMode="auto">
                    <a:xfrm>
                      <a:off x="0" y="0"/>
                      <a:ext cx="156845" cy="15684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-99060</wp:posOffset>
            </wp:positionV>
            <wp:extent cx="156845" cy="156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clrChange>
                        <a:clrFrom>
                          <a:srgbClr val="FFFFFF"/>
                        </a:clrFrom>
                        <a:clrTo>
                          <a:srgbClr val="FFFFFF">
                            <a:alpha val="0"/>
                          </a:srgbClr>
                        </a:clrTo>
                      </a:clrChange>
                      <a:extLst>
                        <a:ext uri="{28A0092B-C50C-407E-A947-70E740481C1C}"/>
                      </a:extLst>
                    </a:blip>
                    <a:srcRect/>
                    <a:stretch>
                      <a:fillRect/>
                    </a:stretch>
                  </pic:blipFill>
                  <pic:spPr bwMode="auto">
                    <a:xfrm>
                      <a:off x="0" y="0"/>
                      <a:ext cx="156845" cy="1568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32" w:hanging="132"/>
        <w:spacing w:after="0"/>
        <w:tabs>
          <w:tab w:leader="none" w:pos="132"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Annual</w:t>
      </w:r>
    </w:p>
    <w:p>
      <w:pPr>
        <w:spacing w:after="0" w:line="200" w:lineRule="exact"/>
        <w:rPr>
          <w:rFonts w:ascii="Arial" w:cs="Arial" w:eastAsia="Arial" w:hAnsi="Arial"/>
          <w:sz w:val="17"/>
          <w:szCs w:val="17"/>
          <w:color w:val="auto"/>
        </w:rPr>
      </w:pPr>
    </w:p>
    <w:p>
      <w:pPr>
        <w:spacing w:after="0" w:line="267" w:lineRule="exact"/>
        <w:rPr>
          <w:rFonts w:ascii="Arial" w:cs="Arial" w:eastAsia="Arial" w:hAnsi="Arial"/>
          <w:sz w:val="17"/>
          <w:szCs w:val="17"/>
          <w:color w:val="auto"/>
        </w:rPr>
      </w:pPr>
    </w:p>
    <w:p>
      <w:pPr>
        <w:ind w:left="132" w:right="80" w:hanging="132"/>
        <w:spacing w:after="0" w:line="283" w:lineRule="auto"/>
        <w:tabs>
          <w:tab w:leader="none" w:pos="141" w:val="left"/>
        </w:tabs>
        <w:numPr>
          <w:ilvl w:val="0"/>
          <w:numId w:val="46"/>
        </w:numPr>
        <w:rPr>
          <w:rFonts w:ascii="Arial" w:cs="Arial" w:eastAsia="Arial" w:hAnsi="Arial"/>
          <w:sz w:val="16"/>
          <w:szCs w:val="16"/>
          <w:color w:val="auto"/>
        </w:rPr>
      </w:pPr>
      <w:r>
        <w:rPr>
          <w:rFonts w:ascii="Arial" w:cs="Arial" w:eastAsia="Arial" w:hAnsi="Arial"/>
          <w:sz w:val="16"/>
          <w:szCs w:val="16"/>
          <w:color w:val="auto"/>
        </w:rPr>
        <w:t>Paid semi-annually, with quarterly corporate financial targets tied to corporate strategy of profitable growth</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7" w:lineRule="exact"/>
        <w:rPr>
          <w:rFonts w:ascii="Arial" w:cs="Arial" w:eastAsia="Arial" w:hAnsi="Arial"/>
          <w:sz w:val="16"/>
          <w:szCs w:val="16"/>
          <w:color w:val="auto"/>
        </w:rPr>
      </w:pPr>
    </w:p>
    <w:p>
      <w:pPr>
        <w:ind w:left="132" w:right="240" w:hanging="132"/>
        <w:spacing w:after="0" w:line="286" w:lineRule="auto"/>
        <w:tabs>
          <w:tab w:leader="none" w:pos="141" w:val="left"/>
        </w:tabs>
        <w:numPr>
          <w:ilvl w:val="0"/>
          <w:numId w:val="46"/>
        </w:numPr>
        <w:rPr>
          <w:rFonts w:ascii="Arial" w:cs="Arial" w:eastAsia="Arial" w:hAnsi="Arial"/>
          <w:sz w:val="17"/>
          <w:szCs w:val="17"/>
          <w:color w:val="auto"/>
        </w:rPr>
      </w:pPr>
      <w:r>
        <w:rPr>
          <w:rFonts w:ascii="Arial" w:cs="Arial" w:eastAsia="Arial" w:hAnsi="Arial"/>
          <w:sz w:val="17"/>
          <w:szCs w:val="17"/>
          <w:color w:val="auto"/>
        </w:rPr>
        <w:t>Cumulative three-year period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22" w:lineRule="exact"/>
        <w:rPr>
          <w:rFonts w:ascii="Arial" w:cs="Arial" w:eastAsia="Arial" w:hAnsi="Arial"/>
          <w:sz w:val="17"/>
          <w:szCs w:val="17"/>
          <w:color w:val="auto"/>
        </w:rPr>
      </w:pPr>
    </w:p>
    <w:p>
      <w:pPr>
        <w:ind w:left="132" w:hanging="132"/>
        <w:spacing w:after="0" w:line="323" w:lineRule="auto"/>
        <w:tabs>
          <w:tab w:leader="none" w:pos="141" w:val="left"/>
        </w:tabs>
        <w:numPr>
          <w:ilvl w:val="0"/>
          <w:numId w:val="46"/>
        </w:numPr>
        <w:rPr>
          <w:rFonts w:ascii="Arial" w:cs="Arial" w:eastAsia="Arial" w:hAnsi="Arial"/>
          <w:sz w:val="15"/>
          <w:szCs w:val="15"/>
          <w:color w:val="auto"/>
        </w:rPr>
      </w:pPr>
      <w:r>
        <w:rPr>
          <w:rFonts w:ascii="Arial" w:cs="Arial" w:eastAsia="Arial" w:hAnsi="Arial"/>
          <w:sz w:val="15"/>
          <w:szCs w:val="15"/>
          <w:color w:val="auto"/>
        </w:rPr>
        <w:t>One-year, two-year cumulative and three-year cumulative time periods</w:t>
      </w:r>
    </w:p>
    <w:p>
      <w:pPr>
        <w:spacing w:after="0" w:line="383" w:lineRule="exact"/>
        <w:rPr>
          <w:rFonts w:ascii="Arial" w:cs="Arial" w:eastAsia="Arial" w:hAnsi="Arial"/>
          <w:sz w:val="15"/>
          <w:szCs w:val="15"/>
          <w:color w:val="auto"/>
        </w:rPr>
      </w:pPr>
    </w:p>
    <w:p>
      <w:pPr>
        <w:ind w:left="152" w:hanging="152"/>
        <w:spacing w:after="0"/>
        <w:tabs>
          <w:tab w:leader="none" w:pos="152" w:val="left"/>
        </w:tabs>
        <w:numPr>
          <w:ilvl w:val="0"/>
          <w:numId w:val="46"/>
        </w:numPr>
        <w:rPr>
          <w:rFonts w:ascii="Arial" w:cs="Arial" w:eastAsia="Arial" w:hAnsi="Arial"/>
          <w:sz w:val="16"/>
          <w:szCs w:val="16"/>
          <w:color w:val="auto"/>
        </w:rPr>
      </w:pPr>
      <w:r>
        <w:rPr>
          <w:rFonts w:ascii="Arial" w:cs="Arial" w:eastAsia="Arial" w:hAnsi="Arial"/>
          <w:sz w:val="16"/>
          <w:szCs w:val="16"/>
          <w:color w:val="auto"/>
        </w:rPr>
        <w:t>Four year graded vesting</w:t>
      </w:r>
    </w:p>
    <w:p>
      <w:pPr>
        <w:spacing w:after="0" w:line="36" w:lineRule="exact"/>
        <w:rPr>
          <w:rFonts w:ascii="Arial" w:cs="Arial" w:eastAsia="Arial" w:hAnsi="Arial"/>
          <w:sz w:val="16"/>
          <w:szCs w:val="16"/>
          <w:color w:val="auto"/>
        </w:rPr>
      </w:pPr>
    </w:p>
    <w:p>
      <w:pPr>
        <w:ind w:left="152" w:hanging="152"/>
        <w:spacing w:after="0"/>
        <w:tabs>
          <w:tab w:leader="none" w:pos="152" w:val="left"/>
        </w:tabs>
        <w:numPr>
          <w:ilvl w:val="0"/>
          <w:numId w:val="46"/>
        </w:numPr>
        <w:rPr>
          <w:rFonts w:ascii="Arial" w:cs="Arial" w:eastAsia="Arial" w:hAnsi="Arial"/>
          <w:sz w:val="17"/>
          <w:szCs w:val="17"/>
          <w:color w:val="auto"/>
        </w:rPr>
      </w:pPr>
      <w:r>
        <w:rPr>
          <w:rFonts w:ascii="Arial" w:cs="Arial" w:eastAsia="Arial" w:hAnsi="Arial"/>
          <w:sz w:val="17"/>
          <w:szCs w:val="17"/>
          <w:color w:val="auto"/>
        </w:rPr>
        <w:t>10 year term</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3" w:lineRule="exact"/>
        <w:rPr>
          <w:rFonts w:ascii="Arial" w:cs="Arial" w:eastAsia="Arial" w:hAnsi="Arial"/>
          <w:sz w:val="17"/>
          <w:szCs w:val="17"/>
          <w:color w:val="auto"/>
        </w:rPr>
      </w:pPr>
    </w:p>
    <w:p>
      <w:pPr>
        <w:ind w:left="152" w:hanging="152"/>
        <w:spacing w:after="0"/>
        <w:tabs>
          <w:tab w:leader="none" w:pos="152" w:val="left"/>
        </w:tabs>
        <w:numPr>
          <w:ilvl w:val="0"/>
          <w:numId w:val="46"/>
        </w:numPr>
        <w:rPr>
          <w:rFonts w:ascii="Arial" w:cs="Arial" w:eastAsia="Arial" w:hAnsi="Arial"/>
          <w:sz w:val="16"/>
          <w:szCs w:val="16"/>
          <w:color w:val="auto"/>
        </w:rPr>
      </w:pPr>
      <w:r>
        <w:rPr>
          <w:rFonts w:ascii="Arial" w:cs="Arial" w:eastAsia="Arial" w:hAnsi="Arial"/>
          <w:sz w:val="16"/>
          <w:szCs w:val="16"/>
          <w:color w:val="auto"/>
        </w:rPr>
        <w:t>Four year graded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271145</wp:posOffset>
            </wp:positionV>
            <wp:extent cx="13131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313180" cy="8255"/>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-149860</wp:posOffset>
            </wp:positionV>
            <wp:extent cx="13131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313180" cy="8255"/>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-835025</wp:posOffset>
            </wp:positionV>
            <wp:extent cx="13131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313180" cy="8255"/>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-1520825</wp:posOffset>
            </wp:positionV>
            <wp:extent cx="13131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313180" cy="8255"/>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-2338705</wp:posOffset>
            </wp:positionV>
            <wp:extent cx="13131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313180" cy="8255"/>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-3552825</wp:posOffset>
            </wp:positionV>
            <wp:extent cx="13131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ind w:left="62" w:right="800"/>
        <w:spacing w:after="0" w:line="335" w:lineRule="auto"/>
        <w:rPr>
          <w:sz w:val="20"/>
          <w:szCs w:val="20"/>
          <w:color w:val="auto"/>
        </w:rPr>
      </w:pPr>
      <w:r>
        <w:rPr>
          <w:rFonts w:ascii="Arial" w:cs="Arial" w:eastAsia="Arial" w:hAnsi="Arial"/>
          <w:sz w:val="17"/>
          <w:szCs w:val="17"/>
          <w:b w:val="1"/>
          <w:bCs w:val="1"/>
          <w:color w:val="auto"/>
        </w:rPr>
        <w:t>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469265</wp:posOffset>
            </wp:positionV>
            <wp:extent cx="12966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96670" cy="8255"/>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-306705</wp:posOffset>
            </wp:positionV>
            <wp:extent cx="156845" cy="156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clrChange>
                        <a:clrFrom>
                          <a:srgbClr val="000000"/>
                        </a:clrFrom>
                        <a:clrTo>
                          <a:srgbClr val="000000">
                            <a:alpha val="0"/>
                          </a:srgbClr>
                        </a:clrTo>
                      </a:clrChange>
                      <a:extLst>
                        <a:ext uri="{28A0092B-C50C-407E-A947-70E740481C1C}"/>
                      </a:extLst>
                    </a:blip>
                    <a:srcRect/>
                    <a:stretch>
                      <a:fillRect/>
                    </a:stretch>
                  </pic:blipFill>
                  <pic:spPr bwMode="auto">
                    <a:xfrm>
                      <a:off x="0" y="0"/>
                      <a:ext cx="156845" cy="156845"/>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-306705</wp:posOffset>
            </wp:positionV>
            <wp:extent cx="156845" cy="156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clrChange>
                        <a:clrFrom>
                          <a:srgbClr val="FFFFFF"/>
                        </a:clrFrom>
                        <a:clrTo>
                          <a:srgbClr val="FFFFFF">
                            <a:alpha val="0"/>
                          </a:srgbClr>
                        </a:clrTo>
                      </a:clrChange>
                      <a:extLst>
                        <a:ext uri="{28A0092B-C50C-407E-A947-70E740481C1C}"/>
                      </a:extLst>
                    </a:blip>
                    <a:srcRect/>
                    <a:stretch>
                      <a:fillRect/>
                    </a:stretch>
                  </pic:blipFill>
                  <pic:spPr bwMode="auto">
                    <a:xfrm>
                      <a:off x="0" y="0"/>
                      <a:ext cx="156845" cy="156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42" w:right="40" w:hanging="142"/>
        <w:spacing w:after="0" w:line="276" w:lineRule="auto"/>
        <w:tabs>
          <w:tab w:leader="none" w:pos="151" w:val="left"/>
        </w:tabs>
        <w:numPr>
          <w:ilvl w:val="0"/>
          <w:numId w:val="47"/>
        </w:numPr>
        <w:rPr>
          <w:rFonts w:ascii="Arial" w:cs="Arial" w:eastAsia="Arial" w:hAnsi="Arial"/>
          <w:sz w:val="16"/>
          <w:szCs w:val="16"/>
          <w:color w:val="auto"/>
        </w:rPr>
      </w:pPr>
      <w:r>
        <w:rPr>
          <w:rFonts w:ascii="Arial" w:cs="Arial" w:eastAsia="Arial" w:hAnsi="Arial"/>
          <w:sz w:val="16"/>
          <w:szCs w:val="16"/>
          <w:color w:val="auto"/>
        </w:rPr>
        <w:t>50%: quarterly operating profit before taxes, or OPBT, margin</w:t>
      </w:r>
    </w:p>
    <w:p>
      <w:pPr>
        <w:spacing w:after="0" w:line="2" w:lineRule="exact"/>
        <w:rPr>
          <w:rFonts w:ascii="Arial" w:cs="Arial" w:eastAsia="Arial" w:hAnsi="Arial"/>
          <w:sz w:val="16"/>
          <w:szCs w:val="16"/>
          <w:color w:val="auto"/>
        </w:rPr>
      </w:pPr>
    </w:p>
    <w:p>
      <w:pPr>
        <w:ind w:left="142" w:right="340" w:hanging="142"/>
        <w:spacing w:after="0" w:line="289" w:lineRule="auto"/>
        <w:tabs>
          <w:tab w:leader="none" w:pos="151" w:val="left"/>
        </w:tabs>
        <w:numPr>
          <w:ilvl w:val="0"/>
          <w:numId w:val="47"/>
        </w:numPr>
        <w:rPr>
          <w:rFonts w:ascii="Arial" w:cs="Arial" w:eastAsia="Arial" w:hAnsi="Arial"/>
          <w:sz w:val="15"/>
          <w:szCs w:val="15"/>
          <w:color w:val="auto"/>
        </w:rPr>
      </w:pPr>
      <w:r>
        <w:rPr>
          <w:rFonts w:ascii="Arial" w:cs="Arial" w:eastAsia="Arial" w:hAnsi="Arial"/>
          <w:sz w:val="15"/>
          <w:szCs w:val="15"/>
          <w:color w:val="auto"/>
        </w:rPr>
        <w:t>50%: year over year revenue growth (measured quarterly)</w:t>
      </w:r>
    </w:p>
    <w:p>
      <w:pPr>
        <w:spacing w:after="0" w:line="1" w:lineRule="exact"/>
        <w:rPr>
          <w:rFonts w:ascii="Arial" w:cs="Arial" w:eastAsia="Arial" w:hAnsi="Arial"/>
          <w:sz w:val="15"/>
          <w:szCs w:val="15"/>
          <w:color w:val="auto"/>
        </w:rPr>
      </w:pPr>
    </w:p>
    <w:p>
      <w:pPr>
        <w:ind w:left="142" w:right="60" w:hanging="142"/>
        <w:spacing w:after="0" w:line="303" w:lineRule="auto"/>
        <w:tabs>
          <w:tab w:leader="none" w:pos="151" w:val="left"/>
        </w:tabs>
        <w:numPr>
          <w:ilvl w:val="0"/>
          <w:numId w:val="47"/>
        </w:numPr>
        <w:rPr>
          <w:rFonts w:ascii="Arial" w:cs="Arial" w:eastAsia="Arial" w:hAnsi="Arial"/>
          <w:sz w:val="16"/>
          <w:szCs w:val="16"/>
          <w:color w:val="auto"/>
        </w:rPr>
      </w:pPr>
      <w:r>
        <w:rPr>
          <w:rFonts w:ascii="Arial" w:cs="Arial" w:eastAsia="Arial" w:hAnsi="Arial"/>
          <w:sz w:val="16"/>
          <w:szCs w:val="16"/>
          <w:color w:val="auto"/>
        </w:rPr>
        <w:t>Minimum OPBT margin required for payout</w:t>
      </w:r>
    </w:p>
    <w:p>
      <w:pPr>
        <w:spacing w:after="0" w:line="186" w:lineRule="exact"/>
        <w:rPr>
          <w:rFonts w:ascii="Arial" w:cs="Arial" w:eastAsia="Arial" w:hAnsi="Arial"/>
          <w:sz w:val="16"/>
          <w:szCs w:val="16"/>
          <w:color w:val="auto"/>
        </w:rPr>
      </w:pPr>
    </w:p>
    <w:p>
      <w:pPr>
        <w:ind w:left="142" w:right="100" w:hanging="142"/>
        <w:spacing w:after="0" w:line="298" w:lineRule="auto"/>
        <w:tabs>
          <w:tab w:leader="none" w:pos="151" w:val="left"/>
        </w:tabs>
        <w:numPr>
          <w:ilvl w:val="0"/>
          <w:numId w:val="47"/>
        </w:numPr>
        <w:rPr>
          <w:rFonts w:ascii="Arial" w:cs="Arial" w:eastAsia="Arial" w:hAnsi="Arial"/>
          <w:sz w:val="15"/>
          <w:szCs w:val="15"/>
          <w:color w:val="auto"/>
        </w:rPr>
      </w:pPr>
      <w:r>
        <w:rPr>
          <w:rFonts w:ascii="Arial" w:cs="Arial" w:eastAsia="Arial" w:hAnsi="Arial"/>
          <w:sz w:val="15"/>
          <w:szCs w:val="15"/>
          <w:color w:val="auto"/>
        </w:rPr>
        <w:t>Relative TSR compared to comparator group</w:t>
      </w:r>
    </w:p>
    <w:p>
      <w:pPr>
        <w:ind w:left="142" w:right="80" w:hanging="142"/>
        <w:spacing w:after="0" w:line="263" w:lineRule="auto"/>
        <w:tabs>
          <w:tab w:leader="none" w:pos="151" w:val="left"/>
        </w:tabs>
        <w:numPr>
          <w:ilvl w:val="0"/>
          <w:numId w:val="47"/>
        </w:numPr>
        <w:rPr>
          <w:rFonts w:ascii="Arial" w:cs="Arial" w:eastAsia="Arial" w:hAnsi="Arial"/>
          <w:sz w:val="17"/>
          <w:szCs w:val="17"/>
          <w:color w:val="auto"/>
        </w:rPr>
      </w:pPr>
      <w:r>
        <w:rPr>
          <w:rFonts w:ascii="Arial" w:cs="Arial" w:eastAsia="Arial" w:hAnsi="Arial"/>
          <w:sz w:val="17"/>
          <w:szCs w:val="17"/>
          <w:color w:val="auto"/>
        </w:rPr>
        <w:t>Payouts capped at target if absolute TSR is negative</w:t>
      </w:r>
    </w:p>
    <w:p>
      <w:pPr>
        <w:spacing w:after="0" w:line="216" w:lineRule="exact"/>
        <w:rPr>
          <w:rFonts w:ascii="Arial" w:cs="Arial" w:eastAsia="Arial" w:hAnsi="Arial"/>
          <w:sz w:val="17"/>
          <w:szCs w:val="17"/>
          <w:color w:val="auto"/>
        </w:rPr>
      </w:pPr>
    </w:p>
    <w:p>
      <w:pPr>
        <w:ind w:left="142" w:hanging="142"/>
        <w:spacing w:after="0"/>
        <w:tabs>
          <w:tab w:leader="none" w:pos="142" w:val="left"/>
        </w:tabs>
        <w:numPr>
          <w:ilvl w:val="0"/>
          <w:numId w:val="47"/>
        </w:numPr>
        <w:rPr>
          <w:rFonts w:ascii="Arial" w:cs="Arial" w:eastAsia="Arial" w:hAnsi="Arial"/>
          <w:sz w:val="17"/>
          <w:szCs w:val="17"/>
          <w:color w:val="auto"/>
        </w:rPr>
      </w:pPr>
      <w:r>
        <w:rPr>
          <w:rFonts w:ascii="Arial" w:cs="Arial" w:eastAsia="Arial" w:hAnsi="Arial"/>
          <w:sz w:val="17"/>
          <w:szCs w:val="17"/>
          <w:color w:val="auto"/>
        </w:rPr>
        <w:t>Operating profit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84" w:lineRule="exact"/>
        <w:rPr>
          <w:rFonts w:ascii="Arial" w:cs="Arial" w:eastAsia="Arial" w:hAnsi="Arial"/>
          <w:sz w:val="17"/>
          <w:szCs w:val="17"/>
          <w:color w:val="auto"/>
        </w:rPr>
      </w:pPr>
    </w:p>
    <w:p>
      <w:pPr>
        <w:ind w:left="142" w:right="360" w:hanging="142"/>
        <w:spacing w:after="0" w:line="286" w:lineRule="auto"/>
        <w:tabs>
          <w:tab w:leader="none" w:pos="141" w:val="left"/>
        </w:tabs>
        <w:numPr>
          <w:ilvl w:val="0"/>
          <w:numId w:val="47"/>
        </w:numPr>
        <w:rPr>
          <w:rFonts w:ascii="Arial" w:cs="Arial" w:eastAsia="Arial" w:hAnsi="Arial"/>
          <w:sz w:val="17"/>
          <w:szCs w:val="17"/>
          <w:color w:val="auto"/>
        </w:rPr>
      </w:pPr>
      <w:r>
        <w:rPr>
          <w:rFonts w:ascii="Arial" w:cs="Arial" w:eastAsia="Arial" w:hAnsi="Arial"/>
          <w:sz w:val="17"/>
          <w:szCs w:val="17"/>
          <w:color w:val="auto"/>
        </w:rPr>
        <w:t>Absolute stock price appreciation</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3" w:lineRule="exact"/>
        <w:rPr>
          <w:rFonts w:ascii="Arial" w:cs="Arial" w:eastAsia="Arial" w:hAnsi="Arial"/>
          <w:sz w:val="17"/>
          <w:szCs w:val="17"/>
          <w:color w:val="auto"/>
        </w:rPr>
      </w:pPr>
    </w:p>
    <w:p>
      <w:pPr>
        <w:ind w:left="142" w:hanging="142"/>
        <w:spacing w:after="0"/>
        <w:tabs>
          <w:tab w:leader="none" w:pos="142" w:val="left"/>
        </w:tabs>
        <w:numPr>
          <w:ilvl w:val="0"/>
          <w:numId w:val="47"/>
        </w:numPr>
        <w:rPr>
          <w:rFonts w:ascii="Arial" w:cs="Arial" w:eastAsia="Arial" w:hAnsi="Arial"/>
          <w:sz w:val="17"/>
          <w:szCs w:val="17"/>
          <w:color w:val="auto"/>
        </w:rPr>
      </w:pPr>
      <w:r>
        <w:rPr>
          <w:rFonts w:ascii="Arial" w:cs="Arial" w:eastAsia="Arial" w:hAnsi="Arial"/>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263525</wp:posOffset>
            </wp:positionV>
            <wp:extent cx="129667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96670" cy="825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-156845</wp:posOffset>
            </wp:positionV>
            <wp:extent cx="12966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96670" cy="825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-842645</wp:posOffset>
            </wp:positionV>
            <wp:extent cx="12966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96670" cy="825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-1528445</wp:posOffset>
            </wp:positionV>
            <wp:extent cx="129667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96670" cy="825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-2346325</wp:posOffset>
            </wp:positionV>
            <wp:extent cx="129667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spacing w:after="0" w:line="470" w:lineRule="exact"/>
        <w:rPr>
          <w:sz w:val="20"/>
          <w:szCs w:val="20"/>
          <w:color w:val="auto"/>
        </w:rPr>
      </w:pPr>
    </w:p>
    <w:p>
      <w:pPr>
        <w:sectPr>
          <w:pgSz w:w="11900" w:h="16838" w:orient="portrait"/>
          <w:cols w:equalWidth="0" w:num="4">
            <w:col w:w="2960" w:space="719"/>
            <w:col w:w="1869" w:space="720"/>
            <w:col w:w="1952" w:space="598"/>
            <w:col w:w="1922"/>
          </w:cols>
          <w:pgMar w:left="320" w:top="447" w:right="839" w:bottom="1440" w:gutter="0" w:footer="0" w:header="0"/>
          <w:type w:val="continuous"/>
        </w:sectPr>
      </w:pPr>
    </w:p>
    <w:p>
      <w:pPr>
        <w:spacing w:after="0" w:line="8" w:lineRule="exact"/>
        <w:rPr>
          <w:sz w:val="20"/>
          <w:szCs w:val="20"/>
          <w:color w:val="auto"/>
        </w:rPr>
      </w:pPr>
    </w:p>
    <w:p>
      <w:pPr>
        <w:ind w:left="480"/>
        <w:spacing w:after="0"/>
        <w:tabs>
          <w:tab w:leader="none" w:pos="2840" w:val="left"/>
        </w:tabs>
        <w:rPr>
          <w:sz w:val="20"/>
          <w:szCs w:val="20"/>
          <w:color w:val="auto"/>
        </w:rPr>
      </w:pPr>
      <w:r>
        <w:rPr>
          <w:rFonts w:ascii="Arial" w:cs="Arial" w:eastAsia="Arial" w:hAnsi="Arial"/>
          <w:sz w:val="13"/>
          <w:szCs w:val="13"/>
          <w:i w:val="1"/>
          <w:iCs w:val="1"/>
          <w:color w:val="auto"/>
        </w:rPr>
        <w:t>OPBT = Operating Profit Before Taxes</w:t>
      </w:r>
      <w:r>
        <w:rPr>
          <w:sz w:val="20"/>
          <w:szCs w:val="20"/>
          <w:color w:val="auto"/>
        </w:rPr>
        <w:tab/>
      </w:r>
      <w:r>
        <w:rPr>
          <w:rFonts w:ascii="Arial" w:cs="Arial" w:eastAsia="Arial" w:hAnsi="Arial"/>
          <w:sz w:val="12"/>
          <w:szCs w:val="12"/>
          <w:i w:val="1"/>
          <w:iCs w:val="1"/>
          <w:color w:val="auto"/>
        </w:rPr>
        <w:t>TSR = Total Shareholder Return</w:t>
      </w:r>
    </w:p>
    <w:p>
      <w:pPr>
        <w:spacing w:after="0" w:line="297"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0066BA"/>
        </w:rPr>
        <w:t>Process for Determining Fiscal 2021 Compensation</w:t>
      </w:r>
    </w:p>
    <w:p>
      <w:pPr>
        <w:spacing w:after="0" w:line="124" w:lineRule="exact"/>
        <w:rPr>
          <w:sz w:val="20"/>
          <w:szCs w:val="20"/>
          <w:color w:val="auto"/>
        </w:rPr>
      </w:pPr>
    </w:p>
    <w:p>
      <w:pPr>
        <w:ind w:left="480" w:right="20"/>
        <w:spacing w:after="0" w:line="287" w:lineRule="auto"/>
        <w:rPr>
          <w:sz w:val="20"/>
          <w:szCs w:val="20"/>
          <w:color w:val="auto"/>
        </w:rPr>
      </w:pPr>
      <w:r>
        <w:rPr>
          <w:rFonts w:ascii="Arial" w:cs="Arial" w:eastAsia="Arial" w:hAnsi="Arial"/>
          <w:sz w:val="16"/>
          <w:szCs w:val="16"/>
          <w:color w:val="auto"/>
        </w:rPr>
        <w:t>As part of its annual review of our executive compensation program, including NEO compensation, our Compensation Committee solicits the input of Mr. Roche and the Compensation Committee’s independent compensation consultant, Pearl Meyer, which reports directly to our Compensation Committee. The roles of our Compensation Committee, Pearl Meyer and management, including our CEO, CFO, and Human Resources and Legal departments, in setting our fiscal 2021 executive compensation program are summarized below.</w:t>
      </w:r>
    </w:p>
    <w:p>
      <w:pPr>
        <w:spacing w:after="0" w:line="57" w:lineRule="exact"/>
        <w:rPr>
          <w:sz w:val="20"/>
          <w:szCs w:val="20"/>
          <w:color w:val="auto"/>
        </w:rPr>
      </w:pPr>
    </w:p>
    <w:p>
      <w:pPr>
        <w:ind w:left="480"/>
        <w:spacing w:after="0" w:line="259" w:lineRule="auto"/>
        <w:rPr>
          <w:sz w:val="20"/>
          <w:szCs w:val="20"/>
          <w:color w:val="auto"/>
        </w:rPr>
      </w:pPr>
      <w:r>
        <w:rPr>
          <w:rFonts w:ascii="Arial" w:cs="Arial" w:eastAsia="Arial" w:hAnsi="Arial"/>
          <w:sz w:val="17"/>
          <w:szCs w:val="17"/>
          <w:color w:val="auto"/>
        </w:rPr>
        <w:t>In June 2020, Pearl Meyer and management recommended a peer group of companies for the purpose of assessing our executive compensation program, which was approved by the Compensation Committee. Management then gathered data from these companies as well as from the Radford Global Technology Survey, which was considered by Pearl Meyer in its analysis of Mr. Roche’s compensation, and by Mr. Roche in his recommendations on our other executive officers’ compensation. The Compensation Committee considered Pearl Meyer’s advice, Mr. Roche’s recommendations for those executive officers reporting to him, and management’s proposed fiscal 2021 performance goals prior to making its final and sole decision on all fiscal 2021 executive compensation. At the Compensation Committee’s direction, Pearl Meyer provided a risk analysis of our executive compensation program. Finally, the Compensation Committee also certified performance-based compensation payouts for the applicable periods ended fiscal 2021.</w:t>
      </w:r>
    </w:p>
    <w:p>
      <w:pPr>
        <w:sectPr>
          <w:pgSz w:w="11900" w:h="16838" w:orient="portrait"/>
          <w:cols w:equalWidth="0" w:num="1">
            <w:col w:w="10740"/>
          </w:cols>
          <w:pgMar w:left="320" w:top="447" w:right="8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0740"/>
          </w:cols>
          <w:pgMar w:left="320" w:top="447" w:right="839" w:bottom="1440" w:gutter="0" w:footer="0" w:header="0"/>
          <w:type w:val="continuous"/>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480" w:right="260"/>
        <w:spacing w:after="0" w:line="293" w:lineRule="auto"/>
        <w:rPr>
          <w:sz w:val="20"/>
          <w:szCs w:val="20"/>
          <w:color w:val="auto"/>
        </w:rPr>
      </w:pPr>
      <w:r>
        <w:rPr>
          <w:rFonts w:ascii="Arial" w:cs="Arial" w:eastAsia="Arial" w:hAnsi="Arial"/>
          <w:sz w:val="15"/>
          <w:szCs w:val="15"/>
          <w:color w:val="auto"/>
        </w:rPr>
        <w:t>During fiscal 2021, our Compensation Committee continued to use Pearl Meyer as its compensation consultant because of Pearl Meyer’s experience working with our Compensation Committee and with compensation committees at other technology companies. Our Compensation Committee analyzed whether Pearl Meyer’s role raised any conflicts of interest. In conducting its analysis, the Compensation Committee considers the following factors: (i) Pearl Meyer does not provide any services directly to ADI (although we pay Pearl Meyer on the Compensation Committee’s behalf), (ii) the percentage of Pearl Meyer’s total revenue resulting from fees paid by us on the Compensation Committee’s behalf,</w:t>
      </w:r>
    </w:p>
    <w:p>
      <w:pPr>
        <w:ind w:left="480" w:right="300" w:hanging="5"/>
        <w:spacing w:after="0" w:line="289" w:lineRule="auto"/>
        <w:tabs>
          <w:tab w:leader="none" w:pos="783" w:val="left"/>
        </w:tabs>
        <w:numPr>
          <w:ilvl w:val="0"/>
          <w:numId w:val="48"/>
        </w:numPr>
        <w:rPr>
          <w:rFonts w:ascii="Arial" w:cs="Arial" w:eastAsia="Arial" w:hAnsi="Arial"/>
          <w:sz w:val="15"/>
          <w:szCs w:val="15"/>
          <w:color w:val="auto"/>
        </w:rPr>
      </w:pPr>
      <w:r>
        <w:rPr>
          <w:rFonts w:ascii="Arial" w:cs="Arial" w:eastAsia="Arial" w:hAnsi="Arial"/>
          <w:sz w:val="15"/>
          <w:szCs w:val="15"/>
          <w:color w:val="auto"/>
        </w:rPr>
        <w:t>Pearl Meyer’s conflict of interest policies and procedures, (iv) any business or personal relationship between Pearl Meyer and an executive officer, or between Pearl Meyer’s individual compensation advisors and an executive officer or any member of our Compensation Committee, and</w:t>
      </w:r>
    </w:p>
    <w:p>
      <w:pPr>
        <w:ind w:left="480" w:right="420" w:hanging="5"/>
        <w:spacing w:after="0" w:line="271" w:lineRule="auto"/>
        <w:tabs>
          <w:tab w:leader="none" w:pos="726"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any ADI stock owned by Pearl Meyer or its individual compensation advisors. After considering these factors, our Compensation Committee determined that Pearl Meyer’s work did not create any conflicts of interest.</w:t>
      </w:r>
    </w:p>
    <w:p>
      <w:pPr>
        <w:spacing w:after="0" w:line="156"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Market Compensation Data</w:t>
      </w:r>
    </w:p>
    <w:p>
      <w:pPr>
        <w:spacing w:after="0" w:line="57" w:lineRule="exact"/>
        <w:rPr>
          <w:sz w:val="20"/>
          <w:szCs w:val="20"/>
          <w:color w:val="auto"/>
        </w:rPr>
      </w:pPr>
    </w:p>
    <w:p>
      <w:pPr>
        <w:ind w:left="480" w:right="320"/>
        <w:spacing w:after="0" w:line="356" w:lineRule="auto"/>
        <w:rPr>
          <w:sz w:val="20"/>
          <w:szCs w:val="20"/>
          <w:color w:val="auto"/>
        </w:rPr>
      </w:pPr>
      <w:r>
        <w:rPr>
          <w:rFonts w:ascii="Arial" w:cs="Arial" w:eastAsia="Arial" w:hAnsi="Arial"/>
          <w:sz w:val="15"/>
          <w:szCs w:val="15"/>
          <w:color w:val="auto"/>
        </w:rPr>
        <w:t>The Compensation Committee has sought to select peer group companies that are publicly traded, are headquartered in the United States, compete with us for talent, and are similar to ADI in their product and services offerings, business model, revenue size and market capitalization.</w:t>
      </w:r>
    </w:p>
    <w:p>
      <w:pPr>
        <w:spacing w:after="0" w:line="9" w:lineRule="exact"/>
        <w:rPr>
          <w:sz w:val="20"/>
          <w:szCs w:val="20"/>
          <w:color w:val="auto"/>
        </w:rPr>
      </w:pPr>
    </w:p>
    <w:p>
      <w:pPr>
        <w:ind w:left="480" w:right="300"/>
        <w:spacing w:after="0" w:line="263" w:lineRule="auto"/>
        <w:rPr>
          <w:sz w:val="20"/>
          <w:szCs w:val="20"/>
          <w:color w:val="auto"/>
        </w:rPr>
      </w:pPr>
      <w:r>
        <w:rPr>
          <w:rFonts w:ascii="Arial" w:cs="Arial" w:eastAsia="Arial" w:hAnsi="Arial"/>
          <w:sz w:val="17"/>
          <w:szCs w:val="17"/>
          <w:color w:val="auto"/>
        </w:rPr>
        <w:t>As a result of rapid consolidation in the semiconductor industry over the last several years, in addition to companies that meet the criteria outlined above, the peer group also includes companies outside of the semiconductor industry. These additional companies are similar in size and have similar gross margins and research and development expenditures as the Company, include peers of peers and peers of other companies in our sector, and often compete with the Company for talent. Further to this review, our peer group companies for fiscal 2021 remained unchanged from fiscal 2020.</w:t>
      </w:r>
    </w:p>
    <w:p>
      <w:pPr>
        <w:spacing w:after="0" w:line="74" w:lineRule="exact"/>
        <w:rPr>
          <w:sz w:val="20"/>
          <w:szCs w:val="20"/>
          <w:color w:val="auto"/>
        </w:rPr>
      </w:pPr>
    </w:p>
    <w:p>
      <w:pPr>
        <w:ind w:left="480" w:right="580"/>
        <w:spacing w:after="0" w:line="286" w:lineRule="auto"/>
        <w:rPr>
          <w:sz w:val="20"/>
          <w:szCs w:val="20"/>
          <w:color w:val="auto"/>
        </w:rPr>
      </w:pPr>
      <w:r>
        <w:rPr>
          <w:rFonts w:ascii="Arial" w:cs="Arial" w:eastAsia="Arial" w:hAnsi="Arial"/>
          <w:sz w:val="17"/>
          <w:szCs w:val="17"/>
          <w:color w:val="auto"/>
        </w:rPr>
        <w:t>In fiscal 2021, the peer group companies used by the Compensation Committee to evaluate executive compensation consisted of the following companies:</w:t>
      </w:r>
    </w:p>
    <w:p>
      <w:pPr>
        <w:spacing w:after="0" w:line="197" w:lineRule="exact"/>
        <w:rPr>
          <w:sz w:val="20"/>
          <w:szCs w:val="20"/>
          <w:color w:val="auto"/>
        </w:rPr>
      </w:pPr>
    </w:p>
    <w:tbl>
      <w:tblPr>
        <w:tblLayout w:type="fixed"/>
        <w:tblInd w:w="480" w:type="dxa"/>
        <w:tblCellMar>
          <w:top w:w="0" w:type="dxa"/>
          <w:left w:w="0" w:type="dxa"/>
          <w:bottom w:w="0" w:type="dxa"/>
          <w:right w:w="0" w:type="dxa"/>
        </w:tblCellMar>
      </w:tblPr>
      <w:tr>
        <w:trPr>
          <w:trHeight w:val="266"/>
        </w:trPr>
        <w:tc>
          <w:tcPr>
            <w:tcW w:w="3840" w:type="dxa"/>
            <w:vAlign w:val="bottom"/>
            <w:tcBorders>
              <w:bottom w:val="single" w:sz="8" w:color="0066BA"/>
            </w:tcBorders>
            <w:shd w:val="clear" w:color="auto" w:fill="0066BA"/>
          </w:tcPr>
          <w:p>
            <w:pPr>
              <w:ind w:left="60"/>
              <w:spacing w:after="0"/>
              <w:rPr>
                <w:sz w:val="20"/>
                <w:szCs w:val="20"/>
                <w:color w:val="auto"/>
              </w:rPr>
            </w:pPr>
            <w:r>
              <w:rPr>
                <w:rFonts w:ascii="Arial" w:cs="Arial" w:eastAsia="Arial" w:hAnsi="Arial"/>
                <w:sz w:val="14"/>
                <w:szCs w:val="14"/>
                <w:color w:val="FFFFFF"/>
              </w:rPr>
              <w:t>2021 Peer Group</w:t>
            </w:r>
          </w:p>
        </w:tc>
        <w:tc>
          <w:tcPr>
            <w:tcW w:w="1300" w:type="dxa"/>
            <w:vAlign w:val="bottom"/>
            <w:tcBorders>
              <w:bottom w:val="single" w:sz="8" w:color="0066BA"/>
            </w:tcBorders>
            <w:shd w:val="clear" w:color="auto" w:fill="0066BA"/>
          </w:tcPr>
          <w:p>
            <w:pPr>
              <w:spacing w:after="0"/>
              <w:rPr>
                <w:sz w:val="23"/>
                <w:szCs w:val="23"/>
                <w:color w:val="auto"/>
              </w:rPr>
            </w:pPr>
          </w:p>
        </w:tc>
        <w:tc>
          <w:tcPr>
            <w:tcW w:w="2380" w:type="dxa"/>
            <w:vAlign w:val="bottom"/>
            <w:tcBorders>
              <w:bottom w:val="single" w:sz="8" w:color="0066BA"/>
            </w:tcBorders>
            <w:shd w:val="clear" w:color="auto" w:fill="0066BA"/>
          </w:tcPr>
          <w:p>
            <w:pPr>
              <w:spacing w:after="0"/>
              <w:rPr>
                <w:sz w:val="23"/>
                <w:szCs w:val="23"/>
                <w:color w:val="auto"/>
              </w:rPr>
            </w:pPr>
          </w:p>
        </w:tc>
        <w:tc>
          <w:tcPr>
            <w:tcW w:w="2760" w:type="dxa"/>
            <w:vAlign w:val="bottom"/>
            <w:tcBorders>
              <w:bottom w:val="single" w:sz="8" w:color="0066BA"/>
            </w:tcBorders>
            <w:shd w:val="clear" w:color="auto" w:fill="0066BA"/>
          </w:tcPr>
          <w:p>
            <w:pPr>
              <w:spacing w:after="0"/>
              <w:rPr>
                <w:sz w:val="23"/>
                <w:szCs w:val="23"/>
                <w:color w:val="auto"/>
              </w:rPr>
            </w:pPr>
          </w:p>
        </w:tc>
      </w:tr>
      <w:tr>
        <w:trPr>
          <w:trHeight w:val="260"/>
        </w:trPr>
        <w:tc>
          <w:tcPr>
            <w:tcW w:w="3840" w:type="dxa"/>
            <w:vAlign w:val="bottom"/>
          </w:tcPr>
          <w:p>
            <w:pPr>
              <w:ind w:left="60"/>
              <w:spacing w:after="0"/>
              <w:rPr>
                <w:sz w:val="20"/>
                <w:szCs w:val="20"/>
                <w:color w:val="auto"/>
              </w:rPr>
            </w:pPr>
            <w:r>
              <w:rPr>
                <w:rFonts w:ascii="Arial" w:cs="Arial" w:eastAsia="Arial" w:hAnsi="Arial"/>
                <w:sz w:val="16"/>
                <w:szCs w:val="16"/>
                <w:color w:val="auto"/>
              </w:rPr>
              <w:t>Advanced Micro Devices, Inc.</w:t>
            </w:r>
          </w:p>
        </w:tc>
        <w:tc>
          <w:tcPr>
            <w:tcW w:w="1300" w:type="dxa"/>
            <w:vAlign w:val="bottom"/>
          </w:tcPr>
          <w:p>
            <w:pPr>
              <w:spacing w:after="0"/>
              <w:rPr>
                <w:sz w:val="22"/>
                <w:szCs w:val="22"/>
                <w:color w:val="auto"/>
              </w:rPr>
            </w:pPr>
          </w:p>
        </w:tc>
        <w:tc>
          <w:tcPr>
            <w:tcW w:w="2380" w:type="dxa"/>
            <w:vAlign w:val="bottom"/>
            <w:tcBorders>
              <w:bottom w:val="single" w:sz="8" w:color="EAEAEA"/>
            </w:tcBorders>
            <w:shd w:val="clear" w:color="auto" w:fill="EAEAEA"/>
          </w:tcPr>
          <w:p>
            <w:pPr>
              <w:ind w:left="120"/>
              <w:spacing w:after="0"/>
              <w:rPr>
                <w:sz w:val="20"/>
                <w:szCs w:val="20"/>
                <w:color w:val="auto"/>
              </w:rPr>
            </w:pPr>
            <w:r>
              <w:rPr>
                <w:rFonts w:ascii="Arial" w:cs="Arial" w:eastAsia="Arial" w:hAnsi="Arial"/>
                <w:sz w:val="16"/>
                <w:szCs w:val="16"/>
                <w:color w:val="auto"/>
                <w:w w:val="99"/>
              </w:rPr>
              <w:t>Maxim Integrated Products, Inc.</w:t>
            </w:r>
          </w:p>
        </w:tc>
        <w:tc>
          <w:tcPr>
            <w:tcW w:w="2760" w:type="dxa"/>
            <w:vAlign w:val="bottom"/>
            <w:tcBorders>
              <w:bottom w:val="single" w:sz="8" w:color="EAEAEA"/>
            </w:tcBorders>
            <w:shd w:val="clear" w:color="auto" w:fill="EAEAEA"/>
          </w:tcPr>
          <w:p>
            <w:pPr>
              <w:spacing w:after="0"/>
              <w:rPr>
                <w:sz w:val="22"/>
                <w:szCs w:val="22"/>
                <w:color w:val="auto"/>
              </w:rPr>
            </w:pPr>
          </w:p>
        </w:tc>
      </w:tr>
      <w:tr>
        <w:trPr>
          <w:trHeight w:val="253"/>
        </w:trPr>
        <w:tc>
          <w:tcPr>
            <w:tcW w:w="3840" w:type="dxa"/>
            <w:vAlign w:val="bottom"/>
            <w:tcBorders>
              <w:top w:val="single" w:sz="8" w:color="0066BA"/>
            </w:tcBorders>
          </w:tcPr>
          <w:p>
            <w:pPr>
              <w:ind w:left="60"/>
              <w:spacing w:after="0"/>
              <w:rPr>
                <w:sz w:val="20"/>
                <w:szCs w:val="20"/>
                <w:color w:val="auto"/>
              </w:rPr>
            </w:pPr>
            <w:r>
              <w:rPr>
                <w:rFonts w:ascii="Arial" w:cs="Arial" w:eastAsia="Arial" w:hAnsi="Arial"/>
                <w:sz w:val="16"/>
                <w:szCs w:val="16"/>
                <w:color w:val="auto"/>
              </w:rPr>
              <w:t>Agilent Technologies, Inc.</w:t>
            </w:r>
          </w:p>
        </w:tc>
        <w:tc>
          <w:tcPr>
            <w:tcW w:w="1300" w:type="dxa"/>
            <w:vAlign w:val="bottom"/>
            <w:tcBorders>
              <w:top w:val="single" w:sz="8" w:color="0066BA"/>
            </w:tcBorders>
          </w:tcPr>
          <w:p>
            <w:pPr>
              <w:spacing w:after="0"/>
              <w:rPr>
                <w:sz w:val="22"/>
                <w:szCs w:val="22"/>
                <w:color w:val="auto"/>
              </w:rPr>
            </w:pPr>
          </w:p>
        </w:tc>
        <w:tc>
          <w:tcPr>
            <w:tcW w:w="2380" w:type="dxa"/>
            <w:vAlign w:val="bottom"/>
            <w:tcBorders>
              <w:top w:val="single" w:sz="8" w:color="0066BA"/>
              <w:bottom w:val="single" w:sz="8" w:color="EAEAEA"/>
            </w:tcBorders>
            <w:shd w:val="clear" w:color="auto" w:fill="EAEAEA"/>
          </w:tcPr>
          <w:p>
            <w:pPr>
              <w:ind w:left="120"/>
              <w:spacing w:after="0"/>
              <w:rPr>
                <w:sz w:val="20"/>
                <w:szCs w:val="20"/>
                <w:color w:val="auto"/>
              </w:rPr>
            </w:pPr>
            <w:r>
              <w:rPr>
                <w:rFonts w:ascii="Arial" w:cs="Arial" w:eastAsia="Arial" w:hAnsi="Arial"/>
                <w:sz w:val="16"/>
                <w:szCs w:val="16"/>
                <w:color w:val="auto"/>
              </w:rPr>
              <w:t>Microchip Technology Inc.</w:t>
            </w:r>
          </w:p>
        </w:tc>
        <w:tc>
          <w:tcPr>
            <w:tcW w:w="2760" w:type="dxa"/>
            <w:vAlign w:val="bottom"/>
            <w:tcBorders>
              <w:top w:val="single" w:sz="8" w:color="0066BA"/>
              <w:bottom w:val="single" w:sz="8" w:color="EAEAEA"/>
            </w:tcBorders>
            <w:shd w:val="clear" w:color="auto" w:fill="EAEAEA"/>
          </w:tcPr>
          <w:p>
            <w:pPr>
              <w:spacing w:after="0"/>
              <w:rPr>
                <w:sz w:val="22"/>
                <w:szCs w:val="22"/>
                <w:color w:val="auto"/>
              </w:rPr>
            </w:pPr>
          </w:p>
        </w:tc>
      </w:tr>
      <w:tr>
        <w:trPr>
          <w:trHeight w:val="253"/>
        </w:trPr>
        <w:tc>
          <w:tcPr>
            <w:tcW w:w="3840" w:type="dxa"/>
            <w:vAlign w:val="bottom"/>
            <w:tcBorders>
              <w:top w:val="single" w:sz="8" w:color="0066BA"/>
            </w:tcBorders>
          </w:tcPr>
          <w:p>
            <w:pPr>
              <w:ind w:left="60"/>
              <w:spacing w:after="0"/>
              <w:rPr>
                <w:sz w:val="20"/>
                <w:szCs w:val="20"/>
                <w:color w:val="auto"/>
              </w:rPr>
            </w:pPr>
            <w:r>
              <w:rPr>
                <w:rFonts w:ascii="Arial" w:cs="Arial" w:eastAsia="Arial" w:hAnsi="Arial"/>
                <w:sz w:val="16"/>
                <w:szCs w:val="16"/>
                <w:color w:val="auto"/>
              </w:rPr>
              <w:t>Applied Materials, Inc.</w:t>
            </w:r>
          </w:p>
        </w:tc>
        <w:tc>
          <w:tcPr>
            <w:tcW w:w="1300" w:type="dxa"/>
            <w:vAlign w:val="bottom"/>
            <w:tcBorders>
              <w:top w:val="single" w:sz="8" w:color="0066BA"/>
            </w:tcBorders>
          </w:tcPr>
          <w:p>
            <w:pPr>
              <w:spacing w:after="0"/>
              <w:rPr>
                <w:sz w:val="22"/>
                <w:szCs w:val="22"/>
                <w:color w:val="auto"/>
              </w:rPr>
            </w:pPr>
          </w:p>
        </w:tc>
        <w:tc>
          <w:tcPr>
            <w:tcW w:w="2380" w:type="dxa"/>
            <w:vAlign w:val="bottom"/>
            <w:tcBorders>
              <w:top w:val="single" w:sz="8" w:color="0066BA"/>
              <w:bottom w:val="single" w:sz="8" w:color="EAEAEA"/>
            </w:tcBorders>
            <w:shd w:val="clear" w:color="auto" w:fill="EAEAEA"/>
          </w:tcPr>
          <w:p>
            <w:pPr>
              <w:ind w:left="120"/>
              <w:spacing w:after="0"/>
              <w:rPr>
                <w:sz w:val="20"/>
                <w:szCs w:val="20"/>
                <w:color w:val="auto"/>
              </w:rPr>
            </w:pPr>
            <w:r>
              <w:rPr>
                <w:rFonts w:ascii="Arial" w:cs="Arial" w:eastAsia="Arial" w:hAnsi="Arial"/>
                <w:sz w:val="16"/>
                <w:szCs w:val="16"/>
                <w:color w:val="auto"/>
              </w:rPr>
              <w:t>NetApp, Inc.</w:t>
            </w:r>
          </w:p>
        </w:tc>
        <w:tc>
          <w:tcPr>
            <w:tcW w:w="2760" w:type="dxa"/>
            <w:vAlign w:val="bottom"/>
            <w:tcBorders>
              <w:top w:val="single" w:sz="8" w:color="0066BA"/>
              <w:bottom w:val="single" w:sz="8" w:color="EAEAEA"/>
            </w:tcBorders>
            <w:shd w:val="clear" w:color="auto" w:fill="EAEAEA"/>
          </w:tcPr>
          <w:p>
            <w:pPr>
              <w:spacing w:after="0"/>
              <w:rPr>
                <w:sz w:val="22"/>
                <w:szCs w:val="22"/>
                <w:color w:val="auto"/>
              </w:rPr>
            </w:pPr>
          </w:p>
        </w:tc>
      </w:tr>
      <w:tr>
        <w:trPr>
          <w:trHeight w:val="253"/>
        </w:trPr>
        <w:tc>
          <w:tcPr>
            <w:tcW w:w="3840" w:type="dxa"/>
            <w:vAlign w:val="bottom"/>
            <w:tcBorders>
              <w:top w:val="single" w:sz="8" w:color="0066BA"/>
            </w:tcBorders>
          </w:tcPr>
          <w:p>
            <w:pPr>
              <w:ind w:left="60"/>
              <w:spacing w:after="0"/>
              <w:rPr>
                <w:sz w:val="20"/>
                <w:szCs w:val="20"/>
                <w:color w:val="auto"/>
              </w:rPr>
            </w:pPr>
            <w:r>
              <w:rPr>
                <w:rFonts w:ascii="Arial" w:cs="Arial" w:eastAsia="Arial" w:hAnsi="Arial"/>
                <w:sz w:val="16"/>
                <w:szCs w:val="16"/>
                <w:color w:val="auto"/>
              </w:rPr>
              <w:t>Boston Scientific Corporation</w:t>
            </w:r>
          </w:p>
        </w:tc>
        <w:tc>
          <w:tcPr>
            <w:tcW w:w="1300" w:type="dxa"/>
            <w:vAlign w:val="bottom"/>
            <w:tcBorders>
              <w:top w:val="single" w:sz="8" w:color="0066BA"/>
            </w:tcBorders>
          </w:tcPr>
          <w:p>
            <w:pPr>
              <w:spacing w:after="0"/>
              <w:rPr>
                <w:sz w:val="22"/>
                <w:szCs w:val="22"/>
                <w:color w:val="auto"/>
              </w:rPr>
            </w:pPr>
          </w:p>
        </w:tc>
        <w:tc>
          <w:tcPr>
            <w:tcW w:w="2380" w:type="dxa"/>
            <w:vAlign w:val="bottom"/>
            <w:tcBorders>
              <w:top w:val="single" w:sz="8" w:color="0066BA"/>
              <w:bottom w:val="single" w:sz="8" w:color="EAEAEA"/>
            </w:tcBorders>
            <w:shd w:val="clear" w:color="auto" w:fill="EAEAEA"/>
          </w:tcPr>
          <w:p>
            <w:pPr>
              <w:ind w:left="120"/>
              <w:spacing w:after="0"/>
              <w:rPr>
                <w:sz w:val="20"/>
                <w:szCs w:val="20"/>
                <w:color w:val="auto"/>
              </w:rPr>
            </w:pPr>
            <w:r>
              <w:rPr>
                <w:rFonts w:ascii="Arial" w:cs="Arial" w:eastAsia="Arial" w:hAnsi="Arial"/>
                <w:sz w:val="16"/>
                <w:szCs w:val="16"/>
                <w:color w:val="auto"/>
              </w:rPr>
              <w:t>NVIDIA Corporation</w:t>
            </w:r>
          </w:p>
        </w:tc>
        <w:tc>
          <w:tcPr>
            <w:tcW w:w="2760" w:type="dxa"/>
            <w:vAlign w:val="bottom"/>
            <w:tcBorders>
              <w:top w:val="single" w:sz="8" w:color="0066BA"/>
              <w:bottom w:val="single" w:sz="8" w:color="EAEAEA"/>
            </w:tcBorders>
            <w:shd w:val="clear" w:color="auto" w:fill="EAEAEA"/>
          </w:tcPr>
          <w:p>
            <w:pPr>
              <w:spacing w:after="0"/>
              <w:rPr>
                <w:sz w:val="22"/>
                <w:szCs w:val="22"/>
                <w:color w:val="auto"/>
              </w:rPr>
            </w:pPr>
          </w:p>
        </w:tc>
      </w:tr>
      <w:tr>
        <w:trPr>
          <w:trHeight w:val="253"/>
        </w:trPr>
        <w:tc>
          <w:tcPr>
            <w:tcW w:w="3840" w:type="dxa"/>
            <w:vAlign w:val="bottom"/>
            <w:tcBorders>
              <w:top w:val="single" w:sz="8" w:color="0066BA"/>
            </w:tcBorders>
          </w:tcPr>
          <w:p>
            <w:pPr>
              <w:ind w:left="60"/>
              <w:spacing w:after="0"/>
              <w:rPr>
                <w:sz w:val="20"/>
                <w:szCs w:val="20"/>
                <w:color w:val="auto"/>
              </w:rPr>
            </w:pPr>
            <w:r>
              <w:rPr>
                <w:rFonts w:ascii="Arial" w:cs="Arial" w:eastAsia="Arial" w:hAnsi="Arial"/>
                <w:sz w:val="16"/>
                <w:szCs w:val="16"/>
                <w:color w:val="auto"/>
              </w:rPr>
              <w:t>Broadcom Limited</w:t>
            </w:r>
          </w:p>
        </w:tc>
        <w:tc>
          <w:tcPr>
            <w:tcW w:w="1300" w:type="dxa"/>
            <w:vAlign w:val="bottom"/>
            <w:tcBorders>
              <w:top w:val="single" w:sz="8" w:color="0066BA"/>
            </w:tcBorders>
          </w:tcPr>
          <w:p>
            <w:pPr>
              <w:spacing w:after="0"/>
              <w:rPr>
                <w:sz w:val="22"/>
                <w:szCs w:val="22"/>
                <w:color w:val="auto"/>
              </w:rPr>
            </w:pPr>
          </w:p>
        </w:tc>
        <w:tc>
          <w:tcPr>
            <w:tcW w:w="2380" w:type="dxa"/>
            <w:vAlign w:val="bottom"/>
            <w:tcBorders>
              <w:top w:val="single" w:sz="8" w:color="0066BA"/>
              <w:bottom w:val="single" w:sz="8" w:color="EAEAEA"/>
            </w:tcBorders>
            <w:shd w:val="clear" w:color="auto" w:fill="EAEAEA"/>
          </w:tcPr>
          <w:p>
            <w:pPr>
              <w:ind w:left="120"/>
              <w:spacing w:after="0"/>
              <w:rPr>
                <w:sz w:val="20"/>
                <w:szCs w:val="20"/>
                <w:color w:val="auto"/>
              </w:rPr>
            </w:pPr>
            <w:r>
              <w:rPr>
                <w:rFonts w:ascii="Arial" w:cs="Arial" w:eastAsia="Arial" w:hAnsi="Arial"/>
                <w:sz w:val="16"/>
                <w:szCs w:val="16"/>
                <w:color w:val="auto"/>
              </w:rPr>
              <w:t>Skyworks Solutions Inc.</w:t>
            </w:r>
          </w:p>
        </w:tc>
        <w:tc>
          <w:tcPr>
            <w:tcW w:w="2760" w:type="dxa"/>
            <w:vAlign w:val="bottom"/>
            <w:tcBorders>
              <w:top w:val="single" w:sz="8" w:color="0066BA"/>
              <w:bottom w:val="single" w:sz="8" w:color="EAEAEA"/>
            </w:tcBorders>
            <w:shd w:val="clear" w:color="auto" w:fill="EAEAEA"/>
          </w:tcPr>
          <w:p>
            <w:pPr>
              <w:spacing w:after="0"/>
              <w:rPr>
                <w:sz w:val="22"/>
                <w:szCs w:val="22"/>
                <w:color w:val="auto"/>
              </w:rPr>
            </w:pPr>
          </w:p>
        </w:tc>
      </w:tr>
      <w:tr>
        <w:trPr>
          <w:trHeight w:val="253"/>
        </w:trPr>
        <w:tc>
          <w:tcPr>
            <w:tcW w:w="3840" w:type="dxa"/>
            <w:vAlign w:val="bottom"/>
            <w:tcBorders>
              <w:top w:val="single" w:sz="8" w:color="0066BA"/>
            </w:tcBorders>
          </w:tcPr>
          <w:p>
            <w:pPr>
              <w:ind w:left="60"/>
              <w:spacing w:after="0"/>
              <w:rPr>
                <w:sz w:val="20"/>
                <w:szCs w:val="20"/>
                <w:color w:val="auto"/>
              </w:rPr>
            </w:pPr>
            <w:r>
              <w:rPr>
                <w:rFonts w:ascii="Arial" w:cs="Arial" w:eastAsia="Arial" w:hAnsi="Arial"/>
                <w:sz w:val="16"/>
                <w:szCs w:val="16"/>
                <w:color w:val="auto"/>
              </w:rPr>
              <w:t>KLA-Tencor Corporation</w:t>
            </w:r>
          </w:p>
        </w:tc>
        <w:tc>
          <w:tcPr>
            <w:tcW w:w="1300" w:type="dxa"/>
            <w:vAlign w:val="bottom"/>
            <w:tcBorders>
              <w:top w:val="single" w:sz="8" w:color="0066BA"/>
            </w:tcBorders>
          </w:tcPr>
          <w:p>
            <w:pPr>
              <w:spacing w:after="0"/>
              <w:rPr>
                <w:sz w:val="22"/>
                <w:szCs w:val="22"/>
                <w:color w:val="auto"/>
              </w:rPr>
            </w:pPr>
          </w:p>
        </w:tc>
        <w:tc>
          <w:tcPr>
            <w:tcW w:w="2380" w:type="dxa"/>
            <w:vAlign w:val="bottom"/>
            <w:tcBorders>
              <w:top w:val="single" w:sz="8" w:color="0066BA"/>
              <w:bottom w:val="single" w:sz="8" w:color="EAEAEA"/>
            </w:tcBorders>
            <w:shd w:val="clear" w:color="auto" w:fill="EAEAEA"/>
          </w:tcPr>
          <w:p>
            <w:pPr>
              <w:ind w:left="120"/>
              <w:spacing w:after="0"/>
              <w:rPr>
                <w:sz w:val="20"/>
                <w:szCs w:val="20"/>
                <w:color w:val="auto"/>
              </w:rPr>
            </w:pPr>
            <w:r>
              <w:rPr>
                <w:rFonts w:ascii="Arial" w:cs="Arial" w:eastAsia="Arial" w:hAnsi="Arial"/>
                <w:sz w:val="16"/>
                <w:szCs w:val="16"/>
                <w:color w:val="auto"/>
              </w:rPr>
              <w:t>Texas Instruments Inc.</w:t>
            </w:r>
          </w:p>
        </w:tc>
        <w:tc>
          <w:tcPr>
            <w:tcW w:w="2760" w:type="dxa"/>
            <w:vAlign w:val="bottom"/>
            <w:tcBorders>
              <w:top w:val="single" w:sz="8" w:color="0066BA"/>
              <w:bottom w:val="single" w:sz="8" w:color="EAEAEA"/>
            </w:tcBorders>
            <w:shd w:val="clear" w:color="auto" w:fill="EAEAEA"/>
          </w:tcPr>
          <w:p>
            <w:pPr>
              <w:spacing w:after="0"/>
              <w:rPr>
                <w:sz w:val="22"/>
                <w:szCs w:val="22"/>
                <w:color w:val="auto"/>
              </w:rPr>
            </w:pPr>
          </w:p>
        </w:tc>
      </w:tr>
      <w:tr>
        <w:trPr>
          <w:trHeight w:val="253"/>
        </w:trPr>
        <w:tc>
          <w:tcPr>
            <w:tcW w:w="3840" w:type="dxa"/>
            <w:vAlign w:val="bottom"/>
            <w:tcBorders>
              <w:top w:val="single" w:sz="8" w:color="0066BA"/>
            </w:tcBorders>
          </w:tcPr>
          <w:p>
            <w:pPr>
              <w:ind w:left="60"/>
              <w:spacing w:after="0"/>
              <w:rPr>
                <w:sz w:val="20"/>
                <w:szCs w:val="20"/>
                <w:color w:val="auto"/>
              </w:rPr>
            </w:pPr>
            <w:r>
              <w:rPr>
                <w:rFonts w:ascii="Arial" w:cs="Arial" w:eastAsia="Arial" w:hAnsi="Arial"/>
                <w:sz w:val="16"/>
                <w:szCs w:val="16"/>
                <w:color w:val="auto"/>
              </w:rPr>
              <w:t>Lam Research Corporation</w:t>
            </w:r>
          </w:p>
        </w:tc>
        <w:tc>
          <w:tcPr>
            <w:tcW w:w="1300" w:type="dxa"/>
            <w:vAlign w:val="bottom"/>
            <w:tcBorders>
              <w:top w:val="single" w:sz="8" w:color="0066BA"/>
            </w:tcBorders>
          </w:tcPr>
          <w:p>
            <w:pPr>
              <w:spacing w:after="0"/>
              <w:rPr>
                <w:sz w:val="22"/>
                <w:szCs w:val="22"/>
                <w:color w:val="auto"/>
              </w:rPr>
            </w:pPr>
          </w:p>
        </w:tc>
        <w:tc>
          <w:tcPr>
            <w:tcW w:w="2380" w:type="dxa"/>
            <w:vAlign w:val="bottom"/>
            <w:tcBorders>
              <w:top w:val="single" w:sz="8" w:color="0066BA"/>
              <w:bottom w:val="single" w:sz="8" w:color="EAEAEA"/>
            </w:tcBorders>
            <w:shd w:val="clear" w:color="auto" w:fill="EAEAEA"/>
          </w:tcPr>
          <w:p>
            <w:pPr>
              <w:ind w:left="120"/>
              <w:spacing w:after="0"/>
              <w:rPr>
                <w:sz w:val="20"/>
                <w:szCs w:val="20"/>
                <w:color w:val="auto"/>
              </w:rPr>
            </w:pPr>
            <w:r>
              <w:rPr>
                <w:rFonts w:ascii="Arial" w:cs="Arial" w:eastAsia="Arial" w:hAnsi="Arial"/>
                <w:sz w:val="16"/>
                <w:szCs w:val="16"/>
                <w:color w:val="auto"/>
              </w:rPr>
              <w:t>Xilinx Inc.</w:t>
            </w:r>
          </w:p>
        </w:tc>
        <w:tc>
          <w:tcPr>
            <w:tcW w:w="2760" w:type="dxa"/>
            <w:vAlign w:val="bottom"/>
            <w:tcBorders>
              <w:top w:val="single" w:sz="8" w:color="0066BA"/>
              <w:bottom w:val="single" w:sz="8" w:color="EAEAEA"/>
            </w:tcBorders>
            <w:shd w:val="clear" w:color="auto" w:fill="EAEAEA"/>
          </w:tcPr>
          <w:p>
            <w:pPr>
              <w:spacing w:after="0"/>
              <w:rPr>
                <w:sz w:val="22"/>
                <w:szCs w:val="22"/>
                <w:color w:val="auto"/>
              </w:rPr>
            </w:pPr>
          </w:p>
        </w:tc>
      </w:tr>
      <w:tr>
        <w:trPr>
          <w:trHeight w:val="253"/>
        </w:trPr>
        <w:tc>
          <w:tcPr>
            <w:tcW w:w="3840" w:type="dxa"/>
            <w:vAlign w:val="bottom"/>
            <w:tcBorders>
              <w:top w:val="single" w:sz="8" w:color="0066BA"/>
            </w:tcBorders>
          </w:tcPr>
          <w:p>
            <w:pPr>
              <w:ind w:left="60"/>
              <w:spacing w:after="0"/>
              <w:rPr>
                <w:sz w:val="20"/>
                <w:szCs w:val="20"/>
                <w:color w:val="auto"/>
              </w:rPr>
            </w:pPr>
            <w:r>
              <w:rPr>
                <w:rFonts w:ascii="Arial" w:cs="Arial" w:eastAsia="Arial" w:hAnsi="Arial"/>
                <w:sz w:val="16"/>
                <w:szCs w:val="16"/>
                <w:color w:val="auto"/>
              </w:rPr>
              <w:t>Marvell Technology Group Ltd.</w:t>
            </w:r>
          </w:p>
        </w:tc>
        <w:tc>
          <w:tcPr>
            <w:tcW w:w="1300" w:type="dxa"/>
            <w:vAlign w:val="bottom"/>
            <w:tcBorders>
              <w:top w:val="single" w:sz="8" w:color="0066BA"/>
            </w:tcBorders>
          </w:tcPr>
          <w:p>
            <w:pPr>
              <w:spacing w:after="0"/>
              <w:rPr>
                <w:sz w:val="22"/>
                <w:szCs w:val="22"/>
                <w:color w:val="auto"/>
              </w:rPr>
            </w:pPr>
          </w:p>
        </w:tc>
        <w:tc>
          <w:tcPr>
            <w:tcW w:w="2380" w:type="dxa"/>
            <w:vAlign w:val="bottom"/>
            <w:tcBorders>
              <w:top w:val="single" w:sz="8" w:color="0066BA"/>
              <w:bottom w:val="single" w:sz="8" w:color="EAEAEA"/>
            </w:tcBorders>
            <w:shd w:val="clear" w:color="auto" w:fill="EAEAEA"/>
          </w:tcPr>
          <w:p>
            <w:pPr>
              <w:spacing w:after="0"/>
              <w:rPr>
                <w:sz w:val="22"/>
                <w:szCs w:val="22"/>
                <w:color w:val="auto"/>
              </w:rPr>
            </w:pPr>
          </w:p>
        </w:tc>
        <w:tc>
          <w:tcPr>
            <w:tcW w:w="2760" w:type="dxa"/>
            <w:vAlign w:val="bottom"/>
            <w:tcBorders>
              <w:top w:val="single" w:sz="8" w:color="0066BA"/>
              <w:bottom w:val="single" w:sz="8" w:color="EAEAEA"/>
            </w:tcBorders>
            <w:shd w:val="clear" w:color="auto" w:fill="EAEAEA"/>
          </w:tcPr>
          <w:p>
            <w:pPr>
              <w:spacing w:after="0"/>
              <w:rPr>
                <w:sz w:val="22"/>
                <w:szCs w:val="22"/>
                <w:color w:val="auto"/>
              </w:rPr>
            </w:pPr>
          </w:p>
        </w:tc>
      </w:tr>
      <w:tr>
        <w:trPr>
          <w:trHeight w:val="110"/>
        </w:trPr>
        <w:tc>
          <w:tcPr>
            <w:tcW w:w="3840" w:type="dxa"/>
            <w:vAlign w:val="bottom"/>
            <w:tcBorders>
              <w:top w:val="single" w:sz="8" w:color="0066BA"/>
            </w:tcBorders>
          </w:tcPr>
          <w:p>
            <w:pPr>
              <w:spacing w:after="0"/>
              <w:rPr>
                <w:sz w:val="9"/>
                <w:szCs w:val="9"/>
                <w:color w:val="auto"/>
              </w:rPr>
            </w:pPr>
          </w:p>
        </w:tc>
        <w:tc>
          <w:tcPr>
            <w:tcW w:w="1300" w:type="dxa"/>
            <w:vAlign w:val="bottom"/>
            <w:tcBorders>
              <w:top w:val="single" w:sz="8" w:color="0066BA"/>
            </w:tcBorders>
          </w:tcPr>
          <w:p>
            <w:pPr>
              <w:spacing w:after="0"/>
              <w:rPr>
                <w:sz w:val="9"/>
                <w:szCs w:val="9"/>
                <w:color w:val="auto"/>
              </w:rPr>
            </w:pPr>
          </w:p>
        </w:tc>
        <w:tc>
          <w:tcPr>
            <w:tcW w:w="2380" w:type="dxa"/>
            <w:vAlign w:val="bottom"/>
            <w:tcBorders>
              <w:top w:val="single" w:sz="8" w:color="0066BA"/>
            </w:tcBorders>
          </w:tcPr>
          <w:p>
            <w:pPr>
              <w:spacing w:after="0"/>
              <w:rPr>
                <w:sz w:val="9"/>
                <w:szCs w:val="9"/>
                <w:color w:val="auto"/>
              </w:rPr>
            </w:pPr>
          </w:p>
        </w:tc>
        <w:tc>
          <w:tcPr>
            <w:tcW w:w="2760" w:type="dxa"/>
            <w:vAlign w:val="bottom"/>
            <w:tcBorders>
              <w:top w:val="single" w:sz="8" w:color="0066BA"/>
            </w:tcBorders>
          </w:tcPr>
          <w:p>
            <w:pPr>
              <w:spacing w:after="0"/>
              <w:rPr>
                <w:sz w:val="9"/>
                <w:szCs w:val="9"/>
                <w:color w:val="auto"/>
              </w:rPr>
            </w:pPr>
          </w:p>
        </w:tc>
      </w:tr>
      <w:tr>
        <w:trPr>
          <w:trHeight w:val="182"/>
        </w:trPr>
        <w:tc>
          <w:tcPr>
            <w:tcW w:w="3840" w:type="dxa"/>
            <w:vAlign w:val="bottom"/>
            <w:shd w:val="clear" w:color="auto" w:fill="0066BA"/>
          </w:tcPr>
          <w:p>
            <w:pPr>
              <w:spacing w:after="0"/>
              <w:rPr>
                <w:sz w:val="15"/>
                <w:szCs w:val="15"/>
                <w:color w:val="auto"/>
              </w:rPr>
            </w:pPr>
          </w:p>
        </w:tc>
        <w:tc>
          <w:tcPr>
            <w:tcW w:w="1300" w:type="dxa"/>
            <w:vAlign w:val="bottom"/>
            <w:shd w:val="clear" w:color="auto" w:fill="0066BA"/>
          </w:tcPr>
          <w:p>
            <w:pPr>
              <w:spacing w:after="0"/>
              <w:rPr>
                <w:sz w:val="15"/>
                <w:szCs w:val="15"/>
                <w:color w:val="auto"/>
              </w:rPr>
            </w:pPr>
          </w:p>
        </w:tc>
        <w:tc>
          <w:tcPr>
            <w:tcW w:w="2380" w:type="dxa"/>
            <w:vAlign w:val="bottom"/>
            <w:shd w:val="clear" w:color="auto" w:fill="0066BA"/>
          </w:tcPr>
          <w:p>
            <w:pPr>
              <w:jc w:val="right"/>
              <w:ind w:right="503"/>
              <w:spacing w:after="0"/>
              <w:rPr>
                <w:sz w:val="20"/>
                <w:szCs w:val="20"/>
                <w:color w:val="auto"/>
              </w:rPr>
            </w:pPr>
            <w:r>
              <w:rPr>
                <w:rFonts w:ascii="Arial" w:cs="Arial" w:eastAsia="Arial" w:hAnsi="Arial"/>
                <w:sz w:val="14"/>
                <w:szCs w:val="14"/>
                <w:b w:val="1"/>
                <w:bCs w:val="1"/>
                <w:color w:val="FFFFFF"/>
              </w:rPr>
              <w:t>2020 Market Capitalization</w:t>
            </w:r>
          </w:p>
        </w:tc>
        <w:tc>
          <w:tcPr>
            <w:tcW w:w="2760" w:type="dxa"/>
            <w:vAlign w:val="bottom"/>
            <w:shd w:val="clear" w:color="auto" w:fill="0066BA"/>
          </w:tcPr>
          <w:p>
            <w:pPr>
              <w:jc w:val="right"/>
              <w:ind w:right="506"/>
              <w:spacing w:after="0"/>
              <w:rPr>
                <w:sz w:val="20"/>
                <w:szCs w:val="20"/>
                <w:color w:val="auto"/>
              </w:rPr>
            </w:pPr>
            <w:r>
              <w:rPr>
                <w:rFonts w:ascii="Arial" w:cs="Arial" w:eastAsia="Arial" w:hAnsi="Arial"/>
                <w:sz w:val="14"/>
                <w:szCs w:val="14"/>
                <w:b w:val="1"/>
                <w:bCs w:val="1"/>
                <w:color w:val="FFFFFF"/>
              </w:rPr>
              <w:t>2020 Revenue</w:t>
            </w:r>
          </w:p>
        </w:tc>
      </w:tr>
      <w:tr>
        <w:trPr>
          <w:trHeight w:val="201"/>
        </w:trPr>
        <w:tc>
          <w:tcPr>
            <w:tcW w:w="3840" w:type="dxa"/>
            <w:vAlign w:val="bottom"/>
            <w:tcBorders>
              <w:bottom w:val="single" w:sz="8" w:color="0066BA"/>
            </w:tcBorders>
            <w:shd w:val="clear" w:color="auto" w:fill="0066BA"/>
          </w:tcPr>
          <w:p>
            <w:pPr>
              <w:spacing w:after="0"/>
              <w:rPr>
                <w:sz w:val="17"/>
                <w:szCs w:val="17"/>
                <w:color w:val="auto"/>
              </w:rPr>
            </w:pPr>
          </w:p>
        </w:tc>
        <w:tc>
          <w:tcPr>
            <w:tcW w:w="3680" w:type="dxa"/>
            <w:vAlign w:val="bottom"/>
            <w:tcBorders>
              <w:bottom w:val="single" w:sz="8" w:color="0066BA"/>
            </w:tcBorders>
            <w:gridSpan w:val="2"/>
            <w:shd w:val="clear" w:color="auto" w:fill="0066BA"/>
          </w:tcPr>
          <w:p>
            <w:pPr>
              <w:jc w:val="right"/>
              <w:ind w:right="503"/>
              <w:spacing w:after="0"/>
              <w:rPr>
                <w:sz w:val="20"/>
                <w:szCs w:val="20"/>
                <w:color w:val="auto"/>
              </w:rPr>
            </w:pPr>
            <w:r>
              <w:rPr>
                <w:rFonts w:ascii="Arial" w:cs="Arial" w:eastAsia="Arial" w:hAnsi="Arial"/>
                <w:sz w:val="14"/>
                <w:szCs w:val="14"/>
                <w:b w:val="1"/>
                <w:bCs w:val="1"/>
                <w:color w:val="FFFFFF"/>
              </w:rPr>
              <w:t>(as of April 2020) (in millions)</w:t>
            </w:r>
          </w:p>
        </w:tc>
        <w:tc>
          <w:tcPr>
            <w:tcW w:w="2760" w:type="dxa"/>
            <w:vAlign w:val="bottom"/>
            <w:tcBorders>
              <w:bottom w:val="single" w:sz="8" w:color="0066BA"/>
            </w:tcBorders>
            <w:shd w:val="clear" w:color="auto" w:fill="0066BA"/>
          </w:tcPr>
          <w:p>
            <w:pPr>
              <w:jc w:val="right"/>
              <w:ind w:right="506"/>
              <w:spacing w:after="0"/>
              <w:rPr>
                <w:sz w:val="20"/>
                <w:szCs w:val="20"/>
                <w:color w:val="auto"/>
              </w:rPr>
            </w:pPr>
            <w:r>
              <w:rPr>
                <w:rFonts w:ascii="Arial" w:cs="Arial" w:eastAsia="Arial" w:hAnsi="Arial"/>
                <w:sz w:val="14"/>
                <w:szCs w:val="14"/>
                <w:b w:val="1"/>
                <w:bCs w:val="1"/>
                <w:color w:val="FFFFFF"/>
              </w:rPr>
              <w:t>(in millions)</w:t>
            </w:r>
          </w:p>
        </w:tc>
      </w:tr>
      <w:tr>
        <w:trPr>
          <w:trHeight w:val="195"/>
        </w:trPr>
        <w:tc>
          <w:tcPr>
            <w:tcW w:w="3840" w:type="dxa"/>
            <w:vAlign w:val="bottom"/>
            <w:tcBorders>
              <w:bottom w:val="single" w:sz="8" w:color="0066BA"/>
            </w:tcBorders>
          </w:tcPr>
          <w:p>
            <w:pPr>
              <w:ind w:left="60"/>
              <w:spacing w:after="0"/>
              <w:rPr>
                <w:sz w:val="20"/>
                <w:szCs w:val="20"/>
                <w:color w:val="auto"/>
              </w:rPr>
            </w:pPr>
            <w:r>
              <w:rPr>
                <w:rFonts w:ascii="Arial" w:cs="Arial" w:eastAsia="Arial" w:hAnsi="Arial"/>
                <w:sz w:val="16"/>
                <w:szCs w:val="16"/>
                <w:color w:val="auto"/>
              </w:rPr>
              <w:t>Analog Devices</w:t>
            </w:r>
          </w:p>
        </w:tc>
        <w:tc>
          <w:tcPr>
            <w:tcW w:w="3680" w:type="dxa"/>
            <w:vAlign w:val="bottom"/>
            <w:tcBorders>
              <w:bottom w:val="single" w:sz="8" w:color="0066BA"/>
            </w:tcBorders>
            <w:gridSpan w:val="2"/>
            <w:shd w:val="clear" w:color="auto" w:fill="EAEAEA"/>
          </w:tcPr>
          <w:p>
            <w:pPr>
              <w:jc w:val="right"/>
              <w:ind w:right="503"/>
              <w:spacing w:after="0"/>
              <w:rPr>
                <w:sz w:val="20"/>
                <w:szCs w:val="20"/>
                <w:color w:val="auto"/>
              </w:rPr>
            </w:pPr>
            <w:r>
              <w:rPr>
                <w:rFonts w:ascii="Arial" w:cs="Arial" w:eastAsia="Arial" w:hAnsi="Arial"/>
                <w:sz w:val="16"/>
                <w:szCs w:val="16"/>
                <w:color w:val="auto"/>
              </w:rPr>
              <w:t>$40,357</w:t>
            </w:r>
          </w:p>
        </w:tc>
        <w:tc>
          <w:tcPr>
            <w:tcW w:w="2760" w:type="dxa"/>
            <w:vAlign w:val="bottom"/>
            <w:tcBorders>
              <w:bottom w:val="single" w:sz="8" w:color="0066BA"/>
            </w:tcBorders>
          </w:tcPr>
          <w:p>
            <w:pPr>
              <w:jc w:val="right"/>
              <w:ind w:right="506"/>
              <w:spacing w:after="0"/>
              <w:rPr>
                <w:sz w:val="20"/>
                <w:szCs w:val="20"/>
                <w:color w:val="auto"/>
              </w:rPr>
            </w:pPr>
            <w:r>
              <w:rPr>
                <w:rFonts w:ascii="Arial" w:cs="Arial" w:eastAsia="Arial" w:hAnsi="Arial"/>
                <w:sz w:val="16"/>
                <w:szCs w:val="16"/>
                <w:color w:val="auto"/>
              </w:rPr>
              <w:t>$5,603</w:t>
            </w:r>
          </w:p>
        </w:tc>
      </w:tr>
      <w:tr>
        <w:trPr>
          <w:trHeight w:val="188"/>
        </w:trPr>
        <w:tc>
          <w:tcPr>
            <w:tcW w:w="3840" w:type="dxa"/>
            <w:vAlign w:val="bottom"/>
            <w:tcBorders>
              <w:bottom w:val="single" w:sz="8" w:color="0066BA"/>
            </w:tcBorders>
          </w:tcPr>
          <w:p>
            <w:pPr>
              <w:ind w:left="60"/>
              <w:spacing w:after="0"/>
              <w:rPr>
                <w:sz w:val="20"/>
                <w:szCs w:val="20"/>
                <w:color w:val="auto"/>
              </w:rPr>
            </w:pPr>
            <w:r>
              <w:rPr>
                <w:rFonts w:ascii="Arial" w:cs="Arial" w:eastAsia="Arial" w:hAnsi="Arial"/>
                <w:sz w:val="16"/>
                <w:szCs w:val="16"/>
                <w:color w:val="auto"/>
              </w:rPr>
              <w:t>2021 Peer Group Median</w:t>
            </w:r>
          </w:p>
        </w:tc>
        <w:tc>
          <w:tcPr>
            <w:tcW w:w="3680" w:type="dxa"/>
            <w:vAlign w:val="bottom"/>
            <w:tcBorders>
              <w:bottom w:val="single" w:sz="8" w:color="0066BA"/>
            </w:tcBorders>
            <w:gridSpan w:val="2"/>
            <w:shd w:val="clear" w:color="auto" w:fill="EAEAEA"/>
          </w:tcPr>
          <w:p>
            <w:pPr>
              <w:jc w:val="right"/>
              <w:ind w:right="503"/>
              <w:spacing w:after="0"/>
              <w:rPr>
                <w:sz w:val="20"/>
                <w:szCs w:val="20"/>
                <w:color w:val="auto"/>
              </w:rPr>
            </w:pPr>
            <w:r>
              <w:rPr>
                <w:rFonts w:ascii="Arial" w:cs="Arial" w:eastAsia="Arial" w:hAnsi="Arial"/>
                <w:sz w:val="16"/>
                <w:szCs w:val="16"/>
                <w:color w:val="auto"/>
              </w:rPr>
              <w:t>$25,725</w:t>
            </w:r>
          </w:p>
        </w:tc>
        <w:tc>
          <w:tcPr>
            <w:tcW w:w="2760" w:type="dxa"/>
            <w:vAlign w:val="bottom"/>
            <w:tcBorders>
              <w:bottom w:val="single" w:sz="8" w:color="0066BA"/>
            </w:tcBorders>
          </w:tcPr>
          <w:p>
            <w:pPr>
              <w:jc w:val="right"/>
              <w:ind w:right="506"/>
              <w:spacing w:after="0"/>
              <w:rPr>
                <w:sz w:val="20"/>
                <w:szCs w:val="20"/>
                <w:color w:val="auto"/>
              </w:rPr>
            </w:pPr>
            <w:r>
              <w:rPr>
                <w:rFonts w:ascii="Arial" w:cs="Arial" w:eastAsia="Arial" w:hAnsi="Arial"/>
                <w:sz w:val="16"/>
                <w:szCs w:val="16"/>
                <w:color w:val="auto"/>
              </w:rPr>
              <w:t>$5,806</w:t>
            </w:r>
          </w:p>
        </w:tc>
      </w:tr>
    </w:tbl>
    <w:p>
      <w:pPr>
        <w:spacing w:after="0" w:line="92" w:lineRule="exact"/>
        <w:rPr>
          <w:sz w:val="20"/>
          <w:szCs w:val="20"/>
          <w:color w:val="auto"/>
        </w:rPr>
      </w:pPr>
    </w:p>
    <w:p>
      <w:pPr>
        <w:jc w:val="both"/>
        <w:ind w:left="480" w:right="380"/>
        <w:spacing w:after="0" w:line="270" w:lineRule="auto"/>
        <w:rPr>
          <w:sz w:val="20"/>
          <w:szCs w:val="20"/>
          <w:color w:val="auto"/>
        </w:rPr>
      </w:pPr>
      <w:r>
        <w:rPr>
          <w:rFonts w:ascii="Arial" w:cs="Arial" w:eastAsia="Arial" w:hAnsi="Arial"/>
          <w:sz w:val="17"/>
          <w:szCs w:val="17"/>
          <w:color w:val="auto"/>
        </w:rPr>
        <w:t>For executive officers in positions for which the fiscal 2021 peer group companies do not publicly disclose compensation data, the Compensation Committee reviewed data collected from Radford’s Global Technology Survey. This survey depicts executive compensation levels across a wide spectrum of technology sector companies comparable to ADI in annual revenue size.</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0940"/>
          </w:cols>
          <w:pgMar w:left="320" w:top="447" w:right="63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0066BA"/>
        </w:rPr>
        <w:t>Determining Fiscal 2021 Target Compensation Levels</w:t>
      </w:r>
    </w:p>
    <w:p>
      <w:pPr>
        <w:spacing w:after="0" w:line="124" w:lineRule="exact"/>
        <w:rPr>
          <w:sz w:val="20"/>
          <w:szCs w:val="20"/>
          <w:color w:val="auto"/>
        </w:rPr>
      </w:pPr>
    </w:p>
    <w:p>
      <w:pPr>
        <w:ind w:left="480" w:right="20"/>
        <w:spacing w:after="0" w:line="319" w:lineRule="auto"/>
        <w:rPr>
          <w:sz w:val="20"/>
          <w:szCs w:val="20"/>
          <w:color w:val="auto"/>
        </w:rPr>
      </w:pPr>
      <w:r>
        <w:rPr>
          <w:rFonts w:ascii="Arial" w:cs="Arial" w:eastAsia="Arial" w:hAnsi="Arial"/>
          <w:sz w:val="16"/>
          <w:szCs w:val="16"/>
          <w:color w:val="auto"/>
        </w:rPr>
        <w:t>Our executive compensation program is designed to attract and retain top executive talent and align the interests of our executive officers, including our NEOs, and shareholders. The level of compensation for our executive officers is determined through the following steps:</w:t>
      </w:r>
    </w:p>
    <w:p>
      <w:pPr>
        <w:spacing w:after="0" w:line="163" w:lineRule="exact"/>
        <w:rPr>
          <w:sz w:val="20"/>
          <w:szCs w:val="20"/>
          <w:color w:val="auto"/>
        </w:rPr>
      </w:pPr>
    </w:p>
    <w:tbl>
      <w:tblPr>
        <w:tblLayout w:type="fixed"/>
        <w:tblInd w:w="480" w:type="dxa"/>
        <w:tblCellMar>
          <w:top w:w="0" w:type="dxa"/>
          <w:left w:w="0" w:type="dxa"/>
          <w:bottom w:w="0" w:type="dxa"/>
          <w:right w:w="0" w:type="dxa"/>
        </w:tblCellMar>
      </w:tblPr>
      <w:tr>
        <w:trPr>
          <w:trHeight w:val="218"/>
        </w:trPr>
        <w:tc>
          <w:tcPr>
            <w:tcW w:w="3280" w:type="dxa"/>
            <w:vAlign w:val="bottom"/>
            <w:shd w:val="clear" w:color="auto" w:fill="E5EFF8"/>
          </w:tcPr>
          <w:p>
            <w:pPr>
              <w:ind w:left="40"/>
              <w:spacing w:after="0"/>
              <w:rPr>
                <w:sz w:val="20"/>
                <w:szCs w:val="20"/>
                <w:color w:val="auto"/>
              </w:rPr>
            </w:pPr>
            <w:r>
              <w:rPr>
                <w:rFonts w:ascii="Arial" w:cs="Arial" w:eastAsia="Arial" w:hAnsi="Arial"/>
                <w:sz w:val="19"/>
                <w:szCs w:val="19"/>
                <w:b w:val="1"/>
                <w:bCs w:val="1"/>
                <w:color w:val="auto"/>
              </w:rPr>
              <w:t>Step 1</w:t>
            </w:r>
          </w:p>
        </w:tc>
        <w:tc>
          <w:tcPr>
            <w:tcW w:w="120" w:type="dxa"/>
            <w:vAlign w:val="bottom"/>
          </w:tcPr>
          <w:p>
            <w:pPr>
              <w:spacing w:after="0"/>
              <w:rPr>
                <w:sz w:val="18"/>
                <w:szCs w:val="18"/>
                <w:color w:val="auto"/>
              </w:rPr>
            </w:pPr>
          </w:p>
        </w:tc>
        <w:tc>
          <w:tcPr>
            <w:tcW w:w="3380" w:type="dxa"/>
            <w:vAlign w:val="bottom"/>
            <w:shd w:val="clear" w:color="auto" w:fill="E5EFF8"/>
          </w:tcPr>
          <w:p>
            <w:pPr>
              <w:ind w:left="140"/>
              <w:spacing w:after="0"/>
              <w:rPr>
                <w:sz w:val="20"/>
                <w:szCs w:val="20"/>
                <w:color w:val="auto"/>
              </w:rPr>
            </w:pPr>
            <w:r>
              <w:rPr>
                <w:rFonts w:ascii="Arial" w:cs="Arial" w:eastAsia="Arial" w:hAnsi="Arial"/>
                <w:sz w:val="19"/>
                <w:szCs w:val="19"/>
                <w:b w:val="1"/>
                <w:bCs w:val="1"/>
                <w:color w:val="auto"/>
              </w:rPr>
              <w:t>Step 2</w:t>
            </w:r>
          </w:p>
        </w:tc>
        <w:tc>
          <w:tcPr>
            <w:tcW w:w="120" w:type="dxa"/>
            <w:vAlign w:val="bottom"/>
          </w:tcPr>
          <w:p>
            <w:pPr>
              <w:spacing w:after="0"/>
              <w:rPr>
                <w:sz w:val="18"/>
                <w:szCs w:val="18"/>
                <w:color w:val="auto"/>
              </w:rPr>
            </w:pPr>
          </w:p>
        </w:tc>
        <w:tc>
          <w:tcPr>
            <w:tcW w:w="3380" w:type="dxa"/>
            <w:vAlign w:val="bottom"/>
            <w:shd w:val="clear" w:color="auto" w:fill="E5EFF8"/>
          </w:tcPr>
          <w:p>
            <w:pPr>
              <w:ind w:left="140"/>
              <w:spacing w:after="0"/>
              <w:rPr>
                <w:sz w:val="20"/>
                <w:szCs w:val="20"/>
                <w:color w:val="auto"/>
              </w:rPr>
            </w:pPr>
            <w:r>
              <w:rPr>
                <w:rFonts w:ascii="Arial" w:cs="Arial" w:eastAsia="Arial" w:hAnsi="Arial"/>
                <w:sz w:val="19"/>
                <w:szCs w:val="19"/>
                <w:b w:val="1"/>
                <w:bCs w:val="1"/>
                <w:color w:val="auto"/>
              </w:rPr>
              <w:t>Step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99060</wp:posOffset>
            </wp:positionV>
            <wp:extent cx="305435" cy="28892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05435" cy="288925"/>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82550</wp:posOffset>
            </wp:positionV>
            <wp:extent cx="247650" cy="3054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47650" cy="30543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66040</wp:posOffset>
            </wp:positionV>
            <wp:extent cx="338455" cy="3219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38455" cy="321945"/>
                    </a:xfrm>
                    <a:prstGeom prst="rect">
                      <a:avLst/>
                    </a:prstGeom>
                    <a:noFill/>
                  </pic:spPr>
                </pic:pic>
              </a:graphicData>
            </a:graphic>
          </wp:anchor>
        </w:drawing>
      </w:r>
    </w:p>
    <w:p>
      <w:pPr>
        <w:sectPr>
          <w:pgSz w:w="11900" w:h="16838" w:orient="portrait"/>
          <w:cols w:equalWidth="0" w:num="1">
            <w:col w:w="10760"/>
          </w:cols>
          <w:pgMar w:left="320" w:top="447"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80"/>
        <w:spacing w:after="0" w:line="300" w:lineRule="auto"/>
        <w:rPr>
          <w:sz w:val="20"/>
          <w:szCs w:val="20"/>
          <w:color w:val="auto"/>
        </w:rPr>
      </w:pPr>
      <w:r>
        <w:rPr>
          <w:rFonts w:ascii="Arial" w:cs="Arial" w:eastAsia="Arial" w:hAnsi="Arial"/>
          <w:sz w:val="15"/>
          <w:szCs w:val="15"/>
          <w:b w:val="1"/>
          <w:bCs w:val="1"/>
          <w:color w:val="0066BA"/>
        </w:rPr>
        <w:t xml:space="preserve">First, we ensure our executive compensation is competitive </w:t>
      </w:r>
      <w:r>
        <w:rPr>
          <w:rFonts w:ascii="Arial" w:cs="Arial" w:eastAsia="Arial" w:hAnsi="Arial"/>
          <w:sz w:val="15"/>
          <w:szCs w:val="15"/>
          <w:color w:val="000000"/>
        </w:rPr>
        <w:t>and attracts and retains top</w:t>
      </w:r>
      <w:r>
        <w:rPr>
          <w:rFonts w:ascii="Arial" w:cs="Arial" w:eastAsia="Arial" w:hAnsi="Arial"/>
          <w:sz w:val="15"/>
          <w:szCs w:val="15"/>
          <w:b w:val="1"/>
          <w:bCs w:val="1"/>
          <w:color w:val="0066BA"/>
        </w:rPr>
        <w:t xml:space="preserve"> </w:t>
      </w:r>
      <w:r>
        <w:rPr>
          <w:rFonts w:ascii="Arial" w:cs="Arial" w:eastAsia="Arial" w:hAnsi="Arial"/>
          <w:sz w:val="15"/>
          <w:szCs w:val="15"/>
          <w:color w:val="000000"/>
        </w:rPr>
        <w:t>executive talent by understanding how the total target compensation (consisting of salary, bonus, and equity awards) of each of our executive officers compares to the total target compensation of those in similar positions within our peer group.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61" w:lineRule="auto"/>
        <w:rPr>
          <w:sz w:val="20"/>
          <w:szCs w:val="20"/>
          <w:color w:val="auto"/>
        </w:rPr>
      </w:pPr>
      <w:r>
        <w:rPr>
          <w:rFonts w:ascii="Arial" w:cs="Arial" w:eastAsia="Arial" w:hAnsi="Arial"/>
          <w:sz w:val="17"/>
          <w:szCs w:val="17"/>
          <w:b w:val="1"/>
          <w:bCs w:val="1"/>
          <w:color w:val="0066BA"/>
        </w:rPr>
        <w:t xml:space="preserve">We then consider a variety of factors, </w:t>
      </w:r>
      <w:r>
        <w:rPr>
          <w:rFonts w:ascii="Arial" w:cs="Arial" w:eastAsia="Arial" w:hAnsi="Arial"/>
          <w:sz w:val="17"/>
          <w:szCs w:val="17"/>
          <w:color w:val="000000"/>
        </w:rPr>
        <w:t>including the scope of the role, tenure in the position, and the performance and experience of the individual when deciding how to position each executive officer’s total target compensation to the total target compensation of those in similar positions within our peer group.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60"/>
        <w:spacing w:after="0" w:line="297" w:lineRule="auto"/>
        <w:rPr>
          <w:sz w:val="20"/>
          <w:szCs w:val="20"/>
          <w:color w:val="auto"/>
        </w:rPr>
      </w:pPr>
      <w:r>
        <w:rPr>
          <w:rFonts w:ascii="Arial" w:cs="Arial" w:eastAsia="Arial" w:hAnsi="Arial"/>
          <w:sz w:val="15"/>
          <w:szCs w:val="15"/>
          <w:b w:val="1"/>
          <w:bCs w:val="1"/>
          <w:color w:val="0066BA"/>
        </w:rPr>
        <w:t xml:space="preserve">We structure our compensation package to align our executive officers’ interests with those of our shareholders </w:t>
      </w:r>
      <w:r>
        <w:rPr>
          <w:rFonts w:ascii="Arial" w:cs="Arial" w:eastAsia="Arial" w:hAnsi="Arial"/>
          <w:sz w:val="15"/>
          <w:szCs w:val="15"/>
          <w:color w:val="000000"/>
        </w:rPr>
        <w:t>by tying a</w:t>
      </w:r>
      <w:r>
        <w:rPr>
          <w:rFonts w:ascii="Arial" w:cs="Arial" w:eastAsia="Arial" w:hAnsi="Arial"/>
          <w:sz w:val="15"/>
          <w:szCs w:val="15"/>
          <w:b w:val="1"/>
          <w:bCs w:val="1"/>
          <w:color w:val="0066BA"/>
        </w:rPr>
        <w:t xml:space="preserve"> </w:t>
      </w:r>
      <w:r>
        <w:rPr>
          <w:rFonts w:ascii="Arial" w:cs="Arial" w:eastAsia="Arial" w:hAnsi="Arial"/>
          <w:sz w:val="15"/>
          <w:szCs w:val="15"/>
          <w:color w:val="000000"/>
        </w:rPr>
        <w:t>significant portion of their total compensation directly to ADI’s short- and long-term performance. For executive officers, this is measured by OPBT, OPBT margin, year-over-year revenue growth, absolute stock price appreciation, and relative total shareholder return, which all drive shareholder value.</w:t>
      </w:r>
    </w:p>
    <w:p>
      <w:pPr>
        <w:spacing w:after="0" w:line="150" w:lineRule="exact"/>
        <w:rPr>
          <w:sz w:val="20"/>
          <w:szCs w:val="20"/>
          <w:color w:val="auto"/>
        </w:rPr>
      </w:pPr>
    </w:p>
    <w:p>
      <w:pPr>
        <w:sectPr>
          <w:pgSz w:w="11900" w:h="16838" w:orient="portrait"/>
          <w:cols w:equalWidth="0" w:num="3">
            <w:col w:w="3760" w:space="220"/>
            <w:col w:w="3180" w:space="320"/>
            <w:col w:w="3280"/>
          </w:cols>
          <w:pgMar w:left="320" w:top="447" w:right="819" w:bottom="1440" w:gutter="0" w:footer="0" w:header="0"/>
          <w:type w:val="continuous"/>
        </w:sectPr>
      </w:pPr>
    </w:p>
    <w:p>
      <w:pPr>
        <w:ind w:left="480"/>
        <w:spacing w:after="0"/>
        <w:rPr>
          <w:sz w:val="20"/>
          <w:szCs w:val="20"/>
          <w:color w:val="auto"/>
        </w:rPr>
      </w:pPr>
      <w:r>
        <w:rPr>
          <w:rFonts w:ascii="Arial" w:cs="Arial" w:eastAsia="Arial" w:hAnsi="Arial"/>
          <w:sz w:val="23"/>
          <w:szCs w:val="23"/>
          <w:b w:val="1"/>
          <w:bCs w:val="1"/>
          <w:color w:val="0066BA"/>
        </w:rPr>
        <w:t>Factors Considered in Determining Fiscal 2021 Target Compensation Levels</w:t>
      </w:r>
    </w:p>
    <w:p>
      <w:pPr>
        <w:spacing w:after="0" w:line="118" w:lineRule="exact"/>
        <w:rPr>
          <w:sz w:val="20"/>
          <w:szCs w:val="20"/>
          <w:color w:val="auto"/>
        </w:rPr>
      </w:pPr>
    </w:p>
    <w:p>
      <w:pPr>
        <w:ind w:left="480" w:right="60"/>
        <w:spacing w:after="0" w:line="261" w:lineRule="auto"/>
        <w:rPr>
          <w:sz w:val="20"/>
          <w:szCs w:val="20"/>
          <w:color w:val="auto"/>
        </w:rPr>
      </w:pPr>
      <w:r>
        <w:rPr>
          <w:rFonts w:ascii="Arial" w:cs="Arial" w:eastAsia="Arial" w:hAnsi="Arial"/>
          <w:sz w:val="17"/>
          <w:szCs w:val="17"/>
          <w:b w:val="1"/>
          <w:bCs w:val="1"/>
          <w:color w:val="auto"/>
        </w:rPr>
        <w:t xml:space="preserve">Chief Executive Officer Pay Determination. </w:t>
      </w:r>
      <w:r>
        <w:rPr>
          <w:rFonts w:ascii="Arial" w:cs="Arial" w:eastAsia="Arial" w:hAnsi="Arial"/>
          <w:sz w:val="17"/>
          <w:szCs w:val="17"/>
          <w:color w:val="auto"/>
        </w:rPr>
        <w:t>Mr. Roche has served as our President and Chief Executive Officer since May 2013. Under his</w:t>
      </w:r>
      <w:r>
        <w:rPr>
          <w:rFonts w:ascii="Arial" w:cs="Arial" w:eastAsia="Arial" w:hAnsi="Arial"/>
          <w:sz w:val="17"/>
          <w:szCs w:val="17"/>
          <w:b w:val="1"/>
          <w:bCs w:val="1"/>
          <w:color w:val="auto"/>
        </w:rPr>
        <w:t xml:space="preserve"> </w:t>
      </w:r>
      <w:r>
        <w:rPr>
          <w:rFonts w:ascii="Arial" w:cs="Arial" w:eastAsia="Arial" w:hAnsi="Arial"/>
          <w:sz w:val="17"/>
          <w:szCs w:val="17"/>
          <w:color w:val="auto"/>
        </w:rPr>
        <w:t>leadership, the Company has experienced significant growth and transformation, including successfully completing the acquisition of Maxim Integrated in 2021. In determining Mr. Roche’s compensation as President and Chief Executive Officer for fiscal 2021, the Compensation Committee considered all elements of Mr. Roche’s compensation and compared his total target compensation to the median of chief executive officer compensation of our peer group companies. The Committee also considered Mr. Roche’s experience, tenure, and performance executing the Company’s strategy and driving long-term shareholder value. The design of Mr. Roche’s fiscal 2021 compensation provided incentives that linked realized compensation with Company performance.</w:t>
      </w:r>
    </w:p>
    <w:p>
      <w:pPr>
        <w:spacing w:after="0" w:line="73" w:lineRule="exact"/>
        <w:rPr>
          <w:sz w:val="20"/>
          <w:szCs w:val="20"/>
          <w:color w:val="auto"/>
        </w:rPr>
      </w:pPr>
    </w:p>
    <w:p>
      <w:pPr>
        <w:ind w:left="480" w:right="60"/>
        <w:spacing w:after="0" w:line="268" w:lineRule="auto"/>
        <w:rPr>
          <w:sz w:val="20"/>
          <w:szCs w:val="20"/>
          <w:color w:val="auto"/>
        </w:rPr>
      </w:pPr>
      <w:r>
        <w:rPr>
          <w:rFonts w:ascii="Arial" w:cs="Arial" w:eastAsia="Arial" w:hAnsi="Arial"/>
          <w:sz w:val="17"/>
          <w:szCs w:val="17"/>
          <w:b w:val="1"/>
          <w:bCs w:val="1"/>
          <w:color w:val="auto"/>
        </w:rPr>
        <w:t xml:space="preserve">Pay Determination for Other Executive Officers: </w:t>
      </w:r>
      <w:r>
        <w:rPr>
          <w:rFonts w:ascii="Arial" w:cs="Arial" w:eastAsia="Arial" w:hAnsi="Arial"/>
          <w:sz w:val="17"/>
          <w:szCs w:val="17"/>
          <w:color w:val="auto"/>
        </w:rPr>
        <w:t>In determining fiscal 2021 compensation for our other executive officers, including our named</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officers, including base salary levels, annual incentive payout targets, and fiscal 2021 equity grants, the Compensation Committee considered the executive’s individual responsibilities and other factors including their performance, tenure and market data, and benchmark information from our peer group companies.</w:t>
      </w:r>
    </w:p>
    <w:p>
      <w:pPr>
        <w:spacing w:after="0" w:line="200" w:lineRule="exact"/>
        <w:rPr>
          <w:sz w:val="20"/>
          <w:szCs w:val="20"/>
          <w:color w:val="auto"/>
        </w:rPr>
      </w:pPr>
    </w:p>
    <w:p>
      <w:pPr>
        <w:spacing w:after="0" w:line="23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0760"/>
          </w:cols>
          <w:pgMar w:left="320" w:top="447" w:right="819" w:bottom="1440" w:gutter="0" w:footer="0" w:header="0"/>
          <w:type w:val="continuous"/>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0066BA"/>
        </w:rPr>
        <w:t>Components of Fiscal 2021 Executive Compensation</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For fiscal 2021, compensation for our executive officers, including our named executive officers, consisted of the following principal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5471160</wp:posOffset>
            </wp:positionH>
            <wp:positionV relativeFrom="paragraph">
              <wp:posOffset>179070</wp:posOffset>
            </wp:positionV>
            <wp:extent cx="1362710" cy="37147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362710" cy="371475"/>
                    </a:xfrm>
                    <a:prstGeom prst="rect">
                      <a:avLst/>
                    </a:prstGeom>
                    <a:noFill/>
                  </pic:spPr>
                </pic:pic>
              </a:graphicData>
            </a:graphic>
          </wp:anchor>
        </w:drawing>
      </w:r>
    </w:p>
    <w:p>
      <w:pPr>
        <w:sectPr>
          <w:pgSz w:w="11900" w:h="16838" w:orient="portrait"/>
          <w:cols w:equalWidth="0" w:num="1">
            <w:col w:w="10940"/>
          </w:cols>
          <w:pgMar w:left="320" w:top="447" w:right="639" w:bottom="1440" w:gutter="0" w:footer="0" w:header="0"/>
        </w:sectPr>
      </w:pPr>
    </w:p>
    <w:p>
      <w:pPr>
        <w:spacing w:after="0" w:line="282" w:lineRule="exact"/>
        <w:rPr>
          <w:sz w:val="20"/>
          <w:szCs w:val="20"/>
          <w:color w:val="auto"/>
        </w:rPr>
      </w:pPr>
    </w:p>
    <w:tbl>
      <w:tblPr>
        <w:tblLayout w:type="fixed"/>
        <w:tblInd w:w="480" w:type="dxa"/>
        <w:tblCellMar>
          <w:top w:w="0" w:type="dxa"/>
          <w:left w:w="0" w:type="dxa"/>
          <w:bottom w:w="0" w:type="dxa"/>
          <w:right w:w="0" w:type="dxa"/>
        </w:tblCellMar>
      </w:tblPr>
      <w:tr>
        <w:trPr>
          <w:trHeight w:val="289"/>
        </w:trPr>
        <w:tc>
          <w:tcPr>
            <w:tcW w:w="1860" w:type="dxa"/>
            <w:vAlign w:val="bottom"/>
            <w:shd w:val="clear" w:color="auto" w:fill="CCCCCC"/>
          </w:tcPr>
          <w:p>
            <w:pPr>
              <w:ind w:left="60"/>
              <w:spacing w:after="0"/>
              <w:rPr>
                <w:sz w:val="20"/>
                <w:szCs w:val="20"/>
                <w:color w:val="auto"/>
              </w:rPr>
            </w:pPr>
            <w:r>
              <w:rPr>
                <w:rFonts w:ascii="Arial" w:cs="Arial" w:eastAsia="Arial" w:hAnsi="Arial"/>
                <w:sz w:val="16"/>
                <w:szCs w:val="16"/>
                <w:color w:val="auto"/>
              </w:rPr>
              <w:t>Base Salary</w:t>
            </w:r>
          </w:p>
        </w:tc>
        <w:tc>
          <w:tcPr>
            <w:tcW w:w="620" w:type="dxa"/>
            <w:vAlign w:val="bottom"/>
          </w:tcPr>
          <w:p>
            <w:pPr>
              <w:spacing w:after="0"/>
              <w:rPr>
                <w:sz w:val="24"/>
                <w:szCs w:val="24"/>
                <w:color w:val="auto"/>
              </w:rPr>
            </w:pPr>
          </w:p>
        </w:tc>
        <w:tc>
          <w:tcPr>
            <w:tcW w:w="180" w:type="dxa"/>
            <w:vAlign w:val="bottom"/>
            <w:shd w:val="clear" w:color="auto" w:fill="B2D1EA"/>
          </w:tcPr>
          <w:p>
            <w:pPr>
              <w:spacing w:after="0"/>
              <w:rPr>
                <w:sz w:val="24"/>
                <w:szCs w:val="24"/>
                <w:color w:val="auto"/>
              </w:rPr>
            </w:pPr>
          </w:p>
        </w:tc>
        <w:tc>
          <w:tcPr>
            <w:tcW w:w="2100" w:type="dxa"/>
            <w:vAlign w:val="bottom"/>
            <w:shd w:val="clear" w:color="auto" w:fill="B2D1EA"/>
          </w:tcPr>
          <w:p>
            <w:pPr>
              <w:spacing w:after="0"/>
              <w:rPr>
                <w:sz w:val="20"/>
                <w:szCs w:val="20"/>
                <w:color w:val="auto"/>
              </w:rPr>
            </w:pPr>
            <w:r>
              <w:rPr>
                <w:rFonts w:ascii="Arial" w:cs="Arial" w:eastAsia="Arial" w:hAnsi="Arial"/>
                <w:sz w:val="16"/>
                <w:szCs w:val="16"/>
                <w:color w:val="auto"/>
              </w:rPr>
              <w:t>Cash Incentive</w:t>
            </w:r>
          </w:p>
        </w:tc>
        <w:tc>
          <w:tcPr>
            <w:tcW w:w="620" w:type="dxa"/>
            <w:vAlign w:val="bottom"/>
          </w:tcPr>
          <w:p>
            <w:pPr>
              <w:spacing w:after="0"/>
              <w:rPr>
                <w:sz w:val="24"/>
                <w:szCs w:val="24"/>
                <w:color w:val="auto"/>
              </w:rPr>
            </w:pPr>
          </w:p>
        </w:tc>
        <w:tc>
          <w:tcPr>
            <w:tcW w:w="2160" w:type="dxa"/>
            <w:vAlign w:val="bottom"/>
            <w:shd w:val="clear" w:color="auto" w:fill="7FB2DC"/>
          </w:tcPr>
          <w:p>
            <w:pPr>
              <w:ind w:left="180"/>
              <w:spacing w:after="0"/>
              <w:rPr>
                <w:sz w:val="20"/>
                <w:szCs w:val="20"/>
                <w:color w:val="auto"/>
              </w:rPr>
            </w:pPr>
            <w:r>
              <w:rPr>
                <w:rFonts w:ascii="Arial" w:cs="Arial" w:eastAsia="Arial" w:hAnsi="Arial"/>
                <w:sz w:val="16"/>
                <w:szCs w:val="16"/>
                <w:color w:val="auto"/>
              </w:rPr>
              <w:t>Long-term Equity</w:t>
            </w:r>
          </w:p>
        </w:tc>
      </w:tr>
      <w:tr>
        <w:trPr>
          <w:trHeight w:val="199"/>
        </w:trPr>
        <w:tc>
          <w:tcPr>
            <w:tcW w:w="1860" w:type="dxa"/>
            <w:vAlign w:val="bottom"/>
            <w:shd w:val="clear" w:color="auto" w:fill="CCCCCC"/>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shd w:val="clear" w:color="auto" w:fill="B2D1EA"/>
          </w:tcPr>
          <w:p>
            <w:pPr>
              <w:spacing w:after="0"/>
              <w:rPr>
                <w:sz w:val="17"/>
                <w:szCs w:val="17"/>
                <w:color w:val="auto"/>
              </w:rPr>
            </w:pPr>
          </w:p>
        </w:tc>
        <w:tc>
          <w:tcPr>
            <w:tcW w:w="2100" w:type="dxa"/>
            <w:vAlign w:val="bottom"/>
            <w:shd w:val="clear" w:color="auto" w:fill="B2D1EA"/>
          </w:tcPr>
          <w:p>
            <w:pPr>
              <w:spacing w:after="0"/>
              <w:rPr>
                <w:sz w:val="20"/>
                <w:szCs w:val="20"/>
                <w:color w:val="auto"/>
              </w:rPr>
            </w:pPr>
            <w:r>
              <w:rPr>
                <w:rFonts w:ascii="Arial" w:cs="Arial" w:eastAsia="Arial" w:hAnsi="Arial"/>
                <w:sz w:val="16"/>
                <w:szCs w:val="16"/>
                <w:color w:val="auto"/>
              </w:rPr>
              <w:t>Bonus Award</w:t>
            </w:r>
          </w:p>
        </w:tc>
        <w:tc>
          <w:tcPr>
            <w:tcW w:w="620" w:type="dxa"/>
            <w:vAlign w:val="bottom"/>
          </w:tcPr>
          <w:p>
            <w:pPr>
              <w:spacing w:after="0"/>
              <w:rPr>
                <w:sz w:val="17"/>
                <w:szCs w:val="17"/>
                <w:color w:val="auto"/>
              </w:rPr>
            </w:pPr>
          </w:p>
        </w:tc>
        <w:tc>
          <w:tcPr>
            <w:tcW w:w="2160" w:type="dxa"/>
            <w:vAlign w:val="bottom"/>
            <w:shd w:val="clear" w:color="auto" w:fill="7FB2DC"/>
          </w:tcPr>
          <w:p>
            <w:pPr>
              <w:ind w:left="180"/>
              <w:spacing w:after="0"/>
              <w:rPr>
                <w:sz w:val="20"/>
                <w:szCs w:val="20"/>
                <w:color w:val="auto"/>
              </w:rPr>
            </w:pPr>
            <w:r>
              <w:rPr>
                <w:rFonts w:ascii="Arial" w:cs="Arial" w:eastAsia="Arial" w:hAnsi="Arial"/>
                <w:sz w:val="16"/>
                <w:szCs w:val="16"/>
                <w:color w:val="auto"/>
              </w:rPr>
              <w:t>Compensation</w:t>
            </w:r>
          </w:p>
        </w:tc>
      </w:tr>
      <w:tr>
        <w:trPr>
          <w:trHeight w:val="97"/>
        </w:trPr>
        <w:tc>
          <w:tcPr>
            <w:tcW w:w="1860" w:type="dxa"/>
            <w:vAlign w:val="bottom"/>
            <w:shd w:val="clear" w:color="auto" w:fill="CCCCCC"/>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shd w:val="clear" w:color="auto" w:fill="B2D1EA"/>
          </w:tcPr>
          <w:p>
            <w:pPr>
              <w:spacing w:after="0"/>
              <w:rPr>
                <w:sz w:val="8"/>
                <w:szCs w:val="8"/>
                <w:color w:val="auto"/>
              </w:rPr>
            </w:pPr>
          </w:p>
        </w:tc>
        <w:tc>
          <w:tcPr>
            <w:tcW w:w="2100" w:type="dxa"/>
            <w:vAlign w:val="bottom"/>
            <w:shd w:val="clear" w:color="auto" w:fill="B2D1EA"/>
          </w:tcPr>
          <w:p>
            <w:pPr>
              <w:spacing w:after="0"/>
              <w:rPr>
                <w:sz w:val="8"/>
                <w:szCs w:val="8"/>
                <w:color w:val="auto"/>
              </w:rPr>
            </w:pPr>
          </w:p>
        </w:tc>
        <w:tc>
          <w:tcPr>
            <w:tcW w:w="620" w:type="dxa"/>
            <w:vAlign w:val="bottom"/>
          </w:tcPr>
          <w:p>
            <w:pPr>
              <w:spacing w:after="0"/>
              <w:rPr>
                <w:sz w:val="8"/>
                <w:szCs w:val="8"/>
                <w:color w:val="auto"/>
              </w:rPr>
            </w:pPr>
          </w:p>
        </w:tc>
        <w:tc>
          <w:tcPr>
            <w:tcW w:w="2160" w:type="dxa"/>
            <w:vAlign w:val="bottom"/>
            <w:shd w:val="clear" w:color="auto" w:fill="7FB2DC"/>
          </w:tcPr>
          <w:p>
            <w:pPr>
              <w:spacing w:after="0"/>
              <w:rPr>
                <w:sz w:val="8"/>
                <w:szCs w:val="8"/>
                <w:color w:val="auto"/>
              </w:rPr>
            </w:pPr>
          </w:p>
        </w:tc>
      </w:tr>
      <w:tr>
        <w:trPr>
          <w:trHeight w:val="248"/>
        </w:trPr>
        <w:tc>
          <w:tcPr>
            <w:tcW w:w="2480" w:type="dxa"/>
            <w:vAlign w:val="bottom"/>
            <w:gridSpan w:val="2"/>
          </w:tcPr>
          <w:p>
            <w:pPr>
              <w:spacing w:after="0"/>
              <w:rPr>
                <w:sz w:val="20"/>
                <w:szCs w:val="20"/>
                <w:color w:val="auto"/>
              </w:rPr>
            </w:pPr>
            <w:r>
              <w:rPr>
                <w:rFonts w:ascii="Arial" w:cs="Arial" w:eastAsia="Arial" w:hAnsi="Arial"/>
                <w:sz w:val="17"/>
                <w:szCs w:val="17"/>
                <w:color w:val="auto"/>
              </w:rPr>
              <w:t>• Attract and retain</w:t>
            </w:r>
          </w:p>
        </w:tc>
        <w:tc>
          <w:tcPr>
            <w:tcW w:w="180" w:type="dxa"/>
            <w:vAlign w:val="bottom"/>
          </w:tcPr>
          <w:p>
            <w:pPr>
              <w:ind w:left="100"/>
              <w:spacing w:after="0"/>
              <w:rPr>
                <w:sz w:val="20"/>
                <w:szCs w:val="20"/>
                <w:color w:val="auto"/>
              </w:rPr>
            </w:pPr>
            <w:r>
              <w:rPr>
                <w:rFonts w:ascii="Arial" w:cs="Arial" w:eastAsia="Arial" w:hAnsi="Arial"/>
                <w:sz w:val="17"/>
                <w:szCs w:val="17"/>
                <w:color w:val="auto"/>
              </w:rPr>
              <w:t>•</w:t>
            </w:r>
          </w:p>
        </w:tc>
        <w:tc>
          <w:tcPr>
            <w:tcW w:w="2100" w:type="dxa"/>
            <w:vAlign w:val="bottom"/>
          </w:tcPr>
          <w:p>
            <w:pPr>
              <w:ind w:left="80"/>
              <w:spacing w:after="0"/>
              <w:rPr>
                <w:sz w:val="20"/>
                <w:szCs w:val="20"/>
                <w:color w:val="auto"/>
              </w:rPr>
            </w:pPr>
            <w:r>
              <w:rPr>
                <w:rFonts w:ascii="Arial" w:cs="Arial" w:eastAsia="Arial" w:hAnsi="Arial"/>
                <w:sz w:val="17"/>
                <w:szCs w:val="17"/>
                <w:color w:val="auto"/>
              </w:rPr>
              <w:t>Link pay and short-term</w:t>
            </w:r>
          </w:p>
        </w:tc>
        <w:tc>
          <w:tcPr>
            <w:tcW w:w="620" w:type="dxa"/>
            <w:vAlign w:val="bottom"/>
          </w:tcPr>
          <w:p>
            <w:pPr>
              <w:spacing w:after="0"/>
              <w:rPr>
                <w:sz w:val="21"/>
                <w:szCs w:val="21"/>
                <w:color w:val="auto"/>
              </w:rPr>
            </w:pPr>
          </w:p>
        </w:tc>
        <w:tc>
          <w:tcPr>
            <w:tcW w:w="2160" w:type="dxa"/>
            <w:vAlign w:val="bottom"/>
          </w:tcPr>
          <w:p>
            <w:pPr>
              <w:ind w:left="100"/>
              <w:spacing w:after="0"/>
              <w:rPr>
                <w:sz w:val="20"/>
                <w:szCs w:val="20"/>
                <w:color w:val="auto"/>
              </w:rPr>
            </w:pPr>
            <w:r>
              <w:rPr>
                <w:rFonts w:ascii="Arial" w:cs="Arial" w:eastAsia="Arial" w:hAnsi="Arial"/>
                <w:sz w:val="17"/>
                <w:szCs w:val="17"/>
                <w:color w:val="auto"/>
              </w:rPr>
              <w:t>• Link pay and long- term</w:t>
            </w:r>
          </w:p>
        </w:tc>
      </w:tr>
      <w:tr>
        <w:trPr>
          <w:trHeight w:val="221"/>
        </w:trPr>
        <w:tc>
          <w:tcPr>
            <w:tcW w:w="2480" w:type="dxa"/>
            <w:vAlign w:val="bottom"/>
            <w:gridSpan w:val="2"/>
          </w:tcPr>
          <w:p>
            <w:pPr>
              <w:ind w:left="140"/>
              <w:spacing w:after="0"/>
              <w:rPr>
                <w:sz w:val="20"/>
                <w:szCs w:val="20"/>
                <w:color w:val="auto"/>
              </w:rPr>
            </w:pPr>
            <w:r>
              <w:rPr>
                <w:rFonts w:ascii="Arial" w:cs="Arial" w:eastAsia="Arial" w:hAnsi="Arial"/>
                <w:sz w:val="17"/>
                <w:szCs w:val="17"/>
                <w:color w:val="auto"/>
              </w:rPr>
              <w:t>executive talent</w:t>
            </w:r>
          </w:p>
        </w:tc>
        <w:tc>
          <w:tcPr>
            <w:tcW w:w="180" w:type="dxa"/>
            <w:vAlign w:val="bottom"/>
          </w:tcPr>
          <w:p>
            <w:pPr>
              <w:spacing w:after="0"/>
              <w:rPr>
                <w:sz w:val="19"/>
                <w:szCs w:val="19"/>
                <w:color w:val="auto"/>
              </w:rPr>
            </w:pPr>
          </w:p>
        </w:tc>
        <w:tc>
          <w:tcPr>
            <w:tcW w:w="2100" w:type="dxa"/>
            <w:vAlign w:val="bottom"/>
          </w:tcPr>
          <w:p>
            <w:pPr>
              <w:ind w:left="60"/>
              <w:spacing w:after="0"/>
              <w:rPr>
                <w:sz w:val="20"/>
                <w:szCs w:val="20"/>
                <w:color w:val="auto"/>
              </w:rPr>
            </w:pPr>
            <w:r>
              <w:rPr>
                <w:rFonts w:ascii="Arial" w:cs="Arial" w:eastAsia="Arial" w:hAnsi="Arial"/>
                <w:sz w:val="17"/>
                <w:szCs w:val="17"/>
                <w:color w:val="auto"/>
              </w:rPr>
              <w:t>Company performance</w:t>
            </w:r>
          </w:p>
        </w:tc>
        <w:tc>
          <w:tcPr>
            <w:tcW w:w="620" w:type="dxa"/>
            <w:vAlign w:val="bottom"/>
          </w:tcPr>
          <w:p>
            <w:pPr>
              <w:spacing w:after="0"/>
              <w:rPr>
                <w:sz w:val="19"/>
                <w:szCs w:val="19"/>
                <w:color w:val="auto"/>
              </w:rPr>
            </w:pPr>
          </w:p>
        </w:tc>
        <w:tc>
          <w:tcPr>
            <w:tcW w:w="2160" w:type="dxa"/>
            <w:vAlign w:val="bottom"/>
          </w:tcPr>
          <w:p>
            <w:pPr>
              <w:ind w:left="240"/>
              <w:spacing w:after="0"/>
              <w:rPr>
                <w:sz w:val="20"/>
                <w:szCs w:val="20"/>
                <w:color w:val="auto"/>
              </w:rPr>
            </w:pPr>
            <w:r>
              <w:rPr>
                <w:rFonts w:ascii="Arial" w:cs="Arial" w:eastAsia="Arial" w:hAnsi="Arial"/>
                <w:sz w:val="17"/>
                <w:szCs w:val="17"/>
                <w:color w:val="auto"/>
              </w:rPr>
              <w:t>Company performance</w:t>
            </w:r>
          </w:p>
        </w:tc>
      </w:tr>
      <w:tr>
        <w:trPr>
          <w:trHeight w:val="261"/>
        </w:trPr>
        <w:tc>
          <w:tcPr>
            <w:tcW w:w="2480" w:type="dxa"/>
            <w:vAlign w:val="bottom"/>
            <w:gridSpan w:val="2"/>
          </w:tcPr>
          <w:p>
            <w:pPr>
              <w:spacing w:after="0"/>
              <w:rPr>
                <w:sz w:val="20"/>
                <w:szCs w:val="20"/>
                <w:color w:val="auto"/>
              </w:rPr>
            </w:pPr>
            <w:r>
              <w:rPr>
                <w:rFonts w:ascii="Arial" w:cs="Arial" w:eastAsia="Arial" w:hAnsi="Arial"/>
                <w:sz w:val="17"/>
                <w:szCs w:val="17"/>
                <w:color w:val="auto"/>
              </w:rPr>
              <w:t>• Provide stable source of</w:t>
            </w:r>
          </w:p>
        </w:tc>
        <w:tc>
          <w:tcPr>
            <w:tcW w:w="180" w:type="dxa"/>
            <w:vAlign w:val="bottom"/>
          </w:tcPr>
          <w:p>
            <w:pPr>
              <w:ind w:left="100"/>
              <w:spacing w:after="0"/>
              <w:rPr>
                <w:sz w:val="20"/>
                <w:szCs w:val="20"/>
                <w:color w:val="auto"/>
              </w:rPr>
            </w:pPr>
            <w:r>
              <w:rPr>
                <w:rFonts w:ascii="Arial" w:cs="Arial" w:eastAsia="Arial" w:hAnsi="Arial"/>
                <w:sz w:val="17"/>
                <w:szCs w:val="17"/>
                <w:color w:val="auto"/>
              </w:rPr>
              <w:t>•</w:t>
            </w:r>
          </w:p>
        </w:tc>
        <w:tc>
          <w:tcPr>
            <w:tcW w:w="2100" w:type="dxa"/>
            <w:vAlign w:val="bottom"/>
          </w:tcPr>
          <w:p>
            <w:pPr>
              <w:ind w:left="80"/>
              <w:spacing w:after="0"/>
              <w:rPr>
                <w:sz w:val="20"/>
                <w:szCs w:val="20"/>
                <w:color w:val="auto"/>
              </w:rPr>
            </w:pPr>
            <w:r>
              <w:rPr>
                <w:rFonts w:ascii="Arial" w:cs="Arial" w:eastAsia="Arial" w:hAnsi="Arial"/>
                <w:sz w:val="17"/>
                <w:szCs w:val="17"/>
                <w:color w:val="auto"/>
              </w:rPr>
              <w:t>Motivate and reward</w:t>
            </w:r>
          </w:p>
        </w:tc>
        <w:tc>
          <w:tcPr>
            <w:tcW w:w="620" w:type="dxa"/>
            <w:vAlign w:val="bottom"/>
          </w:tcPr>
          <w:p>
            <w:pPr>
              <w:spacing w:after="0"/>
              <w:rPr>
                <w:sz w:val="22"/>
                <w:szCs w:val="22"/>
                <w:color w:val="auto"/>
              </w:rPr>
            </w:pPr>
          </w:p>
        </w:tc>
        <w:tc>
          <w:tcPr>
            <w:tcW w:w="2160" w:type="dxa"/>
            <w:vAlign w:val="bottom"/>
          </w:tcPr>
          <w:p>
            <w:pPr>
              <w:ind w:left="100"/>
              <w:spacing w:after="0"/>
              <w:rPr>
                <w:sz w:val="20"/>
                <w:szCs w:val="20"/>
                <w:color w:val="auto"/>
              </w:rPr>
            </w:pPr>
            <w:r>
              <w:rPr>
                <w:rFonts w:ascii="Arial" w:cs="Arial" w:eastAsia="Arial" w:hAnsi="Arial"/>
                <w:sz w:val="17"/>
                <w:szCs w:val="17"/>
                <w:color w:val="auto"/>
              </w:rPr>
              <w:t>• Align the interests</w:t>
            </w:r>
          </w:p>
        </w:tc>
      </w:tr>
      <w:tr>
        <w:trPr>
          <w:trHeight w:val="208"/>
        </w:trPr>
        <w:tc>
          <w:tcPr>
            <w:tcW w:w="2480" w:type="dxa"/>
            <w:vAlign w:val="bottom"/>
            <w:gridSpan w:val="2"/>
          </w:tcPr>
          <w:p>
            <w:pPr>
              <w:ind w:left="140"/>
              <w:spacing w:after="0"/>
              <w:rPr>
                <w:sz w:val="20"/>
                <w:szCs w:val="20"/>
                <w:color w:val="auto"/>
              </w:rPr>
            </w:pPr>
            <w:r>
              <w:rPr>
                <w:rFonts w:ascii="Arial" w:cs="Arial" w:eastAsia="Arial" w:hAnsi="Arial"/>
                <w:sz w:val="17"/>
                <w:szCs w:val="17"/>
                <w:color w:val="auto"/>
              </w:rPr>
              <w:t>income</w:t>
            </w:r>
          </w:p>
        </w:tc>
        <w:tc>
          <w:tcPr>
            <w:tcW w:w="180" w:type="dxa"/>
            <w:vAlign w:val="bottom"/>
          </w:tcPr>
          <w:p>
            <w:pPr>
              <w:spacing w:after="0"/>
              <w:rPr>
                <w:sz w:val="18"/>
                <w:szCs w:val="18"/>
                <w:color w:val="auto"/>
              </w:rPr>
            </w:pPr>
          </w:p>
        </w:tc>
        <w:tc>
          <w:tcPr>
            <w:tcW w:w="2100" w:type="dxa"/>
            <w:vAlign w:val="bottom"/>
          </w:tcPr>
          <w:p>
            <w:pPr>
              <w:ind w:left="60"/>
              <w:spacing w:after="0"/>
              <w:rPr>
                <w:sz w:val="20"/>
                <w:szCs w:val="20"/>
                <w:color w:val="auto"/>
              </w:rPr>
            </w:pPr>
            <w:r>
              <w:rPr>
                <w:rFonts w:ascii="Arial" w:cs="Arial" w:eastAsia="Arial" w:hAnsi="Arial"/>
                <w:sz w:val="17"/>
                <w:szCs w:val="17"/>
                <w:color w:val="auto"/>
              </w:rPr>
              <w:t>executives for</w:t>
            </w:r>
          </w:p>
        </w:tc>
        <w:tc>
          <w:tcPr>
            <w:tcW w:w="620" w:type="dxa"/>
            <w:vAlign w:val="bottom"/>
          </w:tcPr>
          <w:p>
            <w:pPr>
              <w:spacing w:after="0"/>
              <w:rPr>
                <w:sz w:val="18"/>
                <w:szCs w:val="18"/>
                <w:color w:val="auto"/>
              </w:rPr>
            </w:pPr>
          </w:p>
        </w:tc>
        <w:tc>
          <w:tcPr>
            <w:tcW w:w="2160" w:type="dxa"/>
            <w:vAlign w:val="bottom"/>
          </w:tcPr>
          <w:p>
            <w:pPr>
              <w:ind w:left="240"/>
              <w:spacing w:after="0"/>
              <w:rPr>
                <w:sz w:val="20"/>
                <w:szCs w:val="20"/>
                <w:color w:val="auto"/>
              </w:rPr>
            </w:pPr>
            <w:r>
              <w:rPr>
                <w:rFonts w:ascii="Arial" w:cs="Arial" w:eastAsia="Arial" w:hAnsi="Arial"/>
                <w:sz w:val="17"/>
                <w:szCs w:val="17"/>
                <w:color w:val="auto"/>
              </w:rPr>
              <w:t>of executives with</w:t>
            </w:r>
          </w:p>
        </w:tc>
      </w:tr>
      <w:tr>
        <w:trPr>
          <w:trHeight w:val="208"/>
        </w:trPr>
        <w:tc>
          <w:tcPr>
            <w:tcW w:w="1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ind w:left="60"/>
              <w:spacing w:after="0"/>
              <w:rPr>
                <w:sz w:val="20"/>
                <w:szCs w:val="20"/>
                <w:color w:val="auto"/>
              </w:rPr>
            </w:pPr>
            <w:r>
              <w:rPr>
                <w:rFonts w:ascii="Arial" w:cs="Arial" w:eastAsia="Arial" w:hAnsi="Arial"/>
                <w:sz w:val="17"/>
                <w:szCs w:val="17"/>
                <w:color w:val="auto"/>
              </w:rPr>
              <w:t>achieving short-term</w:t>
            </w:r>
          </w:p>
        </w:tc>
        <w:tc>
          <w:tcPr>
            <w:tcW w:w="620" w:type="dxa"/>
            <w:vAlign w:val="bottom"/>
          </w:tcPr>
          <w:p>
            <w:pPr>
              <w:spacing w:after="0"/>
              <w:rPr>
                <w:sz w:val="18"/>
                <w:szCs w:val="18"/>
                <w:color w:val="auto"/>
              </w:rPr>
            </w:pPr>
          </w:p>
        </w:tc>
        <w:tc>
          <w:tcPr>
            <w:tcW w:w="2160" w:type="dxa"/>
            <w:vAlign w:val="bottom"/>
          </w:tcPr>
          <w:p>
            <w:pPr>
              <w:ind w:left="240"/>
              <w:spacing w:after="0"/>
              <w:rPr>
                <w:sz w:val="20"/>
                <w:szCs w:val="20"/>
                <w:color w:val="auto"/>
              </w:rPr>
            </w:pPr>
            <w:r>
              <w:rPr>
                <w:rFonts w:ascii="Arial" w:cs="Arial" w:eastAsia="Arial" w:hAnsi="Arial"/>
                <w:sz w:val="17"/>
                <w:szCs w:val="17"/>
                <w:color w:val="auto"/>
              </w:rPr>
              <w:t>shareholders by</w:t>
            </w:r>
          </w:p>
        </w:tc>
      </w:tr>
      <w:tr>
        <w:trPr>
          <w:trHeight w:val="208"/>
        </w:trPr>
        <w:tc>
          <w:tcPr>
            <w:tcW w:w="1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ind w:left="60"/>
              <w:spacing w:after="0"/>
              <w:rPr>
                <w:sz w:val="20"/>
                <w:szCs w:val="20"/>
                <w:color w:val="auto"/>
              </w:rPr>
            </w:pPr>
            <w:r>
              <w:rPr>
                <w:rFonts w:ascii="Arial" w:cs="Arial" w:eastAsia="Arial" w:hAnsi="Arial"/>
                <w:sz w:val="17"/>
                <w:szCs w:val="17"/>
                <w:color w:val="auto"/>
              </w:rPr>
              <w:t>Company financial</w:t>
            </w:r>
          </w:p>
        </w:tc>
        <w:tc>
          <w:tcPr>
            <w:tcW w:w="620" w:type="dxa"/>
            <w:vAlign w:val="bottom"/>
          </w:tcPr>
          <w:p>
            <w:pPr>
              <w:spacing w:after="0"/>
              <w:rPr>
                <w:sz w:val="18"/>
                <w:szCs w:val="18"/>
                <w:color w:val="auto"/>
              </w:rPr>
            </w:pPr>
          </w:p>
        </w:tc>
        <w:tc>
          <w:tcPr>
            <w:tcW w:w="2160" w:type="dxa"/>
            <w:vAlign w:val="bottom"/>
          </w:tcPr>
          <w:p>
            <w:pPr>
              <w:ind w:left="240"/>
              <w:spacing w:after="0"/>
              <w:rPr>
                <w:sz w:val="20"/>
                <w:szCs w:val="20"/>
                <w:color w:val="auto"/>
              </w:rPr>
            </w:pPr>
            <w:r>
              <w:rPr>
                <w:rFonts w:ascii="Arial" w:cs="Arial" w:eastAsia="Arial" w:hAnsi="Arial"/>
                <w:sz w:val="17"/>
                <w:szCs w:val="17"/>
                <w:color w:val="auto"/>
              </w:rPr>
              <w:t>rewarding long-term</w:t>
            </w:r>
          </w:p>
        </w:tc>
      </w:tr>
      <w:tr>
        <w:trPr>
          <w:trHeight w:val="208"/>
        </w:trPr>
        <w:tc>
          <w:tcPr>
            <w:tcW w:w="1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ind w:left="60"/>
              <w:spacing w:after="0"/>
              <w:rPr>
                <w:sz w:val="20"/>
                <w:szCs w:val="20"/>
                <w:color w:val="auto"/>
              </w:rPr>
            </w:pPr>
            <w:r>
              <w:rPr>
                <w:rFonts w:ascii="Arial" w:cs="Arial" w:eastAsia="Arial" w:hAnsi="Arial"/>
                <w:sz w:val="17"/>
                <w:szCs w:val="17"/>
                <w:color w:val="auto"/>
                <w:w w:val="93"/>
              </w:rPr>
              <w:t>objectives aligned with value</w:t>
            </w:r>
          </w:p>
        </w:tc>
        <w:tc>
          <w:tcPr>
            <w:tcW w:w="620" w:type="dxa"/>
            <w:vAlign w:val="bottom"/>
          </w:tcPr>
          <w:p>
            <w:pPr>
              <w:spacing w:after="0"/>
              <w:rPr>
                <w:sz w:val="18"/>
                <w:szCs w:val="18"/>
                <w:color w:val="auto"/>
              </w:rPr>
            </w:pPr>
          </w:p>
        </w:tc>
        <w:tc>
          <w:tcPr>
            <w:tcW w:w="2160" w:type="dxa"/>
            <w:vAlign w:val="bottom"/>
          </w:tcPr>
          <w:p>
            <w:pPr>
              <w:ind w:left="240"/>
              <w:spacing w:after="0"/>
              <w:rPr>
                <w:sz w:val="20"/>
                <w:szCs w:val="20"/>
                <w:color w:val="auto"/>
              </w:rPr>
            </w:pPr>
            <w:r>
              <w:rPr>
                <w:rFonts w:ascii="Arial" w:cs="Arial" w:eastAsia="Arial" w:hAnsi="Arial"/>
                <w:sz w:val="17"/>
                <w:szCs w:val="17"/>
                <w:color w:val="auto"/>
              </w:rPr>
              <w:t>stock price appreciation</w:t>
            </w:r>
          </w:p>
        </w:tc>
      </w:tr>
      <w:tr>
        <w:trPr>
          <w:trHeight w:val="221"/>
        </w:trPr>
        <w:tc>
          <w:tcPr>
            <w:tcW w:w="1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Pr>
          <w:p>
            <w:pPr>
              <w:ind w:left="60"/>
              <w:spacing w:after="0"/>
              <w:rPr>
                <w:sz w:val="20"/>
                <w:szCs w:val="20"/>
                <w:color w:val="auto"/>
              </w:rPr>
            </w:pPr>
            <w:r>
              <w:rPr>
                <w:rFonts w:ascii="Arial" w:cs="Arial" w:eastAsia="Arial" w:hAnsi="Arial"/>
                <w:sz w:val="17"/>
                <w:szCs w:val="17"/>
                <w:color w:val="auto"/>
              </w:rPr>
              <w:t>creation</w:t>
            </w:r>
          </w:p>
        </w:tc>
        <w:tc>
          <w:tcPr>
            <w:tcW w:w="620" w:type="dxa"/>
            <w:vAlign w:val="bottom"/>
          </w:tcPr>
          <w:p>
            <w:pPr>
              <w:spacing w:after="0"/>
              <w:rPr>
                <w:sz w:val="19"/>
                <w:szCs w:val="19"/>
                <w:color w:val="auto"/>
              </w:rPr>
            </w:pPr>
          </w:p>
        </w:tc>
        <w:tc>
          <w:tcPr>
            <w:tcW w:w="21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1605280</wp:posOffset>
            </wp:positionH>
            <wp:positionV relativeFrom="paragraph">
              <wp:posOffset>-1386840</wp:posOffset>
            </wp:positionV>
            <wp:extent cx="156845" cy="156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56845" cy="156845"/>
                    </a:xfrm>
                    <a:prstGeom prst="rect">
                      <a:avLst/>
                    </a:prstGeom>
                    <a:noFill/>
                  </pic:spPr>
                </pic:pic>
              </a:graphicData>
            </a:graphic>
          </wp:anchor>
        </w:drawing>
        <w:drawing>
          <wp:anchor simplePos="0" relativeHeight="251657728" behindDoc="1" locked="0" layoutInCell="0" allowOverlap="1">
            <wp:simplePos x="0" y="0"/>
            <wp:positionH relativeFrom="column">
              <wp:posOffset>3447415</wp:posOffset>
            </wp:positionH>
            <wp:positionV relativeFrom="paragraph">
              <wp:posOffset>-1386840</wp:posOffset>
            </wp:positionV>
            <wp:extent cx="156845" cy="156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56845" cy="156845"/>
                    </a:xfrm>
                    <a:prstGeom prst="rect">
                      <a:avLst/>
                    </a:prstGeom>
                    <a:noFill/>
                  </pic:spPr>
                </pic:pic>
              </a:graphicData>
            </a:graphic>
          </wp:anchor>
        </w:drawing>
        <w:drawing>
          <wp:anchor simplePos="0" relativeHeight="251657728" behindDoc="1" locked="0" layoutInCell="0" allowOverlap="1">
            <wp:simplePos x="0" y="0"/>
            <wp:positionH relativeFrom="column">
              <wp:posOffset>5207000</wp:posOffset>
            </wp:positionH>
            <wp:positionV relativeFrom="paragraph">
              <wp:posOffset>-1386840</wp:posOffset>
            </wp:positionV>
            <wp:extent cx="156845" cy="156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56845" cy="156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ind w:left="67" w:right="800"/>
        <w:spacing w:after="0" w:line="347" w:lineRule="auto"/>
        <w:rPr>
          <w:sz w:val="20"/>
          <w:szCs w:val="20"/>
          <w:color w:val="auto"/>
        </w:rPr>
      </w:pPr>
      <w:r>
        <w:rPr>
          <w:rFonts w:ascii="Arial" w:cs="Arial" w:eastAsia="Arial" w:hAnsi="Arial"/>
          <w:sz w:val="14"/>
          <w:szCs w:val="14"/>
          <w:color w:val="auto"/>
        </w:rPr>
        <w:t>Retirement and Other Employee Benefits</w:t>
      </w:r>
    </w:p>
    <w:p>
      <w:pPr>
        <w:spacing w:after="0" w:line="65" w:lineRule="exact"/>
        <w:rPr>
          <w:sz w:val="20"/>
          <w:szCs w:val="20"/>
          <w:color w:val="auto"/>
        </w:rPr>
      </w:pPr>
    </w:p>
    <w:p>
      <w:pPr>
        <w:jc w:val="both"/>
        <w:ind w:left="147" w:right="500" w:hanging="147"/>
        <w:spacing w:after="0" w:line="323" w:lineRule="auto"/>
        <w:tabs>
          <w:tab w:leader="none" w:pos="155" w:val="left"/>
        </w:tabs>
        <w:numPr>
          <w:ilvl w:val="0"/>
          <w:numId w:val="50"/>
        </w:numPr>
        <w:rPr>
          <w:rFonts w:ascii="Arial" w:cs="Arial" w:eastAsia="Arial" w:hAnsi="Arial"/>
          <w:sz w:val="15"/>
          <w:szCs w:val="15"/>
          <w:color w:val="auto"/>
        </w:rPr>
      </w:pPr>
      <w:r>
        <w:rPr>
          <w:rFonts w:ascii="Arial" w:cs="Arial" w:eastAsia="Arial" w:hAnsi="Arial"/>
          <w:sz w:val="15"/>
          <w:szCs w:val="15"/>
          <w:color w:val="auto"/>
        </w:rPr>
        <w:t>Retain executive talent by providing financial protection and security</w:t>
      </w:r>
    </w:p>
    <w:p>
      <w:pPr>
        <w:spacing w:after="0" w:line="1240" w:lineRule="exact"/>
        <w:rPr>
          <w:sz w:val="20"/>
          <w:szCs w:val="20"/>
          <w:color w:val="auto"/>
        </w:rPr>
      </w:pPr>
    </w:p>
    <w:p>
      <w:pPr>
        <w:sectPr>
          <w:pgSz w:w="11900" w:h="16838" w:orient="portrait"/>
          <w:cols w:equalWidth="0" w:num="2">
            <w:col w:w="8020" w:space="693"/>
            <w:col w:w="2227"/>
          </w:cols>
          <w:pgMar w:left="320" w:top="447" w:right="639" w:bottom="1440" w:gutter="0" w:footer="0" w:header="0"/>
          <w:type w:val="continuous"/>
        </w:sectPr>
      </w:pPr>
    </w:p>
    <w:p>
      <w:pPr>
        <w:ind w:left="480"/>
        <w:spacing w:after="0"/>
        <w:rPr>
          <w:sz w:val="20"/>
          <w:szCs w:val="20"/>
          <w:color w:val="auto"/>
        </w:rPr>
      </w:pPr>
      <w:r>
        <w:rPr>
          <w:rFonts w:ascii="Arial" w:cs="Arial" w:eastAsia="Arial" w:hAnsi="Arial"/>
          <w:sz w:val="19"/>
          <w:szCs w:val="19"/>
          <w:b w:val="1"/>
          <w:bCs w:val="1"/>
          <w:color w:val="auto"/>
        </w:rPr>
        <w:t>Base Salary</w:t>
      </w:r>
    </w:p>
    <w:p>
      <w:pPr>
        <w:spacing w:after="0" w:line="57" w:lineRule="exact"/>
        <w:rPr>
          <w:sz w:val="20"/>
          <w:szCs w:val="20"/>
          <w:color w:val="auto"/>
        </w:rPr>
      </w:pPr>
    </w:p>
    <w:p>
      <w:pPr>
        <w:ind w:left="480" w:right="180"/>
        <w:spacing w:after="0" w:line="295" w:lineRule="auto"/>
        <w:rPr>
          <w:sz w:val="20"/>
          <w:szCs w:val="20"/>
          <w:color w:val="auto"/>
        </w:rPr>
      </w:pPr>
      <w:r>
        <w:rPr>
          <w:rFonts w:ascii="Arial" w:cs="Arial" w:eastAsia="Arial" w:hAnsi="Arial"/>
          <w:sz w:val="16"/>
          <w:szCs w:val="16"/>
          <w:color w:val="auto"/>
        </w:rPr>
        <w:t>We use salaries for similar positions within our peer group companies as an important factor in setting the base salaries of our executive officers at a level designed to attract and retain talent. When setting the fiscal 2021 base salary for each individual executive officer, the Compensation Committee also considered other factors, including the scope of the role and the performance and experience of the individual.</w:t>
      </w:r>
    </w:p>
    <w:p>
      <w:pPr>
        <w:spacing w:after="0" w:line="139"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Fiscal 2021 Executive Performance Incentive Plan</w:t>
      </w:r>
    </w:p>
    <w:p>
      <w:pPr>
        <w:spacing w:after="0" w:line="57" w:lineRule="exact"/>
        <w:rPr>
          <w:sz w:val="20"/>
          <w:szCs w:val="20"/>
          <w:color w:val="auto"/>
        </w:rPr>
      </w:pPr>
    </w:p>
    <w:p>
      <w:pPr>
        <w:ind w:left="480" w:right="600"/>
        <w:spacing w:after="0" w:line="286" w:lineRule="auto"/>
        <w:rPr>
          <w:sz w:val="20"/>
          <w:szCs w:val="20"/>
          <w:color w:val="auto"/>
        </w:rPr>
      </w:pPr>
      <w:r>
        <w:rPr>
          <w:rFonts w:ascii="Arial" w:cs="Arial" w:eastAsia="Arial" w:hAnsi="Arial"/>
          <w:sz w:val="17"/>
          <w:szCs w:val="17"/>
          <w:color w:val="auto"/>
        </w:rPr>
        <w:t>In September 2020, the Compensation Committee approved the terms of our executive performance incentive plan for fiscal 2021. The plan is designed to be variable, depending on ADI’s operating results.</w:t>
      </w:r>
    </w:p>
    <w:p>
      <w:pPr>
        <w:spacing w:after="0" w:line="5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All executive officers, including our NEOs, participated in our fiscal 2021 executive performance incentive plan.</w:t>
      </w:r>
    </w:p>
    <w:p>
      <w:pPr>
        <w:spacing w:after="0" w:line="2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calculated and paid bonuses under this plan as follows:</w:t>
      </w:r>
    </w:p>
    <w:p>
      <w:pPr>
        <w:spacing w:after="0" w:line="247" w:lineRule="exact"/>
        <w:rPr>
          <w:sz w:val="20"/>
          <w:szCs w:val="20"/>
          <w:color w:val="auto"/>
        </w:rPr>
      </w:pPr>
    </w:p>
    <w:tbl>
      <w:tblPr>
        <w:tblLayout w:type="fixed"/>
        <w:tblInd w:w="480" w:type="dxa"/>
        <w:tblCellMar>
          <w:top w:w="0" w:type="dxa"/>
          <w:left w:w="0" w:type="dxa"/>
          <w:bottom w:w="0" w:type="dxa"/>
          <w:right w:w="0" w:type="dxa"/>
        </w:tblCellMar>
      </w:tblPr>
      <w:tr>
        <w:trPr>
          <w:trHeight w:val="465"/>
        </w:trPr>
        <w:tc>
          <w:tcPr>
            <w:tcW w:w="1860" w:type="dxa"/>
            <w:vAlign w:val="bottom"/>
            <w:shd w:val="clear" w:color="auto" w:fill="CCCCCC"/>
          </w:tcPr>
          <w:p>
            <w:pPr>
              <w:spacing w:after="0"/>
              <w:rPr>
                <w:sz w:val="24"/>
                <w:szCs w:val="24"/>
                <w:color w:val="auto"/>
              </w:rPr>
            </w:pPr>
          </w:p>
        </w:tc>
        <w:tc>
          <w:tcPr>
            <w:tcW w:w="620" w:type="dxa"/>
            <w:vAlign w:val="bottom"/>
          </w:tcPr>
          <w:p>
            <w:pPr>
              <w:spacing w:after="0"/>
              <w:rPr>
                <w:sz w:val="24"/>
                <w:szCs w:val="24"/>
                <w:color w:val="auto"/>
              </w:rPr>
            </w:pPr>
          </w:p>
        </w:tc>
        <w:tc>
          <w:tcPr>
            <w:tcW w:w="2280" w:type="dxa"/>
            <w:vAlign w:val="bottom"/>
            <w:shd w:val="clear" w:color="auto" w:fill="B2D1EA"/>
          </w:tcPr>
          <w:p>
            <w:pPr>
              <w:jc w:val="center"/>
              <w:ind w:left="85"/>
              <w:spacing w:after="0"/>
              <w:rPr>
                <w:sz w:val="20"/>
                <w:szCs w:val="20"/>
                <w:color w:val="auto"/>
              </w:rPr>
            </w:pPr>
            <w:r>
              <w:rPr>
                <w:rFonts w:ascii="Arial" w:cs="Arial" w:eastAsia="Arial" w:hAnsi="Arial"/>
                <w:sz w:val="19"/>
                <w:szCs w:val="19"/>
                <w:color w:val="auto"/>
              </w:rPr>
              <w:t>Individual</w:t>
            </w:r>
          </w:p>
        </w:tc>
        <w:tc>
          <w:tcPr>
            <w:tcW w:w="620" w:type="dxa"/>
            <w:vAlign w:val="bottom"/>
          </w:tcPr>
          <w:p>
            <w:pPr>
              <w:spacing w:after="0"/>
              <w:rPr>
                <w:sz w:val="24"/>
                <w:szCs w:val="24"/>
                <w:color w:val="auto"/>
              </w:rPr>
            </w:pPr>
          </w:p>
        </w:tc>
        <w:tc>
          <w:tcPr>
            <w:tcW w:w="2160" w:type="dxa"/>
            <w:vAlign w:val="bottom"/>
            <w:vMerge w:val="restart"/>
            <w:shd w:val="clear" w:color="auto" w:fill="7FB2DC"/>
          </w:tcPr>
          <w:p>
            <w:pPr>
              <w:ind w:left="900"/>
              <w:spacing w:after="0"/>
              <w:rPr>
                <w:sz w:val="20"/>
                <w:szCs w:val="20"/>
                <w:color w:val="auto"/>
              </w:rPr>
            </w:pPr>
            <w:r>
              <w:rPr>
                <w:rFonts w:ascii="Arial" w:cs="Arial" w:eastAsia="Arial" w:hAnsi="Arial"/>
                <w:sz w:val="19"/>
                <w:szCs w:val="19"/>
                <w:color w:val="auto"/>
              </w:rPr>
              <w:t>Bonus</w:t>
            </w:r>
          </w:p>
        </w:tc>
        <w:tc>
          <w:tcPr>
            <w:tcW w:w="600" w:type="dxa"/>
            <w:vAlign w:val="bottom"/>
          </w:tcPr>
          <w:p>
            <w:pPr>
              <w:spacing w:after="0"/>
              <w:rPr>
                <w:sz w:val="24"/>
                <w:szCs w:val="24"/>
                <w:color w:val="auto"/>
              </w:rPr>
            </w:pPr>
          </w:p>
        </w:tc>
        <w:tc>
          <w:tcPr>
            <w:tcW w:w="2140" w:type="dxa"/>
            <w:vAlign w:val="bottom"/>
            <w:shd w:val="clear" w:color="auto" w:fill="4C93CE"/>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860" w:type="dxa"/>
            <w:vAlign w:val="bottom"/>
            <w:vMerge w:val="restart"/>
            <w:shd w:val="clear" w:color="auto" w:fill="CCCCCC"/>
          </w:tcPr>
          <w:p>
            <w:pPr>
              <w:jc w:val="center"/>
              <w:spacing w:after="0" w:line="208" w:lineRule="exact"/>
              <w:rPr>
                <w:sz w:val="20"/>
                <w:szCs w:val="20"/>
                <w:color w:val="auto"/>
              </w:rPr>
            </w:pPr>
            <w:r>
              <w:rPr>
                <w:rFonts w:ascii="Arial" w:cs="Arial" w:eastAsia="Arial" w:hAnsi="Arial"/>
                <w:sz w:val="19"/>
                <w:szCs w:val="19"/>
                <w:color w:val="auto"/>
              </w:rPr>
              <w:t>Base</w:t>
            </w:r>
          </w:p>
        </w:tc>
        <w:tc>
          <w:tcPr>
            <w:tcW w:w="620" w:type="dxa"/>
            <w:vAlign w:val="bottom"/>
          </w:tcPr>
          <w:p>
            <w:pPr>
              <w:spacing w:after="0"/>
              <w:rPr>
                <w:sz w:val="10"/>
                <w:szCs w:val="10"/>
                <w:color w:val="auto"/>
              </w:rPr>
            </w:pPr>
          </w:p>
        </w:tc>
        <w:tc>
          <w:tcPr>
            <w:tcW w:w="2280" w:type="dxa"/>
            <w:vAlign w:val="bottom"/>
            <w:vMerge w:val="restart"/>
            <w:shd w:val="clear" w:color="auto" w:fill="B2D1EA"/>
          </w:tcPr>
          <w:p>
            <w:pPr>
              <w:jc w:val="center"/>
              <w:ind w:left="85"/>
              <w:spacing w:after="0" w:line="208" w:lineRule="exact"/>
              <w:rPr>
                <w:sz w:val="20"/>
                <w:szCs w:val="20"/>
                <w:color w:val="auto"/>
              </w:rPr>
            </w:pPr>
            <w:r>
              <w:rPr>
                <w:rFonts w:ascii="Arial" w:cs="Arial" w:eastAsia="Arial" w:hAnsi="Arial"/>
                <w:sz w:val="19"/>
                <w:szCs w:val="19"/>
                <w:color w:val="auto"/>
                <w:w w:val="98"/>
              </w:rPr>
              <w:t>Target</w:t>
            </w:r>
          </w:p>
        </w:tc>
        <w:tc>
          <w:tcPr>
            <w:tcW w:w="620" w:type="dxa"/>
            <w:vAlign w:val="bottom"/>
          </w:tcPr>
          <w:p>
            <w:pPr>
              <w:spacing w:after="0"/>
              <w:rPr>
                <w:sz w:val="10"/>
                <w:szCs w:val="10"/>
                <w:color w:val="auto"/>
              </w:rPr>
            </w:pPr>
          </w:p>
        </w:tc>
        <w:tc>
          <w:tcPr>
            <w:tcW w:w="2160" w:type="dxa"/>
            <w:vAlign w:val="bottom"/>
            <w:vMerge w:val="continue"/>
            <w:shd w:val="clear" w:color="auto" w:fill="7FB2DC"/>
          </w:tcPr>
          <w:p>
            <w:pPr>
              <w:spacing w:after="0"/>
              <w:rPr>
                <w:sz w:val="10"/>
                <w:szCs w:val="10"/>
                <w:color w:val="auto"/>
              </w:rPr>
            </w:pPr>
          </w:p>
        </w:tc>
        <w:tc>
          <w:tcPr>
            <w:tcW w:w="600" w:type="dxa"/>
            <w:vAlign w:val="bottom"/>
          </w:tcPr>
          <w:p>
            <w:pPr>
              <w:spacing w:after="0"/>
              <w:rPr>
                <w:sz w:val="10"/>
                <w:szCs w:val="10"/>
                <w:color w:val="auto"/>
              </w:rPr>
            </w:pPr>
          </w:p>
        </w:tc>
        <w:tc>
          <w:tcPr>
            <w:tcW w:w="2140" w:type="dxa"/>
            <w:vAlign w:val="bottom"/>
            <w:vMerge w:val="restart"/>
            <w:shd w:val="clear" w:color="auto" w:fill="4C93CE"/>
          </w:tcPr>
          <w:p>
            <w:pPr>
              <w:ind w:left="880"/>
              <w:spacing w:after="0" w:line="208" w:lineRule="exact"/>
              <w:rPr>
                <w:sz w:val="20"/>
                <w:szCs w:val="20"/>
                <w:color w:val="auto"/>
              </w:rPr>
            </w:pPr>
            <w:r>
              <w:rPr>
                <w:rFonts w:ascii="Arial" w:cs="Arial" w:eastAsia="Arial" w:hAnsi="Arial"/>
                <w:sz w:val="19"/>
                <w:szCs w:val="19"/>
                <w:color w:val="auto"/>
              </w:rPr>
              <w:t>Bonus</w:t>
            </w:r>
          </w:p>
        </w:tc>
        <w:tc>
          <w:tcPr>
            <w:tcW w:w="0" w:type="dxa"/>
            <w:vAlign w:val="bottom"/>
          </w:tcPr>
          <w:p>
            <w:pPr>
              <w:spacing w:after="0"/>
              <w:rPr>
                <w:sz w:val="1"/>
                <w:szCs w:val="1"/>
                <w:color w:val="auto"/>
              </w:rPr>
            </w:pPr>
          </w:p>
        </w:tc>
      </w:tr>
      <w:tr>
        <w:trPr>
          <w:trHeight w:val="91"/>
        </w:trPr>
        <w:tc>
          <w:tcPr>
            <w:tcW w:w="1860" w:type="dxa"/>
            <w:vAlign w:val="bottom"/>
            <w:vMerge w:val="continue"/>
            <w:shd w:val="clear" w:color="auto" w:fill="CCCCCC"/>
          </w:tcPr>
          <w:p>
            <w:pPr>
              <w:spacing w:after="0"/>
              <w:rPr>
                <w:sz w:val="7"/>
                <w:szCs w:val="7"/>
                <w:color w:val="auto"/>
              </w:rPr>
            </w:pPr>
          </w:p>
        </w:tc>
        <w:tc>
          <w:tcPr>
            <w:tcW w:w="620" w:type="dxa"/>
            <w:vAlign w:val="bottom"/>
          </w:tcPr>
          <w:p>
            <w:pPr>
              <w:spacing w:after="0"/>
              <w:rPr>
                <w:sz w:val="7"/>
                <w:szCs w:val="7"/>
                <w:color w:val="auto"/>
              </w:rPr>
            </w:pPr>
          </w:p>
        </w:tc>
        <w:tc>
          <w:tcPr>
            <w:tcW w:w="2280" w:type="dxa"/>
            <w:vAlign w:val="bottom"/>
            <w:vMerge w:val="continue"/>
            <w:shd w:val="clear" w:color="auto" w:fill="B2D1EA"/>
          </w:tcPr>
          <w:p>
            <w:pPr>
              <w:spacing w:after="0"/>
              <w:rPr>
                <w:sz w:val="7"/>
                <w:szCs w:val="7"/>
                <w:color w:val="auto"/>
              </w:rPr>
            </w:pPr>
          </w:p>
        </w:tc>
        <w:tc>
          <w:tcPr>
            <w:tcW w:w="620" w:type="dxa"/>
            <w:vAlign w:val="bottom"/>
          </w:tcPr>
          <w:p>
            <w:pPr>
              <w:spacing w:after="0"/>
              <w:rPr>
                <w:sz w:val="7"/>
                <w:szCs w:val="7"/>
                <w:color w:val="auto"/>
              </w:rPr>
            </w:pPr>
          </w:p>
        </w:tc>
        <w:tc>
          <w:tcPr>
            <w:tcW w:w="2160" w:type="dxa"/>
            <w:vAlign w:val="bottom"/>
            <w:vMerge w:val="restart"/>
            <w:shd w:val="clear" w:color="auto" w:fill="7FB2DC"/>
          </w:tcPr>
          <w:p>
            <w:pPr>
              <w:ind w:left="880"/>
              <w:spacing w:after="0" w:line="208" w:lineRule="exact"/>
              <w:rPr>
                <w:sz w:val="20"/>
                <w:szCs w:val="20"/>
                <w:color w:val="auto"/>
              </w:rPr>
            </w:pPr>
            <w:r>
              <w:rPr>
                <w:rFonts w:ascii="Arial" w:cs="Arial" w:eastAsia="Arial" w:hAnsi="Arial"/>
                <w:sz w:val="19"/>
                <w:szCs w:val="19"/>
                <w:color w:val="auto"/>
              </w:rPr>
              <w:t>Payout</w:t>
            </w:r>
          </w:p>
        </w:tc>
        <w:tc>
          <w:tcPr>
            <w:tcW w:w="600" w:type="dxa"/>
            <w:vAlign w:val="bottom"/>
          </w:tcPr>
          <w:p>
            <w:pPr>
              <w:spacing w:after="0"/>
              <w:rPr>
                <w:sz w:val="7"/>
                <w:szCs w:val="7"/>
                <w:color w:val="auto"/>
              </w:rPr>
            </w:pPr>
          </w:p>
        </w:tc>
        <w:tc>
          <w:tcPr>
            <w:tcW w:w="2140" w:type="dxa"/>
            <w:vAlign w:val="bottom"/>
            <w:vMerge w:val="continue"/>
            <w:shd w:val="clear" w:color="auto" w:fill="4C93C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1860" w:type="dxa"/>
            <w:vAlign w:val="bottom"/>
            <w:vMerge w:val="restart"/>
            <w:shd w:val="clear" w:color="auto" w:fill="CCCCCC"/>
          </w:tcPr>
          <w:p>
            <w:pPr>
              <w:jc w:val="center"/>
              <w:spacing w:after="0" w:line="208" w:lineRule="exact"/>
              <w:rPr>
                <w:sz w:val="20"/>
                <w:szCs w:val="20"/>
                <w:color w:val="auto"/>
              </w:rPr>
            </w:pPr>
            <w:r>
              <w:rPr>
                <w:rFonts w:ascii="Arial" w:cs="Arial" w:eastAsia="Arial" w:hAnsi="Arial"/>
                <w:sz w:val="19"/>
                <w:szCs w:val="19"/>
                <w:color w:val="auto"/>
              </w:rPr>
              <w:t>Salary</w:t>
            </w:r>
          </w:p>
        </w:tc>
        <w:tc>
          <w:tcPr>
            <w:tcW w:w="620" w:type="dxa"/>
            <w:vAlign w:val="bottom"/>
          </w:tcPr>
          <w:p>
            <w:pPr>
              <w:spacing w:after="0"/>
              <w:rPr>
                <w:sz w:val="10"/>
                <w:szCs w:val="10"/>
                <w:color w:val="auto"/>
              </w:rPr>
            </w:pPr>
          </w:p>
        </w:tc>
        <w:tc>
          <w:tcPr>
            <w:tcW w:w="2280" w:type="dxa"/>
            <w:vAlign w:val="bottom"/>
            <w:vMerge w:val="restart"/>
            <w:shd w:val="clear" w:color="auto" w:fill="B2D1EA"/>
          </w:tcPr>
          <w:p>
            <w:pPr>
              <w:jc w:val="center"/>
              <w:ind w:left="85"/>
              <w:spacing w:after="0" w:line="208" w:lineRule="exact"/>
              <w:rPr>
                <w:sz w:val="20"/>
                <w:szCs w:val="20"/>
                <w:color w:val="auto"/>
              </w:rPr>
            </w:pPr>
            <w:r>
              <w:rPr>
                <w:rFonts w:ascii="Arial" w:cs="Arial" w:eastAsia="Arial" w:hAnsi="Arial"/>
                <w:sz w:val="19"/>
                <w:szCs w:val="19"/>
                <w:color w:val="auto"/>
              </w:rPr>
              <w:t>Bonus</w:t>
            </w:r>
          </w:p>
        </w:tc>
        <w:tc>
          <w:tcPr>
            <w:tcW w:w="620" w:type="dxa"/>
            <w:vAlign w:val="bottom"/>
          </w:tcPr>
          <w:p>
            <w:pPr>
              <w:spacing w:after="0"/>
              <w:rPr>
                <w:sz w:val="10"/>
                <w:szCs w:val="10"/>
                <w:color w:val="auto"/>
              </w:rPr>
            </w:pPr>
          </w:p>
        </w:tc>
        <w:tc>
          <w:tcPr>
            <w:tcW w:w="2160" w:type="dxa"/>
            <w:vAlign w:val="bottom"/>
            <w:vMerge w:val="continue"/>
            <w:shd w:val="clear" w:color="auto" w:fill="7FB2DC"/>
          </w:tcPr>
          <w:p>
            <w:pPr>
              <w:spacing w:after="0"/>
              <w:rPr>
                <w:sz w:val="10"/>
                <w:szCs w:val="10"/>
                <w:color w:val="auto"/>
              </w:rPr>
            </w:pPr>
          </w:p>
        </w:tc>
        <w:tc>
          <w:tcPr>
            <w:tcW w:w="600" w:type="dxa"/>
            <w:vAlign w:val="bottom"/>
          </w:tcPr>
          <w:p>
            <w:pPr>
              <w:spacing w:after="0"/>
              <w:rPr>
                <w:sz w:val="10"/>
                <w:szCs w:val="10"/>
                <w:color w:val="auto"/>
              </w:rPr>
            </w:pPr>
          </w:p>
        </w:tc>
        <w:tc>
          <w:tcPr>
            <w:tcW w:w="2140" w:type="dxa"/>
            <w:vAlign w:val="bottom"/>
            <w:vMerge w:val="restart"/>
            <w:shd w:val="clear" w:color="auto" w:fill="4C93CE"/>
          </w:tcPr>
          <w:p>
            <w:pPr>
              <w:ind w:left="860"/>
              <w:spacing w:after="0" w:line="208" w:lineRule="exact"/>
              <w:rPr>
                <w:sz w:val="20"/>
                <w:szCs w:val="20"/>
                <w:color w:val="auto"/>
              </w:rPr>
            </w:pPr>
            <w:r>
              <w:rPr>
                <w:rFonts w:ascii="Arial" w:cs="Arial" w:eastAsia="Arial" w:hAnsi="Arial"/>
                <w:sz w:val="19"/>
                <w:szCs w:val="19"/>
                <w:color w:val="auto"/>
              </w:rPr>
              <w:t>Payout</w:t>
            </w:r>
          </w:p>
        </w:tc>
        <w:tc>
          <w:tcPr>
            <w:tcW w:w="0" w:type="dxa"/>
            <w:vAlign w:val="bottom"/>
          </w:tcPr>
          <w:p>
            <w:pPr>
              <w:spacing w:after="0"/>
              <w:rPr>
                <w:sz w:val="1"/>
                <w:szCs w:val="1"/>
                <w:color w:val="auto"/>
              </w:rPr>
            </w:pPr>
          </w:p>
        </w:tc>
      </w:tr>
      <w:tr>
        <w:trPr>
          <w:trHeight w:val="91"/>
        </w:trPr>
        <w:tc>
          <w:tcPr>
            <w:tcW w:w="1860" w:type="dxa"/>
            <w:vAlign w:val="bottom"/>
            <w:vMerge w:val="continue"/>
            <w:shd w:val="clear" w:color="auto" w:fill="CCCCCC"/>
          </w:tcPr>
          <w:p>
            <w:pPr>
              <w:spacing w:after="0"/>
              <w:rPr>
                <w:sz w:val="7"/>
                <w:szCs w:val="7"/>
                <w:color w:val="auto"/>
              </w:rPr>
            </w:pPr>
          </w:p>
        </w:tc>
        <w:tc>
          <w:tcPr>
            <w:tcW w:w="620" w:type="dxa"/>
            <w:vAlign w:val="bottom"/>
          </w:tcPr>
          <w:p>
            <w:pPr>
              <w:spacing w:after="0"/>
              <w:rPr>
                <w:sz w:val="7"/>
                <w:szCs w:val="7"/>
                <w:color w:val="auto"/>
              </w:rPr>
            </w:pPr>
          </w:p>
        </w:tc>
        <w:tc>
          <w:tcPr>
            <w:tcW w:w="2280" w:type="dxa"/>
            <w:vAlign w:val="bottom"/>
            <w:vMerge w:val="continue"/>
            <w:shd w:val="clear" w:color="auto" w:fill="B2D1EA"/>
          </w:tcPr>
          <w:p>
            <w:pPr>
              <w:spacing w:after="0"/>
              <w:rPr>
                <w:sz w:val="7"/>
                <w:szCs w:val="7"/>
                <w:color w:val="auto"/>
              </w:rPr>
            </w:pPr>
          </w:p>
        </w:tc>
        <w:tc>
          <w:tcPr>
            <w:tcW w:w="620" w:type="dxa"/>
            <w:vAlign w:val="bottom"/>
          </w:tcPr>
          <w:p>
            <w:pPr>
              <w:spacing w:after="0"/>
              <w:rPr>
                <w:sz w:val="7"/>
                <w:szCs w:val="7"/>
                <w:color w:val="auto"/>
              </w:rPr>
            </w:pPr>
          </w:p>
        </w:tc>
        <w:tc>
          <w:tcPr>
            <w:tcW w:w="2160" w:type="dxa"/>
            <w:vAlign w:val="bottom"/>
            <w:vMerge w:val="restart"/>
            <w:shd w:val="clear" w:color="auto" w:fill="7FB2DC"/>
          </w:tcPr>
          <w:p>
            <w:pPr>
              <w:ind w:left="900"/>
              <w:spacing w:after="0"/>
              <w:rPr>
                <w:sz w:val="20"/>
                <w:szCs w:val="20"/>
                <w:color w:val="auto"/>
              </w:rPr>
            </w:pPr>
            <w:r>
              <w:rPr>
                <w:rFonts w:ascii="Arial" w:cs="Arial" w:eastAsia="Arial" w:hAnsi="Arial"/>
                <w:sz w:val="19"/>
                <w:szCs w:val="19"/>
                <w:color w:val="auto"/>
              </w:rPr>
              <w:t>Factor</w:t>
            </w:r>
          </w:p>
        </w:tc>
        <w:tc>
          <w:tcPr>
            <w:tcW w:w="600" w:type="dxa"/>
            <w:vAlign w:val="bottom"/>
          </w:tcPr>
          <w:p>
            <w:pPr>
              <w:spacing w:after="0"/>
              <w:rPr>
                <w:sz w:val="7"/>
                <w:szCs w:val="7"/>
                <w:color w:val="auto"/>
              </w:rPr>
            </w:pPr>
          </w:p>
        </w:tc>
        <w:tc>
          <w:tcPr>
            <w:tcW w:w="2140" w:type="dxa"/>
            <w:vAlign w:val="bottom"/>
            <w:vMerge w:val="continue"/>
            <w:shd w:val="clear" w:color="auto" w:fill="4C93C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860" w:type="dxa"/>
            <w:vAlign w:val="bottom"/>
            <w:shd w:val="clear" w:color="auto" w:fill="CCCCCC"/>
          </w:tcPr>
          <w:p>
            <w:pPr>
              <w:spacing w:after="0"/>
              <w:rPr>
                <w:sz w:val="11"/>
                <w:szCs w:val="11"/>
                <w:color w:val="auto"/>
              </w:rPr>
            </w:pPr>
          </w:p>
        </w:tc>
        <w:tc>
          <w:tcPr>
            <w:tcW w:w="620" w:type="dxa"/>
            <w:vAlign w:val="bottom"/>
          </w:tcPr>
          <w:p>
            <w:pPr>
              <w:spacing w:after="0"/>
              <w:rPr>
                <w:sz w:val="11"/>
                <w:szCs w:val="11"/>
                <w:color w:val="auto"/>
              </w:rPr>
            </w:pPr>
          </w:p>
        </w:tc>
        <w:tc>
          <w:tcPr>
            <w:tcW w:w="2280" w:type="dxa"/>
            <w:vAlign w:val="bottom"/>
            <w:vMerge w:val="restart"/>
            <w:shd w:val="clear" w:color="auto" w:fill="B2D1EA"/>
          </w:tcPr>
          <w:p>
            <w:pPr>
              <w:jc w:val="center"/>
              <w:ind w:left="85"/>
              <w:spacing w:after="0"/>
              <w:rPr>
                <w:sz w:val="20"/>
                <w:szCs w:val="20"/>
                <w:color w:val="auto"/>
              </w:rPr>
            </w:pPr>
            <w:r>
              <w:rPr>
                <w:rFonts w:ascii="Arial" w:cs="Arial" w:eastAsia="Arial" w:hAnsi="Arial"/>
                <w:sz w:val="19"/>
                <w:szCs w:val="19"/>
                <w:color w:val="auto"/>
              </w:rPr>
              <w:t>Percentage</w:t>
            </w:r>
          </w:p>
        </w:tc>
        <w:tc>
          <w:tcPr>
            <w:tcW w:w="620" w:type="dxa"/>
            <w:vAlign w:val="bottom"/>
          </w:tcPr>
          <w:p>
            <w:pPr>
              <w:spacing w:after="0"/>
              <w:rPr>
                <w:sz w:val="11"/>
                <w:szCs w:val="11"/>
                <w:color w:val="auto"/>
              </w:rPr>
            </w:pPr>
          </w:p>
        </w:tc>
        <w:tc>
          <w:tcPr>
            <w:tcW w:w="2160" w:type="dxa"/>
            <w:vAlign w:val="bottom"/>
            <w:vMerge w:val="continue"/>
            <w:shd w:val="clear" w:color="auto" w:fill="7FB2DC"/>
          </w:tcPr>
          <w:p>
            <w:pPr>
              <w:spacing w:after="0"/>
              <w:rPr>
                <w:sz w:val="11"/>
                <w:szCs w:val="11"/>
                <w:color w:val="auto"/>
              </w:rPr>
            </w:pPr>
          </w:p>
        </w:tc>
        <w:tc>
          <w:tcPr>
            <w:tcW w:w="600" w:type="dxa"/>
            <w:vAlign w:val="bottom"/>
          </w:tcPr>
          <w:p>
            <w:pPr>
              <w:spacing w:after="0"/>
              <w:rPr>
                <w:sz w:val="11"/>
                <w:szCs w:val="11"/>
                <w:color w:val="auto"/>
              </w:rPr>
            </w:pPr>
          </w:p>
        </w:tc>
        <w:tc>
          <w:tcPr>
            <w:tcW w:w="2140" w:type="dxa"/>
            <w:vAlign w:val="bottom"/>
            <w:shd w:val="clear" w:color="auto" w:fill="4C93C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1860" w:type="dxa"/>
            <w:vAlign w:val="bottom"/>
            <w:shd w:val="clear" w:color="auto" w:fill="CCCCCC"/>
          </w:tcPr>
          <w:p>
            <w:pPr>
              <w:spacing w:after="0"/>
              <w:rPr>
                <w:sz w:val="7"/>
                <w:szCs w:val="7"/>
                <w:color w:val="auto"/>
              </w:rPr>
            </w:pPr>
          </w:p>
        </w:tc>
        <w:tc>
          <w:tcPr>
            <w:tcW w:w="620" w:type="dxa"/>
            <w:vAlign w:val="bottom"/>
          </w:tcPr>
          <w:p>
            <w:pPr>
              <w:spacing w:after="0"/>
              <w:rPr>
                <w:sz w:val="7"/>
                <w:szCs w:val="7"/>
                <w:color w:val="auto"/>
              </w:rPr>
            </w:pPr>
          </w:p>
        </w:tc>
        <w:tc>
          <w:tcPr>
            <w:tcW w:w="2280" w:type="dxa"/>
            <w:vAlign w:val="bottom"/>
            <w:vMerge w:val="continue"/>
            <w:shd w:val="clear" w:color="auto" w:fill="B2D1EA"/>
          </w:tcPr>
          <w:p>
            <w:pPr>
              <w:spacing w:after="0"/>
              <w:rPr>
                <w:sz w:val="7"/>
                <w:szCs w:val="7"/>
                <w:color w:val="auto"/>
              </w:rPr>
            </w:pPr>
          </w:p>
        </w:tc>
        <w:tc>
          <w:tcPr>
            <w:tcW w:w="620" w:type="dxa"/>
            <w:vAlign w:val="bottom"/>
          </w:tcPr>
          <w:p>
            <w:pPr>
              <w:spacing w:after="0"/>
              <w:rPr>
                <w:sz w:val="7"/>
                <w:szCs w:val="7"/>
                <w:color w:val="auto"/>
              </w:rPr>
            </w:pPr>
          </w:p>
        </w:tc>
        <w:tc>
          <w:tcPr>
            <w:tcW w:w="2160" w:type="dxa"/>
            <w:vAlign w:val="bottom"/>
            <w:shd w:val="clear" w:color="auto" w:fill="7FB2DC"/>
          </w:tcPr>
          <w:p>
            <w:pPr>
              <w:spacing w:after="0"/>
              <w:rPr>
                <w:sz w:val="7"/>
                <w:szCs w:val="7"/>
                <w:color w:val="auto"/>
              </w:rPr>
            </w:pPr>
          </w:p>
        </w:tc>
        <w:tc>
          <w:tcPr>
            <w:tcW w:w="600" w:type="dxa"/>
            <w:vAlign w:val="bottom"/>
          </w:tcPr>
          <w:p>
            <w:pPr>
              <w:spacing w:after="0"/>
              <w:rPr>
                <w:sz w:val="7"/>
                <w:szCs w:val="7"/>
                <w:color w:val="auto"/>
              </w:rPr>
            </w:pPr>
          </w:p>
        </w:tc>
        <w:tc>
          <w:tcPr>
            <w:tcW w:w="2140" w:type="dxa"/>
            <w:vAlign w:val="bottom"/>
            <w:shd w:val="clear" w:color="auto" w:fill="4C93C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1860" w:type="dxa"/>
            <w:vAlign w:val="bottom"/>
            <w:shd w:val="clear" w:color="auto" w:fill="CCCCCC"/>
          </w:tcPr>
          <w:p>
            <w:pPr>
              <w:spacing w:after="0"/>
              <w:rPr>
                <w:sz w:val="20"/>
                <w:szCs w:val="20"/>
                <w:color w:val="auto"/>
              </w:rPr>
            </w:pPr>
          </w:p>
        </w:tc>
        <w:tc>
          <w:tcPr>
            <w:tcW w:w="620" w:type="dxa"/>
            <w:vAlign w:val="bottom"/>
          </w:tcPr>
          <w:p>
            <w:pPr>
              <w:spacing w:after="0"/>
              <w:rPr>
                <w:sz w:val="20"/>
                <w:szCs w:val="20"/>
                <w:color w:val="auto"/>
              </w:rPr>
            </w:pPr>
          </w:p>
        </w:tc>
        <w:tc>
          <w:tcPr>
            <w:tcW w:w="2280" w:type="dxa"/>
            <w:vAlign w:val="bottom"/>
            <w:shd w:val="clear" w:color="auto" w:fill="B2D1EA"/>
          </w:tcPr>
          <w:p>
            <w:pPr>
              <w:spacing w:after="0"/>
              <w:rPr>
                <w:sz w:val="20"/>
                <w:szCs w:val="20"/>
                <w:color w:val="auto"/>
              </w:rPr>
            </w:pPr>
          </w:p>
        </w:tc>
        <w:tc>
          <w:tcPr>
            <w:tcW w:w="620" w:type="dxa"/>
            <w:vAlign w:val="bottom"/>
          </w:tcPr>
          <w:p>
            <w:pPr>
              <w:spacing w:after="0"/>
              <w:rPr>
                <w:sz w:val="20"/>
                <w:szCs w:val="20"/>
                <w:color w:val="auto"/>
              </w:rPr>
            </w:pPr>
          </w:p>
        </w:tc>
        <w:tc>
          <w:tcPr>
            <w:tcW w:w="2160" w:type="dxa"/>
            <w:vAlign w:val="bottom"/>
            <w:shd w:val="clear" w:color="auto" w:fill="7FB2DC"/>
          </w:tcPr>
          <w:p>
            <w:pPr>
              <w:spacing w:after="0"/>
              <w:rPr>
                <w:sz w:val="20"/>
                <w:szCs w:val="20"/>
                <w:color w:val="auto"/>
              </w:rPr>
            </w:pPr>
          </w:p>
        </w:tc>
        <w:tc>
          <w:tcPr>
            <w:tcW w:w="600" w:type="dxa"/>
            <w:vAlign w:val="bottom"/>
          </w:tcPr>
          <w:p>
            <w:pPr>
              <w:spacing w:after="0"/>
              <w:rPr>
                <w:sz w:val="20"/>
                <w:szCs w:val="20"/>
                <w:color w:val="auto"/>
              </w:rPr>
            </w:pPr>
          </w:p>
        </w:tc>
        <w:tc>
          <w:tcPr>
            <w:tcW w:w="2140" w:type="dxa"/>
            <w:vAlign w:val="bottom"/>
            <w:shd w:val="clear" w:color="auto" w:fill="4C93C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1605280</wp:posOffset>
            </wp:positionH>
            <wp:positionV relativeFrom="paragraph">
              <wp:posOffset>-586105</wp:posOffset>
            </wp:positionV>
            <wp:extent cx="156845" cy="156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56845" cy="156845"/>
                    </a:xfrm>
                    <a:prstGeom prst="rect">
                      <a:avLst/>
                    </a:prstGeom>
                    <a:noFill/>
                  </pic:spPr>
                </pic:pic>
              </a:graphicData>
            </a:graphic>
          </wp:anchor>
        </w:drawing>
        <w:drawing>
          <wp:anchor simplePos="0" relativeHeight="251657728" behindDoc="1" locked="0" layoutInCell="0" allowOverlap="1">
            <wp:simplePos x="0" y="0"/>
            <wp:positionH relativeFrom="column">
              <wp:posOffset>3447415</wp:posOffset>
            </wp:positionH>
            <wp:positionV relativeFrom="paragraph">
              <wp:posOffset>-586105</wp:posOffset>
            </wp:positionV>
            <wp:extent cx="156845" cy="156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56845" cy="156845"/>
                    </a:xfrm>
                    <a:prstGeom prst="rect">
                      <a:avLst/>
                    </a:prstGeom>
                    <a:noFill/>
                  </pic:spPr>
                </pic:pic>
              </a:graphicData>
            </a:graphic>
          </wp:anchor>
        </w:drawing>
        <w:drawing>
          <wp:anchor simplePos="0" relativeHeight="251657728" behindDoc="1" locked="0" layoutInCell="0" allowOverlap="1">
            <wp:simplePos x="0" y="0"/>
            <wp:positionH relativeFrom="column">
              <wp:posOffset>5207000</wp:posOffset>
            </wp:positionH>
            <wp:positionV relativeFrom="paragraph">
              <wp:posOffset>-586105</wp:posOffset>
            </wp:positionV>
            <wp:extent cx="156845" cy="156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56845" cy="156845"/>
                    </a:xfrm>
                    <a:prstGeom prst="rect">
                      <a:avLst/>
                    </a:prstGeom>
                    <a:noFill/>
                  </pic:spPr>
                </pic:pic>
              </a:graphicData>
            </a:graphic>
          </wp:anchor>
        </w:drawing>
      </w:r>
    </w:p>
    <w:p>
      <w:pPr>
        <w:spacing w:after="0" w:line="72" w:lineRule="exact"/>
        <w:rPr>
          <w:sz w:val="20"/>
          <w:szCs w:val="20"/>
          <w:color w:val="auto"/>
        </w:rPr>
      </w:pPr>
    </w:p>
    <w:p>
      <w:pPr>
        <w:ind w:left="480" w:right="280"/>
        <w:spacing w:after="0" w:line="306" w:lineRule="auto"/>
        <w:rPr>
          <w:sz w:val="20"/>
          <w:szCs w:val="20"/>
          <w:color w:val="auto"/>
        </w:rPr>
      </w:pPr>
      <w:r>
        <w:rPr>
          <w:rFonts w:ascii="Arial" w:cs="Arial" w:eastAsia="Arial" w:hAnsi="Arial"/>
          <w:sz w:val="15"/>
          <w:szCs w:val="15"/>
          <w:color w:val="0066BA"/>
        </w:rPr>
        <w:t xml:space="preserve">Individual Target Bonus Percentage. </w:t>
      </w:r>
      <w:r>
        <w:rPr>
          <w:rFonts w:ascii="Arial" w:cs="Arial" w:eastAsia="Arial" w:hAnsi="Arial"/>
          <w:sz w:val="15"/>
          <w:szCs w:val="15"/>
          <w:color w:val="000000"/>
        </w:rPr>
        <w:t>For fiscal 2021, the Compensation Committee set target percentages of 150% of base salary for our Chief</w:t>
      </w:r>
      <w:r>
        <w:rPr>
          <w:rFonts w:ascii="Arial" w:cs="Arial" w:eastAsia="Arial" w:hAnsi="Arial"/>
          <w:sz w:val="15"/>
          <w:szCs w:val="15"/>
          <w:color w:val="0066BA"/>
        </w:rPr>
        <w:t xml:space="preserve"> </w:t>
      </w:r>
      <w:r>
        <w:rPr>
          <w:rFonts w:ascii="Arial" w:cs="Arial" w:eastAsia="Arial" w:hAnsi="Arial"/>
          <w:sz w:val="15"/>
          <w:szCs w:val="15"/>
          <w:color w:val="000000"/>
        </w:rPr>
        <w:t>Executive Officer and 100% of base salary for our other executive officers, including each of our NEOs. The Compensation Committee selected these target bonus percentages to ensure that a substantial portion of each executive officer’s cash compensation is performance-based and linked directly to our business performance, and to ensure that total compensation is competitive with those in similar positions within our peer group companies. Setting our Chief Executive Officer’s target at 150% also ties the majority of his cash compensation directly to Company performance.</w:t>
      </w:r>
    </w:p>
    <w:p>
      <w:pPr>
        <w:spacing w:after="0" w:line="45" w:lineRule="exact"/>
        <w:rPr>
          <w:sz w:val="20"/>
          <w:szCs w:val="20"/>
          <w:color w:val="auto"/>
        </w:rPr>
      </w:pPr>
    </w:p>
    <w:p>
      <w:pPr>
        <w:ind w:left="480" w:right="340"/>
        <w:spacing w:after="0" w:line="306" w:lineRule="auto"/>
        <w:rPr>
          <w:sz w:val="20"/>
          <w:szCs w:val="20"/>
          <w:color w:val="auto"/>
        </w:rPr>
      </w:pPr>
      <w:r>
        <w:rPr>
          <w:rFonts w:ascii="Arial" w:cs="Arial" w:eastAsia="Arial" w:hAnsi="Arial"/>
          <w:sz w:val="15"/>
          <w:szCs w:val="15"/>
          <w:color w:val="0066BA"/>
        </w:rPr>
        <w:t xml:space="preserve">Bonus Payout Factor. </w:t>
      </w:r>
      <w:r>
        <w:rPr>
          <w:rFonts w:ascii="Arial" w:cs="Arial" w:eastAsia="Arial" w:hAnsi="Arial"/>
          <w:sz w:val="15"/>
          <w:szCs w:val="15"/>
          <w:color w:val="000000"/>
        </w:rPr>
        <w:t>For fiscal 2021, we based the Bonus Payout Factor for the applicable quarterly bonus period on our OPBT margin and year-over-year revenue growth compared to the same quarter in the prior year. While our executive performance incentive plan contains quarterly performance targets, the Compensation Committee designed this plan to drive long-term performance. The targets are directly linked to our long-term corporate strategy of profitable growth, which drives shareholder value. We believe this combination ensures that we encourage a long-term focus on our business objectives, while measuring and rewarding progress against those objectives on a quarterly basis.</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0940"/>
          </w:cols>
          <w:pgMar w:left="320" w:top="447" w:right="639" w:bottom="1440" w:gutter="0" w:footer="0" w:header="0"/>
          <w:type w:val="continuous"/>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480" w:right="60"/>
        <w:spacing w:after="0" w:line="260" w:lineRule="auto"/>
        <w:rPr>
          <w:sz w:val="20"/>
          <w:szCs w:val="20"/>
          <w:color w:val="auto"/>
        </w:rPr>
      </w:pPr>
      <w:r>
        <w:rPr>
          <w:rFonts w:ascii="Arial" w:cs="Arial" w:eastAsia="Arial" w:hAnsi="Arial"/>
          <w:sz w:val="17"/>
          <w:szCs w:val="17"/>
          <w:color w:val="auto"/>
        </w:rPr>
        <w:t>The Compensation Committee reviews and approves our performance targets, and historically these targets have not been re-set during the performance period, regardless of Company performance or economic conditions. We believe that this approach fosters accountability for our business results and is in keeping with our core belief that variable compensation expense, which increases when our performance is good and contracts when it is poor, gives us maximum flexibility to operate our business. While the OPBT margin and year-over-year revenue growth targets are typically set annually, we measure performance against those targets on a quarterly basis, applying the corresponding Bonus Payout Factor to base salary for that quarter, and pay the bonus amounts to our executive officers on a semi-annual basis following the end of the second and fourth fiscal quarters.</w:t>
      </w:r>
    </w:p>
    <w:p>
      <w:pPr>
        <w:spacing w:after="0" w:line="79" w:lineRule="exact"/>
        <w:rPr>
          <w:sz w:val="20"/>
          <w:szCs w:val="20"/>
          <w:color w:val="auto"/>
        </w:rPr>
      </w:pPr>
    </w:p>
    <w:p>
      <w:pPr>
        <w:ind w:left="480" w:right="140"/>
        <w:spacing w:after="0" w:line="283" w:lineRule="auto"/>
        <w:rPr>
          <w:sz w:val="20"/>
          <w:szCs w:val="20"/>
          <w:color w:val="auto"/>
        </w:rPr>
      </w:pPr>
      <w:r>
        <w:rPr>
          <w:rFonts w:ascii="Arial" w:cs="Arial" w:eastAsia="Arial" w:hAnsi="Arial"/>
          <w:sz w:val="16"/>
          <w:szCs w:val="16"/>
          <w:color w:val="auto"/>
        </w:rPr>
        <w:t>In setting performance targets for our executive performance incentive plan, multiple factors are considered including our actual past business results, estimates of multi-year performance from our long-term strategic planning, and the performance of market competitors. Based on our evaluation of these factors the Compensation Committee determined that our fiscal 2021 OPBT margin and year-over-year revenue growth targets would remain the same as fiscal 2020 and that these quarterly performance targets were challenging and consistent with the Company’s long-term strategy, incentivizing continued industry-leading profit margins and long-term growth.</w:t>
      </w:r>
    </w:p>
    <w:p>
      <w:pPr>
        <w:spacing w:after="0" w:line="5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Compensation Committee implemented the following targets</w:t>
      </w:r>
      <w:r>
        <w:rPr>
          <w:rFonts w:ascii="Arial" w:cs="Arial" w:eastAsia="Arial" w:hAnsi="Arial"/>
          <w:sz w:val="14"/>
          <w:szCs w:val="14"/>
          <w:color w:val="auto"/>
        </w:rPr>
        <w:t>1</w:t>
      </w:r>
      <w:r>
        <w:rPr>
          <w:rFonts w:ascii="Arial" w:cs="Arial" w:eastAsia="Arial" w:hAnsi="Arial"/>
          <w:sz w:val="17"/>
          <w:szCs w:val="17"/>
          <w:color w:val="auto"/>
        </w:rPr>
        <w:t xml:space="preserve"> for fiscal 2021:</w:t>
      </w:r>
    </w:p>
    <w:p>
      <w:pPr>
        <w:spacing w:after="0" w:line="260" w:lineRule="exact"/>
        <w:rPr>
          <w:sz w:val="20"/>
          <w:szCs w:val="20"/>
          <w:color w:val="auto"/>
        </w:rPr>
      </w:pPr>
    </w:p>
    <w:tbl>
      <w:tblPr>
        <w:tblLayout w:type="fixed"/>
        <w:tblInd w:w="480" w:type="dxa"/>
        <w:tblCellMar>
          <w:top w:w="0" w:type="dxa"/>
          <w:left w:w="0" w:type="dxa"/>
          <w:bottom w:w="0" w:type="dxa"/>
          <w:right w:w="0" w:type="dxa"/>
        </w:tblCellMar>
      </w:tblPr>
      <w:tr>
        <w:trPr>
          <w:trHeight w:val="171"/>
        </w:trPr>
        <w:tc>
          <w:tcPr>
            <w:tcW w:w="234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50% of Bonus Based on</w:t>
            </w:r>
          </w:p>
        </w:tc>
        <w:tc>
          <w:tcPr>
            <w:tcW w:w="2500" w:type="dxa"/>
            <w:vAlign w:val="bottom"/>
            <w:shd w:val="clear" w:color="auto" w:fill="0066BA"/>
          </w:tcPr>
          <w:p>
            <w:pPr>
              <w:jc w:val="right"/>
              <w:ind w:right="105"/>
              <w:spacing w:after="0"/>
              <w:rPr>
                <w:sz w:val="20"/>
                <w:szCs w:val="20"/>
                <w:color w:val="auto"/>
              </w:rPr>
            </w:pPr>
            <w:r>
              <w:rPr>
                <w:rFonts w:ascii="Arial" w:cs="Arial" w:eastAsia="Arial" w:hAnsi="Arial"/>
                <w:sz w:val="14"/>
                <w:szCs w:val="14"/>
                <w:b w:val="1"/>
                <w:bCs w:val="1"/>
                <w:color w:val="FFFFFF"/>
              </w:rPr>
              <w:t>Bonus Payout</w:t>
            </w:r>
          </w:p>
        </w:tc>
        <w:tc>
          <w:tcPr>
            <w:tcW w:w="2940" w:type="dxa"/>
            <w:vAlign w:val="bottom"/>
            <w:shd w:val="clear" w:color="auto" w:fill="0066BA"/>
          </w:tcPr>
          <w:p>
            <w:pPr>
              <w:jc w:val="right"/>
              <w:ind w:right="105"/>
              <w:spacing w:after="0"/>
              <w:rPr>
                <w:sz w:val="20"/>
                <w:szCs w:val="20"/>
                <w:color w:val="auto"/>
              </w:rPr>
            </w:pPr>
            <w:r>
              <w:rPr>
                <w:rFonts w:ascii="Arial" w:cs="Arial" w:eastAsia="Arial" w:hAnsi="Arial"/>
                <w:sz w:val="14"/>
                <w:szCs w:val="14"/>
                <w:b w:val="1"/>
                <w:bCs w:val="1"/>
                <w:color w:val="FFFFFF"/>
              </w:rPr>
              <w:t>50% of Bonus Based</w:t>
            </w:r>
          </w:p>
        </w:tc>
        <w:tc>
          <w:tcPr>
            <w:tcW w:w="2500" w:type="dxa"/>
            <w:vAlign w:val="bottom"/>
            <w:shd w:val="clear" w:color="auto" w:fill="0066BA"/>
          </w:tcPr>
          <w:p>
            <w:pPr>
              <w:jc w:val="right"/>
              <w:ind w:right="85"/>
              <w:spacing w:after="0"/>
              <w:rPr>
                <w:sz w:val="20"/>
                <w:szCs w:val="20"/>
                <w:color w:val="auto"/>
              </w:rPr>
            </w:pPr>
            <w:r>
              <w:rPr>
                <w:rFonts w:ascii="Arial" w:cs="Arial" w:eastAsia="Arial" w:hAnsi="Arial"/>
                <w:sz w:val="14"/>
                <w:szCs w:val="14"/>
                <w:b w:val="1"/>
                <w:bCs w:val="1"/>
                <w:color w:val="FFFFFF"/>
              </w:rPr>
              <w:t>Bonus Payout</w:t>
            </w:r>
          </w:p>
        </w:tc>
      </w:tr>
      <w:tr>
        <w:trPr>
          <w:trHeight w:val="181"/>
        </w:trPr>
        <w:tc>
          <w:tcPr>
            <w:tcW w:w="234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OPBT Margin</w:t>
            </w:r>
          </w:p>
        </w:tc>
        <w:tc>
          <w:tcPr>
            <w:tcW w:w="2500" w:type="dxa"/>
            <w:vAlign w:val="bottom"/>
            <w:shd w:val="clear" w:color="auto" w:fill="0066BA"/>
          </w:tcPr>
          <w:p>
            <w:pPr>
              <w:jc w:val="right"/>
              <w:ind w:right="105"/>
              <w:spacing w:after="0"/>
              <w:rPr>
                <w:sz w:val="20"/>
                <w:szCs w:val="20"/>
                <w:color w:val="auto"/>
              </w:rPr>
            </w:pPr>
            <w:r>
              <w:rPr>
                <w:rFonts w:ascii="Arial" w:cs="Arial" w:eastAsia="Arial" w:hAnsi="Arial"/>
                <w:sz w:val="14"/>
                <w:szCs w:val="14"/>
                <w:b w:val="1"/>
                <w:bCs w:val="1"/>
                <w:color w:val="FFFFFF"/>
              </w:rPr>
              <w:t>Factor</w:t>
            </w:r>
          </w:p>
        </w:tc>
        <w:tc>
          <w:tcPr>
            <w:tcW w:w="2940" w:type="dxa"/>
            <w:vAlign w:val="bottom"/>
            <w:shd w:val="clear" w:color="auto" w:fill="0066BA"/>
          </w:tcPr>
          <w:p>
            <w:pPr>
              <w:jc w:val="right"/>
              <w:ind w:right="105"/>
              <w:spacing w:after="0"/>
              <w:rPr>
                <w:sz w:val="20"/>
                <w:szCs w:val="20"/>
                <w:color w:val="auto"/>
              </w:rPr>
            </w:pPr>
            <w:r>
              <w:rPr>
                <w:rFonts w:ascii="Arial" w:cs="Arial" w:eastAsia="Arial" w:hAnsi="Arial"/>
                <w:sz w:val="14"/>
                <w:szCs w:val="14"/>
                <w:b w:val="1"/>
                <w:bCs w:val="1"/>
                <w:color w:val="FFFFFF"/>
              </w:rPr>
              <w:t>on Revenue Growth</w:t>
            </w:r>
          </w:p>
        </w:tc>
        <w:tc>
          <w:tcPr>
            <w:tcW w:w="2500" w:type="dxa"/>
            <w:vAlign w:val="bottom"/>
            <w:shd w:val="clear" w:color="auto" w:fill="0066BA"/>
          </w:tcPr>
          <w:p>
            <w:pPr>
              <w:jc w:val="right"/>
              <w:ind w:right="85"/>
              <w:spacing w:after="0"/>
              <w:rPr>
                <w:sz w:val="20"/>
                <w:szCs w:val="20"/>
                <w:color w:val="auto"/>
              </w:rPr>
            </w:pPr>
            <w:r>
              <w:rPr>
                <w:rFonts w:ascii="Arial" w:cs="Arial" w:eastAsia="Arial" w:hAnsi="Arial"/>
                <w:sz w:val="14"/>
                <w:szCs w:val="14"/>
                <w:b w:val="1"/>
                <w:bCs w:val="1"/>
                <w:color w:val="FFFFFF"/>
              </w:rPr>
              <w:t>Factor</w:t>
            </w:r>
          </w:p>
        </w:tc>
      </w:tr>
      <w:tr>
        <w:trPr>
          <w:trHeight w:val="260"/>
        </w:trPr>
        <w:tc>
          <w:tcPr>
            <w:tcW w:w="2340" w:type="dxa"/>
            <w:vAlign w:val="bottom"/>
          </w:tcPr>
          <w:p>
            <w:pPr>
              <w:ind w:left="60"/>
              <w:spacing w:after="0"/>
              <w:rPr>
                <w:sz w:val="20"/>
                <w:szCs w:val="20"/>
                <w:color w:val="auto"/>
              </w:rPr>
            </w:pPr>
            <w:r>
              <w:rPr>
                <w:rFonts w:ascii="Arial" w:cs="Arial" w:eastAsia="Arial" w:hAnsi="Arial"/>
                <w:sz w:val="16"/>
                <w:szCs w:val="16"/>
                <w:color w:val="auto"/>
              </w:rPr>
              <w:t>£36%</w:t>
            </w:r>
          </w:p>
        </w:tc>
        <w:tc>
          <w:tcPr>
            <w:tcW w:w="2500" w:type="dxa"/>
            <w:vAlign w:val="bottom"/>
            <w:tcBorders>
              <w:bottom w:val="single" w:sz="8" w:color="EAEAEA"/>
            </w:tcBorders>
            <w:shd w:val="clear" w:color="auto" w:fill="EAEAEA"/>
          </w:tcPr>
          <w:p>
            <w:pPr>
              <w:jc w:val="right"/>
              <w:ind w:right="105"/>
              <w:spacing w:after="0"/>
              <w:rPr>
                <w:sz w:val="20"/>
                <w:szCs w:val="20"/>
                <w:color w:val="auto"/>
              </w:rPr>
            </w:pPr>
            <w:r>
              <w:rPr>
                <w:rFonts w:ascii="Arial" w:cs="Arial" w:eastAsia="Arial" w:hAnsi="Arial"/>
                <w:sz w:val="16"/>
                <w:szCs w:val="16"/>
                <w:color w:val="auto"/>
              </w:rPr>
              <w:t>0%</w:t>
            </w:r>
          </w:p>
        </w:tc>
        <w:tc>
          <w:tcPr>
            <w:tcW w:w="2940" w:type="dxa"/>
            <w:vAlign w:val="bottom"/>
          </w:tcPr>
          <w:p>
            <w:pPr>
              <w:jc w:val="right"/>
              <w:ind w:right="105"/>
              <w:spacing w:after="0"/>
              <w:rPr>
                <w:sz w:val="20"/>
                <w:szCs w:val="20"/>
                <w:color w:val="auto"/>
              </w:rPr>
            </w:pPr>
            <w:r>
              <w:rPr>
                <w:rFonts w:ascii="Arial" w:cs="Arial" w:eastAsia="Arial" w:hAnsi="Arial"/>
                <w:sz w:val="16"/>
                <w:szCs w:val="16"/>
                <w:color w:val="auto"/>
              </w:rPr>
              <w:t>£0%</w:t>
            </w:r>
          </w:p>
        </w:tc>
        <w:tc>
          <w:tcPr>
            <w:tcW w:w="2500" w:type="dxa"/>
            <w:vAlign w:val="bottom"/>
            <w:tcBorders>
              <w:bottom w:val="single" w:sz="8" w:color="EAEAEA"/>
            </w:tcBorders>
            <w:shd w:val="clear" w:color="auto" w:fill="EAEAEA"/>
          </w:tcPr>
          <w:p>
            <w:pPr>
              <w:jc w:val="right"/>
              <w:ind w:right="85"/>
              <w:spacing w:after="0"/>
              <w:rPr>
                <w:sz w:val="20"/>
                <w:szCs w:val="20"/>
                <w:color w:val="auto"/>
              </w:rPr>
            </w:pPr>
            <w:r>
              <w:rPr>
                <w:rFonts w:ascii="Arial" w:cs="Arial" w:eastAsia="Arial" w:hAnsi="Arial"/>
                <w:sz w:val="16"/>
                <w:szCs w:val="16"/>
                <w:color w:val="auto"/>
              </w:rPr>
              <w:t>0%</w:t>
            </w:r>
          </w:p>
        </w:tc>
      </w:tr>
      <w:tr>
        <w:trPr>
          <w:trHeight w:val="253"/>
        </w:trPr>
        <w:tc>
          <w:tcPr>
            <w:tcW w:w="234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39%</w:t>
            </w:r>
          </w:p>
        </w:tc>
        <w:tc>
          <w:tcPr>
            <w:tcW w:w="2500" w:type="dxa"/>
            <w:vAlign w:val="bottom"/>
            <w:tcBorders>
              <w:top w:val="single" w:sz="8" w:color="auto"/>
              <w:bottom w:val="single" w:sz="8" w:color="EAEAEA"/>
            </w:tcBorders>
            <w:shd w:val="clear" w:color="auto" w:fill="EAEAEA"/>
          </w:tcPr>
          <w:p>
            <w:pPr>
              <w:jc w:val="right"/>
              <w:ind w:right="105"/>
              <w:spacing w:after="0"/>
              <w:rPr>
                <w:sz w:val="20"/>
                <w:szCs w:val="20"/>
                <w:color w:val="auto"/>
              </w:rPr>
            </w:pPr>
            <w:r>
              <w:rPr>
                <w:rFonts w:ascii="Arial" w:cs="Arial" w:eastAsia="Arial" w:hAnsi="Arial"/>
                <w:sz w:val="16"/>
                <w:szCs w:val="16"/>
                <w:color w:val="auto"/>
              </w:rPr>
              <w:t>100%</w:t>
            </w:r>
          </w:p>
        </w:tc>
        <w:tc>
          <w:tcPr>
            <w:tcW w:w="2940" w:type="dxa"/>
            <w:vAlign w:val="bottom"/>
            <w:tcBorders>
              <w:top w:val="single" w:sz="8" w:color="auto"/>
            </w:tcBorders>
          </w:tcPr>
          <w:p>
            <w:pPr>
              <w:jc w:val="right"/>
              <w:ind w:right="105"/>
              <w:spacing w:after="0"/>
              <w:rPr>
                <w:sz w:val="20"/>
                <w:szCs w:val="20"/>
                <w:color w:val="auto"/>
              </w:rPr>
            </w:pPr>
            <w:r>
              <w:rPr>
                <w:rFonts w:ascii="Arial" w:cs="Arial" w:eastAsia="Arial" w:hAnsi="Arial"/>
                <w:sz w:val="16"/>
                <w:szCs w:val="16"/>
                <w:color w:val="auto"/>
              </w:rPr>
              <w:t>5%</w:t>
            </w:r>
          </w:p>
        </w:tc>
        <w:tc>
          <w:tcPr>
            <w:tcW w:w="2500" w:type="dxa"/>
            <w:vAlign w:val="bottom"/>
            <w:tcBorders>
              <w:top w:val="single" w:sz="8" w:color="auto"/>
              <w:bottom w:val="single" w:sz="8" w:color="EAEAEA"/>
            </w:tcBorders>
            <w:shd w:val="clear" w:color="auto" w:fill="EAEAEA"/>
          </w:tcPr>
          <w:p>
            <w:pPr>
              <w:jc w:val="right"/>
              <w:ind w:right="85"/>
              <w:spacing w:after="0"/>
              <w:rPr>
                <w:sz w:val="20"/>
                <w:szCs w:val="20"/>
                <w:color w:val="auto"/>
              </w:rPr>
            </w:pPr>
            <w:r>
              <w:rPr>
                <w:rFonts w:ascii="Arial" w:cs="Arial" w:eastAsia="Arial" w:hAnsi="Arial"/>
                <w:sz w:val="16"/>
                <w:szCs w:val="16"/>
                <w:color w:val="auto"/>
              </w:rPr>
              <w:t>100%</w:t>
            </w:r>
          </w:p>
        </w:tc>
      </w:tr>
      <w:tr>
        <w:trPr>
          <w:trHeight w:val="253"/>
        </w:trPr>
        <w:tc>
          <w:tcPr>
            <w:tcW w:w="234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42%</w:t>
            </w:r>
          </w:p>
        </w:tc>
        <w:tc>
          <w:tcPr>
            <w:tcW w:w="2500" w:type="dxa"/>
            <w:vAlign w:val="bottom"/>
            <w:tcBorders>
              <w:top w:val="single" w:sz="8" w:color="auto"/>
              <w:bottom w:val="single" w:sz="8" w:color="EAEAEA"/>
            </w:tcBorders>
            <w:shd w:val="clear" w:color="auto" w:fill="EAEAEA"/>
          </w:tcPr>
          <w:p>
            <w:pPr>
              <w:jc w:val="right"/>
              <w:ind w:right="105"/>
              <w:spacing w:after="0"/>
              <w:rPr>
                <w:sz w:val="20"/>
                <w:szCs w:val="20"/>
                <w:color w:val="auto"/>
              </w:rPr>
            </w:pPr>
            <w:r>
              <w:rPr>
                <w:rFonts w:ascii="Arial" w:cs="Arial" w:eastAsia="Arial" w:hAnsi="Arial"/>
                <w:sz w:val="16"/>
                <w:szCs w:val="16"/>
                <w:color w:val="auto"/>
              </w:rPr>
              <w:t>200%</w:t>
            </w:r>
          </w:p>
        </w:tc>
        <w:tc>
          <w:tcPr>
            <w:tcW w:w="2940" w:type="dxa"/>
            <w:vAlign w:val="bottom"/>
            <w:tcBorders>
              <w:top w:val="single" w:sz="8" w:color="auto"/>
            </w:tcBorders>
          </w:tcPr>
          <w:p>
            <w:pPr>
              <w:jc w:val="right"/>
              <w:ind w:right="105"/>
              <w:spacing w:after="0"/>
              <w:rPr>
                <w:sz w:val="20"/>
                <w:szCs w:val="20"/>
                <w:color w:val="auto"/>
              </w:rPr>
            </w:pPr>
            <w:r>
              <w:rPr>
                <w:rFonts w:ascii="Arial" w:cs="Arial" w:eastAsia="Arial" w:hAnsi="Arial"/>
                <w:sz w:val="16"/>
                <w:szCs w:val="16"/>
                <w:color w:val="auto"/>
              </w:rPr>
              <w:t>10%</w:t>
            </w:r>
          </w:p>
        </w:tc>
        <w:tc>
          <w:tcPr>
            <w:tcW w:w="2500" w:type="dxa"/>
            <w:vAlign w:val="bottom"/>
            <w:tcBorders>
              <w:top w:val="single" w:sz="8" w:color="auto"/>
              <w:bottom w:val="single" w:sz="8" w:color="EAEAEA"/>
            </w:tcBorders>
            <w:shd w:val="clear" w:color="auto" w:fill="EAEAEA"/>
          </w:tcPr>
          <w:p>
            <w:pPr>
              <w:jc w:val="right"/>
              <w:ind w:right="85"/>
              <w:spacing w:after="0"/>
              <w:rPr>
                <w:sz w:val="20"/>
                <w:szCs w:val="20"/>
                <w:color w:val="auto"/>
              </w:rPr>
            </w:pPr>
            <w:r>
              <w:rPr>
                <w:rFonts w:ascii="Arial" w:cs="Arial" w:eastAsia="Arial" w:hAnsi="Arial"/>
                <w:sz w:val="16"/>
                <w:szCs w:val="16"/>
                <w:color w:val="auto"/>
              </w:rPr>
              <w:t>200%</w:t>
            </w:r>
          </w:p>
        </w:tc>
      </w:tr>
      <w:tr>
        <w:trPr>
          <w:trHeight w:val="233"/>
        </w:trPr>
        <w:tc>
          <w:tcPr>
            <w:tcW w:w="234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³45%</w:t>
            </w:r>
          </w:p>
        </w:tc>
        <w:tc>
          <w:tcPr>
            <w:tcW w:w="2500" w:type="dxa"/>
            <w:vAlign w:val="bottom"/>
            <w:tcBorders>
              <w:top w:val="single" w:sz="8" w:color="auto"/>
              <w:bottom w:val="single" w:sz="8" w:color="EAEAEA"/>
            </w:tcBorders>
            <w:shd w:val="clear" w:color="auto" w:fill="EAEAEA"/>
          </w:tcPr>
          <w:p>
            <w:pPr>
              <w:jc w:val="right"/>
              <w:ind w:right="105"/>
              <w:spacing w:after="0"/>
              <w:rPr>
                <w:sz w:val="20"/>
                <w:szCs w:val="20"/>
                <w:color w:val="auto"/>
              </w:rPr>
            </w:pPr>
            <w:r>
              <w:rPr>
                <w:rFonts w:ascii="Arial" w:cs="Arial" w:eastAsia="Arial" w:hAnsi="Arial"/>
                <w:sz w:val="16"/>
                <w:szCs w:val="16"/>
                <w:color w:val="auto"/>
              </w:rPr>
              <w:t>300%</w:t>
            </w:r>
          </w:p>
        </w:tc>
        <w:tc>
          <w:tcPr>
            <w:tcW w:w="2940" w:type="dxa"/>
            <w:vAlign w:val="bottom"/>
            <w:tcBorders>
              <w:top w:val="single" w:sz="8" w:color="auto"/>
            </w:tcBorders>
          </w:tcPr>
          <w:p>
            <w:pPr>
              <w:jc w:val="right"/>
              <w:ind w:right="105"/>
              <w:spacing w:after="0"/>
              <w:rPr>
                <w:sz w:val="20"/>
                <w:szCs w:val="20"/>
                <w:color w:val="auto"/>
              </w:rPr>
            </w:pPr>
            <w:r>
              <w:rPr>
                <w:rFonts w:ascii="Arial" w:cs="Arial" w:eastAsia="Arial" w:hAnsi="Arial"/>
                <w:sz w:val="16"/>
                <w:szCs w:val="16"/>
                <w:color w:val="auto"/>
              </w:rPr>
              <w:t>³15%</w:t>
            </w:r>
          </w:p>
        </w:tc>
        <w:tc>
          <w:tcPr>
            <w:tcW w:w="2500" w:type="dxa"/>
            <w:vAlign w:val="bottom"/>
            <w:tcBorders>
              <w:top w:val="single" w:sz="8" w:color="auto"/>
              <w:bottom w:val="single" w:sz="8" w:color="EAEAEA"/>
            </w:tcBorders>
            <w:shd w:val="clear" w:color="auto" w:fill="EAEAEA"/>
          </w:tcPr>
          <w:p>
            <w:pPr>
              <w:jc w:val="right"/>
              <w:ind w:right="85"/>
              <w:spacing w:after="0"/>
              <w:rPr>
                <w:sz w:val="20"/>
                <w:szCs w:val="20"/>
                <w:color w:val="auto"/>
              </w:rPr>
            </w:pPr>
            <w:r>
              <w:rPr>
                <w:rFonts w:ascii="Arial" w:cs="Arial" w:eastAsia="Arial" w:hAnsi="Arial"/>
                <w:sz w:val="16"/>
                <w:szCs w:val="16"/>
                <w:color w:val="auto"/>
              </w:rPr>
              <w:t>300%</w:t>
            </w:r>
          </w:p>
        </w:tc>
      </w:tr>
      <w:tr>
        <w:trPr>
          <w:trHeight w:val="20"/>
        </w:trPr>
        <w:tc>
          <w:tcPr>
            <w:tcW w:w="2340" w:type="dxa"/>
            <w:vAlign w:val="bottom"/>
            <w:shd w:val="clear" w:color="auto" w:fill="0066BA"/>
          </w:tcPr>
          <w:p>
            <w:pPr>
              <w:spacing w:after="0" w:line="20" w:lineRule="exact"/>
              <w:rPr>
                <w:sz w:val="1"/>
                <w:szCs w:val="1"/>
                <w:color w:val="auto"/>
              </w:rPr>
            </w:pPr>
          </w:p>
        </w:tc>
        <w:tc>
          <w:tcPr>
            <w:tcW w:w="2500" w:type="dxa"/>
            <w:vAlign w:val="bottom"/>
            <w:shd w:val="clear" w:color="auto" w:fill="0066BA"/>
          </w:tcPr>
          <w:p>
            <w:pPr>
              <w:spacing w:after="0" w:line="20" w:lineRule="exact"/>
              <w:rPr>
                <w:sz w:val="1"/>
                <w:szCs w:val="1"/>
                <w:color w:val="auto"/>
              </w:rPr>
            </w:pPr>
          </w:p>
        </w:tc>
        <w:tc>
          <w:tcPr>
            <w:tcW w:w="2940" w:type="dxa"/>
            <w:vAlign w:val="bottom"/>
            <w:shd w:val="clear" w:color="auto" w:fill="0066BA"/>
          </w:tcPr>
          <w:p>
            <w:pPr>
              <w:spacing w:after="0" w:line="20" w:lineRule="exact"/>
              <w:rPr>
                <w:sz w:val="1"/>
                <w:szCs w:val="1"/>
                <w:color w:val="auto"/>
              </w:rPr>
            </w:pPr>
          </w:p>
        </w:tc>
        <w:tc>
          <w:tcPr>
            <w:tcW w:w="2500" w:type="dxa"/>
            <w:vAlign w:val="bottom"/>
            <w:shd w:val="clear" w:color="auto" w:fill="0066BA"/>
          </w:tcPr>
          <w:p>
            <w:pPr>
              <w:spacing w:after="0" w:line="20" w:lineRule="exact"/>
              <w:rPr>
                <w:sz w:val="1"/>
                <w:szCs w:val="1"/>
                <w:color w:val="auto"/>
              </w:rPr>
            </w:pPr>
          </w:p>
        </w:tc>
      </w:tr>
    </w:tbl>
    <w:p>
      <w:pPr>
        <w:spacing w:after="0" w:line="92" w:lineRule="exact"/>
        <w:rPr>
          <w:sz w:val="20"/>
          <w:szCs w:val="20"/>
          <w:color w:val="auto"/>
        </w:rPr>
      </w:pPr>
    </w:p>
    <w:p>
      <w:pPr>
        <w:ind w:left="480" w:right="80"/>
        <w:spacing w:after="0" w:line="286" w:lineRule="auto"/>
        <w:rPr>
          <w:sz w:val="20"/>
          <w:szCs w:val="20"/>
          <w:color w:val="auto"/>
        </w:rPr>
      </w:pPr>
      <w:r>
        <w:rPr>
          <w:rFonts w:ascii="Arial" w:cs="Arial" w:eastAsia="Arial" w:hAnsi="Arial"/>
          <w:sz w:val="17"/>
          <w:szCs w:val="17"/>
          <w:color w:val="auto"/>
        </w:rPr>
        <w:t>We also have a floor on the OPBT margin target so that profitability at or below 36% will result in no bonus payments for that performance period, regardless of revenue growth levels.</w:t>
      </w:r>
    </w:p>
    <w:p>
      <w:pPr>
        <w:spacing w:after="0" w:line="5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Fiscal 2021 was a year in which we had strong financial results and robust year-over-year revenue growth.</w:t>
      </w:r>
    </w:p>
    <w:p>
      <w:pPr>
        <w:spacing w:after="0" w:line="128" w:lineRule="exact"/>
        <w:rPr>
          <w:sz w:val="20"/>
          <w:szCs w:val="20"/>
          <w:color w:val="auto"/>
        </w:rPr>
      </w:pPr>
    </w:p>
    <w:p>
      <w:pPr>
        <w:ind w:left="780" w:right="20" w:hanging="305"/>
        <w:spacing w:after="0" w:line="236" w:lineRule="auto"/>
        <w:tabs>
          <w:tab w:leader="none" w:pos="780" w:val="left"/>
        </w:tabs>
        <w:numPr>
          <w:ilvl w:val="0"/>
          <w:numId w:val="51"/>
        </w:numPr>
        <w:rPr>
          <w:rFonts w:ascii="Arial" w:cs="Arial" w:eastAsia="Arial" w:hAnsi="Arial"/>
          <w:sz w:val="13"/>
          <w:szCs w:val="13"/>
          <w:i w:val="1"/>
          <w:iCs w:val="1"/>
          <w:color w:val="auto"/>
        </w:rPr>
      </w:pPr>
      <w:r>
        <w:rPr>
          <w:rFonts w:ascii="Arial" w:cs="Arial" w:eastAsia="Arial" w:hAnsi="Arial"/>
          <w:sz w:val="13"/>
          <w:szCs w:val="13"/>
          <w:i w:val="1"/>
          <w:iCs w:val="1"/>
          <w:color w:val="auto"/>
        </w:rPr>
        <w:t>Note: The Compensation Committee may adjust the OPBT margin and year-over-year revenue growth metrics in its sole discretion to exclude special items such as (but not limited to) restructuring-related expense, acquisition-related expense, amortization of intangibles, gain or loss on disposition of businesses, non-recurring royalty payments, and other similar non-cash or non-recurring items. The Compensation Committee may, in its discretion, exclude these items in order to prevent payments under the plan from being adversely or advantageously affected by special items. For purposes of determining the Bonus Payout Factor for each quarter of fiscal 2021, OPBT margin was adjusted to exclude acquisition-related expenses, acquisition-related transaction costs, and restructuring-related expenses (or special charges in the case of our fourth quarter financial results), consistent with the non-GAAP adjustments included in our fiscal 2021 quarterly earnings releases.</w:t>
      </w:r>
    </w:p>
    <w:p>
      <w:pPr>
        <w:spacing w:after="0" w:line="83" w:lineRule="exact"/>
        <w:rPr>
          <w:sz w:val="20"/>
          <w:szCs w:val="20"/>
          <w:color w:val="auto"/>
        </w:rPr>
      </w:pPr>
    </w:p>
    <w:p>
      <w:pPr>
        <w:ind w:left="480" w:right="620"/>
        <w:spacing w:after="0" w:line="286" w:lineRule="auto"/>
        <w:rPr>
          <w:sz w:val="20"/>
          <w:szCs w:val="20"/>
          <w:color w:val="auto"/>
        </w:rPr>
      </w:pPr>
      <w:r>
        <w:rPr>
          <w:rFonts w:ascii="Arial" w:cs="Arial" w:eastAsia="Arial" w:hAnsi="Arial"/>
          <w:sz w:val="17"/>
          <w:szCs w:val="17"/>
          <w:color w:val="auto"/>
        </w:rPr>
        <w:t>For fiscal 2021, the calculated OPBT Margin, Year-Over-Year Revenue Growth and Bonus Payout Factor under our executive performance incentive program for each quarter were as follows:</w:t>
      </w:r>
    </w:p>
    <w:p>
      <w:pPr>
        <w:spacing w:after="0" w:line="197" w:lineRule="exact"/>
        <w:rPr>
          <w:sz w:val="20"/>
          <w:szCs w:val="20"/>
          <w:color w:val="auto"/>
        </w:rPr>
      </w:pPr>
    </w:p>
    <w:tbl>
      <w:tblPr>
        <w:tblLayout w:type="fixed"/>
        <w:tblInd w:w="480" w:type="dxa"/>
        <w:tblCellMar>
          <w:top w:w="0" w:type="dxa"/>
          <w:left w:w="0" w:type="dxa"/>
          <w:bottom w:w="0" w:type="dxa"/>
          <w:right w:w="0" w:type="dxa"/>
        </w:tblCellMar>
      </w:tblPr>
      <w:tr>
        <w:trPr>
          <w:trHeight w:val="274"/>
        </w:trPr>
        <w:tc>
          <w:tcPr>
            <w:tcW w:w="1520" w:type="dxa"/>
            <w:vAlign w:val="bottom"/>
            <w:shd w:val="clear" w:color="auto" w:fill="0066BA"/>
          </w:tcPr>
          <w:p>
            <w:pPr>
              <w:spacing w:after="0"/>
              <w:rPr>
                <w:sz w:val="23"/>
                <w:szCs w:val="23"/>
                <w:color w:val="auto"/>
              </w:rPr>
            </w:pPr>
          </w:p>
        </w:tc>
        <w:tc>
          <w:tcPr>
            <w:tcW w:w="3240" w:type="dxa"/>
            <w:vAlign w:val="bottom"/>
            <w:gridSpan w:val="3"/>
            <w:shd w:val="clear" w:color="auto" w:fill="0066BA"/>
          </w:tcPr>
          <w:p>
            <w:pPr>
              <w:ind w:left="1200"/>
              <w:spacing w:after="0"/>
              <w:rPr>
                <w:sz w:val="20"/>
                <w:szCs w:val="20"/>
                <w:color w:val="auto"/>
              </w:rPr>
            </w:pPr>
            <w:r>
              <w:rPr>
                <w:rFonts w:ascii="Arial" w:cs="Arial" w:eastAsia="Arial" w:hAnsi="Arial"/>
                <w:sz w:val="14"/>
                <w:szCs w:val="14"/>
                <w:b w:val="1"/>
                <w:bCs w:val="1"/>
                <w:color w:val="FFFFFF"/>
              </w:rPr>
              <w:t>OPBT Margin (50% weight)</w:t>
            </w:r>
          </w:p>
        </w:tc>
        <w:tc>
          <w:tcPr>
            <w:tcW w:w="3240" w:type="dxa"/>
            <w:vAlign w:val="bottom"/>
            <w:gridSpan w:val="2"/>
            <w:shd w:val="clear" w:color="auto" w:fill="0066BA"/>
          </w:tcPr>
          <w:p>
            <w:pPr>
              <w:jc w:val="right"/>
              <w:ind w:right="128"/>
              <w:spacing w:after="0"/>
              <w:rPr>
                <w:sz w:val="20"/>
                <w:szCs w:val="20"/>
                <w:color w:val="auto"/>
              </w:rPr>
            </w:pPr>
            <w:r>
              <w:rPr>
                <w:rFonts w:ascii="Arial" w:cs="Arial" w:eastAsia="Arial" w:hAnsi="Arial"/>
                <w:sz w:val="14"/>
                <w:szCs w:val="14"/>
                <w:b w:val="1"/>
                <w:bCs w:val="1"/>
                <w:color w:val="FFFFFF"/>
              </w:rPr>
              <w:t>Revenue Growth (50% weight)</w:t>
            </w:r>
          </w:p>
        </w:tc>
        <w:tc>
          <w:tcPr>
            <w:tcW w:w="120" w:type="dxa"/>
            <w:vAlign w:val="bottom"/>
            <w:shd w:val="clear" w:color="auto" w:fill="0066BA"/>
          </w:tcPr>
          <w:p>
            <w:pPr>
              <w:spacing w:after="0"/>
              <w:rPr>
                <w:sz w:val="23"/>
                <w:szCs w:val="23"/>
                <w:color w:val="auto"/>
              </w:rPr>
            </w:pPr>
          </w:p>
        </w:tc>
        <w:tc>
          <w:tcPr>
            <w:tcW w:w="2160" w:type="dxa"/>
            <w:vAlign w:val="bottom"/>
            <w:shd w:val="clear" w:color="auto" w:fill="0066BA"/>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1520" w:type="dxa"/>
            <w:vAlign w:val="bottom"/>
            <w:shd w:val="clear" w:color="auto" w:fill="0066BA"/>
          </w:tcPr>
          <w:p>
            <w:pPr>
              <w:spacing w:after="0"/>
              <w:rPr>
                <w:sz w:val="3"/>
                <w:szCs w:val="3"/>
                <w:color w:val="auto"/>
              </w:rPr>
            </w:pPr>
          </w:p>
        </w:tc>
        <w:tc>
          <w:tcPr>
            <w:tcW w:w="1620" w:type="dxa"/>
            <w:vAlign w:val="bottom"/>
            <w:shd w:val="clear" w:color="auto" w:fill="0066BA"/>
          </w:tcPr>
          <w:p>
            <w:pPr>
              <w:spacing w:after="0"/>
              <w:rPr>
                <w:sz w:val="3"/>
                <w:szCs w:val="3"/>
                <w:color w:val="auto"/>
              </w:rPr>
            </w:pPr>
          </w:p>
        </w:tc>
        <w:tc>
          <w:tcPr>
            <w:tcW w:w="1320" w:type="dxa"/>
            <w:vAlign w:val="bottom"/>
            <w:shd w:val="clear" w:color="auto" w:fill="0066BA"/>
          </w:tcPr>
          <w:p>
            <w:pPr>
              <w:spacing w:after="0"/>
              <w:rPr>
                <w:sz w:val="3"/>
                <w:szCs w:val="3"/>
                <w:color w:val="auto"/>
              </w:rPr>
            </w:pPr>
          </w:p>
        </w:tc>
        <w:tc>
          <w:tcPr>
            <w:tcW w:w="300" w:type="dxa"/>
            <w:vAlign w:val="bottom"/>
            <w:shd w:val="clear" w:color="auto" w:fill="0066BA"/>
          </w:tcPr>
          <w:p>
            <w:pPr>
              <w:spacing w:after="0"/>
              <w:rPr>
                <w:sz w:val="3"/>
                <w:szCs w:val="3"/>
                <w:color w:val="auto"/>
              </w:rPr>
            </w:pPr>
          </w:p>
        </w:tc>
        <w:tc>
          <w:tcPr>
            <w:tcW w:w="1780" w:type="dxa"/>
            <w:vAlign w:val="bottom"/>
            <w:shd w:val="clear" w:color="auto" w:fill="0066BA"/>
          </w:tcPr>
          <w:p>
            <w:pPr>
              <w:spacing w:after="0"/>
              <w:rPr>
                <w:sz w:val="3"/>
                <w:szCs w:val="3"/>
                <w:color w:val="auto"/>
              </w:rPr>
            </w:pPr>
          </w:p>
        </w:tc>
        <w:tc>
          <w:tcPr>
            <w:tcW w:w="1460" w:type="dxa"/>
            <w:vAlign w:val="bottom"/>
            <w:shd w:val="clear" w:color="auto" w:fill="0066BA"/>
          </w:tcPr>
          <w:p>
            <w:pPr>
              <w:spacing w:after="0"/>
              <w:rPr>
                <w:sz w:val="3"/>
                <w:szCs w:val="3"/>
                <w:color w:val="auto"/>
              </w:rPr>
            </w:pPr>
          </w:p>
        </w:tc>
        <w:tc>
          <w:tcPr>
            <w:tcW w:w="120" w:type="dxa"/>
            <w:vAlign w:val="bottom"/>
            <w:shd w:val="clear" w:color="auto" w:fill="0066BA"/>
          </w:tcPr>
          <w:p>
            <w:pPr>
              <w:spacing w:after="0"/>
              <w:rPr>
                <w:sz w:val="3"/>
                <w:szCs w:val="3"/>
                <w:color w:val="auto"/>
              </w:rPr>
            </w:pPr>
          </w:p>
        </w:tc>
        <w:tc>
          <w:tcPr>
            <w:tcW w:w="2160" w:type="dxa"/>
            <w:vAlign w:val="bottom"/>
            <w:vMerge w:val="restart"/>
            <w:shd w:val="clear" w:color="auto" w:fill="0066BA"/>
          </w:tcPr>
          <w:p>
            <w:pPr>
              <w:jc w:val="right"/>
              <w:spacing w:after="0"/>
              <w:rPr>
                <w:sz w:val="20"/>
                <w:szCs w:val="20"/>
                <w:color w:val="auto"/>
              </w:rPr>
            </w:pPr>
            <w:r>
              <w:rPr>
                <w:rFonts w:ascii="Arial" w:cs="Arial" w:eastAsia="Arial" w:hAnsi="Arial"/>
                <w:sz w:val="14"/>
                <w:szCs w:val="14"/>
                <w:b w:val="1"/>
                <w:bCs w:val="1"/>
                <w:color w:val="FFFFFF"/>
              </w:rPr>
              <w:t>Quarterly Bonus</w:t>
            </w:r>
          </w:p>
        </w:tc>
        <w:tc>
          <w:tcPr>
            <w:tcW w:w="0" w:type="dxa"/>
            <w:vAlign w:val="bottom"/>
          </w:tcPr>
          <w:p>
            <w:pPr>
              <w:spacing w:after="0" w:line="20" w:lineRule="exact"/>
              <w:rPr>
                <w:sz w:val="1"/>
                <w:szCs w:val="1"/>
                <w:color w:val="auto"/>
              </w:rPr>
            </w:pPr>
          </w:p>
        </w:tc>
      </w:tr>
      <w:tr>
        <w:trPr>
          <w:trHeight w:val="156"/>
        </w:trPr>
        <w:tc>
          <w:tcPr>
            <w:tcW w:w="1520" w:type="dxa"/>
            <w:vAlign w:val="bottom"/>
            <w:vMerge w:val="restart"/>
            <w:shd w:val="clear" w:color="auto" w:fill="0066BA"/>
          </w:tcPr>
          <w:p>
            <w:pPr>
              <w:ind w:left="60"/>
              <w:spacing w:after="0"/>
              <w:rPr>
                <w:sz w:val="20"/>
                <w:szCs w:val="20"/>
                <w:color w:val="auto"/>
              </w:rPr>
            </w:pPr>
            <w:r>
              <w:rPr>
                <w:rFonts w:ascii="Arial" w:cs="Arial" w:eastAsia="Arial" w:hAnsi="Arial"/>
                <w:sz w:val="14"/>
                <w:szCs w:val="14"/>
                <w:b w:val="1"/>
                <w:bCs w:val="1"/>
                <w:color w:val="FFFFFF"/>
              </w:rPr>
              <w:t>Quarter</w:t>
            </w:r>
          </w:p>
        </w:tc>
        <w:tc>
          <w:tcPr>
            <w:tcW w:w="1620" w:type="dxa"/>
            <w:vAlign w:val="bottom"/>
            <w:shd w:val="clear" w:color="auto" w:fill="0066BA"/>
          </w:tcPr>
          <w:p>
            <w:pPr>
              <w:jc w:val="right"/>
              <w:ind w:right="108"/>
              <w:spacing w:after="0"/>
              <w:rPr>
                <w:sz w:val="20"/>
                <w:szCs w:val="20"/>
                <w:color w:val="auto"/>
              </w:rPr>
            </w:pPr>
            <w:r>
              <w:rPr>
                <w:rFonts w:ascii="Arial" w:cs="Arial" w:eastAsia="Arial" w:hAnsi="Arial"/>
                <w:sz w:val="12"/>
                <w:szCs w:val="12"/>
                <w:b w:val="1"/>
                <w:bCs w:val="1"/>
                <w:color w:val="FFFFFF"/>
              </w:rPr>
              <w:t>OPBT Margin</w:t>
            </w:r>
          </w:p>
        </w:tc>
        <w:tc>
          <w:tcPr>
            <w:tcW w:w="1320" w:type="dxa"/>
            <w:vAlign w:val="bottom"/>
            <w:shd w:val="clear" w:color="auto" w:fill="0066BA"/>
          </w:tcPr>
          <w:p>
            <w:pPr>
              <w:jc w:val="right"/>
              <w:spacing w:after="0" w:line="156" w:lineRule="exact"/>
              <w:rPr>
                <w:sz w:val="20"/>
                <w:szCs w:val="20"/>
                <w:color w:val="auto"/>
              </w:rPr>
            </w:pPr>
            <w:r>
              <w:rPr>
                <w:rFonts w:ascii="Arial" w:cs="Arial" w:eastAsia="Arial" w:hAnsi="Arial"/>
                <w:sz w:val="14"/>
                <w:szCs w:val="14"/>
                <w:b w:val="1"/>
                <w:bCs w:val="1"/>
                <w:color w:val="FFFFFF"/>
              </w:rPr>
              <w:t>Bonus Payout</w:t>
            </w:r>
          </w:p>
        </w:tc>
        <w:tc>
          <w:tcPr>
            <w:tcW w:w="300" w:type="dxa"/>
            <w:vAlign w:val="bottom"/>
            <w:shd w:val="clear" w:color="auto" w:fill="0066BA"/>
          </w:tcPr>
          <w:p>
            <w:pPr>
              <w:spacing w:after="0"/>
              <w:rPr>
                <w:sz w:val="13"/>
                <w:szCs w:val="13"/>
                <w:color w:val="auto"/>
              </w:rPr>
            </w:pPr>
          </w:p>
        </w:tc>
        <w:tc>
          <w:tcPr>
            <w:tcW w:w="1780" w:type="dxa"/>
            <w:vAlign w:val="bottom"/>
            <w:shd w:val="clear" w:color="auto" w:fill="0066BA"/>
          </w:tcPr>
          <w:p>
            <w:pPr>
              <w:jc w:val="right"/>
              <w:ind w:right="186"/>
              <w:spacing w:after="0" w:line="156" w:lineRule="exact"/>
              <w:rPr>
                <w:sz w:val="20"/>
                <w:szCs w:val="20"/>
                <w:color w:val="auto"/>
              </w:rPr>
            </w:pPr>
            <w:r>
              <w:rPr>
                <w:rFonts w:ascii="Arial" w:cs="Arial" w:eastAsia="Arial" w:hAnsi="Arial"/>
                <w:sz w:val="14"/>
                <w:szCs w:val="14"/>
                <w:b w:val="1"/>
                <w:bCs w:val="1"/>
                <w:color w:val="FFFFFF"/>
              </w:rPr>
              <w:t>YOY Revenue</w:t>
            </w:r>
          </w:p>
        </w:tc>
        <w:tc>
          <w:tcPr>
            <w:tcW w:w="1460" w:type="dxa"/>
            <w:vAlign w:val="bottom"/>
            <w:shd w:val="clear" w:color="auto" w:fill="0066BA"/>
          </w:tcPr>
          <w:p>
            <w:pPr>
              <w:jc w:val="right"/>
              <w:ind w:right="128"/>
              <w:spacing w:after="0"/>
              <w:rPr>
                <w:sz w:val="20"/>
                <w:szCs w:val="20"/>
                <w:color w:val="auto"/>
              </w:rPr>
            </w:pPr>
            <w:r>
              <w:rPr>
                <w:rFonts w:ascii="Arial" w:cs="Arial" w:eastAsia="Arial" w:hAnsi="Arial"/>
                <w:sz w:val="12"/>
                <w:szCs w:val="12"/>
                <w:b w:val="1"/>
                <w:bCs w:val="1"/>
                <w:color w:val="FFFFFF"/>
              </w:rPr>
              <w:t>Bonus Payout</w:t>
            </w:r>
          </w:p>
        </w:tc>
        <w:tc>
          <w:tcPr>
            <w:tcW w:w="120" w:type="dxa"/>
            <w:vAlign w:val="bottom"/>
            <w:shd w:val="clear" w:color="auto" w:fill="0066BA"/>
          </w:tcPr>
          <w:p>
            <w:pPr>
              <w:spacing w:after="0"/>
              <w:rPr>
                <w:sz w:val="13"/>
                <w:szCs w:val="13"/>
                <w:color w:val="auto"/>
              </w:rPr>
            </w:pPr>
          </w:p>
        </w:tc>
        <w:tc>
          <w:tcPr>
            <w:tcW w:w="2160" w:type="dxa"/>
            <w:vAlign w:val="bottom"/>
            <w:vMerge w:val="continue"/>
            <w:shd w:val="clear" w:color="auto" w:fill="0066BA"/>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1520" w:type="dxa"/>
            <w:vAlign w:val="bottom"/>
            <w:tcBorders>
              <w:bottom w:val="single" w:sz="8" w:color="0066BA"/>
            </w:tcBorders>
            <w:vMerge w:val="continue"/>
            <w:shd w:val="clear" w:color="auto" w:fill="0066BA"/>
          </w:tcPr>
          <w:p>
            <w:pPr>
              <w:spacing w:after="0"/>
              <w:rPr>
                <w:sz w:val="19"/>
                <w:szCs w:val="19"/>
                <w:color w:val="auto"/>
              </w:rPr>
            </w:pPr>
          </w:p>
        </w:tc>
        <w:tc>
          <w:tcPr>
            <w:tcW w:w="1620" w:type="dxa"/>
            <w:vAlign w:val="bottom"/>
            <w:tcBorders>
              <w:bottom w:val="single" w:sz="8" w:color="0066BA"/>
            </w:tcBorders>
            <w:shd w:val="clear" w:color="auto" w:fill="0066BA"/>
          </w:tcPr>
          <w:p>
            <w:pPr>
              <w:jc w:val="right"/>
              <w:ind w:right="108"/>
              <w:spacing w:after="0"/>
              <w:rPr>
                <w:sz w:val="20"/>
                <w:szCs w:val="20"/>
                <w:color w:val="auto"/>
              </w:rPr>
            </w:pPr>
            <w:r>
              <w:rPr>
                <w:rFonts w:ascii="Arial" w:cs="Arial" w:eastAsia="Arial" w:hAnsi="Arial"/>
                <w:sz w:val="12"/>
                <w:szCs w:val="12"/>
                <w:b w:val="1"/>
                <w:bCs w:val="1"/>
                <w:color w:val="FFFFFF"/>
              </w:rPr>
              <w:t>(by quarter)</w:t>
            </w:r>
          </w:p>
        </w:tc>
        <w:tc>
          <w:tcPr>
            <w:tcW w:w="1620" w:type="dxa"/>
            <w:vAlign w:val="bottom"/>
            <w:tcBorders>
              <w:bottom w:val="single" w:sz="8" w:color="0066BA"/>
            </w:tcBorders>
            <w:gridSpan w:val="2"/>
            <w:shd w:val="clear" w:color="auto" w:fill="0066BA"/>
          </w:tcPr>
          <w:p>
            <w:pPr>
              <w:jc w:val="right"/>
              <w:ind w:right="280"/>
              <w:spacing w:after="0"/>
              <w:rPr>
                <w:sz w:val="20"/>
                <w:szCs w:val="20"/>
                <w:color w:val="auto"/>
              </w:rPr>
            </w:pPr>
            <w:r>
              <w:rPr>
                <w:rFonts w:ascii="Arial" w:cs="Arial" w:eastAsia="Arial" w:hAnsi="Arial"/>
                <w:sz w:val="14"/>
                <w:szCs w:val="14"/>
                <w:b w:val="1"/>
                <w:bCs w:val="1"/>
                <w:color w:val="FFFFFF"/>
              </w:rPr>
              <w:t>Factor (by quarter)</w:t>
            </w:r>
          </w:p>
        </w:tc>
        <w:tc>
          <w:tcPr>
            <w:tcW w:w="1780" w:type="dxa"/>
            <w:vAlign w:val="bottom"/>
            <w:tcBorders>
              <w:bottom w:val="single" w:sz="8" w:color="0066BA"/>
            </w:tcBorders>
            <w:shd w:val="clear" w:color="auto" w:fill="0066BA"/>
          </w:tcPr>
          <w:p>
            <w:pPr>
              <w:jc w:val="right"/>
              <w:ind w:right="186"/>
              <w:spacing w:after="0"/>
              <w:rPr>
                <w:sz w:val="20"/>
                <w:szCs w:val="20"/>
                <w:color w:val="auto"/>
              </w:rPr>
            </w:pPr>
            <w:r>
              <w:rPr>
                <w:rFonts w:ascii="Arial" w:cs="Arial" w:eastAsia="Arial" w:hAnsi="Arial"/>
                <w:sz w:val="14"/>
                <w:szCs w:val="14"/>
                <w:b w:val="1"/>
                <w:bCs w:val="1"/>
                <w:color w:val="FFFFFF"/>
              </w:rPr>
              <w:t>Growth (by quarter)</w:t>
            </w:r>
          </w:p>
        </w:tc>
        <w:tc>
          <w:tcPr>
            <w:tcW w:w="1460" w:type="dxa"/>
            <w:vAlign w:val="bottom"/>
            <w:tcBorders>
              <w:bottom w:val="single" w:sz="8" w:color="0066BA"/>
            </w:tcBorders>
            <w:shd w:val="clear" w:color="auto" w:fill="0066BA"/>
          </w:tcPr>
          <w:p>
            <w:pPr>
              <w:jc w:val="right"/>
              <w:ind w:right="128"/>
              <w:spacing w:after="0"/>
              <w:rPr>
                <w:sz w:val="20"/>
                <w:szCs w:val="20"/>
                <w:color w:val="auto"/>
              </w:rPr>
            </w:pPr>
            <w:r>
              <w:rPr>
                <w:rFonts w:ascii="Arial" w:cs="Arial" w:eastAsia="Arial" w:hAnsi="Arial"/>
                <w:sz w:val="12"/>
                <w:szCs w:val="12"/>
                <w:b w:val="1"/>
                <w:bCs w:val="1"/>
                <w:color w:val="FFFFFF"/>
              </w:rPr>
              <w:t>Factor (by quarter)</w:t>
            </w:r>
          </w:p>
        </w:tc>
        <w:tc>
          <w:tcPr>
            <w:tcW w:w="120" w:type="dxa"/>
            <w:vAlign w:val="bottom"/>
            <w:tcBorders>
              <w:bottom w:val="single" w:sz="8" w:color="0066BA"/>
            </w:tcBorders>
            <w:shd w:val="clear" w:color="auto" w:fill="0066BA"/>
          </w:tcPr>
          <w:p>
            <w:pPr>
              <w:spacing w:after="0"/>
              <w:rPr>
                <w:sz w:val="19"/>
                <w:szCs w:val="19"/>
                <w:color w:val="auto"/>
              </w:rPr>
            </w:pPr>
          </w:p>
        </w:tc>
        <w:tc>
          <w:tcPr>
            <w:tcW w:w="2160" w:type="dxa"/>
            <w:vAlign w:val="bottom"/>
            <w:tcBorders>
              <w:bottom w:val="single" w:sz="8" w:color="0066BA"/>
            </w:tcBorders>
            <w:shd w:val="clear" w:color="auto" w:fill="0066BA"/>
          </w:tcPr>
          <w:p>
            <w:pPr>
              <w:jc w:val="right"/>
              <w:spacing w:after="0"/>
              <w:rPr>
                <w:sz w:val="20"/>
                <w:szCs w:val="20"/>
                <w:color w:val="auto"/>
              </w:rPr>
            </w:pPr>
            <w:r>
              <w:rPr>
                <w:rFonts w:ascii="Arial" w:cs="Arial" w:eastAsia="Arial" w:hAnsi="Arial"/>
                <w:sz w:val="14"/>
                <w:szCs w:val="14"/>
                <w:b w:val="1"/>
                <w:bCs w:val="1"/>
                <w:color w:val="FFFFFF"/>
              </w:rPr>
              <w:t>Payout Factor (average)</w:t>
            </w:r>
          </w:p>
        </w:tc>
        <w:tc>
          <w:tcPr>
            <w:tcW w:w="0" w:type="dxa"/>
            <w:vAlign w:val="bottom"/>
          </w:tcPr>
          <w:p>
            <w:pPr>
              <w:spacing w:after="0"/>
              <w:rPr>
                <w:sz w:val="1"/>
                <w:szCs w:val="1"/>
                <w:color w:val="auto"/>
              </w:rPr>
            </w:pPr>
          </w:p>
        </w:tc>
      </w:tr>
      <w:tr>
        <w:trPr>
          <w:trHeight w:val="260"/>
        </w:trPr>
        <w:tc>
          <w:tcPr>
            <w:tcW w:w="1520" w:type="dxa"/>
            <w:vAlign w:val="bottom"/>
          </w:tcPr>
          <w:p>
            <w:pPr>
              <w:ind w:left="60"/>
              <w:spacing w:after="0"/>
              <w:rPr>
                <w:sz w:val="20"/>
                <w:szCs w:val="20"/>
                <w:color w:val="auto"/>
              </w:rPr>
            </w:pPr>
            <w:r>
              <w:rPr>
                <w:rFonts w:ascii="Arial" w:cs="Arial" w:eastAsia="Arial" w:hAnsi="Arial"/>
                <w:sz w:val="16"/>
                <w:szCs w:val="16"/>
                <w:b w:val="1"/>
                <w:bCs w:val="1"/>
                <w:color w:val="0066BA"/>
              </w:rPr>
              <w:t>Q1</w:t>
            </w:r>
          </w:p>
        </w:tc>
        <w:tc>
          <w:tcPr>
            <w:tcW w:w="1620" w:type="dxa"/>
            <w:vAlign w:val="bottom"/>
            <w:tcBorders>
              <w:bottom w:val="single" w:sz="8" w:color="EAEAEA"/>
            </w:tcBorders>
            <w:shd w:val="clear" w:color="auto" w:fill="EAEAEA"/>
          </w:tcPr>
          <w:p>
            <w:pPr>
              <w:ind w:left="1020"/>
              <w:spacing w:after="0"/>
              <w:rPr>
                <w:sz w:val="20"/>
                <w:szCs w:val="20"/>
                <w:color w:val="auto"/>
              </w:rPr>
            </w:pPr>
            <w:r>
              <w:rPr>
                <w:rFonts w:ascii="Arial" w:cs="Arial" w:eastAsia="Arial" w:hAnsi="Arial"/>
                <w:sz w:val="16"/>
                <w:szCs w:val="16"/>
                <w:color w:val="auto"/>
              </w:rPr>
              <w:t>40.7%</w:t>
            </w:r>
          </w:p>
        </w:tc>
        <w:tc>
          <w:tcPr>
            <w:tcW w:w="132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158%</w:t>
            </w:r>
          </w:p>
        </w:tc>
        <w:tc>
          <w:tcPr>
            <w:tcW w:w="300" w:type="dxa"/>
            <w:vAlign w:val="bottom"/>
          </w:tcPr>
          <w:p>
            <w:pPr>
              <w:spacing w:after="0"/>
              <w:rPr>
                <w:sz w:val="22"/>
                <w:szCs w:val="22"/>
                <w:color w:val="auto"/>
              </w:rPr>
            </w:pPr>
          </w:p>
        </w:tc>
        <w:tc>
          <w:tcPr>
            <w:tcW w:w="1780" w:type="dxa"/>
            <w:vAlign w:val="bottom"/>
          </w:tcPr>
          <w:p>
            <w:pPr>
              <w:jc w:val="right"/>
              <w:ind w:right="186"/>
              <w:spacing w:after="0"/>
              <w:rPr>
                <w:sz w:val="20"/>
                <w:szCs w:val="20"/>
                <w:color w:val="auto"/>
              </w:rPr>
            </w:pPr>
            <w:r>
              <w:rPr>
                <w:rFonts w:ascii="Arial" w:cs="Arial" w:eastAsia="Arial" w:hAnsi="Arial"/>
                <w:sz w:val="16"/>
                <w:szCs w:val="16"/>
                <w:color w:val="auto"/>
              </w:rPr>
              <w:t>19.5%</w:t>
            </w:r>
          </w:p>
        </w:tc>
        <w:tc>
          <w:tcPr>
            <w:tcW w:w="1460" w:type="dxa"/>
            <w:vAlign w:val="bottom"/>
          </w:tcPr>
          <w:p>
            <w:pPr>
              <w:jc w:val="right"/>
              <w:ind w:right="128"/>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EAEAEA"/>
            </w:tcBorders>
            <w:shd w:val="clear" w:color="auto" w:fill="EAEAEA"/>
          </w:tcPr>
          <w:p>
            <w:pPr>
              <w:spacing w:after="0"/>
              <w:rPr>
                <w:sz w:val="22"/>
                <w:szCs w:val="22"/>
                <w:color w:val="auto"/>
              </w:rPr>
            </w:pPr>
          </w:p>
        </w:tc>
        <w:tc>
          <w:tcPr>
            <w:tcW w:w="216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53"/>
        </w:trPr>
        <w:tc>
          <w:tcPr>
            <w:tcW w:w="152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0066BA"/>
              </w:rPr>
              <w:t>Q2</w:t>
            </w:r>
          </w:p>
        </w:tc>
        <w:tc>
          <w:tcPr>
            <w:tcW w:w="1620" w:type="dxa"/>
            <w:vAlign w:val="bottom"/>
            <w:tcBorders>
              <w:top w:val="single" w:sz="8" w:color="auto"/>
              <w:bottom w:val="single" w:sz="8" w:color="EAEAEA"/>
            </w:tcBorders>
            <w:shd w:val="clear" w:color="auto" w:fill="EAEAEA"/>
          </w:tcPr>
          <w:p>
            <w:pPr>
              <w:ind w:left="1020"/>
              <w:spacing w:after="0"/>
              <w:rPr>
                <w:sz w:val="20"/>
                <w:szCs w:val="20"/>
                <w:color w:val="auto"/>
              </w:rPr>
            </w:pPr>
            <w:r>
              <w:rPr>
                <w:rFonts w:ascii="Arial" w:cs="Arial" w:eastAsia="Arial" w:hAnsi="Arial"/>
                <w:sz w:val="16"/>
                <w:szCs w:val="16"/>
                <w:color w:val="auto"/>
              </w:rPr>
              <w:t>41.7%</w:t>
            </w:r>
          </w:p>
        </w:tc>
        <w:tc>
          <w:tcPr>
            <w:tcW w:w="13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192%</w:t>
            </w:r>
          </w:p>
        </w:tc>
        <w:tc>
          <w:tcPr>
            <w:tcW w:w="300" w:type="dxa"/>
            <w:vAlign w:val="bottom"/>
            <w:tcBorders>
              <w:top w:val="single" w:sz="8" w:color="auto"/>
            </w:tcBorders>
          </w:tcPr>
          <w:p>
            <w:pPr>
              <w:spacing w:after="0"/>
              <w:rPr>
                <w:sz w:val="22"/>
                <w:szCs w:val="22"/>
                <w:color w:val="auto"/>
              </w:rPr>
            </w:pPr>
          </w:p>
        </w:tc>
        <w:tc>
          <w:tcPr>
            <w:tcW w:w="1780" w:type="dxa"/>
            <w:vAlign w:val="bottom"/>
            <w:tcBorders>
              <w:top w:val="single" w:sz="8" w:color="auto"/>
            </w:tcBorders>
          </w:tcPr>
          <w:p>
            <w:pPr>
              <w:jc w:val="right"/>
              <w:ind w:right="186"/>
              <w:spacing w:after="0"/>
              <w:rPr>
                <w:sz w:val="20"/>
                <w:szCs w:val="20"/>
                <w:color w:val="auto"/>
              </w:rPr>
            </w:pPr>
            <w:r>
              <w:rPr>
                <w:rFonts w:ascii="Arial" w:cs="Arial" w:eastAsia="Arial" w:hAnsi="Arial"/>
                <w:sz w:val="16"/>
                <w:szCs w:val="16"/>
                <w:color w:val="auto"/>
              </w:rPr>
              <w:t>26.1%</w:t>
            </w:r>
          </w:p>
        </w:tc>
        <w:tc>
          <w:tcPr>
            <w:tcW w:w="1460" w:type="dxa"/>
            <w:vAlign w:val="bottom"/>
            <w:tcBorders>
              <w:top w:val="single" w:sz="8" w:color="auto"/>
            </w:tcBorders>
          </w:tcPr>
          <w:p>
            <w:pPr>
              <w:jc w:val="right"/>
              <w:ind w:right="128"/>
              <w:spacing w:after="0"/>
              <w:rPr>
                <w:sz w:val="20"/>
                <w:szCs w:val="20"/>
                <w:color w:val="auto"/>
              </w:rPr>
            </w:pPr>
            <w:r>
              <w:rPr>
                <w:rFonts w:ascii="Arial" w:cs="Arial" w:eastAsia="Arial" w:hAnsi="Arial"/>
                <w:sz w:val="16"/>
                <w:szCs w:val="16"/>
                <w:color w:val="auto"/>
              </w:rPr>
              <w:t>300%</w:t>
            </w:r>
          </w:p>
        </w:tc>
        <w:tc>
          <w:tcPr>
            <w:tcW w:w="120" w:type="dxa"/>
            <w:vAlign w:val="bottom"/>
            <w:tcBorders>
              <w:top w:val="single" w:sz="8" w:color="auto"/>
              <w:bottom w:val="single" w:sz="8" w:color="EAEAEA"/>
            </w:tcBorders>
            <w:shd w:val="clear" w:color="auto" w:fill="EAEAEA"/>
          </w:tcPr>
          <w:p>
            <w:pPr>
              <w:spacing w:after="0"/>
              <w:rPr>
                <w:sz w:val="22"/>
                <w:szCs w:val="22"/>
                <w:color w:val="auto"/>
              </w:rPr>
            </w:pPr>
          </w:p>
        </w:tc>
        <w:tc>
          <w:tcPr>
            <w:tcW w:w="21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53"/>
        </w:trPr>
        <w:tc>
          <w:tcPr>
            <w:tcW w:w="152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0066BA"/>
              </w:rPr>
              <w:t>Q3</w:t>
            </w:r>
          </w:p>
        </w:tc>
        <w:tc>
          <w:tcPr>
            <w:tcW w:w="1620" w:type="dxa"/>
            <w:vAlign w:val="bottom"/>
            <w:tcBorders>
              <w:top w:val="single" w:sz="8" w:color="auto"/>
              <w:bottom w:val="single" w:sz="8" w:color="EAEAEA"/>
            </w:tcBorders>
            <w:shd w:val="clear" w:color="auto" w:fill="EAEAEA"/>
          </w:tcPr>
          <w:p>
            <w:pPr>
              <w:ind w:left="1020"/>
              <w:spacing w:after="0"/>
              <w:rPr>
                <w:sz w:val="20"/>
                <w:szCs w:val="20"/>
                <w:color w:val="auto"/>
              </w:rPr>
            </w:pPr>
            <w:r>
              <w:rPr>
                <w:rFonts w:ascii="Arial" w:cs="Arial" w:eastAsia="Arial" w:hAnsi="Arial"/>
                <w:sz w:val="16"/>
                <w:szCs w:val="16"/>
                <w:color w:val="auto"/>
              </w:rPr>
              <w:t>43.6%</w:t>
            </w:r>
          </w:p>
        </w:tc>
        <w:tc>
          <w:tcPr>
            <w:tcW w:w="13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252%</w:t>
            </w:r>
          </w:p>
        </w:tc>
        <w:tc>
          <w:tcPr>
            <w:tcW w:w="300" w:type="dxa"/>
            <w:vAlign w:val="bottom"/>
            <w:tcBorders>
              <w:top w:val="single" w:sz="8" w:color="auto"/>
            </w:tcBorders>
          </w:tcPr>
          <w:p>
            <w:pPr>
              <w:spacing w:after="0"/>
              <w:rPr>
                <w:sz w:val="22"/>
                <w:szCs w:val="22"/>
                <w:color w:val="auto"/>
              </w:rPr>
            </w:pPr>
          </w:p>
        </w:tc>
        <w:tc>
          <w:tcPr>
            <w:tcW w:w="1780" w:type="dxa"/>
            <w:vAlign w:val="bottom"/>
            <w:tcBorders>
              <w:top w:val="single" w:sz="8" w:color="auto"/>
            </w:tcBorders>
          </w:tcPr>
          <w:p>
            <w:pPr>
              <w:jc w:val="right"/>
              <w:ind w:right="186"/>
              <w:spacing w:after="0"/>
              <w:rPr>
                <w:sz w:val="20"/>
                <w:szCs w:val="20"/>
                <w:color w:val="auto"/>
              </w:rPr>
            </w:pPr>
            <w:r>
              <w:rPr>
                <w:rFonts w:ascii="Arial" w:cs="Arial" w:eastAsia="Arial" w:hAnsi="Arial"/>
                <w:sz w:val="16"/>
                <w:szCs w:val="16"/>
                <w:color w:val="auto"/>
              </w:rPr>
              <w:t>20.8%</w:t>
            </w:r>
          </w:p>
        </w:tc>
        <w:tc>
          <w:tcPr>
            <w:tcW w:w="1460" w:type="dxa"/>
            <w:vAlign w:val="bottom"/>
            <w:tcBorders>
              <w:top w:val="single" w:sz="8" w:color="auto"/>
            </w:tcBorders>
          </w:tcPr>
          <w:p>
            <w:pPr>
              <w:jc w:val="right"/>
              <w:ind w:right="128"/>
              <w:spacing w:after="0"/>
              <w:rPr>
                <w:sz w:val="20"/>
                <w:szCs w:val="20"/>
                <w:color w:val="auto"/>
              </w:rPr>
            </w:pPr>
            <w:r>
              <w:rPr>
                <w:rFonts w:ascii="Arial" w:cs="Arial" w:eastAsia="Arial" w:hAnsi="Arial"/>
                <w:sz w:val="16"/>
                <w:szCs w:val="16"/>
                <w:color w:val="auto"/>
              </w:rPr>
              <w:t>300%</w:t>
            </w:r>
          </w:p>
        </w:tc>
        <w:tc>
          <w:tcPr>
            <w:tcW w:w="120" w:type="dxa"/>
            <w:vAlign w:val="bottom"/>
            <w:tcBorders>
              <w:top w:val="single" w:sz="8" w:color="auto"/>
              <w:bottom w:val="single" w:sz="8" w:color="EAEAEA"/>
            </w:tcBorders>
            <w:shd w:val="clear" w:color="auto" w:fill="EAEAEA"/>
          </w:tcPr>
          <w:p>
            <w:pPr>
              <w:spacing w:after="0"/>
              <w:rPr>
                <w:sz w:val="22"/>
                <w:szCs w:val="22"/>
                <w:color w:val="auto"/>
              </w:rPr>
            </w:pPr>
          </w:p>
        </w:tc>
        <w:tc>
          <w:tcPr>
            <w:tcW w:w="21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53"/>
        </w:trPr>
        <w:tc>
          <w:tcPr>
            <w:tcW w:w="1520" w:type="dxa"/>
            <w:vAlign w:val="bottom"/>
            <w:tcBorders>
              <w:top w:val="single" w:sz="8" w:color="auto"/>
              <w:bottom w:val="single" w:sz="8" w:color="0066BA"/>
            </w:tcBorders>
          </w:tcPr>
          <w:p>
            <w:pPr>
              <w:ind w:left="60"/>
              <w:spacing w:after="0" w:line="253" w:lineRule="exact"/>
              <w:rPr>
                <w:sz w:val="20"/>
                <w:szCs w:val="20"/>
                <w:color w:val="auto"/>
              </w:rPr>
            </w:pPr>
            <w:r>
              <w:rPr>
                <w:rFonts w:ascii="Arial" w:cs="Arial" w:eastAsia="Arial" w:hAnsi="Arial"/>
                <w:sz w:val="16"/>
                <w:szCs w:val="16"/>
                <w:b w:val="1"/>
                <w:bCs w:val="1"/>
                <w:color w:val="0066BA"/>
              </w:rPr>
              <w:t>Q4</w:t>
            </w:r>
            <w:r>
              <w:rPr>
                <w:rFonts w:ascii="Arial" w:cs="Arial" w:eastAsia="Arial" w:hAnsi="Arial"/>
                <w:sz w:val="26"/>
                <w:szCs w:val="26"/>
                <w:b w:val="1"/>
                <w:bCs w:val="1"/>
                <w:color w:val="0066BA"/>
                <w:vertAlign w:val="superscript"/>
              </w:rPr>
              <w:t>1</w:t>
            </w:r>
          </w:p>
        </w:tc>
        <w:tc>
          <w:tcPr>
            <w:tcW w:w="1620" w:type="dxa"/>
            <w:vAlign w:val="bottom"/>
            <w:tcBorders>
              <w:top w:val="single" w:sz="8" w:color="auto"/>
              <w:bottom w:val="single" w:sz="8" w:color="0066BA"/>
            </w:tcBorders>
            <w:shd w:val="clear" w:color="auto" w:fill="EAEAEA"/>
          </w:tcPr>
          <w:p>
            <w:pPr>
              <w:ind w:left="1020"/>
              <w:spacing w:after="0"/>
              <w:rPr>
                <w:sz w:val="20"/>
                <w:szCs w:val="20"/>
                <w:color w:val="auto"/>
              </w:rPr>
            </w:pPr>
            <w:r>
              <w:rPr>
                <w:rFonts w:ascii="Arial" w:cs="Arial" w:eastAsia="Arial" w:hAnsi="Arial"/>
                <w:sz w:val="16"/>
                <w:szCs w:val="16"/>
                <w:color w:val="auto"/>
              </w:rPr>
              <w:t>42.6%</w:t>
            </w:r>
          </w:p>
        </w:tc>
        <w:tc>
          <w:tcPr>
            <w:tcW w:w="1320" w:type="dxa"/>
            <w:vAlign w:val="bottom"/>
            <w:tcBorders>
              <w:top w:val="single" w:sz="8" w:color="auto"/>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219%</w:t>
            </w:r>
          </w:p>
        </w:tc>
        <w:tc>
          <w:tcPr>
            <w:tcW w:w="300" w:type="dxa"/>
            <w:vAlign w:val="bottom"/>
            <w:tcBorders>
              <w:top w:val="single" w:sz="8" w:color="auto"/>
              <w:bottom w:val="single" w:sz="8" w:color="0066BA"/>
            </w:tcBorders>
          </w:tcPr>
          <w:p>
            <w:pPr>
              <w:spacing w:after="0"/>
              <w:rPr>
                <w:sz w:val="22"/>
                <w:szCs w:val="22"/>
                <w:color w:val="auto"/>
              </w:rPr>
            </w:pPr>
          </w:p>
        </w:tc>
        <w:tc>
          <w:tcPr>
            <w:tcW w:w="1780" w:type="dxa"/>
            <w:vAlign w:val="bottom"/>
            <w:tcBorders>
              <w:top w:val="single" w:sz="8" w:color="auto"/>
              <w:bottom w:val="single" w:sz="8" w:color="0066BA"/>
            </w:tcBorders>
          </w:tcPr>
          <w:p>
            <w:pPr>
              <w:jc w:val="right"/>
              <w:ind w:right="186"/>
              <w:spacing w:after="0"/>
              <w:rPr>
                <w:sz w:val="20"/>
                <w:szCs w:val="20"/>
                <w:color w:val="auto"/>
              </w:rPr>
            </w:pPr>
            <w:r>
              <w:rPr>
                <w:rFonts w:ascii="Arial" w:cs="Arial" w:eastAsia="Arial" w:hAnsi="Arial"/>
                <w:sz w:val="16"/>
                <w:szCs w:val="16"/>
                <w:color w:val="auto"/>
              </w:rPr>
              <w:t>16.7%</w:t>
            </w:r>
          </w:p>
        </w:tc>
        <w:tc>
          <w:tcPr>
            <w:tcW w:w="1460" w:type="dxa"/>
            <w:vAlign w:val="bottom"/>
            <w:tcBorders>
              <w:top w:val="single" w:sz="8" w:color="auto"/>
              <w:bottom w:val="single" w:sz="8" w:color="0066BA"/>
            </w:tcBorders>
          </w:tcPr>
          <w:p>
            <w:pPr>
              <w:jc w:val="right"/>
              <w:ind w:right="128"/>
              <w:spacing w:after="0"/>
              <w:rPr>
                <w:sz w:val="20"/>
                <w:szCs w:val="20"/>
                <w:color w:val="auto"/>
              </w:rPr>
            </w:pPr>
            <w:r>
              <w:rPr>
                <w:rFonts w:ascii="Arial" w:cs="Arial" w:eastAsia="Arial" w:hAnsi="Arial"/>
                <w:sz w:val="16"/>
                <w:szCs w:val="16"/>
                <w:color w:val="auto"/>
              </w:rPr>
              <w:t>300%</w:t>
            </w:r>
          </w:p>
        </w:tc>
        <w:tc>
          <w:tcPr>
            <w:tcW w:w="120" w:type="dxa"/>
            <w:vAlign w:val="bottom"/>
            <w:tcBorders>
              <w:top w:val="single" w:sz="8" w:color="auto"/>
              <w:bottom w:val="single" w:sz="8" w:color="0066BA"/>
            </w:tcBorders>
            <w:shd w:val="clear" w:color="auto" w:fill="EAEAEA"/>
          </w:tcPr>
          <w:p>
            <w:pPr>
              <w:spacing w:after="0"/>
              <w:rPr>
                <w:sz w:val="22"/>
                <w:szCs w:val="22"/>
                <w:color w:val="auto"/>
              </w:rPr>
            </w:pPr>
          </w:p>
        </w:tc>
        <w:tc>
          <w:tcPr>
            <w:tcW w:w="2160" w:type="dxa"/>
            <w:vAlign w:val="bottom"/>
            <w:tcBorders>
              <w:top w:val="single" w:sz="8" w:color="auto"/>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780" w:hanging="305"/>
        <w:spacing w:after="0"/>
        <w:tabs>
          <w:tab w:leader="none" w:pos="780" w:val="left"/>
        </w:tabs>
        <w:numPr>
          <w:ilvl w:val="0"/>
          <w:numId w:val="52"/>
        </w:numPr>
        <w:rPr>
          <w:rFonts w:ascii="Arial" w:cs="Arial" w:eastAsia="Arial" w:hAnsi="Arial"/>
          <w:sz w:val="13"/>
          <w:szCs w:val="13"/>
          <w:i w:val="1"/>
          <w:iCs w:val="1"/>
          <w:color w:val="auto"/>
        </w:rPr>
      </w:pPr>
      <w:r>
        <w:rPr>
          <w:rFonts w:ascii="Arial" w:cs="Arial" w:eastAsia="Arial" w:hAnsi="Arial"/>
          <w:sz w:val="13"/>
          <w:szCs w:val="13"/>
          <w:i w:val="1"/>
          <w:iCs w:val="1"/>
          <w:color w:val="auto"/>
        </w:rPr>
        <w:t>Results do not include results of Maxim Integrated</w:t>
      </w:r>
    </w:p>
    <w:p>
      <w:pPr>
        <w:spacing w:after="0" w:line="100" w:lineRule="exact"/>
        <w:rPr>
          <w:sz w:val="20"/>
          <w:szCs w:val="20"/>
          <w:color w:val="auto"/>
        </w:rPr>
      </w:pPr>
    </w:p>
    <w:p>
      <w:pPr>
        <w:ind w:left="480" w:right="320"/>
        <w:spacing w:after="0" w:line="286" w:lineRule="auto"/>
        <w:rPr>
          <w:sz w:val="20"/>
          <w:szCs w:val="20"/>
          <w:color w:val="auto"/>
        </w:rPr>
      </w:pPr>
      <w:r>
        <w:rPr>
          <w:rFonts w:ascii="Arial" w:cs="Arial" w:eastAsia="Arial" w:hAnsi="Arial"/>
          <w:sz w:val="17"/>
          <w:szCs w:val="17"/>
          <w:color w:val="auto"/>
        </w:rPr>
        <w:t>Aggregate payments under our executive performance incentive plan were made at 253% of target, compared to 77% in fiscal 2020 and 95% in fiscal 2019.</w:t>
      </w:r>
    </w:p>
    <w:p>
      <w:pPr>
        <w:spacing w:after="0" w:line="200" w:lineRule="exact"/>
        <w:rPr>
          <w:sz w:val="20"/>
          <w:szCs w:val="20"/>
          <w:color w:val="auto"/>
        </w:rPr>
      </w:pPr>
    </w:p>
    <w:p>
      <w:pPr>
        <w:spacing w:after="0" w:line="22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0760"/>
          </w:cols>
          <w:pgMar w:left="320" w:top="447" w:right="81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Base Salary and Individual Target Bonus Percentages</w:t>
      </w:r>
    </w:p>
    <w:p>
      <w:pPr>
        <w:spacing w:after="0" w:line="57" w:lineRule="exact"/>
        <w:rPr>
          <w:sz w:val="20"/>
          <w:szCs w:val="20"/>
          <w:color w:val="auto"/>
        </w:rPr>
      </w:pPr>
    </w:p>
    <w:p>
      <w:pPr>
        <w:ind w:left="480" w:right="180"/>
        <w:spacing w:after="0" w:line="261" w:lineRule="auto"/>
        <w:rPr>
          <w:sz w:val="20"/>
          <w:szCs w:val="20"/>
          <w:color w:val="auto"/>
        </w:rPr>
      </w:pPr>
      <w:r>
        <w:rPr>
          <w:rFonts w:ascii="Arial" w:cs="Arial" w:eastAsia="Arial" w:hAnsi="Arial"/>
          <w:sz w:val="17"/>
          <w:szCs w:val="17"/>
          <w:color w:val="auto"/>
        </w:rPr>
        <w:t>In March 2021, as part of our standard annual review cycle, the Compensation Committee reviewed the base salaries and individual target bonus percentages for Mr. Roche and our other executive officers, including our NEOs. They considered several factors, including each executive officer’s performance, tenure, job responsibilities, market benchmark information from our peer group and continued uncertainties in the broader economy resulting from the COVID-19 pandemic. As a result of this review, the Compensation Committee decided to make no changes to base salary and target bonus percentages in fiscal 2021, except for Mr. Henderson whose base salary was increased by 2.2%. Ms. Sacks joined ADI in February 2021.</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Compensation Committee approved base salaries and target bonus percentages for our NEOs for fiscal 2021 as specified in the table below:</w:t>
      </w:r>
    </w:p>
    <w:p>
      <w:pPr>
        <w:spacing w:after="0" w:line="271" w:lineRule="exact"/>
        <w:rPr>
          <w:sz w:val="20"/>
          <w:szCs w:val="20"/>
          <w:color w:val="auto"/>
        </w:rPr>
      </w:pPr>
    </w:p>
    <w:tbl>
      <w:tblPr>
        <w:tblLayout w:type="fixed"/>
        <w:tblInd w:w="480" w:type="dxa"/>
        <w:tblCellMar>
          <w:top w:w="0" w:type="dxa"/>
          <w:left w:w="0" w:type="dxa"/>
          <w:bottom w:w="0" w:type="dxa"/>
          <w:right w:w="0" w:type="dxa"/>
        </w:tblCellMar>
      </w:tblPr>
      <w:tr>
        <w:trPr>
          <w:trHeight w:val="285"/>
        </w:trPr>
        <w:tc>
          <w:tcPr>
            <w:tcW w:w="3620" w:type="dxa"/>
            <w:vAlign w:val="bottom"/>
            <w:shd w:val="clear" w:color="auto" w:fill="0066BA"/>
          </w:tcPr>
          <w:p>
            <w:pPr>
              <w:spacing w:after="0"/>
              <w:rPr>
                <w:sz w:val="24"/>
                <w:szCs w:val="24"/>
                <w:color w:val="auto"/>
              </w:rPr>
            </w:pPr>
          </w:p>
        </w:tc>
        <w:tc>
          <w:tcPr>
            <w:tcW w:w="1020" w:type="dxa"/>
            <w:vAlign w:val="bottom"/>
            <w:shd w:val="clear" w:color="auto" w:fill="0066BA"/>
          </w:tcPr>
          <w:p>
            <w:pPr>
              <w:spacing w:after="0"/>
              <w:rPr>
                <w:sz w:val="24"/>
                <w:szCs w:val="24"/>
                <w:color w:val="auto"/>
              </w:rPr>
            </w:pPr>
          </w:p>
        </w:tc>
        <w:tc>
          <w:tcPr>
            <w:tcW w:w="1140" w:type="dxa"/>
            <w:vAlign w:val="bottom"/>
            <w:shd w:val="clear" w:color="auto" w:fill="0066BA"/>
          </w:tcPr>
          <w:p>
            <w:pPr>
              <w:spacing w:after="0"/>
              <w:rPr>
                <w:sz w:val="24"/>
                <w:szCs w:val="24"/>
                <w:color w:val="auto"/>
              </w:rPr>
            </w:pPr>
          </w:p>
        </w:tc>
        <w:tc>
          <w:tcPr>
            <w:tcW w:w="960" w:type="dxa"/>
            <w:vAlign w:val="bottom"/>
            <w:shd w:val="clear" w:color="auto" w:fill="0066BA"/>
          </w:tcPr>
          <w:p>
            <w:pPr>
              <w:spacing w:after="0"/>
              <w:rPr>
                <w:sz w:val="24"/>
                <w:szCs w:val="24"/>
                <w:color w:val="auto"/>
              </w:rPr>
            </w:pPr>
          </w:p>
        </w:tc>
        <w:tc>
          <w:tcPr>
            <w:tcW w:w="1300" w:type="dxa"/>
            <w:vAlign w:val="bottom"/>
            <w:shd w:val="clear" w:color="auto" w:fill="0066BA"/>
          </w:tcPr>
          <w:p>
            <w:pPr>
              <w:jc w:val="right"/>
              <w:ind w:right="122"/>
              <w:spacing w:after="0"/>
              <w:rPr>
                <w:sz w:val="20"/>
                <w:szCs w:val="20"/>
                <w:color w:val="auto"/>
              </w:rPr>
            </w:pPr>
            <w:r>
              <w:rPr>
                <w:rFonts w:ascii="Arial" w:cs="Arial" w:eastAsia="Arial" w:hAnsi="Arial"/>
                <w:sz w:val="16"/>
                <w:szCs w:val="16"/>
                <w:b w:val="1"/>
                <w:bCs w:val="1"/>
                <w:color w:val="FFFFFF"/>
              </w:rPr>
              <w:t>Fiscal 2021</w:t>
            </w:r>
          </w:p>
        </w:tc>
        <w:tc>
          <w:tcPr>
            <w:tcW w:w="1280" w:type="dxa"/>
            <w:vAlign w:val="bottom"/>
            <w:shd w:val="clear" w:color="auto" w:fill="0066BA"/>
          </w:tcPr>
          <w:p>
            <w:pPr>
              <w:jc w:val="right"/>
              <w:ind w:right="102"/>
              <w:spacing w:after="0"/>
              <w:rPr>
                <w:sz w:val="20"/>
                <w:szCs w:val="20"/>
                <w:color w:val="auto"/>
              </w:rPr>
            </w:pPr>
            <w:r>
              <w:rPr>
                <w:rFonts w:ascii="Arial" w:cs="Arial" w:eastAsia="Arial" w:hAnsi="Arial"/>
                <w:sz w:val="16"/>
                <w:szCs w:val="16"/>
                <w:b w:val="1"/>
                <w:bCs w:val="1"/>
                <w:color w:val="FFFFFF"/>
              </w:rPr>
              <w:t>Fiscal 2020</w:t>
            </w:r>
          </w:p>
        </w:tc>
        <w:tc>
          <w:tcPr>
            <w:tcW w:w="960" w:type="dxa"/>
            <w:vAlign w:val="bottom"/>
            <w:shd w:val="clear" w:color="auto" w:fill="0066BA"/>
          </w:tcPr>
          <w:p>
            <w:pPr>
              <w:spacing w:after="0"/>
              <w:rPr>
                <w:sz w:val="24"/>
                <w:szCs w:val="24"/>
                <w:color w:val="auto"/>
              </w:rPr>
            </w:pPr>
          </w:p>
        </w:tc>
      </w:tr>
      <w:tr>
        <w:trPr>
          <w:trHeight w:val="195"/>
        </w:trPr>
        <w:tc>
          <w:tcPr>
            <w:tcW w:w="3620" w:type="dxa"/>
            <w:vAlign w:val="bottom"/>
            <w:shd w:val="clear" w:color="auto" w:fill="0066BA"/>
          </w:tcPr>
          <w:p>
            <w:pPr>
              <w:spacing w:after="0"/>
              <w:rPr>
                <w:sz w:val="16"/>
                <w:szCs w:val="16"/>
                <w:color w:val="auto"/>
              </w:rPr>
            </w:pPr>
          </w:p>
        </w:tc>
        <w:tc>
          <w:tcPr>
            <w:tcW w:w="1020" w:type="dxa"/>
            <w:vAlign w:val="bottom"/>
            <w:shd w:val="clear" w:color="auto" w:fill="0066BA"/>
          </w:tcPr>
          <w:p>
            <w:pPr>
              <w:jc w:val="right"/>
              <w:ind w:right="102"/>
              <w:spacing w:after="0"/>
              <w:rPr>
                <w:sz w:val="20"/>
                <w:szCs w:val="20"/>
                <w:color w:val="auto"/>
              </w:rPr>
            </w:pPr>
            <w:r>
              <w:rPr>
                <w:rFonts w:ascii="Arial" w:cs="Arial" w:eastAsia="Arial" w:hAnsi="Arial"/>
                <w:sz w:val="16"/>
                <w:szCs w:val="16"/>
                <w:b w:val="1"/>
                <w:bCs w:val="1"/>
                <w:color w:val="FFFFFF"/>
              </w:rPr>
              <w:t>Fiscal</w:t>
            </w:r>
          </w:p>
        </w:tc>
        <w:tc>
          <w:tcPr>
            <w:tcW w:w="1140" w:type="dxa"/>
            <w:vAlign w:val="bottom"/>
            <w:shd w:val="clear" w:color="auto" w:fill="0066BA"/>
          </w:tcPr>
          <w:p>
            <w:pPr>
              <w:jc w:val="right"/>
              <w:ind w:right="102"/>
              <w:spacing w:after="0"/>
              <w:rPr>
                <w:sz w:val="20"/>
                <w:szCs w:val="20"/>
                <w:color w:val="auto"/>
              </w:rPr>
            </w:pPr>
            <w:r>
              <w:rPr>
                <w:rFonts w:ascii="Arial" w:cs="Arial" w:eastAsia="Arial" w:hAnsi="Arial"/>
                <w:sz w:val="16"/>
                <w:szCs w:val="16"/>
                <w:b w:val="1"/>
                <w:bCs w:val="1"/>
                <w:color w:val="FFFFFF"/>
              </w:rPr>
              <w:t>Fiscal</w:t>
            </w:r>
          </w:p>
        </w:tc>
        <w:tc>
          <w:tcPr>
            <w:tcW w:w="960" w:type="dxa"/>
            <w:vAlign w:val="bottom"/>
            <w:shd w:val="clear" w:color="auto" w:fill="0066BA"/>
          </w:tcPr>
          <w:p>
            <w:pPr>
              <w:spacing w:after="0"/>
              <w:rPr>
                <w:sz w:val="16"/>
                <w:szCs w:val="16"/>
                <w:color w:val="auto"/>
              </w:rPr>
            </w:pPr>
          </w:p>
        </w:tc>
        <w:tc>
          <w:tcPr>
            <w:tcW w:w="1300" w:type="dxa"/>
            <w:vAlign w:val="bottom"/>
            <w:shd w:val="clear" w:color="auto" w:fill="0066BA"/>
          </w:tcPr>
          <w:p>
            <w:pPr>
              <w:jc w:val="right"/>
              <w:ind w:right="122"/>
              <w:spacing w:after="0"/>
              <w:rPr>
                <w:sz w:val="20"/>
                <w:szCs w:val="20"/>
                <w:color w:val="auto"/>
              </w:rPr>
            </w:pPr>
            <w:r>
              <w:rPr>
                <w:rFonts w:ascii="Arial" w:cs="Arial" w:eastAsia="Arial" w:hAnsi="Arial"/>
                <w:sz w:val="16"/>
                <w:szCs w:val="16"/>
                <w:b w:val="1"/>
                <w:bCs w:val="1"/>
                <w:color w:val="FFFFFF"/>
              </w:rPr>
              <w:t>Individual</w:t>
            </w:r>
          </w:p>
        </w:tc>
        <w:tc>
          <w:tcPr>
            <w:tcW w:w="1280" w:type="dxa"/>
            <w:vAlign w:val="bottom"/>
            <w:shd w:val="clear" w:color="auto" w:fill="0066BA"/>
          </w:tcPr>
          <w:p>
            <w:pPr>
              <w:jc w:val="right"/>
              <w:ind w:right="102"/>
              <w:spacing w:after="0"/>
              <w:rPr>
                <w:sz w:val="20"/>
                <w:szCs w:val="20"/>
                <w:color w:val="auto"/>
              </w:rPr>
            </w:pPr>
            <w:r>
              <w:rPr>
                <w:rFonts w:ascii="Arial" w:cs="Arial" w:eastAsia="Arial" w:hAnsi="Arial"/>
                <w:sz w:val="16"/>
                <w:szCs w:val="16"/>
                <w:b w:val="1"/>
                <w:bCs w:val="1"/>
                <w:color w:val="FFFFFF"/>
              </w:rPr>
              <w:t>Individual</w:t>
            </w:r>
          </w:p>
        </w:tc>
        <w:tc>
          <w:tcPr>
            <w:tcW w:w="960" w:type="dxa"/>
            <w:vAlign w:val="bottom"/>
            <w:shd w:val="clear" w:color="auto" w:fill="0066BA"/>
          </w:tcPr>
          <w:p>
            <w:pPr>
              <w:spacing w:after="0"/>
              <w:rPr>
                <w:sz w:val="16"/>
                <w:szCs w:val="16"/>
                <w:color w:val="auto"/>
              </w:rPr>
            </w:pPr>
          </w:p>
        </w:tc>
      </w:tr>
      <w:tr>
        <w:trPr>
          <w:trHeight w:val="195"/>
        </w:trPr>
        <w:tc>
          <w:tcPr>
            <w:tcW w:w="3620" w:type="dxa"/>
            <w:vAlign w:val="bottom"/>
            <w:shd w:val="clear" w:color="auto" w:fill="0066BA"/>
          </w:tcPr>
          <w:p>
            <w:pPr>
              <w:spacing w:after="0"/>
              <w:rPr>
                <w:sz w:val="16"/>
                <w:szCs w:val="16"/>
                <w:color w:val="auto"/>
              </w:rPr>
            </w:pPr>
          </w:p>
        </w:tc>
        <w:tc>
          <w:tcPr>
            <w:tcW w:w="1020" w:type="dxa"/>
            <w:vAlign w:val="bottom"/>
            <w:shd w:val="clear" w:color="auto" w:fill="0066BA"/>
          </w:tcPr>
          <w:p>
            <w:pPr>
              <w:jc w:val="right"/>
              <w:ind w:right="102"/>
              <w:spacing w:after="0"/>
              <w:rPr>
                <w:sz w:val="20"/>
                <w:szCs w:val="20"/>
                <w:color w:val="auto"/>
              </w:rPr>
            </w:pPr>
            <w:r>
              <w:rPr>
                <w:rFonts w:ascii="Arial" w:cs="Arial" w:eastAsia="Arial" w:hAnsi="Arial"/>
                <w:sz w:val="16"/>
                <w:szCs w:val="16"/>
                <w:b w:val="1"/>
                <w:bCs w:val="1"/>
                <w:color w:val="FFFFFF"/>
              </w:rPr>
              <w:t>2021</w:t>
            </w:r>
          </w:p>
        </w:tc>
        <w:tc>
          <w:tcPr>
            <w:tcW w:w="1140" w:type="dxa"/>
            <w:vAlign w:val="bottom"/>
            <w:shd w:val="clear" w:color="auto" w:fill="0066BA"/>
          </w:tcPr>
          <w:p>
            <w:pPr>
              <w:jc w:val="right"/>
              <w:ind w:right="102"/>
              <w:spacing w:after="0"/>
              <w:rPr>
                <w:sz w:val="20"/>
                <w:szCs w:val="20"/>
                <w:color w:val="auto"/>
              </w:rPr>
            </w:pPr>
            <w:r>
              <w:rPr>
                <w:rFonts w:ascii="Arial" w:cs="Arial" w:eastAsia="Arial" w:hAnsi="Arial"/>
                <w:sz w:val="16"/>
                <w:szCs w:val="16"/>
                <w:b w:val="1"/>
                <w:bCs w:val="1"/>
                <w:color w:val="FFFFFF"/>
              </w:rPr>
              <w:t>2020</w:t>
            </w:r>
          </w:p>
        </w:tc>
        <w:tc>
          <w:tcPr>
            <w:tcW w:w="960" w:type="dxa"/>
            <w:vAlign w:val="bottom"/>
            <w:shd w:val="clear" w:color="auto" w:fill="0066BA"/>
          </w:tcPr>
          <w:p>
            <w:pPr>
              <w:spacing w:after="0"/>
              <w:rPr>
                <w:sz w:val="16"/>
                <w:szCs w:val="16"/>
                <w:color w:val="auto"/>
              </w:rPr>
            </w:pPr>
          </w:p>
        </w:tc>
        <w:tc>
          <w:tcPr>
            <w:tcW w:w="1300" w:type="dxa"/>
            <w:vAlign w:val="bottom"/>
            <w:shd w:val="clear" w:color="auto" w:fill="0066BA"/>
          </w:tcPr>
          <w:p>
            <w:pPr>
              <w:jc w:val="right"/>
              <w:ind w:right="122"/>
              <w:spacing w:after="0"/>
              <w:rPr>
                <w:sz w:val="20"/>
                <w:szCs w:val="20"/>
                <w:color w:val="auto"/>
              </w:rPr>
            </w:pPr>
            <w:r>
              <w:rPr>
                <w:rFonts w:ascii="Arial" w:cs="Arial" w:eastAsia="Arial" w:hAnsi="Arial"/>
                <w:sz w:val="16"/>
                <w:szCs w:val="16"/>
                <w:b w:val="1"/>
                <w:bCs w:val="1"/>
                <w:color w:val="FFFFFF"/>
              </w:rPr>
              <w:t>Target Bonus</w:t>
            </w:r>
          </w:p>
        </w:tc>
        <w:tc>
          <w:tcPr>
            <w:tcW w:w="1280" w:type="dxa"/>
            <w:vAlign w:val="bottom"/>
            <w:shd w:val="clear" w:color="auto" w:fill="0066BA"/>
          </w:tcPr>
          <w:p>
            <w:pPr>
              <w:jc w:val="right"/>
              <w:ind w:right="102"/>
              <w:spacing w:after="0"/>
              <w:rPr>
                <w:sz w:val="20"/>
                <w:szCs w:val="20"/>
                <w:color w:val="auto"/>
              </w:rPr>
            </w:pPr>
            <w:r>
              <w:rPr>
                <w:rFonts w:ascii="Arial" w:cs="Arial" w:eastAsia="Arial" w:hAnsi="Arial"/>
                <w:sz w:val="16"/>
                <w:szCs w:val="16"/>
                <w:b w:val="1"/>
                <w:bCs w:val="1"/>
                <w:color w:val="FFFFFF"/>
              </w:rPr>
              <w:t>Target Bonus</w:t>
            </w:r>
          </w:p>
        </w:tc>
        <w:tc>
          <w:tcPr>
            <w:tcW w:w="960" w:type="dxa"/>
            <w:vAlign w:val="bottom"/>
            <w:shd w:val="clear" w:color="auto" w:fill="0066BA"/>
          </w:tcPr>
          <w:p>
            <w:pPr>
              <w:spacing w:after="0"/>
              <w:rPr>
                <w:sz w:val="16"/>
                <w:szCs w:val="16"/>
                <w:color w:val="auto"/>
              </w:rPr>
            </w:pPr>
          </w:p>
        </w:tc>
      </w:tr>
      <w:tr>
        <w:trPr>
          <w:trHeight w:val="195"/>
        </w:trPr>
        <w:tc>
          <w:tcPr>
            <w:tcW w:w="3620" w:type="dxa"/>
            <w:vAlign w:val="bottom"/>
            <w:shd w:val="clear" w:color="auto" w:fill="0066BA"/>
          </w:tcPr>
          <w:p>
            <w:pPr>
              <w:spacing w:after="0"/>
              <w:rPr>
                <w:sz w:val="16"/>
                <w:szCs w:val="16"/>
                <w:color w:val="auto"/>
              </w:rPr>
            </w:pPr>
          </w:p>
        </w:tc>
        <w:tc>
          <w:tcPr>
            <w:tcW w:w="1020" w:type="dxa"/>
            <w:vAlign w:val="bottom"/>
            <w:shd w:val="clear" w:color="auto" w:fill="0066BA"/>
          </w:tcPr>
          <w:p>
            <w:pPr>
              <w:jc w:val="right"/>
              <w:ind w:right="102"/>
              <w:spacing w:after="0"/>
              <w:rPr>
                <w:sz w:val="20"/>
                <w:szCs w:val="20"/>
                <w:color w:val="auto"/>
              </w:rPr>
            </w:pPr>
            <w:r>
              <w:rPr>
                <w:rFonts w:ascii="Arial" w:cs="Arial" w:eastAsia="Arial" w:hAnsi="Arial"/>
                <w:sz w:val="16"/>
                <w:szCs w:val="16"/>
                <w:b w:val="1"/>
                <w:bCs w:val="1"/>
                <w:color w:val="FFFFFF"/>
              </w:rPr>
              <w:t>Base</w:t>
            </w:r>
          </w:p>
        </w:tc>
        <w:tc>
          <w:tcPr>
            <w:tcW w:w="1140" w:type="dxa"/>
            <w:vAlign w:val="bottom"/>
            <w:shd w:val="clear" w:color="auto" w:fill="0066BA"/>
          </w:tcPr>
          <w:p>
            <w:pPr>
              <w:jc w:val="right"/>
              <w:ind w:right="102"/>
              <w:spacing w:after="0"/>
              <w:rPr>
                <w:sz w:val="20"/>
                <w:szCs w:val="20"/>
                <w:color w:val="auto"/>
              </w:rPr>
            </w:pPr>
            <w:r>
              <w:rPr>
                <w:rFonts w:ascii="Arial" w:cs="Arial" w:eastAsia="Arial" w:hAnsi="Arial"/>
                <w:sz w:val="16"/>
                <w:szCs w:val="16"/>
                <w:b w:val="1"/>
                <w:bCs w:val="1"/>
                <w:color w:val="FFFFFF"/>
              </w:rPr>
              <w:t>Base</w:t>
            </w:r>
          </w:p>
        </w:tc>
        <w:tc>
          <w:tcPr>
            <w:tcW w:w="960" w:type="dxa"/>
            <w:vAlign w:val="bottom"/>
            <w:shd w:val="clear" w:color="auto" w:fill="0066BA"/>
          </w:tcPr>
          <w:p>
            <w:pPr>
              <w:jc w:val="right"/>
              <w:ind w:right="102"/>
              <w:spacing w:after="0"/>
              <w:rPr>
                <w:sz w:val="20"/>
                <w:szCs w:val="20"/>
                <w:color w:val="auto"/>
              </w:rPr>
            </w:pPr>
            <w:r>
              <w:rPr>
                <w:rFonts w:ascii="Arial" w:cs="Arial" w:eastAsia="Arial" w:hAnsi="Arial"/>
                <w:sz w:val="16"/>
                <w:szCs w:val="16"/>
                <w:b w:val="1"/>
                <w:bCs w:val="1"/>
                <w:color w:val="FFFFFF"/>
              </w:rPr>
              <w:t>%</w:t>
            </w:r>
          </w:p>
        </w:tc>
        <w:tc>
          <w:tcPr>
            <w:tcW w:w="1300" w:type="dxa"/>
            <w:vAlign w:val="bottom"/>
            <w:shd w:val="clear" w:color="auto" w:fill="0066BA"/>
          </w:tcPr>
          <w:p>
            <w:pPr>
              <w:jc w:val="right"/>
              <w:ind w:right="122"/>
              <w:spacing w:after="0"/>
              <w:rPr>
                <w:sz w:val="20"/>
                <w:szCs w:val="20"/>
                <w:color w:val="auto"/>
              </w:rPr>
            </w:pPr>
            <w:r>
              <w:rPr>
                <w:rFonts w:ascii="Arial" w:cs="Arial" w:eastAsia="Arial" w:hAnsi="Arial"/>
                <w:sz w:val="16"/>
                <w:szCs w:val="16"/>
                <w:b w:val="1"/>
                <w:bCs w:val="1"/>
                <w:color w:val="FFFFFF"/>
              </w:rPr>
              <w:t>as % of</w:t>
            </w:r>
          </w:p>
        </w:tc>
        <w:tc>
          <w:tcPr>
            <w:tcW w:w="1280" w:type="dxa"/>
            <w:vAlign w:val="bottom"/>
            <w:shd w:val="clear" w:color="auto" w:fill="0066BA"/>
          </w:tcPr>
          <w:p>
            <w:pPr>
              <w:jc w:val="right"/>
              <w:ind w:right="102"/>
              <w:spacing w:after="0"/>
              <w:rPr>
                <w:sz w:val="20"/>
                <w:szCs w:val="20"/>
                <w:color w:val="auto"/>
              </w:rPr>
            </w:pPr>
            <w:r>
              <w:rPr>
                <w:rFonts w:ascii="Arial" w:cs="Arial" w:eastAsia="Arial" w:hAnsi="Arial"/>
                <w:sz w:val="16"/>
                <w:szCs w:val="16"/>
                <w:b w:val="1"/>
                <w:bCs w:val="1"/>
                <w:color w:val="FFFFFF"/>
              </w:rPr>
              <w:t>as % of</w:t>
            </w:r>
          </w:p>
        </w:tc>
        <w:tc>
          <w:tcPr>
            <w:tcW w:w="960" w:type="dxa"/>
            <w:vAlign w:val="bottom"/>
            <w:shd w:val="clear" w:color="auto" w:fill="0066BA"/>
          </w:tcPr>
          <w:p>
            <w:pPr>
              <w:jc w:val="right"/>
              <w:ind w:right="102"/>
              <w:spacing w:after="0"/>
              <w:rPr>
                <w:sz w:val="20"/>
                <w:szCs w:val="20"/>
                <w:color w:val="auto"/>
              </w:rPr>
            </w:pPr>
            <w:r>
              <w:rPr>
                <w:rFonts w:ascii="Arial" w:cs="Arial" w:eastAsia="Arial" w:hAnsi="Arial"/>
                <w:sz w:val="16"/>
                <w:szCs w:val="16"/>
                <w:b w:val="1"/>
                <w:bCs w:val="1"/>
                <w:color w:val="FFFFFF"/>
              </w:rPr>
              <w:t>%</w:t>
            </w:r>
          </w:p>
        </w:tc>
      </w:tr>
      <w:tr>
        <w:trPr>
          <w:trHeight w:val="216"/>
        </w:trPr>
        <w:tc>
          <w:tcPr>
            <w:tcW w:w="3620" w:type="dxa"/>
            <w:vAlign w:val="bottom"/>
            <w:shd w:val="clear" w:color="auto" w:fill="0066BA"/>
          </w:tcPr>
          <w:p>
            <w:pPr>
              <w:ind w:left="60"/>
              <w:spacing w:after="0"/>
              <w:rPr>
                <w:sz w:val="20"/>
                <w:szCs w:val="20"/>
                <w:color w:val="auto"/>
              </w:rPr>
            </w:pPr>
            <w:r>
              <w:rPr>
                <w:rFonts w:ascii="Arial" w:cs="Arial" w:eastAsia="Arial" w:hAnsi="Arial"/>
                <w:sz w:val="16"/>
                <w:szCs w:val="16"/>
                <w:b w:val="1"/>
                <w:bCs w:val="1"/>
                <w:color w:val="FFFFFF"/>
              </w:rPr>
              <w:t>Name of Executive</w:t>
            </w:r>
          </w:p>
        </w:tc>
        <w:tc>
          <w:tcPr>
            <w:tcW w:w="1020" w:type="dxa"/>
            <w:vAlign w:val="bottom"/>
            <w:shd w:val="clear" w:color="auto" w:fill="0066BA"/>
          </w:tcPr>
          <w:p>
            <w:pPr>
              <w:jc w:val="right"/>
              <w:ind w:right="102"/>
              <w:spacing w:after="0"/>
              <w:rPr>
                <w:sz w:val="20"/>
                <w:szCs w:val="20"/>
                <w:color w:val="auto"/>
              </w:rPr>
            </w:pPr>
            <w:r>
              <w:rPr>
                <w:rFonts w:ascii="Arial" w:cs="Arial" w:eastAsia="Arial" w:hAnsi="Arial"/>
                <w:sz w:val="16"/>
                <w:szCs w:val="16"/>
                <w:b w:val="1"/>
                <w:bCs w:val="1"/>
                <w:color w:val="FFFFFF"/>
              </w:rPr>
              <w:t>Salary</w:t>
            </w:r>
          </w:p>
        </w:tc>
        <w:tc>
          <w:tcPr>
            <w:tcW w:w="1140" w:type="dxa"/>
            <w:vAlign w:val="bottom"/>
            <w:shd w:val="clear" w:color="auto" w:fill="0066BA"/>
          </w:tcPr>
          <w:p>
            <w:pPr>
              <w:jc w:val="right"/>
              <w:ind w:right="102"/>
              <w:spacing w:after="0"/>
              <w:rPr>
                <w:sz w:val="20"/>
                <w:szCs w:val="20"/>
                <w:color w:val="auto"/>
              </w:rPr>
            </w:pPr>
            <w:r>
              <w:rPr>
                <w:rFonts w:ascii="Arial" w:cs="Arial" w:eastAsia="Arial" w:hAnsi="Arial"/>
                <w:sz w:val="16"/>
                <w:szCs w:val="16"/>
                <w:b w:val="1"/>
                <w:bCs w:val="1"/>
                <w:color w:val="FFFFFF"/>
              </w:rPr>
              <w:t>Salary</w:t>
            </w:r>
          </w:p>
        </w:tc>
        <w:tc>
          <w:tcPr>
            <w:tcW w:w="960" w:type="dxa"/>
            <w:vAlign w:val="bottom"/>
            <w:shd w:val="clear" w:color="auto" w:fill="0066BA"/>
          </w:tcPr>
          <w:p>
            <w:pPr>
              <w:jc w:val="right"/>
              <w:ind w:right="102"/>
              <w:spacing w:after="0"/>
              <w:rPr>
                <w:sz w:val="20"/>
                <w:szCs w:val="20"/>
                <w:color w:val="auto"/>
              </w:rPr>
            </w:pPr>
            <w:r>
              <w:rPr>
                <w:rFonts w:ascii="Arial" w:cs="Arial" w:eastAsia="Arial" w:hAnsi="Arial"/>
                <w:sz w:val="16"/>
                <w:szCs w:val="16"/>
                <w:b w:val="1"/>
                <w:bCs w:val="1"/>
                <w:color w:val="FFFFFF"/>
              </w:rPr>
              <w:t>Increase</w:t>
            </w:r>
          </w:p>
        </w:tc>
        <w:tc>
          <w:tcPr>
            <w:tcW w:w="1300" w:type="dxa"/>
            <w:vAlign w:val="bottom"/>
            <w:shd w:val="clear" w:color="auto" w:fill="0066BA"/>
          </w:tcPr>
          <w:p>
            <w:pPr>
              <w:jc w:val="right"/>
              <w:ind w:right="122"/>
              <w:spacing w:after="0"/>
              <w:rPr>
                <w:sz w:val="20"/>
                <w:szCs w:val="20"/>
                <w:color w:val="auto"/>
              </w:rPr>
            </w:pPr>
            <w:r>
              <w:rPr>
                <w:rFonts w:ascii="Arial" w:cs="Arial" w:eastAsia="Arial" w:hAnsi="Arial"/>
                <w:sz w:val="16"/>
                <w:szCs w:val="16"/>
                <w:b w:val="1"/>
                <w:bCs w:val="1"/>
                <w:color w:val="FFFFFF"/>
              </w:rPr>
              <w:t>Base Salary</w:t>
            </w:r>
          </w:p>
        </w:tc>
        <w:tc>
          <w:tcPr>
            <w:tcW w:w="1280" w:type="dxa"/>
            <w:vAlign w:val="bottom"/>
            <w:shd w:val="clear" w:color="auto" w:fill="0066BA"/>
          </w:tcPr>
          <w:p>
            <w:pPr>
              <w:jc w:val="right"/>
              <w:ind w:right="102"/>
              <w:spacing w:after="0"/>
              <w:rPr>
                <w:sz w:val="20"/>
                <w:szCs w:val="20"/>
                <w:color w:val="auto"/>
              </w:rPr>
            </w:pPr>
            <w:r>
              <w:rPr>
                <w:rFonts w:ascii="Arial" w:cs="Arial" w:eastAsia="Arial" w:hAnsi="Arial"/>
                <w:sz w:val="16"/>
                <w:szCs w:val="16"/>
                <w:b w:val="1"/>
                <w:bCs w:val="1"/>
                <w:color w:val="FFFFFF"/>
              </w:rPr>
              <w:t>Base Salary</w:t>
            </w:r>
          </w:p>
        </w:tc>
        <w:tc>
          <w:tcPr>
            <w:tcW w:w="960" w:type="dxa"/>
            <w:vAlign w:val="bottom"/>
            <w:shd w:val="clear" w:color="auto" w:fill="0066BA"/>
          </w:tcPr>
          <w:p>
            <w:pPr>
              <w:jc w:val="right"/>
              <w:ind w:right="102"/>
              <w:spacing w:after="0"/>
              <w:rPr>
                <w:sz w:val="20"/>
                <w:szCs w:val="20"/>
                <w:color w:val="auto"/>
              </w:rPr>
            </w:pPr>
            <w:r>
              <w:rPr>
                <w:rFonts w:ascii="Arial" w:cs="Arial" w:eastAsia="Arial" w:hAnsi="Arial"/>
                <w:sz w:val="16"/>
                <w:szCs w:val="16"/>
                <w:b w:val="1"/>
                <w:bCs w:val="1"/>
                <w:color w:val="FFFFFF"/>
              </w:rPr>
              <w:t>Increase</w:t>
            </w:r>
          </w:p>
        </w:tc>
      </w:tr>
      <w:tr>
        <w:trPr>
          <w:trHeight w:val="110"/>
        </w:trPr>
        <w:tc>
          <w:tcPr>
            <w:tcW w:w="3620" w:type="dxa"/>
            <w:vAlign w:val="bottom"/>
            <w:shd w:val="clear" w:color="auto" w:fill="0066BA"/>
          </w:tcPr>
          <w:p>
            <w:pPr>
              <w:spacing w:after="0"/>
              <w:rPr>
                <w:sz w:val="9"/>
                <w:szCs w:val="9"/>
                <w:color w:val="auto"/>
              </w:rPr>
            </w:pPr>
          </w:p>
        </w:tc>
        <w:tc>
          <w:tcPr>
            <w:tcW w:w="1020" w:type="dxa"/>
            <w:vAlign w:val="bottom"/>
            <w:shd w:val="clear" w:color="auto" w:fill="0066BA"/>
          </w:tcPr>
          <w:p>
            <w:pPr>
              <w:spacing w:after="0"/>
              <w:rPr>
                <w:sz w:val="9"/>
                <w:szCs w:val="9"/>
                <w:color w:val="auto"/>
              </w:rPr>
            </w:pPr>
          </w:p>
        </w:tc>
        <w:tc>
          <w:tcPr>
            <w:tcW w:w="1140" w:type="dxa"/>
            <w:vAlign w:val="bottom"/>
            <w:shd w:val="clear" w:color="auto" w:fill="0066BA"/>
          </w:tcPr>
          <w:p>
            <w:pPr>
              <w:spacing w:after="0"/>
              <w:rPr>
                <w:sz w:val="9"/>
                <w:szCs w:val="9"/>
                <w:color w:val="auto"/>
              </w:rPr>
            </w:pPr>
          </w:p>
        </w:tc>
        <w:tc>
          <w:tcPr>
            <w:tcW w:w="960" w:type="dxa"/>
            <w:vAlign w:val="bottom"/>
            <w:shd w:val="clear" w:color="auto" w:fill="0066BA"/>
          </w:tcPr>
          <w:p>
            <w:pPr>
              <w:spacing w:after="0"/>
              <w:rPr>
                <w:sz w:val="9"/>
                <w:szCs w:val="9"/>
                <w:color w:val="auto"/>
              </w:rPr>
            </w:pPr>
          </w:p>
        </w:tc>
        <w:tc>
          <w:tcPr>
            <w:tcW w:w="1300" w:type="dxa"/>
            <w:vAlign w:val="bottom"/>
            <w:shd w:val="clear" w:color="auto" w:fill="0066BA"/>
          </w:tcPr>
          <w:p>
            <w:pPr>
              <w:spacing w:after="0"/>
              <w:rPr>
                <w:sz w:val="9"/>
                <w:szCs w:val="9"/>
                <w:color w:val="auto"/>
              </w:rPr>
            </w:pPr>
          </w:p>
        </w:tc>
        <w:tc>
          <w:tcPr>
            <w:tcW w:w="1280" w:type="dxa"/>
            <w:vAlign w:val="bottom"/>
            <w:shd w:val="clear" w:color="auto" w:fill="0066BA"/>
          </w:tcPr>
          <w:p>
            <w:pPr>
              <w:spacing w:after="0"/>
              <w:rPr>
                <w:sz w:val="9"/>
                <w:szCs w:val="9"/>
                <w:color w:val="auto"/>
              </w:rPr>
            </w:pPr>
          </w:p>
        </w:tc>
        <w:tc>
          <w:tcPr>
            <w:tcW w:w="960" w:type="dxa"/>
            <w:vAlign w:val="bottom"/>
            <w:shd w:val="clear" w:color="auto" w:fill="0066BA"/>
          </w:tcPr>
          <w:p>
            <w:pPr>
              <w:spacing w:after="0"/>
              <w:rPr>
                <w:sz w:val="9"/>
                <w:szCs w:val="9"/>
                <w:color w:val="auto"/>
              </w:rPr>
            </w:pPr>
          </w:p>
        </w:tc>
      </w:tr>
      <w:tr>
        <w:trPr>
          <w:trHeight w:val="185"/>
        </w:trPr>
        <w:tc>
          <w:tcPr>
            <w:tcW w:w="3620" w:type="dxa"/>
            <w:vAlign w:val="bottom"/>
          </w:tcPr>
          <w:p>
            <w:pPr>
              <w:ind w:left="60"/>
              <w:spacing w:after="0"/>
              <w:rPr>
                <w:sz w:val="20"/>
                <w:szCs w:val="20"/>
                <w:color w:val="auto"/>
              </w:rPr>
            </w:pPr>
            <w:r>
              <w:rPr>
                <w:rFonts w:ascii="Arial" w:cs="Arial" w:eastAsia="Arial" w:hAnsi="Arial"/>
                <w:sz w:val="16"/>
                <w:szCs w:val="16"/>
                <w:b w:val="1"/>
                <w:bCs w:val="1"/>
                <w:color w:val="0066BA"/>
              </w:rPr>
              <w:t>Vincent Roche</w:t>
            </w:r>
          </w:p>
        </w:tc>
        <w:tc>
          <w:tcPr>
            <w:tcW w:w="1020" w:type="dxa"/>
            <w:vAlign w:val="bottom"/>
            <w:shd w:val="clear" w:color="auto" w:fill="EAEAEA"/>
          </w:tcPr>
          <w:p>
            <w:pPr>
              <w:spacing w:after="0"/>
              <w:rPr>
                <w:sz w:val="16"/>
                <w:szCs w:val="16"/>
                <w:color w:val="auto"/>
              </w:rPr>
            </w:pPr>
          </w:p>
        </w:tc>
        <w:tc>
          <w:tcPr>
            <w:tcW w:w="1140" w:type="dxa"/>
            <w:vAlign w:val="bottom"/>
          </w:tcPr>
          <w:p>
            <w:pPr>
              <w:spacing w:after="0"/>
              <w:rPr>
                <w:sz w:val="16"/>
                <w:szCs w:val="16"/>
                <w:color w:val="auto"/>
              </w:rPr>
            </w:pPr>
          </w:p>
        </w:tc>
        <w:tc>
          <w:tcPr>
            <w:tcW w:w="960" w:type="dxa"/>
            <w:vAlign w:val="bottom"/>
            <w:shd w:val="clear" w:color="auto" w:fill="EAEAEA"/>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shd w:val="clear" w:color="auto" w:fill="EAEAEA"/>
          </w:tcPr>
          <w:p>
            <w:pPr>
              <w:spacing w:after="0"/>
              <w:rPr>
                <w:sz w:val="16"/>
                <w:szCs w:val="16"/>
                <w:color w:val="auto"/>
              </w:rPr>
            </w:pPr>
          </w:p>
        </w:tc>
        <w:tc>
          <w:tcPr>
            <w:tcW w:w="960" w:type="dxa"/>
            <w:vAlign w:val="bottom"/>
          </w:tcPr>
          <w:p>
            <w:pPr>
              <w:spacing w:after="0"/>
              <w:rPr>
                <w:sz w:val="16"/>
                <w:szCs w:val="16"/>
                <w:color w:val="auto"/>
              </w:rPr>
            </w:pPr>
          </w:p>
        </w:tc>
      </w:tr>
      <w:tr>
        <w:trPr>
          <w:trHeight w:val="195"/>
        </w:trPr>
        <w:tc>
          <w:tcPr>
            <w:tcW w:w="3620" w:type="dxa"/>
            <w:vAlign w:val="bottom"/>
          </w:tcPr>
          <w:p>
            <w:pPr>
              <w:ind w:left="60"/>
              <w:spacing w:after="0"/>
              <w:rPr>
                <w:sz w:val="20"/>
                <w:szCs w:val="20"/>
                <w:color w:val="auto"/>
              </w:rPr>
            </w:pPr>
            <w:r>
              <w:rPr>
                <w:rFonts w:ascii="Arial" w:cs="Arial" w:eastAsia="Arial" w:hAnsi="Arial"/>
                <w:sz w:val="16"/>
                <w:szCs w:val="16"/>
                <w:color w:val="auto"/>
              </w:rPr>
              <w:t>President &amp;</w:t>
            </w:r>
          </w:p>
        </w:tc>
        <w:tc>
          <w:tcPr>
            <w:tcW w:w="1020" w:type="dxa"/>
            <w:vAlign w:val="bottom"/>
            <w:shd w:val="clear" w:color="auto" w:fill="EAEAEA"/>
          </w:tcPr>
          <w:p>
            <w:pPr>
              <w:spacing w:after="0"/>
              <w:rPr>
                <w:sz w:val="16"/>
                <w:szCs w:val="16"/>
                <w:color w:val="auto"/>
              </w:rPr>
            </w:pPr>
          </w:p>
        </w:tc>
        <w:tc>
          <w:tcPr>
            <w:tcW w:w="1140" w:type="dxa"/>
            <w:vAlign w:val="bottom"/>
          </w:tcPr>
          <w:p>
            <w:pPr>
              <w:spacing w:after="0"/>
              <w:rPr>
                <w:sz w:val="16"/>
                <w:szCs w:val="16"/>
                <w:color w:val="auto"/>
              </w:rPr>
            </w:pPr>
          </w:p>
        </w:tc>
        <w:tc>
          <w:tcPr>
            <w:tcW w:w="960" w:type="dxa"/>
            <w:vAlign w:val="bottom"/>
            <w:shd w:val="clear" w:color="auto" w:fill="EAEAEA"/>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shd w:val="clear" w:color="auto" w:fill="EAEAEA"/>
          </w:tcPr>
          <w:p>
            <w:pPr>
              <w:spacing w:after="0"/>
              <w:rPr>
                <w:sz w:val="16"/>
                <w:szCs w:val="16"/>
                <w:color w:val="auto"/>
              </w:rPr>
            </w:pPr>
          </w:p>
        </w:tc>
        <w:tc>
          <w:tcPr>
            <w:tcW w:w="960" w:type="dxa"/>
            <w:vAlign w:val="bottom"/>
          </w:tcPr>
          <w:p>
            <w:pPr>
              <w:spacing w:after="0"/>
              <w:rPr>
                <w:sz w:val="16"/>
                <w:szCs w:val="16"/>
                <w:color w:val="auto"/>
              </w:rPr>
            </w:pPr>
          </w:p>
        </w:tc>
      </w:tr>
      <w:tr>
        <w:trPr>
          <w:trHeight w:val="211"/>
        </w:trPr>
        <w:tc>
          <w:tcPr>
            <w:tcW w:w="36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Chief Executive Officer</w:t>
            </w:r>
          </w:p>
        </w:tc>
        <w:tc>
          <w:tcPr>
            <w:tcW w:w="1020" w:type="dxa"/>
            <w:vAlign w:val="bottom"/>
            <w:tcBorders>
              <w:bottom w:val="single" w:sz="8" w:color="auto"/>
            </w:tcBorders>
            <w:shd w:val="clear" w:color="auto" w:fill="EAEAEA"/>
          </w:tcPr>
          <w:p>
            <w:pPr>
              <w:jc w:val="right"/>
              <w:ind w:right="102"/>
              <w:spacing w:after="0"/>
              <w:rPr>
                <w:sz w:val="20"/>
                <w:szCs w:val="20"/>
                <w:color w:val="auto"/>
              </w:rPr>
            </w:pPr>
            <w:r>
              <w:rPr>
                <w:rFonts w:ascii="Arial" w:cs="Arial" w:eastAsia="Arial" w:hAnsi="Arial"/>
                <w:sz w:val="16"/>
                <w:szCs w:val="16"/>
                <w:color w:val="auto"/>
              </w:rPr>
              <w:t>$1,050,000</w:t>
            </w:r>
          </w:p>
        </w:tc>
        <w:tc>
          <w:tcPr>
            <w:tcW w:w="11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$1,050,000</w:t>
            </w:r>
          </w:p>
        </w:tc>
        <w:tc>
          <w:tcPr>
            <w:tcW w:w="960" w:type="dxa"/>
            <w:vAlign w:val="bottom"/>
            <w:tcBorders>
              <w:bottom w:val="single" w:sz="8" w:color="auto"/>
            </w:tcBorders>
            <w:shd w:val="clear" w:color="auto" w:fill="EAEAEA"/>
          </w:tcPr>
          <w:p>
            <w:pPr>
              <w:jc w:val="right"/>
              <w:ind w:right="102"/>
              <w:spacing w:after="0"/>
              <w:rPr>
                <w:sz w:val="20"/>
                <w:szCs w:val="20"/>
                <w:color w:val="auto"/>
              </w:rPr>
            </w:pPr>
            <w:r>
              <w:rPr>
                <w:rFonts w:ascii="Arial" w:cs="Arial" w:eastAsia="Arial" w:hAnsi="Arial"/>
                <w:sz w:val="16"/>
                <w:szCs w:val="16"/>
                <w:color w:val="auto"/>
              </w:rPr>
              <w:t>0%</w:t>
            </w:r>
          </w:p>
        </w:tc>
        <w:tc>
          <w:tcPr>
            <w:tcW w:w="1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150%</w:t>
            </w:r>
          </w:p>
        </w:tc>
        <w:tc>
          <w:tcPr>
            <w:tcW w:w="1280" w:type="dxa"/>
            <w:vAlign w:val="bottom"/>
            <w:tcBorders>
              <w:bottom w:val="single" w:sz="8" w:color="auto"/>
            </w:tcBorders>
            <w:shd w:val="clear" w:color="auto" w:fill="EAEAEA"/>
          </w:tcPr>
          <w:p>
            <w:pPr>
              <w:jc w:val="right"/>
              <w:ind w:right="102"/>
              <w:spacing w:after="0"/>
              <w:rPr>
                <w:sz w:val="20"/>
                <w:szCs w:val="20"/>
                <w:color w:val="auto"/>
              </w:rPr>
            </w:pPr>
            <w:r>
              <w:rPr>
                <w:rFonts w:ascii="Arial" w:cs="Arial" w:eastAsia="Arial" w:hAnsi="Arial"/>
                <w:sz w:val="16"/>
                <w:szCs w:val="16"/>
                <w:color w:val="auto"/>
              </w:rPr>
              <w:t>150%</w:t>
            </w:r>
          </w:p>
        </w:tc>
        <w:tc>
          <w:tcPr>
            <w:tcW w:w="9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0%</w:t>
            </w:r>
          </w:p>
        </w:tc>
      </w:tr>
      <w:tr>
        <w:trPr>
          <w:trHeight w:val="185"/>
        </w:trPr>
        <w:tc>
          <w:tcPr>
            <w:tcW w:w="3620" w:type="dxa"/>
            <w:vAlign w:val="bottom"/>
          </w:tcPr>
          <w:p>
            <w:pPr>
              <w:ind w:left="60"/>
              <w:spacing w:after="0"/>
              <w:rPr>
                <w:sz w:val="20"/>
                <w:szCs w:val="20"/>
                <w:color w:val="auto"/>
              </w:rPr>
            </w:pPr>
            <w:r>
              <w:rPr>
                <w:rFonts w:ascii="Arial" w:cs="Arial" w:eastAsia="Arial" w:hAnsi="Arial"/>
                <w:sz w:val="16"/>
                <w:szCs w:val="16"/>
                <w:b w:val="1"/>
                <w:bCs w:val="1"/>
                <w:color w:val="0066BA"/>
              </w:rPr>
              <w:t>Prashanth Mahendra-Rajah</w:t>
            </w:r>
          </w:p>
        </w:tc>
        <w:tc>
          <w:tcPr>
            <w:tcW w:w="1020" w:type="dxa"/>
            <w:vAlign w:val="bottom"/>
            <w:shd w:val="clear" w:color="auto" w:fill="EAEAEA"/>
          </w:tcPr>
          <w:p>
            <w:pPr>
              <w:spacing w:after="0"/>
              <w:rPr>
                <w:sz w:val="16"/>
                <w:szCs w:val="16"/>
                <w:color w:val="auto"/>
              </w:rPr>
            </w:pPr>
          </w:p>
        </w:tc>
        <w:tc>
          <w:tcPr>
            <w:tcW w:w="1140" w:type="dxa"/>
            <w:vAlign w:val="bottom"/>
          </w:tcPr>
          <w:p>
            <w:pPr>
              <w:spacing w:after="0"/>
              <w:rPr>
                <w:sz w:val="16"/>
                <w:szCs w:val="16"/>
                <w:color w:val="auto"/>
              </w:rPr>
            </w:pPr>
          </w:p>
        </w:tc>
        <w:tc>
          <w:tcPr>
            <w:tcW w:w="960" w:type="dxa"/>
            <w:vAlign w:val="bottom"/>
            <w:shd w:val="clear" w:color="auto" w:fill="EAEAEA"/>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shd w:val="clear" w:color="auto" w:fill="EAEAEA"/>
          </w:tcPr>
          <w:p>
            <w:pPr>
              <w:spacing w:after="0"/>
              <w:rPr>
                <w:sz w:val="16"/>
                <w:szCs w:val="16"/>
                <w:color w:val="auto"/>
              </w:rPr>
            </w:pPr>
          </w:p>
        </w:tc>
        <w:tc>
          <w:tcPr>
            <w:tcW w:w="960" w:type="dxa"/>
            <w:vAlign w:val="bottom"/>
          </w:tcPr>
          <w:p>
            <w:pPr>
              <w:spacing w:after="0"/>
              <w:rPr>
                <w:sz w:val="16"/>
                <w:szCs w:val="16"/>
                <w:color w:val="auto"/>
              </w:rPr>
            </w:pPr>
          </w:p>
        </w:tc>
      </w:tr>
      <w:tr>
        <w:trPr>
          <w:trHeight w:val="195"/>
        </w:trPr>
        <w:tc>
          <w:tcPr>
            <w:tcW w:w="3620" w:type="dxa"/>
            <w:vAlign w:val="bottom"/>
          </w:tcPr>
          <w:p>
            <w:pPr>
              <w:ind w:left="60"/>
              <w:spacing w:after="0"/>
              <w:rPr>
                <w:sz w:val="20"/>
                <w:szCs w:val="20"/>
                <w:color w:val="auto"/>
              </w:rPr>
            </w:pPr>
            <w:r>
              <w:rPr>
                <w:rFonts w:ascii="Arial" w:cs="Arial" w:eastAsia="Arial" w:hAnsi="Arial"/>
                <w:sz w:val="16"/>
                <w:szCs w:val="16"/>
                <w:color w:val="auto"/>
                <w:w w:val="98"/>
              </w:rPr>
              <w:t>Senior Vice President, Finance and Chief Financial</w:t>
            </w:r>
          </w:p>
        </w:tc>
        <w:tc>
          <w:tcPr>
            <w:tcW w:w="1020" w:type="dxa"/>
            <w:vAlign w:val="bottom"/>
            <w:shd w:val="clear" w:color="auto" w:fill="EAEAEA"/>
          </w:tcPr>
          <w:p>
            <w:pPr>
              <w:spacing w:after="0"/>
              <w:rPr>
                <w:sz w:val="16"/>
                <w:szCs w:val="16"/>
                <w:color w:val="auto"/>
              </w:rPr>
            </w:pPr>
          </w:p>
        </w:tc>
        <w:tc>
          <w:tcPr>
            <w:tcW w:w="1140" w:type="dxa"/>
            <w:vAlign w:val="bottom"/>
          </w:tcPr>
          <w:p>
            <w:pPr>
              <w:spacing w:after="0"/>
              <w:rPr>
                <w:sz w:val="16"/>
                <w:szCs w:val="16"/>
                <w:color w:val="auto"/>
              </w:rPr>
            </w:pPr>
          </w:p>
        </w:tc>
        <w:tc>
          <w:tcPr>
            <w:tcW w:w="960" w:type="dxa"/>
            <w:vAlign w:val="bottom"/>
            <w:shd w:val="clear" w:color="auto" w:fill="EAEAEA"/>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shd w:val="clear" w:color="auto" w:fill="EAEAEA"/>
          </w:tcPr>
          <w:p>
            <w:pPr>
              <w:spacing w:after="0"/>
              <w:rPr>
                <w:sz w:val="16"/>
                <w:szCs w:val="16"/>
                <w:color w:val="auto"/>
              </w:rPr>
            </w:pPr>
          </w:p>
        </w:tc>
        <w:tc>
          <w:tcPr>
            <w:tcW w:w="960" w:type="dxa"/>
            <w:vAlign w:val="bottom"/>
          </w:tcPr>
          <w:p>
            <w:pPr>
              <w:spacing w:after="0"/>
              <w:rPr>
                <w:sz w:val="16"/>
                <w:szCs w:val="16"/>
                <w:color w:val="auto"/>
              </w:rPr>
            </w:pPr>
          </w:p>
        </w:tc>
      </w:tr>
      <w:tr>
        <w:trPr>
          <w:trHeight w:val="211"/>
        </w:trPr>
        <w:tc>
          <w:tcPr>
            <w:tcW w:w="36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Officer</w:t>
            </w:r>
          </w:p>
        </w:tc>
        <w:tc>
          <w:tcPr>
            <w:tcW w:w="1020" w:type="dxa"/>
            <w:vAlign w:val="bottom"/>
            <w:tcBorders>
              <w:bottom w:val="single" w:sz="8" w:color="auto"/>
            </w:tcBorders>
            <w:shd w:val="clear" w:color="auto" w:fill="EAEAEA"/>
          </w:tcPr>
          <w:p>
            <w:pPr>
              <w:jc w:val="right"/>
              <w:ind w:right="102"/>
              <w:spacing w:after="0"/>
              <w:rPr>
                <w:sz w:val="20"/>
                <w:szCs w:val="20"/>
                <w:color w:val="auto"/>
              </w:rPr>
            </w:pPr>
            <w:r>
              <w:rPr>
                <w:rFonts w:ascii="Arial" w:cs="Arial" w:eastAsia="Arial" w:hAnsi="Arial"/>
                <w:sz w:val="16"/>
                <w:szCs w:val="16"/>
                <w:color w:val="auto"/>
              </w:rPr>
              <w:t>$575,000</w:t>
            </w:r>
          </w:p>
        </w:tc>
        <w:tc>
          <w:tcPr>
            <w:tcW w:w="11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$575,000</w:t>
            </w:r>
          </w:p>
        </w:tc>
        <w:tc>
          <w:tcPr>
            <w:tcW w:w="960" w:type="dxa"/>
            <w:vAlign w:val="bottom"/>
            <w:tcBorders>
              <w:bottom w:val="single" w:sz="8" w:color="auto"/>
            </w:tcBorders>
            <w:shd w:val="clear" w:color="auto" w:fill="EAEAEA"/>
          </w:tcPr>
          <w:p>
            <w:pPr>
              <w:jc w:val="right"/>
              <w:ind w:right="102"/>
              <w:spacing w:after="0"/>
              <w:rPr>
                <w:sz w:val="20"/>
                <w:szCs w:val="20"/>
                <w:color w:val="auto"/>
              </w:rPr>
            </w:pPr>
            <w:r>
              <w:rPr>
                <w:rFonts w:ascii="Arial" w:cs="Arial" w:eastAsia="Arial" w:hAnsi="Arial"/>
                <w:sz w:val="16"/>
                <w:szCs w:val="16"/>
                <w:color w:val="auto"/>
              </w:rPr>
              <w:t>0%</w:t>
            </w:r>
          </w:p>
        </w:tc>
        <w:tc>
          <w:tcPr>
            <w:tcW w:w="1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100%</w:t>
            </w:r>
          </w:p>
        </w:tc>
        <w:tc>
          <w:tcPr>
            <w:tcW w:w="1280" w:type="dxa"/>
            <w:vAlign w:val="bottom"/>
            <w:tcBorders>
              <w:bottom w:val="single" w:sz="8" w:color="auto"/>
            </w:tcBorders>
            <w:shd w:val="clear" w:color="auto" w:fill="EAEAEA"/>
          </w:tcPr>
          <w:p>
            <w:pPr>
              <w:jc w:val="right"/>
              <w:ind w:right="102"/>
              <w:spacing w:after="0"/>
              <w:rPr>
                <w:sz w:val="20"/>
                <w:szCs w:val="20"/>
                <w:color w:val="auto"/>
              </w:rPr>
            </w:pPr>
            <w:r>
              <w:rPr>
                <w:rFonts w:ascii="Arial" w:cs="Arial" w:eastAsia="Arial" w:hAnsi="Arial"/>
                <w:sz w:val="16"/>
                <w:szCs w:val="16"/>
                <w:color w:val="auto"/>
              </w:rPr>
              <w:t>100%</w:t>
            </w:r>
          </w:p>
        </w:tc>
        <w:tc>
          <w:tcPr>
            <w:tcW w:w="9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0%</w:t>
            </w:r>
          </w:p>
        </w:tc>
      </w:tr>
      <w:tr>
        <w:trPr>
          <w:trHeight w:val="185"/>
        </w:trPr>
        <w:tc>
          <w:tcPr>
            <w:tcW w:w="3620" w:type="dxa"/>
            <w:vAlign w:val="bottom"/>
          </w:tcPr>
          <w:p>
            <w:pPr>
              <w:ind w:left="60"/>
              <w:spacing w:after="0"/>
              <w:rPr>
                <w:sz w:val="20"/>
                <w:szCs w:val="20"/>
                <w:color w:val="auto"/>
              </w:rPr>
            </w:pPr>
            <w:r>
              <w:rPr>
                <w:rFonts w:ascii="Arial" w:cs="Arial" w:eastAsia="Arial" w:hAnsi="Arial"/>
                <w:sz w:val="16"/>
                <w:szCs w:val="16"/>
                <w:b w:val="1"/>
                <w:bCs w:val="1"/>
                <w:color w:val="0066BA"/>
              </w:rPr>
              <w:t>Martin Cotter</w:t>
            </w:r>
          </w:p>
        </w:tc>
        <w:tc>
          <w:tcPr>
            <w:tcW w:w="1020" w:type="dxa"/>
            <w:vAlign w:val="bottom"/>
            <w:shd w:val="clear" w:color="auto" w:fill="EAEAEA"/>
          </w:tcPr>
          <w:p>
            <w:pPr>
              <w:spacing w:after="0"/>
              <w:rPr>
                <w:sz w:val="16"/>
                <w:szCs w:val="16"/>
                <w:color w:val="auto"/>
              </w:rPr>
            </w:pPr>
          </w:p>
        </w:tc>
        <w:tc>
          <w:tcPr>
            <w:tcW w:w="1140" w:type="dxa"/>
            <w:vAlign w:val="bottom"/>
          </w:tcPr>
          <w:p>
            <w:pPr>
              <w:spacing w:after="0"/>
              <w:rPr>
                <w:sz w:val="16"/>
                <w:szCs w:val="16"/>
                <w:color w:val="auto"/>
              </w:rPr>
            </w:pPr>
          </w:p>
        </w:tc>
        <w:tc>
          <w:tcPr>
            <w:tcW w:w="960" w:type="dxa"/>
            <w:vAlign w:val="bottom"/>
            <w:shd w:val="clear" w:color="auto" w:fill="EAEAEA"/>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shd w:val="clear" w:color="auto" w:fill="EAEAEA"/>
          </w:tcPr>
          <w:p>
            <w:pPr>
              <w:spacing w:after="0"/>
              <w:rPr>
                <w:sz w:val="16"/>
                <w:szCs w:val="16"/>
                <w:color w:val="auto"/>
              </w:rPr>
            </w:pPr>
          </w:p>
        </w:tc>
        <w:tc>
          <w:tcPr>
            <w:tcW w:w="960" w:type="dxa"/>
            <w:vAlign w:val="bottom"/>
          </w:tcPr>
          <w:p>
            <w:pPr>
              <w:spacing w:after="0"/>
              <w:rPr>
                <w:sz w:val="16"/>
                <w:szCs w:val="16"/>
                <w:color w:val="auto"/>
              </w:rPr>
            </w:pPr>
          </w:p>
        </w:tc>
      </w:tr>
      <w:tr>
        <w:trPr>
          <w:trHeight w:val="211"/>
        </w:trPr>
        <w:tc>
          <w:tcPr>
            <w:tcW w:w="36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w w:val="98"/>
              </w:rPr>
              <w:t>Senior Vice President, Industrial and Multi-Markets</w:t>
            </w:r>
          </w:p>
        </w:tc>
        <w:tc>
          <w:tcPr>
            <w:tcW w:w="1020" w:type="dxa"/>
            <w:vAlign w:val="bottom"/>
            <w:tcBorders>
              <w:bottom w:val="single" w:sz="8" w:color="auto"/>
            </w:tcBorders>
            <w:shd w:val="clear" w:color="auto" w:fill="EAEAEA"/>
          </w:tcPr>
          <w:p>
            <w:pPr>
              <w:jc w:val="right"/>
              <w:ind w:right="102"/>
              <w:spacing w:after="0"/>
              <w:rPr>
                <w:sz w:val="20"/>
                <w:szCs w:val="20"/>
                <w:color w:val="auto"/>
              </w:rPr>
            </w:pPr>
            <w:r>
              <w:rPr>
                <w:rFonts w:ascii="Arial" w:cs="Arial" w:eastAsia="Arial" w:hAnsi="Arial"/>
                <w:sz w:val="16"/>
                <w:szCs w:val="16"/>
                <w:color w:val="auto"/>
              </w:rPr>
              <w:t>$460,000</w:t>
            </w:r>
          </w:p>
        </w:tc>
        <w:tc>
          <w:tcPr>
            <w:tcW w:w="11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$460,000</w:t>
            </w:r>
          </w:p>
        </w:tc>
        <w:tc>
          <w:tcPr>
            <w:tcW w:w="960" w:type="dxa"/>
            <w:vAlign w:val="bottom"/>
            <w:tcBorders>
              <w:bottom w:val="single" w:sz="8" w:color="auto"/>
            </w:tcBorders>
            <w:shd w:val="clear" w:color="auto" w:fill="EAEAEA"/>
          </w:tcPr>
          <w:p>
            <w:pPr>
              <w:jc w:val="right"/>
              <w:ind w:right="122"/>
              <w:spacing w:after="0"/>
              <w:rPr>
                <w:sz w:val="20"/>
                <w:szCs w:val="20"/>
                <w:color w:val="auto"/>
              </w:rPr>
            </w:pPr>
            <w:r>
              <w:rPr>
                <w:rFonts w:ascii="Arial" w:cs="Arial" w:eastAsia="Arial" w:hAnsi="Arial"/>
                <w:sz w:val="16"/>
                <w:szCs w:val="16"/>
                <w:color w:val="auto"/>
              </w:rPr>
              <w:t>0%</w:t>
            </w:r>
          </w:p>
        </w:tc>
        <w:tc>
          <w:tcPr>
            <w:tcW w:w="1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100%</w:t>
            </w:r>
          </w:p>
        </w:tc>
        <w:tc>
          <w:tcPr>
            <w:tcW w:w="1280" w:type="dxa"/>
            <w:vAlign w:val="bottom"/>
            <w:tcBorders>
              <w:bottom w:val="single" w:sz="8" w:color="auto"/>
            </w:tcBorders>
            <w:shd w:val="clear" w:color="auto" w:fill="EAEAEA"/>
          </w:tcPr>
          <w:p>
            <w:pPr>
              <w:jc w:val="right"/>
              <w:ind w:right="122"/>
              <w:spacing w:after="0"/>
              <w:rPr>
                <w:sz w:val="20"/>
                <w:szCs w:val="20"/>
                <w:color w:val="auto"/>
              </w:rPr>
            </w:pPr>
            <w:r>
              <w:rPr>
                <w:rFonts w:ascii="Arial" w:cs="Arial" w:eastAsia="Arial" w:hAnsi="Arial"/>
                <w:sz w:val="16"/>
                <w:szCs w:val="16"/>
                <w:color w:val="auto"/>
              </w:rPr>
              <w:t>100%</w:t>
            </w:r>
          </w:p>
        </w:tc>
        <w:tc>
          <w:tcPr>
            <w:tcW w:w="9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0%</w:t>
            </w:r>
          </w:p>
        </w:tc>
      </w:tr>
      <w:tr>
        <w:trPr>
          <w:trHeight w:val="185"/>
        </w:trPr>
        <w:tc>
          <w:tcPr>
            <w:tcW w:w="3620" w:type="dxa"/>
            <w:vAlign w:val="bottom"/>
          </w:tcPr>
          <w:p>
            <w:pPr>
              <w:ind w:left="60"/>
              <w:spacing w:after="0"/>
              <w:rPr>
                <w:sz w:val="20"/>
                <w:szCs w:val="20"/>
                <w:color w:val="auto"/>
              </w:rPr>
            </w:pPr>
            <w:r>
              <w:rPr>
                <w:rFonts w:ascii="Arial" w:cs="Arial" w:eastAsia="Arial" w:hAnsi="Arial"/>
                <w:sz w:val="16"/>
                <w:szCs w:val="16"/>
                <w:b w:val="1"/>
                <w:bCs w:val="1"/>
                <w:color w:val="0066BA"/>
              </w:rPr>
              <w:t>John Hassett</w:t>
            </w:r>
          </w:p>
        </w:tc>
        <w:tc>
          <w:tcPr>
            <w:tcW w:w="1020" w:type="dxa"/>
            <w:vAlign w:val="bottom"/>
            <w:shd w:val="clear" w:color="auto" w:fill="EAEAEA"/>
          </w:tcPr>
          <w:p>
            <w:pPr>
              <w:spacing w:after="0"/>
              <w:rPr>
                <w:sz w:val="16"/>
                <w:szCs w:val="16"/>
                <w:color w:val="auto"/>
              </w:rPr>
            </w:pPr>
          </w:p>
        </w:tc>
        <w:tc>
          <w:tcPr>
            <w:tcW w:w="1140" w:type="dxa"/>
            <w:vAlign w:val="bottom"/>
          </w:tcPr>
          <w:p>
            <w:pPr>
              <w:spacing w:after="0"/>
              <w:rPr>
                <w:sz w:val="16"/>
                <w:szCs w:val="16"/>
                <w:color w:val="auto"/>
              </w:rPr>
            </w:pPr>
          </w:p>
        </w:tc>
        <w:tc>
          <w:tcPr>
            <w:tcW w:w="960" w:type="dxa"/>
            <w:vAlign w:val="bottom"/>
            <w:shd w:val="clear" w:color="auto" w:fill="EAEAEA"/>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shd w:val="clear" w:color="auto" w:fill="EAEAEA"/>
          </w:tcPr>
          <w:p>
            <w:pPr>
              <w:spacing w:after="0"/>
              <w:rPr>
                <w:sz w:val="16"/>
                <w:szCs w:val="16"/>
                <w:color w:val="auto"/>
              </w:rPr>
            </w:pPr>
          </w:p>
        </w:tc>
        <w:tc>
          <w:tcPr>
            <w:tcW w:w="960" w:type="dxa"/>
            <w:vAlign w:val="bottom"/>
          </w:tcPr>
          <w:p>
            <w:pPr>
              <w:spacing w:after="0"/>
              <w:rPr>
                <w:sz w:val="16"/>
                <w:szCs w:val="16"/>
                <w:color w:val="auto"/>
              </w:rPr>
            </w:pPr>
          </w:p>
        </w:tc>
      </w:tr>
      <w:tr>
        <w:trPr>
          <w:trHeight w:val="195"/>
        </w:trPr>
        <w:tc>
          <w:tcPr>
            <w:tcW w:w="3620" w:type="dxa"/>
            <w:vAlign w:val="bottom"/>
          </w:tcPr>
          <w:p>
            <w:pPr>
              <w:ind w:left="60"/>
              <w:spacing w:after="0"/>
              <w:rPr>
                <w:sz w:val="20"/>
                <w:szCs w:val="20"/>
                <w:color w:val="auto"/>
              </w:rPr>
            </w:pPr>
            <w:r>
              <w:rPr>
                <w:rFonts w:ascii="Arial" w:cs="Arial" w:eastAsia="Arial" w:hAnsi="Arial"/>
                <w:sz w:val="16"/>
                <w:szCs w:val="16"/>
                <w:color w:val="auto"/>
                <w:w w:val="89"/>
              </w:rPr>
              <w:t>Senior Vice President and Chief Operating Officer of the</w:t>
            </w:r>
          </w:p>
        </w:tc>
        <w:tc>
          <w:tcPr>
            <w:tcW w:w="1020" w:type="dxa"/>
            <w:vAlign w:val="bottom"/>
            <w:shd w:val="clear" w:color="auto" w:fill="EAEAEA"/>
          </w:tcPr>
          <w:p>
            <w:pPr>
              <w:spacing w:after="0"/>
              <w:rPr>
                <w:sz w:val="16"/>
                <w:szCs w:val="16"/>
                <w:color w:val="auto"/>
              </w:rPr>
            </w:pPr>
          </w:p>
        </w:tc>
        <w:tc>
          <w:tcPr>
            <w:tcW w:w="1140" w:type="dxa"/>
            <w:vAlign w:val="bottom"/>
          </w:tcPr>
          <w:p>
            <w:pPr>
              <w:spacing w:after="0"/>
              <w:rPr>
                <w:sz w:val="16"/>
                <w:szCs w:val="16"/>
                <w:color w:val="auto"/>
              </w:rPr>
            </w:pPr>
          </w:p>
        </w:tc>
        <w:tc>
          <w:tcPr>
            <w:tcW w:w="960" w:type="dxa"/>
            <w:vAlign w:val="bottom"/>
            <w:shd w:val="clear" w:color="auto" w:fill="EAEAEA"/>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shd w:val="clear" w:color="auto" w:fill="EAEAEA"/>
          </w:tcPr>
          <w:p>
            <w:pPr>
              <w:spacing w:after="0"/>
              <w:rPr>
                <w:sz w:val="16"/>
                <w:szCs w:val="16"/>
                <w:color w:val="auto"/>
              </w:rPr>
            </w:pPr>
          </w:p>
        </w:tc>
        <w:tc>
          <w:tcPr>
            <w:tcW w:w="960" w:type="dxa"/>
            <w:vAlign w:val="bottom"/>
          </w:tcPr>
          <w:p>
            <w:pPr>
              <w:spacing w:after="0"/>
              <w:rPr>
                <w:sz w:val="16"/>
                <w:szCs w:val="16"/>
                <w:color w:val="auto"/>
              </w:rPr>
            </w:pPr>
          </w:p>
        </w:tc>
      </w:tr>
      <w:tr>
        <w:trPr>
          <w:trHeight w:val="211"/>
        </w:trPr>
        <w:tc>
          <w:tcPr>
            <w:tcW w:w="36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Maxim Integrated Business</w:t>
            </w:r>
          </w:p>
        </w:tc>
        <w:tc>
          <w:tcPr>
            <w:tcW w:w="1020" w:type="dxa"/>
            <w:vAlign w:val="bottom"/>
            <w:tcBorders>
              <w:bottom w:val="single" w:sz="8" w:color="auto"/>
            </w:tcBorders>
            <w:shd w:val="clear" w:color="auto" w:fill="EAEAEA"/>
          </w:tcPr>
          <w:p>
            <w:pPr>
              <w:jc w:val="right"/>
              <w:ind w:right="102"/>
              <w:spacing w:after="0"/>
              <w:rPr>
                <w:sz w:val="20"/>
                <w:szCs w:val="20"/>
                <w:color w:val="auto"/>
              </w:rPr>
            </w:pPr>
            <w:r>
              <w:rPr>
                <w:rFonts w:ascii="Arial" w:cs="Arial" w:eastAsia="Arial" w:hAnsi="Arial"/>
                <w:sz w:val="16"/>
                <w:szCs w:val="16"/>
                <w:color w:val="auto"/>
              </w:rPr>
              <w:t>$475,000</w:t>
            </w:r>
          </w:p>
        </w:tc>
        <w:tc>
          <w:tcPr>
            <w:tcW w:w="11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$475,000</w:t>
            </w:r>
          </w:p>
        </w:tc>
        <w:tc>
          <w:tcPr>
            <w:tcW w:w="960" w:type="dxa"/>
            <w:vAlign w:val="bottom"/>
            <w:tcBorders>
              <w:bottom w:val="single" w:sz="8" w:color="auto"/>
            </w:tcBorders>
            <w:shd w:val="clear" w:color="auto" w:fill="EAEAEA"/>
          </w:tcPr>
          <w:p>
            <w:pPr>
              <w:jc w:val="right"/>
              <w:ind w:right="122"/>
              <w:spacing w:after="0"/>
              <w:rPr>
                <w:sz w:val="20"/>
                <w:szCs w:val="20"/>
                <w:color w:val="auto"/>
              </w:rPr>
            </w:pPr>
            <w:r>
              <w:rPr>
                <w:rFonts w:ascii="Arial" w:cs="Arial" w:eastAsia="Arial" w:hAnsi="Arial"/>
                <w:sz w:val="16"/>
                <w:szCs w:val="16"/>
                <w:color w:val="auto"/>
              </w:rPr>
              <w:t>0%</w:t>
            </w:r>
          </w:p>
        </w:tc>
        <w:tc>
          <w:tcPr>
            <w:tcW w:w="1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100%</w:t>
            </w:r>
          </w:p>
        </w:tc>
        <w:tc>
          <w:tcPr>
            <w:tcW w:w="1280" w:type="dxa"/>
            <w:vAlign w:val="bottom"/>
            <w:tcBorders>
              <w:bottom w:val="single" w:sz="8" w:color="auto"/>
            </w:tcBorders>
            <w:shd w:val="clear" w:color="auto" w:fill="EAEAEA"/>
          </w:tcPr>
          <w:p>
            <w:pPr>
              <w:jc w:val="right"/>
              <w:ind w:right="122"/>
              <w:spacing w:after="0"/>
              <w:rPr>
                <w:sz w:val="20"/>
                <w:szCs w:val="20"/>
                <w:color w:val="auto"/>
              </w:rPr>
            </w:pPr>
            <w:r>
              <w:rPr>
                <w:rFonts w:ascii="Arial" w:cs="Arial" w:eastAsia="Arial" w:hAnsi="Arial"/>
                <w:sz w:val="16"/>
                <w:szCs w:val="16"/>
                <w:color w:val="auto"/>
              </w:rPr>
              <w:t>100%</w:t>
            </w:r>
          </w:p>
        </w:tc>
        <w:tc>
          <w:tcPr>
            <w:tcW w:w="9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0%</w:t>
            </w:r>
          </w:p>
        </w:tc>
      </w:tr>
      <w:tr>
        <w:trPr>
          <w:trHeight w:val="185"/>
        </w:trPr>
        <w:tc>
          <w:tcPr>
            <w:tcW w:w="3620" w:type="dxa"/>
            <w:vAlign w:val="bottom"/>
          </w:tcPr>
          <w:p>
            <w:pPr>
              <w:ind w:left="60"/>
              <w:spacing w:after="0"/>
              <w:rPr>
                <w:sz w:val="20"/>
                <w:szCs w:val="20"/>
                <w:color w:val="auto"/>
              </w:rPr>
            </w:pPr>
            <w:r>
              <w:rPr>
                <w:rFonts w:ascii="Arial" w:cs="Arial" w:eastAsia="Arial" w:hAnsi="Arial"/>
                <w:sz w:val="16"/>
                <w:szCs w:val="16"/>
                <w:b w:val="1"/>
                <w:bCs w:val="1"/>
                <w:color w:val="0066BA"/>
              </w:rPr>
              <w:t>Greg Henderson</w:t>
            </w:r>
          </w:p>
        </w:tc>
        <w:tc>
          <w:tcPr>
            <w:tcW w:w="1020" w:type="dxa"/>
            <w:vAlign w:val="bottom"/>
            <w:shd w:val="clear" w:color="auto" w:fill="EAEAEA"/>
          </w:tcPr>
          <w:p>
            <w:pPr>
              <w:spacing w:after="0"/>
              <w:rPr>
                <w:sz w:val="16"/>
                <w:szCs w:val="16"/>
                <w:color w:val="auto"/>
              </w:rPr>
            </w:pPr>
          </w:p>
        </w:tc>
        <w:tc>
          <w:tcPr>
            <w:tcW w:w="1140" w:type="dxa"/>
            <w:vAlign w:val="bottom"/>
          </w:tcPr>
          <w:p>
            <w:pPr>
              <w:spacing w:after="0"/>
              <w:rPr>
                <w:sz w:val="16"/>
                <w:szCs w:val="16"/>
                <w:color w:val="auto"/>
              </w:rPr>
            </w:pPr>
          </w:p>
        </w:tc>
        <w:tc>
          <w:tcPr>
            <w:tcW w:w="960" w:type="dxa"/>
            <w:vAlign w:val="bottom"/>
            <w:shd w:val="clear" w:color="auto" w:fill="EAEAEA"/>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shd w:val="clear" w:color="auto" w:fill="EAEAEA"/>
          </w:tcPr>
          <w:p>
            <w:pPr>
              <w:spacing w:after="0"/>
              <w:rPr>
                <w:sz w:val="16"/>
                <w:szCs w:val="16"/>
                <w:color w:val="auto"/>
              </w:rPr>
            </w:pPr>
          </w:p>
        </w:tc>
        <w:tc>
          <w:tcPr>
            <w:tcW w:w="960" w:type="dxa"/>
            <w:vAlign w:val="bottom"/>
          </w:tcPr>
          <w:p>
            <w:pPr>
              <w:spacing w:after="0"/>
              <w:rPr>
                <w:sz w:val="16"/>
                <w:szCs w:val="16"/>
                <w:color w:val="auto"/>
              </w:rPr>
            </w:pPr>
          </w:p>
        </w:tc>
      </w:tr>
      <w:tr>
        <w:trPr>
          <w:trHeight w:val="195"/>
        </w:trPr>
        <w:tc>
          <w:tcPr>
            <w:tcW w:w="3620" w:type="dxa"/>
            <w:vAlign w:val="bottom"/>
          </w:tcPr>
          <w:p>
            <w:pPr>
              <w:ind w:left="60"/>
              <w:spacing w:after="0"/>
              <w:rPr>
                <w:sz w:val="20"/>
                <w:szCs w:val="20"/>
                <w:color w:val="auto"/>
              </w:rPr>
            </w:pPr>
            <w:r>
              <w:rPr>
                <w:rFonts w:ascii="Arial" w:cs="Arial" w:eastAsia="Arial" w:hAnsi="Arial"/>
                <w:sz w:val="16"/>
                <w:szCs w:val="16"/>
                <w:color w:val="auto"/>
              </w:rPr>
              <w:t>Senior Vice President, Automotive &amp; Energy,</w:t>
            </w:r>
          </w:p>
        </w:tc>
        <w:tc>
          <w:tcPr>
            <w:tcW w:w="1020" w:type="dxa"/>
            <w:vAlign w:val="bottom"/>
            <w:shd w:val="clear" w:color="auto" w:fill="EAEAEA"/>
          </w:tcPr>
          <w:p>
            <w:pPr>
              <w:spacing w:after="0"/>
              <w:rPr>
                <w:sz w:val="16"/>
                <w:szCs w:val="16"/>
                <w:color w:val="auto"/>
              </w:rPr>
            </w:pPr>
          </w:p>
        </w:tc>
        <w:tc>
          <w:tcPr>
            <w:tcW w:w="1140" w:type="dxa"/>
            <w:vAlign w:val="bottom"/>
          </w:tcPr>
          <w:p>
            <w:pPr>
              <w:spacing w:after="0"/>
              <w:rPr>
                <w:sz w:val="16"/>
                <w:szCs w:val="16"/>
                <w:color w:val="auto"/>
              </w:rPr>
            </w:pPr>
          </w:p>
        </w:tc>
        <w:tc>
          <w:tcPr>
            <w:tcW w:w="960" w:type="dxa"/>
            <w:vAlign w:val="bottom"/>
            <w:shd w:val="clear" w:color="auto" w:fill="EAEAEA"/>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shd w:val="clear" w:color="auto" w:fill="EAEAEA"/>
          </w:tcPr>
          <w:p>
            <w:pPr>
              <w:spacing w:after="0"/>
              <w:rPr>
                <w:sz w:val="16"/>
                <w:szCs w:val="16"/>
                <w:color w:val="auto"/>
              </w:rPr>
            </w:pPr>
          </w:p>
        </w:tc>
        <w:tc>
          <w:tcPr>
            <w:tcW w:w="960" w:type="dxa"/>
            <w:vAlign w:val="bottom"/>
          </w:tcPr>
          <w:p>
            <w:pPr>
              <w:spacing w:after="0"/>
              <w:rPr>
                <w:sz w:val="16"/>
                <w:szCs w:val="16"/>
                <w:color w:val="auto"/>
              </w:rPr>
            </w:pPr>
          </w:p>
        </w:tc>
      </w:tr>
      <w:tr>
        <w:trPr>
          <w:trHeight w:val="211"/>
        </w:trPr>
        <w:tc>
          <w:tcPr>
            <w:tcW w:w="36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Communications and Aerospace Group</w:t>
            </w:r>
          </w:p>
        </w:tc>
        <w:tc>
          <w:tcPr>
            <w:tcW w:w="1020" w:type="dxa"/>
            <w:vAlign w:val="bottom"/>
            <w:tcBorders>
              <w:bottom w:val="single" w:sz="8" w:color="auto"/>
            </w:tcBorders>
            <w:shd w:val="clear" w:color="auto" w:fill="EAEAEA"/>
          </w:tcPr>
          <w:p>
            <w:pPr>
              <w:jc w:val="right"/>
              <w:ind w:right="102"/>
              <w:spacing w:after="0"/>
              <w:rPr>
                <w:sz w:val="20"/>
                <w:szCs w:val="20"/>
                <w:color w:val="auto"/>
              </w:rPr>
            </w:pPr>
            <w:r>
              <w:rPr>
                <w:rFonts w:ascii="Arial" w:cs="Arial" w:eastAsia="Arial" w:hAnsi="Arial"/>
                <w:sz w:val="16"/>
                <w:szCs w:val="16"/>
                <w:color w:val="auto"/>
              </w:rPr>
              <w:t>$460,000</w:t>
            </w:r>
          </w:p>
        </w:tc>
        <w:tc>
          <w:tcPr>
            <w:tcW w:w="11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$450,000</w:t>
            </w:r>
          </w:p>
        </w:tc>
        <w:tc>
          <w:tcPr>
            <w:tcW w:w="960" w:type="dxa"/>
            <w:vAlign w:val="bottom"/>
            <w:tcBorders>
              <w:bottom w:val="single" w:sz="8" w:color="auto"/>
            </w:tcBorders>
            <w:shd w:val="clear" w:color="auto" w:fill="EAEAEA"/>
          </w:tcPr>
          <w:p>
            <w:pPr>
              <w:jc w:val="right"/>
              <w:ind w:right="122"/>
              <w:spacing w:after="0"/>
              <w:rPr>
                <w:sz w:val="20"/>
                <w:szCs w:val="20"/>
                <w:color w:val="auto"/>
              </w:rPr>
            </w:pPr>
            <w:r>
              <w:rPr>
                <w:rFonts w:ascii="Arial" w:cs="Arial" w:eastAsia="Arial" w:hAnsi="Arial"/>
                <w:sz w:val="16"/>
                <w:szCs w:val="16"/>
                <w:color w:val="auto"/>
              </w:rPr>
              <w:t>2.2%</w:t>
            </w:r>
          </w:p>
        </w:tc>
        <w:tc>
          <w:tcPr>
            <w:tcW w:w="1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100%</w:t>
            </w:r>
          </w:p>
        </w:tc>
        <w:tc>
          <w:tcPr>
            <w:tcW w:w="1280" w:type="dxa"/>
            <w:vAlign w:val="bottom"/>
            <w:tcBorders>
              <w:bottom w:val="single" w:sz="8" w:color="auto"/>
            </w:tcBorders>
            <w:shd w:val="clear" w:color="auto" w:fill="EAEAEA"/>
          </w:tcPr>
          <w:p>
            <w:pPr>
              <w:jc w:val="right"/>
              <w:ind w:right="122"/>
              <w:spacing w:after="0"/>
              <w:rPr>
                <w:sz w:val="20"/>
                <w:szCs w:val="20"/>
                <w:color w:val="auto"/>
              </w:rPr>
            </w:pPr>
            <w:r>
              <w:rPr>
                <w:rFonts w:ascii="Arial" w:cs="Arial" w:eastAsia="Arial" w:hAnsi="Arial"/>
                <w:sz w:val="16"/>
                <w:szCs w:val="16"/>
                <w:color w:val="auto"/>
              </w:rPr>
              <w:t>100%</w:t>
            </w:r>
          </w:p>
        </w:tc>
        <w:tc>
          <w:tcPr>
            <w:tcW w:w="9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0%</w:t>
            </w:r>
          </w:p>
        </w:tc>
      </w:tr>
      <w:tr>
        <w:trPr>
          <w:trHeight w:val="185"/>
        </w:trPr>
        <w:tc>
          <w:tcPr>
            <w:tcW w:w="3620" w:type="dxa"/>
            <w:vAlign w:val="bottom"/>
          </w:tcPr>
          <w:p>
            <w:pPr>
              <w:ind w:left="60"/>
              <w:spacing w:after="0"/>
              <w:rPr>
                <w:sz w:val="20"/>
                <w:szCs w:val="20"/>
                <w:color w:val="auto"/>
              </w:rPr>
            </w:pPr>
            <w:r>
              <w:rPr>
                <w:rFonts w:ascii="Arial" w:cs="Arial" w:eastAsia="Arial" w:hAnsi="Arial"/>
                <w:sz w:val="16"/>
                <w:szCs w:val="16"/>
                <w:b w:val="1"/>
                <w:bCs w:val="1"/>
                <w:color w:val="0066BA"/>
              </w:rPr>
              <w:t>Anelise Sacks</w:t>
            </w:r>
          </w:p>
        </w:tc>
        <w:tc>
          <w:tcPr>
            <w:tcW w:w="1020" w:type="dxa"/>
            <w:vAlign w:val="bottom"/>
            <w:shd w:val="clear" w:color="auto" w:fill="EAEAEA"/>
          </w:tcPr>
          <w:p>
            <w:pPr>
              <w:spacing w:after="0"/>
              <w:rPr>
                <w:sz w:val="16"/>
                <w:szCs w:val="16"/>
                <w:color w:val="auto"/>
              </w:rPr>
            </w:pPr>
          </w:p>
        </w:tc>
        <w:tc>
          <w:tcPr>
            <w:tcW w:w="1140" w:type="dxa"/>
            <w:vAlign w:val="bottom"/>
          </w:tcPr>
          <w:p>
            <w:pPr>
              <w:spacing w:after="0"/>
              <w:rPr>
                <w:sz w:val="16"/>
                <w:szCs w:val="16"/>
                <w:color w:val="auto"/>
              </w:rPr>
            </w:pPr>
          </w:p>
        </w:tc>
        <w:tc>
          <w:tcPr>
            <w:tcW w:w="960" w:type="dxa"/>
            <w:vAlign w:val="bottom"/>
            <w:shd w:val="clear" w:color="auto" w:fill="EAEAEA"/>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shd w:val="clear" w:color="auto" w:fill="EAEAEA"/>
          </w:tcPr>
          <w:p>
            <w:pPr>
              <w:spacing w:after="0"/>
              <w:rPr>
                <w:sz w:val="16"/>
                <w:szCs w:val="16"/>
                <w:color w:val="auto"/>
              </w:rPr>
            </w:pPr>
          </w:p>
        </w:tc>
        <w:tc>
          <w:tcPr>
            <w:tcW w:w="960" w:type="dxa"/>
            <w:vAlign w:val="bottom"/>
          </w:tcPr>
          <w:p>
            <w:pPr>
              <w:spacing w:after="0"/>
              <w:rPr>
                <w:sz w:val="16"/>
                <w:szCs w:val="16"/>
                <w:color w:val="auto"/>
              </w:rPr>
            </w:pPr>
          </w:p>
        </w:tc>
      </w:tr>
      <w:tr>
        <w:trPr>
          <w:trHeight w:val="195"/>
        </w:trPr>
        <w:tc>
          <w:tcPr>
            <w:tcW w:w="3620" w:type="dxa"/>
            <w:vAlign w:val="bottom"/>
          </w:tcPr>
          <w:p>
            <w:pPr>
              <w:ind w:left="60"/>
              <w:spacing w:after="0"/>
              <w:rPr>
                <w:sz w:val="20"/>
                <w:szCs w:val="20"/>
                <w:color w:val="auto"/>
              </w:rPr>
            </w:pPr>
            <w:r>
              <w:rPr>
                <w:rFonts w:ascii="Arial" w:cs="Arial" w:eastAsia="Arial" w:hAnsi="Arial"/>
                <w:sz w:val="16"/>
                <w:szCs w:val="16"/>
                <w:color w:val="auto"/>
              </w:rPr>
              <w:t>Senior Vice President,</w:t>
            </w:r>
          </w:p>
        </w:tc>
        <w:tc>
          <w:tcPr>
            <w:tcW w:w="1020" w:type="dxa"/>
            <w:vAlign w:val="bottom"/>
            <w:shd w:val="clear" w:color="auto" w:fill="EAEAEA"/>
          </w:tcPr>
          <w:p>
            <w:pPr>
              <w:spacing w:after="0"/>
              <w:rPr>
                <w:sz w:val="16"/>
                <w:szCs w:val="16"/>
                <w:color w:val="auto"/>
              </w:rPr>
            </w:pPr>
          </w:p>
        </w:tc>
        <w:tc>
          <w:tcPr>
            <w:tcW w:w="1140" w:type="dxa"/>
            <w:vAlign w:val="bottom"/>
          </w:tcPr>
          <w:p>
            <w:pPr>
              <w:spacing w:after="0"/>
              <w:rPr>
                <w:sz w:val="16"/>
                <w:szCs w:val="16"/>
                <w:color w:val="auto"/>
              </w:rPr>
            </w:pPr>
          </w:p>
        </w:tc>
        <w:tc>
          <w:tcPr>
            <w:tcW w:w="960" w:type="dxa"/>
            <w:vAlign w:val="bottom"/>
            <w:shd w:val="clear" w:color="auto" w:fill="EAEAEA"/>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shd w:val="clear" w:color="auto" w:fill="EAEAEA"/>
          </w:tcPr>
          <w:p>
            <w:pPr>
              <w:spacing w:after="0"/>
              <w:rPr>
                <w:sz w:val="16"/>
                <w:szCs w:val="16"/>
                <w:color w:val="auto"/>
              </w:rPr>
            </w:pPr>
          </w:p>
        </w:tc>
        <w:tc>
          <w:tcPr>
            <w:tcW w:w="960" w:type="dxa"/>
            <w:vAlign w:val="bottom"/>
          </w:tcPr>
          <w:p>
            <w:pPr>
              <w:spacing w:after="0"/>
              <w:rPr>
                <w:sz w:val="16"/>
                <w:szCs w:val="16"/>
                <w:color w:val="auto"/>
              </w:rPr>
            </w:pPr>
          </w:p>
        </w:tc>
      </w:tr>
      <w:tr>
        <w:trPr>
          <w:trHeight w:val="211"/>
        </w:trPr>
        <w:tc>
          <w:tcPr>
            <w:tcW w:w="3620" w:type="dxa"/>
            <w:vAlign w:val="bottom"/>
            <w:tcBorders>
              <w:bottom w:val="single" w:sz="8" w:color="0066BA"/>
            </w:tcBorders>
          </w:tcPr>
          <w:p>
            <w:pPr>
              <w:ind w:left="60"/>
              <w:spacing w:after="0"/>
              <w:rPr>
                <w:sz w:val="20"/>
                <w:szCs w:val="20"/>
                <w:color w:val="auto"/>
              </w:rPr>
            </w:pPr>
            <w:r>
              <w:rPr>
                <w:rFonts w:ascii="Arial" w:cs="Arial" w:eastAsia="Arial" w:hAnsi="Arial"/>
                <w:sz w:val="16"/>
                <w:szCs w:val="16"/>
                <w:color w:val="auto"/>
              </w:rPr>
              <w:t>Chief Customer Officer</w:t>
            </w:r>
          </w:p>
        </w:tc>
        <w:tc>
          <w:tcPr>
            <w:tcW w:w="1020" w:type="dxa"/>
            <w:vAlign w:val="bottom"/>
            <w:tcBorders>
              <w:bottom w:val="single" w:sz="8" w:color="0066BA"/>
            </w:tcBorders>
            <w:shd w:val="clear" w:color="auto" w:fill="EAEAEA"/>
          </w:tcPr>
          <w:p>
            <w:pPr>
              <w:jc w:val="right"/>
              <w:ind w:right="102"/>
              <w:spacing w:after="0"/>
              <w:rPr>
                <w:sz w:val="20"/>
                <w:szCs w:val="20"/>
                <w:color w:val="auto"/>
              </w:rPr>
            </w:pPr>
            <w:r>
              <w:rPr>
                <w:rFonts w:ascii="Arial" w:cs="Arial" w:eastAsia="Arial" w:hAnsi="Arial"/>
                <w:sz w:val="16"/>
                <w:szCs w:val="16"/>
                <w:color w:val="auto"/>
              </w:rPr>
              <w:t>$425,000</w:t>
            </w:r>
          </w:p>
        </w:tc>
        <w:tc>
          <w:tcPr>
            <w:tcW w:w="1140" w:type="dxa"/>
            <w:vAlign w:val="bottom"/>
            <w:tcBorders>
              <w:bottom w:val="single" w:sz="8" w:color="0066BA"/>
            </w:tcBorders>
          </w:tcPr>
          <w:p>
            <w:pPr>
              <w:jc w:val="right"/>
              <w:ind w:right="102"/>
              <w:spacing w:after="0"/>
              <w:rPr>
                <w:sz w:val="20"/>
                <w:szCs w:val="20"/>
                <w:color w:val="auto"/>
              </w:rPr>
            </w:pPr>
            <w:r>
              <w:rPr>
                <w:rFonts w:ascii="Arial" w:cs="Arial" w:eastAsia="Arial" w:hAnsi="Arial"/>
                <w:sz w:val="16"/>
                <w:szCs w:val="16"/>
                <w:color w:val="auto"/>
              </w:rPr>
              <w:t>N/A</w:t>
            </w:r>
          </w:p>
        </w:tc>
        <w:tc>
          <w:tcPr>
            <w:tcW w:w="960" w:type="dxa"/>
            <w:vAlign w:val="bottom"/>
            <w:tcBorders>
              <w:bottom w:val="single" w:sz="8" w:color="0066BA"/>
            </w:tcBorders>
            <w:shd w:val="clear" w:color="auto" w:fill="EAEAEA"/>
          </w:tcPr>
          <w:p>
            <w:pPr>
              <w:jc w:val="right"/>
              <w:ind w:right="122"/>
              <w:spacing w:after="0"/>
              <w:rPr>
                <w:sz w:val="20"/>
                <w:szCs w:val="20"/>
                <w:color w:val="auto"/>
              </w:rPr>
            </w:pPr>
            <w:r>
              <w:rPr>
                <w:rFonts w:ascii="Arial" w:cs="Arial" w:eastAsia="Arial" w:hAnsi="Arial"/>
                <w:sz w:val="16"/>
                <w:szCs w:val="16"/>
                <w:color w:val="auto"/>
              </w:rPr>
              <w:t>N/A</w:t>
            </w:r>
          </w:p>
        </w:tc>
        <w:tc>
          <w:tcPr>
            <w:tcW w:w="1300" w:type="dxa"/>
            <w:vAlign w:val="bottom"/>
            <w:tcBorders>
              <w:bottom w:val="single" w:sz="8" w:color="0066BA"/>
            </w:tcBorders>
          </w:tcPr>
          <w:p>
            <w:pPr>
              <w:jc w:val="right"/>
              <w:ind w:right="122"/>
              <w:spacing w:after="0"/>
              <w:rPr>
                <w:sz w:val="20"/>
                <w:szCs w:val="20"/>
                <w:color w:val="auto"/>
              </w:rPr>
            </w:pPr>
            <w:r>
              <w:rPr>
                <w:rFonts w:ascii="Arial" w:cs="Arial" w:eastAsia="Arial" w:hAnsi="Arial"/>
                <w:sz w:val="16"/>
                <w:szCs w:val="16"/>
                <w:color w:val="auto"/>
              </w:rPr>
              <w:t>100%</w:t>
            </w:r>
          </w:p>
        </w:tc>
        <w:tc>
          <w:tcPr>
            <w:tcW w:w="1280" w:type="dxa"/>
            <w:vAlign w:val="bottom"/>
            <w:tcBorders>
              <w:bottom w:val="single" w:sz="8" w:color="0066BA"/>
            </w:tcBorders>
            <w:shd w:val="clear" w:color="auto" w:fill="EAEAEA"/>
          </w:tcPr>
          <w:p>
            <w:pPr>
              <w:jc w:val="right"/>
              <w:ind w:right="122"/>
              <w:spacing w:after="0"/>
              <w:rPr>
                <w:sz w:val="20"/>
                <w:szCs w:val="20"/>
                <w:color w:val="auto"/>
              </w:rPr>
            </w:pPr>
            <w:r>
              <w:rPr>
                <w:rFonts w:ascii="Arial" w:cs="Arial" w:eastAsia="Arial" w:hAnsi="Arial"/>
                <w:sz w:val="16"/>
                <w:szCs w:val="16"/>
                <w:color w:val="auto"/>
              </w:rPr>
              <w:t>N/A</w:t>
            </w:r>
          </w:p>
        </w:tc>
        <w:tc>
          <w:tcPr>
            <w:tcW w:w="960" w:type="dxa"/>
            <w:vAlign w:val="bottom"/>
            <w:tcBorders>
              <w:bottom w:val="single" w:sz="8" w:color="0066BA"/>
            </w:tcBorders>
          </w:tcPr>
          <w:p>
            <w:pPr>
              <w:jc w:val="right"/>
              <w:ind w:right="102"/>
              <w:spacing w:after="0"/>
              <w:rPr>
                <w:sz w:val="20"/>
                <w:szCs w:val="20"/>
                <w:color w:val="auto"/>
              </w:rPr>
            </w:pPr>
            <w:r>
              <w:rPr>
                <w:rFonts w:ascii="Arial" w:cs="Arial" w:eastAsia="Arial" w:hAnsi="Arial"/>
                <w:sz w:val="16"/>
                <w:szCs w:val="16"/>
                <w:color w:val="auto"/>
              </w:rPr>
              <w:t>N/A</w:t>
            </w:r>
          </w:p>
        </w:tc>
      </w:tr>
    </w:tbl>
    <w:p>
      <w:pPr>
        <w:spacing w:after="0" w:line="285"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Equity Compensation</w:t>
      </w:r>
    </w:p>
    <w:p>
      <w:pPr>
        <w:spacing w:after="0" w:line="57" w:lineRule="exact"/>
        <w:rPr>
          <w:sz w:val="20"/>
          <w:szCs w:val="20"/>
          <w:color w:val="auto"/>
        </w:rPr>
      </w:pPr>
    </w:p>
    <w:p>
      <w:pPr>
        <w:ind w:left="480" w:right="240"/>
        <w:spacing w:after="0" w:line="265" w:lineRule="auto"/>
        <w:rPr>
          <w:sz w:val="20"/>
          <w:szCs w:val="20"/>
          <w:color w:val="auto"/>
        </w:rPr>
      </w:pPr>
      <w:r>
        <w:rPr>
          <w:rFonts w:ascii="Arial" w:cs="Arial" w:eastAsia="Arial" w:hAnsi="Arial"/>
          <w:sz w:val="17"/>
          <w:szCs w:val="17"/>
          <w:color w:val="auto"/>
        </w:rPr>
        <w:t>Our equity compensation program is a broad-based, long-term employee rewards program that is intended to attract, retain and motivate our employees, executive officers and directors and to align their interests with those of our shareholders. We believe that our equity program is critical to our efforts to hire and retain the best talent in the extremely competitive analog semiconductor industry. All equity awards granted to our executive officers, including our NEOs, in fiscal 2021 were made under the 2020 Plan.</w:t>
      </w:r>
    </w:p>
    <w:p>
      <w:pPr>
        <w:spacing w:after="0" w:line="73" w:lineRule="exact"/>
        <w:rPr>
          <w:sz w:val="20"/>
          <w:szCs w:val="20"/>
          <w:color w:val="auto"/>
        </w:rPr>
      </w:pPr>
    </w:p>
    <w:p>
      <w:pPr>
        <w:ind w:left="480" w:right="400"/>
        <w:spacing w:after="0" w:line="270" w:lineRule="auto"/>
        <w:rPr>
          <w:sz w:val="20"/>
          <w:szCs w:val="20"/>
          <w:color w:val="auto"/>
        </w:rPr>
      </w:pPr>
      <w:r>
        <w:rPr>
          <w:rFonts w:ascii="Arial" w:cs="Arial" w:eastAsia="Arial" w:hAnsi="Arial"/>
          <w:sz w:val="17"/>
          <w:szCs w:val="17"/>
          <w:color w:val="0066BA"/>
        </w:rPr>
        <w:t xml:space="preserve">Equity Mix. </w:t>
      </w:r>
      <w:r>
        <w:rPr>
          <w:rFonts w:ascii="Arial" w:cs="Arial" w:eastAsia="Arial" w:hAnsi="Arial"/>
          <w:sz w:val="17"/>
          <w:szCs w:val="17"/>
          <w:color w:val="000000"/>
        </w:rPr>
        <w:t>The most significant portion of our executive officers’, including our NEOs’, total compensation is in the form of equity awards, the</w:t>
      </w:r>
      <w:r>
        <w:rPr>
          <w:rFonts w:ascii="Arial" w:cs="Arial" w:eastAsia="Arial" w:hAnsi="Arial"/>
          <w:sz w:val="17"/>
          <w:szCs w:val="17"/>
          <w:color w:val="0066BA"/>
        </w:rPr>
        <w:t xml:space="preserve"> </w:t>
      </w:r>
      <w:r>
        <w:rPr>
          <w:rFonts w:ascii="Arial" w:cs="Arial" w:eastAsia="Arial" w:hAnsi="Arial"/>
          <w:sz w:val="17"/>
          <w:szCs w:val="17"/>
          <w:color w:val="000000"/>
        </w:rPr>
        <w:t>value of which is directly tied to our stock price performance over the long term. In fiscal 2021, approximately 75% of the average total target compensation of our NEOs was in the form of equity.</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0940"/>
          </w:cols>
          <w:pgMar w:left="320" w:top="447" w:right="63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 fiscal 2021, the form and mix of equity awards delivered as part of our annual equity award program for our executive officers, including our</w:t>
      </w:r>
    </w:p>
    <w:p>
      <w:pPr>
        <w:spacing w:after="0" w:line="3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NEOs, was as follows:</w:t>
      </w:r>
    </w:p>
    <w:p>
      <w:pPr>
        <w:spacing w:after="0" w:line="247" w:lineRule="exact"/>
        <w:rPr>
          <w:sz w:val="20"/>
          <w:szCs w:val="20"/>
          <w:color w:val="auto"/>
        </w:rPr>
      </w:pPr>
    </w:p>
    <w:tbl>
      <w:tblPr>
        <w:tblLayout w:type="fixed"/>
        <w:tblInd w:w="480" w:type="dxa"/>
        <w:tblCellMar>
          <w:top w:w="0" w:type="dxa"/>
          <w:left w:w="0" w:type="dxa"/>
          <w:bottom w:w="0" w:type="dxa"/>
          <w:right w:w="0" w:type="dxa"/>
        </w:tblCellMar>
      </w:tblPr>
      <w:tr>
        <w:trPr>
          <w:trHeight w:val="285"/>
        </w:trPr>
        <w:tc>
          <w:tcPr>
            <w:tcW w:w="2040" w:type="dxa"/>
            <w:vAlign w:val="bottom"/>
            <w:shd w:val="clear" w:color="auto" w:fill="0066BA"/>
          </w:tcPr>
          <w:p>
            <w:pPr>
              <w:spacing w:after="0"/>
              <w:rPr>
                <w:sz w:val="24"/>
                <w:szCs w:val="24"/>
                <w:color w:val="auto"/>
              </w:rPr>
            </w:pPr>
          </w:p>
        </w:tc>
        <w:tc>
          <w:tcPr>
            <w:tcW w:w="720" w:type="dxa"/>
            <w:vAlign w:val="bottom"/>
            <w:shd w:val="clear" w:color="auto" w:fill="0066BA"/>
          </w:tcPr>
          <w:p>
            <w:pPr>
              <w:ind w:left="60"/>
              <w:spacing w:after="0"/>
              <w:rPr>
                <w:sz w:val="20"/>
                <w:szCs w:val="20"/>
                <w:color w:val="auto"/>
              </w:rPr>
            </w:pPr>
            <w:r>
              <w:rPr>
                <w:rFonts w:ascii="Arial" w:cs="Arial" w:eastAsia="Arial" w:hAnsi="Arial"/>
                <w:sz w:val="16"/>
                <w:szCs w:val="16"/>
                <w:b w:val="1"/>
                <w:bCs w:val="1"/>
                <w:color w:val="FFFFFF"/>
              </w:rPr>
              <w:t>Value of</w:t>
            </w:r>
          </w:p>
        </w:tc>
        <w:tc>
          <w:tcPr>
            <w:tcW w:w="1620" w:type="dxa"/>
            <w:vAlign w:val="bottom"/>
            <w:shd w:val="clear" w:color="auto" w:fill="0066BA"/>
          </w:tcPr>
          <w:p>
            <w:pPr>
              <w:spacing w:after="0"/>
              <w:rPr>
                <w:sz w:val="24"/>
                <w:szCs w:val="24"/>
                <w:color w:val="auto"/>
              </w:rPr>
            </w:pPr>
          </w:p>
        </w:tc>
        <w:tc>
          <w:tcPr>
            <w:tcW w:w="2460" w:type="dxa"/>
            <w:vAlign w:val="bottom"/>
            <w:shd w:val="clear" w:color="auto" w:fill="0066BA"/>
          </w:tcPr>
          <w:p>
            <w:pPr>
              <w:spacing w:after="0"/>
              <w:rPr>
                <w:sz w:val="24"/>
                <w:szCs w:val="24"/>
                <w:color w:val="auto"/>
              </w:rPr>
            </w:pPr>
          </w:p>
        </w:tc>
        <w:tc>
          <w:tcPr>
            <w:tcW w:w="1920" w:type="dxa"/>
            <w:vAlign w:val="bottom"/>
            <w:shd w:val="clear" w:color="auto" w:fill="0066BA"/>
          </w:tcPr>
          <w:p>
            <w:pPr>
              <w:spacing w:after="0"/>
              <w:rPr>
                <w:sz w:val="24"/>
                <w:szCs w:val="24"/>
                <w:color w:val="auto"/>
              </w:rPr>
            </w:pPr>
          </w:p>
        </w:tc>
        <w:tc>
          <w:tcPr>
            <w:tcW w:w="1520" w:type="dxa"/>
            <w:vAlign w:val="bottom"/>
            <w:shd w:val="clear" w:color="auto" w:fill="0066BA"/>
          </w:tcPr>
          <w:p>
            <w:pPr>
              <w:spacing w:after="0"/>
              <w:rPr>
                <w:sz w:val="24"/>
                <w:szCs w:val="24"/>
                <w:color w:val="auto"/>
              </w:rPr>
            </w:pPr>
          </w:p>
        </w:tc>
      </w:tr>
      <w:tr>
        <w:trPr>
          <w:trHeight w:val="195"/>
        </w:trPr>
        <w:tc>
          <w:tcPr>
            <w:tcW w:w="2040" w:type="dxa"/>
            <w:vAlign w:val="bottom"/>
            <w:shd w:val="clear" w:color="auto" w:fill="0066BA"/>
          </w:tcPr>
          <w:p>
            <w:pPr>
              <w:ind w:left="40"/>
              <w:spacing w:after="0"/>
              <w:rPr>
                <w:sz w:val="20"/>
                <w:szCs w:val="20"/>
                <w:color w:val="auto"/>
              </w:rPr>
            </w:pPr>
            <w:r>
              <w:rPr>
                <w:rFonts w:ascii="Arial" w:cs="Arial" w:eastAsia="Arial" w:hAnsi="Arial"/>
                <w:sz w:val="16"/>
                <w:szCs w:val="16"/>
                <w:b w:val="1"/>
                <w:bCs w:val="1"/>
                <w:color w:val="FFFFFF"/>
              </w:rPr>
              <w:t>Equity</w:t>
            </w:r>
          </w:p>
        </w:tc>
        <w:tc>
          <w:tcPr>
            <w:tcW w:w="720" w:type="dxa"/>
            <w:vAlign w:val="bottom"/>
            <w:shd w:val="clear" w:color="auto" w:fill="0066BA"/>
          </w:tcPr>
          <w:p>
            <w:pPr>
              <w:ind w:left="60"/>
              <w:spacing w:after="0"/>
              <w:rPr>
                <w:sz w:val="20"/>
                <w:szCs w:val="20"/>
                <w:color w:val="auto"/>
              </w:rPr>
            </w:pPr>
            <w:r>
              <w:rPr>
                <w:rFonts w:ascii="Arial" w:cs="Arial" w:eastAsia="Arial" w:hAnsi="Arial"/>
                <w:sz w:val="16"/>
                <w:szCs w:val="16"/>
                <w:b w:val="1"/>
                <w:bCs w:val="1"/>
                <w:color w:val="FFFFFF"/>
              </w:rPr>
              <w:t>Annual</w:t>
            </w:r>
          </w:p>
        </w:tc>
        <w:tc>
          <w:tcPr>
            <w:tcW w:w="1620" w:type="dxa"/>
            <w:vAlign w:val="bottom"/>
            <w:shd w:val="clear" w:color="auto" w:fill="0066BA"/>
          </w:tcPr>
          <w:p>
            <w:pPr>
              <w:spacing w:after="0"/>
              <w:rPr>
                <w:sz w:val="16"/>
                <w:szCs w:val="16"/>
                <w:color w:val="auto"/>
              </w:rPr>
            </w:pPr>
          </w:p>
        </w:tc>
        <w:tc>
          <w:tcPr>
            <w:tcW w:w="2460" w:type="dxa"/>
            <w:vAlign w:val="bottom"/>
            <w:shd w:val="clear" w:color="auto" w:fill="0066BA"/>
          </w:tcPr>
          <w:p>
            <w:pPr>
              <w:spacing w:after="0"/>
              <w:rPr>
                <w:sz w:val="16"/>
                <w:szCs w:val="16"/>
                <w:color w:val="auto"/>
              </w:rPr>
            </w:pPr>
          </w:p>
        </w:tc>
        <w:tc>
          <w:tcPr>
            <w:tcW w:w="1920" w:type="dxa"/>
            <w:vAlign w:val="bottom"/>
            <w:shd w:val="clear" w:color="auto" w:fill="0066BA"/>
          </w:tcPr>
          <w:p>
            <w:pPr>
              <w:ind w:left="700"/>
              <w:spacing w:after="0"/>
              <w:rPr>
                <w:sz w:val="20"/>
                <w:szCs w:val="20"/>
                <w:color w:val="auto"/>
              </w:rPr>
            </w:pPr>
            <w:r>
              <w:rPr>
                <w:rFonts w:ascii="Arial" w:cs="Arial" w:eastAsia="Arial" w:hAnsi="Arial"/>
                <w:sz w:val="16"/>
                <w:szCs w:val="16"/>
                <w:b w:val="1"/>
                <w:bCs w:val="1"/>
                <w:color w:val="FFFFFF"/>
              </w:rPr>
              <w:t>Performance</w:t>
            </w:r>
          </w:p>
        </w:tc>
        <w:tc>
          <w:tcPr>
            <w:tcW w:w="1520" w:type="dxa"/>
            <w:vAlign w:val="bottom"/>
            <w:shd w:val="clear" w:color="auto" w:fill="0066BA"/>
          </w:tcPr>
          <w:p>
            <w:pPr>
              <w:spacing w:after="0"/>
              <w:rPr>
                <w:sz w:val="16"/>
                <w:szCs w:val="16"/>
                <w:color w:val="auto"/>
              </w:rPr>
            </w:pPr>
          </w:p>
        </w:tc>
      </w:tr>
      <w:tr>
        <w:trPr>
          <w:trHeight w:val="203"/>
        </w:trPr>
        <w:tc>
          <w:tcPr>
            <w:tcW w:w="2040" w:type="dxa"/>
            <w:vAlign w:val="bottom"/>
            <w:shd w:val="clear" w:color="auto" w:fill="0066BA"/>
          </w:tcPr>
          <w:p>
            <w:pPr>
              <w:ind w:left="20"/>
              <w:spacing w:after="0"/>
              <w:rPr>
                <w:sz w:val="20"/>
                <w:szCs w:val="20"/>
                <w:color w:val="auto"/>
              </w:rPr>
            </w:pPr>
            <w:r>
              <w:rPr>
                <w:rFonts w:ascii="Arial" w:cs="Arial" w:eastAsia="Arial" w:hAnsi="Arial"/>
                <w:sz w:val="16"/>
                <w:szCs w:val="16"/>
                <w:b w:val="1"/>
                <w:bCs w:val="1"/>
                <w:color w:val="FFFFFF"/>
              </w:rPr>
              <w:t>Award Type</w:t>
            </w:r>
          </w:p>
        </w:tc>
        <w:tc>
          <w:tcPr>
            <w:tcW w:w="720" w:type="dxa"/>
            <w:vAlign w:val="bottom"/>
            <w:shd w:val="clear" w:color="auto" w:fill="0066BA"/>
          </w:tcPr>
          <w:p>
            <w:pPr>
              <w:ind w:left="60"/>
              <w:spacing w:after="0"/>
              <w:rPr>
                <w:sz w:val="20"/>
                <w:szCs w:val="20"/>
                <w:color w:val="auto"/>
              </w:rPr>
            </w:pPr>
            <w:r>
              <w:rPr>
                <w:rFonts w:ascii="Arial" w:cs="Arial" w:eastAsia="Arial" w:hAnsi="Arial"/>
                <w:sz w:val="16"/>
                <w:szCs w:val="16"/>
                <w:b w:val="1"/>
                <w:bCs w:val="1"/>
                <w:color w:val="FFFFFF"/>
              </w:rPr>
              <w:t>Grant</w:t>
            </w:r>
          </w:p>
        </w:tc>
        <w:tc>
          <w:tcPr>
            <w:tcW w:w="1620" w:type="dxa"/>
            <w:vAlign w:val="bottom"/>
            <w:shd w:val="clear" w:color="auto" w:fill="0066BA"/>
          </w:tcPr>
          <w:p>
            <w:pPr>
              <w:ind w:left="120"/>
              <w:spacing w:after="0"/>
              <w:rPr>
                <w:sz w:val="20"/>
                <w:szCs w:val="20"/>
                <w:color w:val="auto"/>
              </w:rPr>
            </w:pPr>
            <w:r>
              <w:rPr>
                <w:rFonts w:ascii="Arial" w:cs="Arial" w:eastAsia="Arial" w:hAnsi="Arial"/>
                <w:sz w:val="16"/>
                <w:szCs w:val="16"/>
                <w:b w:val="1"/>
                <w:bCs w:val="1"/>
                <w:color w:val="FFFFFF"/>
              </w:rPr>
              <w:t>Purpose</w:t>
            </w:r>
          </w:p>
        </w:tc>
        <w:tc>
          <w:tcPr>
            <w:tcW w:w="2460" w:type="dxa"/>
            <w:vAlign w:val="bottom"/>
            <w:shd w:val="clear" w:color="auto" w:fill="0066BA"/>
          </w:tcPr>
          <w:p>
            <w:pPr>
              <w:ind w:left="960"/>
              <w:spacing w:after="0"/>
              <w:rPr>
                <w:sz w:val="20"/>
                <w:szCs w:val="20"/>
                <w:color w:val="auto"/>
              </w:rPr>
            </w:pPr>
            <w:r>
              <w:rPr>
                <w:rFonts w:ascii="Arial" w:cs="Arial" w:eastAsia="Arial" w:hAnsi="Arial"/>
                <w:sz w:val="16"/>
                <w:szCs w:val="16"/>
                <w:b w:val="1"/>
                <w:bCs w:val="1"/>
                <w:color w:val="FFFFFF"/>
              </w:rPr>
              <w:t>TimePeriod</w:t>
            </w:r>
          </w:p>
        </w:tc>
        <w:tc>
          <w:tcPr>
            <w:tcW w:w="1920" w:type="dxa"/>
            <w:vAlign w:val="bottom"/>
            <w:shd w:val="clear" w:color="auto" w:fill="0066BA"/>
          </w:tcPr>
          <w:p>
            <w:pPr>
              <w:ind w:left="700"/>
              <w:spacing w:after="0"/>
              <w:rPr>
                <w:sz w:val="20"/>
                <w:szCs w:val="20"/>
                <w:color w:val="auto"/>
              </w:rPr>
            </w:pPr>
            <w:r>
              <w:rPr>
                <w:rFonts w:ascii="Arial" w:cs="Arial" w:eastAsia="Arial" w:hAnsi="Arial"/>
                <w:sz w:val="16"/>
                <w:szCs w:val="16"/>
                <w:b w:val="1"/>
                <w:bCs w:val="1"/>
                <w:color w:val="FFFFFF"/>
              </w:rPr>
              <w:t>Metrics</w:t>
            </w:r>
          </w:p>
        </w:tc>
        <w:tc>
          <w:tcPr>
            <w:tcW w:w="1520" w:type="dxa"/>
            <w:vAlign w:val="bottom"/>
            <w:shd w:val="clear" w:color="auto" w:fill="0066BA"/>
          </w:tcPr>
          <w:p>
            <w:pPr>
              <w:ind w:left="340"/>
              <w:spacing w:after="0"/>
              <w:rPr>
                <w:sz w:val="20"/>
                <w:szCs w:val="20"/>
                <w:color w:val="auto"/>
              </w:rPr>
            </w:pPr>
            <w:r>
              <w:rPr>
                <w:rFonts w:ascii="Arial" w:cs="Arial" w:eastAsia="Arial" w:hAnsi="Arial"/>
                <w:sz w:val="16"/>
                <w:szCs w:val="16"/>
                <w:b w:val="1"/>
                <w:bCs w:val="1"/>
                <w:color w:val="FFFFFF"/>
              </w:rPr>
              <w:t>Payout</w:t>
            </w:r>
          </w:p>
        </w:tc>
      </w:tr>
      <w:tr>
        <w:trPr>
          <w:trHeight w:val="110"/>
        </w:trPr>
        <w:tc>
          <w:tcPr>
            <w:tcW w:w="2040" w:type="dxa"/>
            <w:vAlign w:val="bottom"/>
            <w:shd w:val="clear" w:color="auto" w:fill="0066BA"/>
          </w:tcPr>
          <w:p>
            <w:pPr>
              <w:spacing w:after="0"/>
              <w:rPr>
                <w:sz w:val="9"/>
                <w:szCs w:val="9"/>
                <w:color w:val="auto"/>
              </w:rPr>
            </w:pPr>
          </w:p>
        </w:tc>
        <w:tc>
          <w:tcPr>
            <w:tcW w:w="720" w:type="dxa"/>
            <w:vAlign w:val="bottom"/>
            <w:shd w:val="clear" w:color="auto" w:fill="0066BA"/>
          </w:tcPr>
          <w:p>
            <w:pPr>
              <w:spacing w:after="0"/>
              <w:rPr>
                <w:sz w:val="9"/>
                <w:szCs w:val="9"/>
                <w:color w:val="auto"/>
              </w:rPr>
            </w:pPr>
          </w:p>
        </w:tc>
        <w:tc>
          <w:tcPr>
            <w:tcW w:w="1620" w:type="dxa"/>
            <w:vAlign w:val="bottom"/>
            <w:shd w:val="clear" w:color="auto" w:fill="0066BA"/>
          </w:tcPr>
          <w:p>
            <w:pPr>
              <w:spacing w:after="0"/>
              <w:rPr>
                <w:sz w:val="9"/>
                <w:szCs w:val="9"/>
                <w:color w:val="auto"/>
              </w:rPr>
            </w:pPr>
          </w:p>
        </w:tc>
        <w:tc>
          <w:tcPr>
            <w:tcW w:w="2460" w:type="dxa"/>
            <w:vAlign w:val="bottom"/>
            <w:shd w:val="clear" w:color="auto" w:fill="0066BA"/>
          </w:tcPr>
          <w:p>
            <w:pPr>
              <w:spacing w:after="0"/>
              <w:rPr>
                <w:sz w:val="9"/>
                <w:szCs w:val="9"/>
                <w:color w:val="auto"/>
              </w:rPr>
            </w:pPr>
          </w:p>
        </w:tc>
        <w:tc>
          <w:tcPr>
            <w:tcW w:w="1920" w:type="dxa"/>
            <w:vAlign w:val="bottom"/>
            <w:shd w:val="clear" w:color="auto" w:fill="0066BA"/>
          </w:tcPr>
          <w:p>
            <w:pPr>
              <w:spacing w:after="0"/>
              <w:rPr>
                <w:sz w:val="9"/>
                <w:szCs w:val="9"/>
                <w:color w:val="auto"/>
              </w:rPr>
            </w:pPr>
          </w:p>
        </w:tc>
        <w:tc>
          <w:tcPr>
            <w:tcW w:w="1520" w:type="dxa"/>
            <w:vAlign w:val="bottom"/>
            <w:shd w:val="clear" w:color="auto" w:fill="0066BA"/>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0</wp:posOffset>
            </wp:positionV>
            <wp:extent cx="6534150" cy="28168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534150" cy="2816860"/>
                    </a:xfrm>
                    <a:prstGeom prst="rect">
                      <a:avLst/>
                    </a:prstGeom>
                    <a:noFill/>
                  </pic:spPr>
                </pic:pic>
              </a:graphicData>
            </a:graphic>
          </wp:anchor>
        </w:drawing>
      </w:r>
    </w:p>
    <w:p>
      <w:pPr>
        <w:sectPr>
          <w:pgSz w:w="11900" w:h="16838" w:orient="portrait"/>
          <w:cols w:equalWidth="0" w:num="1">
            <w:col w:w="10760"/>
          </w:cols>
          <w:pgMar w:left="320" w:top="447" w:right="819" w:bottom="1440" w:gutter="0" w:footer="0" w:header="0"/>
        </w:sectPr>
      </w:pPr>
    </w:p>
    <w:p>
      <w:pPr>
        <w:spacing w:after="0" w:line="28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Relative</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4"/>
          <w:szCs w:val="14"/>
          <w:color w:val="auto"/>
        </w:rPr>
        <w:t>TSR PRSUs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Align executive officers’ and</w:t>
      </w:r>
    </w:p>
    <w:p>
      <w:pPr>
        <w:spacing w:after="0" w:line="38" w:lineRule="exact"/>
        <w:rPr>
          <w:sz w:val="20"/>
          <w:szCs w:val="20"/>
          <w:color w:val="auto"/>
        </w:rPr>
      </w:pPr>
    </w:p>
    <w:p>
      <w:pPr>
        <w:ind w:right="100" w:hanging="579"/>
        <w:spacing w:after="0" w:line="218" w:lineRule="auto"/>
        <w:rPr>
          <w:sz w:val="20"/>
          <w:szCs w:val="20"/>
          <w:color w:val="auto"/>
        </w:rPr>
      </w:pPr>
      <w:r>
        <w:rPr>
          <w:rFonts w:ascii="Arial" w:cs="Arial" w:eastAsia="Arial" w:hAnsi="Arial"/>
          <w:sz w:val="28"/>
          <w:szCs w:val="28"/>
          <w:color w:val="auto"/>
          <w:vertAlign w:val="subscript"/>
        </w:rPr>
        <w:t>25%</w:t>
      </w:r>
      <w:r>
        <w:rPr>
          <w:sz w:val="20"/>
          <w:szCs w:val="20"/>
          <w:color w:val="auto"/>
        </w:rPr>
        <w:t xml:space="preserve"> </w:t>
      </w:r>
      <w:r>
        <w:rPr>
          <w:rFonts w:ascii="Arial" w:cs="Arial" w:eastAsia="Arial" w:hAnsi="Arial"/>
          <w:sz w:val="14"/>
          <w:szCs w:val="14"/>
          <w:color w:val="auto"/>
        </w:rPr>
        <w:t>shareholders’ interests to drive superior TSR relative to comparison group</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309" w:lineRule="auto"/>
        <w:rPr>
          <w:sz w:val="20"/>
          <w:szCs w:val="20"/>
          <w:color w:val="auto"/>
        </w:rPr>
      </w:pPr>
      <w:r>
        <w:rPr>
          <w:rFonts w:ascii="Arial" w:cs="Arial" w:eastAsia="Arial" w:hAnsi="Arial"/>
          <w:sz w:val="14"/>
          <w:szCs w:val="14"/>
          <w:color w:val="auto"/>
        </w:rPr>
        <w:t>3-year performance period. Earned shares (if any) vest 3 years +14 days after grant date</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ADI’s 3-year</w:t>
      </w:r>
    </w:p>
    <w:p>
      <w:pPr>
        <w:spacing w:after="0" w:line="15" w:lineRule="exact"/>
        <w:rPr>
          <w:sz w:val="20"/>
          <w:szCs w:val="20"/>
          <w:color w:val="auto"/>
        </w:rPr>
      </w:pPr>
    </w:p>
    <w:p>
      <w:pPr>
        <w:ind w:right="660"/>
        <w:spacing w:after="0" w:line="181" w:lineRule="auto"/>
        <w:rPr>
          <w:sz w:val="20"/>
          <w:szCs w:val="20"/>
          <w:color w:val="auto"/>
        </w:rPr>
      </w:pPr>
      <w:r>
        <w:rPr>
          <w:rFonts w:ascii="Arial" w:cs="Arial" w:eastAsia="Arial" w:hAnsi="Arial"/>
          <w:sz w:val="15"/>
          <w:szCs w:val="15"/>
          <w:color w:val="auto"/>
        </w:rPr>
        <w:t xml:space="preserve">TSR compared </w:t>
      </w:r>
      <w:r>
        <w:rPr>
          <w:rFonts w:ascii="Arial" w:cs="Arial" w:eastAsia="Arial" w:hAnsi="Arial"/>
          <w:sz w:val="30"/>
          <w:szCs w:val="30"/>
          <w:color w:val="auto"/>
          <w:vertAlign w:val="subscript"/>
        </w:rPr>
        <w:t>0–200%</w:t>
      </w:r>
      <w:r>
        <w:rPr>
          <w:rFonts w:ascii="Arial" w:cs="Arial" w:eastAsia="Arial" w:hAnsi="Arial"/>
          <w:sz w:val="15"/>
          <w:szCs w:val="15"/>
          <w:color w:val="auto"/>
        </w:rPr>
        <w:t xml:space="preserve"> to median of a</w:t>
      </w:r>
    </w:p>
    <w:p>
      <w:pPr>
        <w:spacing w:after="0"/>
        <w:rPr>
          <w:sz w:val="20"/>
          <w:szCs w:val="20"/>
          <w:color w:val="auto"/>
        </w:rPr>
      </w:pPr>
      <w:r>
        <w:rPr>
          <w:rFonts w:ascii="Arial" w:cs="Arial" w:eastAsia="Arial" w:hAnsi="Arial"/>
          <w:sz w:val="16"/>
          <w:szCs w:val="16"/>
          <w:color w:val="auto"/>
        </w:rPr>
        <w:t>comparator group</w:t>
      </w:r>
    </w:p>
    <w:p>
      <w:pPr>
        <w:spacing w:after="0" w:line="189" w:lineRule="exact"/>
        <w:rPr>
          <w:sz w:val="20"/>
          <w:szCs w:val="20"/>
          <w:color w:val="auto"/>
        </w:rPr>
      </w:pPr>
    </w:p>
    <w:p>
      <w:pPr>
        <w:sectPr>
          <w:pgSz w:w="11900" w:h="16838" w:orient="portrait"/>
          <w:cols w:equalWidth="0" w:num="4">
            <w:col w:w="2640" w:space="720"/>
            <w:col w:w="1820" w:space="640"/>
            <w:col w:w="1520" w:space="680"/>
            <w:col w:w="2740"/>
          </w:cols>
          <w:pgMar w:left="320" w:top="447" w:right="819" w:bottom="1440" w:gutter="0" w:footer="0" w:header="0"/>
          <w:type w:val="continuous"/>
        </w:sectPr>
      </w:pPr>
    </w:p>
    <w:p>
      <w:pPr>
        <w:spacing w:after="0" w:line="390" w:lineRule="exact"/>
        <w:rPr>
          <w:sz w:val="20"/>
          <w:szCs w:val="20"/>
          <w:color w:val="auto"/>
        </w:rPr>
      </w:pPr>
    </w:p>
    <w:tbl>
      <w:tblPr>
        <w:tblLayout w:type="fixed"/>
        <w:tblInd w:w="540" w:type="dxa"/>
        <w:tblCellMar>
          <w:top w:w="0" w:type="dxa"/>
          <w:left w:w="0" w:type="dxa"/>
          <w:bottom w:w="0" w:type="dxa"/>
          <w:right w:w="0" w:type="dxa"/>
        </w:tblCellMar>
      </w:tblPr>
      <w:tr>
        <w:trPr>
          <w:trHeight w:val="195"/>
        </w:trPr>
        <w:tc>
          <w:tcPr>
            <w:tcW w:w="1580" w:type="dxa"/>
            <w:vAlign w:val="bottom"/>
            <w:vMerge w:val="restart"/>
          </w:tcPr>
          <w:p>
            <w:pPr>
              <w:spacing w:after="0"/>
              <w:rPr>
                <w:sz w:val="20"/>
                <w:szCs w:val="20"/>
                <w:color w:val="auto"/>
              </w:rPr>
            </w:pPr>
            <w:r>
              <w:rPr>
                <w:rFonts w:ascii="Arial" w:cs="Arial" w:eastAsia="Arial" w:hAnsi="Arial"/>
                <w:sz w:val="16"/>
                <w:szCs w:val="16"/>
                <w:color w:val="auto"/>
              </w:rPr>
              <w:t>Financial</w:t>
            </w:r>
          </w:p>
        </w:tc>
        <w:tc>
          <w:tcPr>
            <w:tcW w:w="1100" w:type="dxa"/>
            <w:vAlign w:val="bottom"/>
          </w:tcPr>
          <w:p>
            <w:pPr>
              <w:spacing w:after="0"/>
              <w:rPr>
                <w:sz w:val="16"/>
                <w:szCs w:val="16"/>
                <w:color w:val="auto"/>
              </w:rPr>
            </w:pPr>
          </w:p>
        </w:tc>
        <w:tc>
          <w:tcPr>
            <w:tcW w:w="1820" w:type="dxa"/>
            <w:vAlign w:val="bottom"/>
          </w:tcPr>
          <w:p>
            <w:pPr>
              <w:ind w:left="140"/>
              <w:spacing w:after="0"/>
              <w:rPr>
                <w:sz w:val="20"/>
                <w:szCs w:val="20"/>
                <w:color w:val="auto"/>
              </w:rPr>
            </w:pPr>
            <w:r>
              <w:rPr>
                <w:rFonts w:ascii="Arial" w:cs="Arial" w:eastAsia="Arial" w:hAnsi="Arial"/>
                <w:sz w:val="16"/>
                <w:szCs w:val="16"/>
                <w:color w:val="auto"/>
                <w:w w:val="99"/>
              </w:rPr>
              <w:t>Align executive officers’</w:t>
            </w:r>
          </w:p>
        </w:tc>
        <w:tc>
          <w:tcPr>
            <w:tcW w:w="0" w:type="dxa"/>
            <w:vAlign w:val="bottom"/>
          </w:tcPr>
          <w:p>
            <w:pPr>
              <w:spacing w:after="0"/>
              <w:rPr>
                <w:sz w:val="1"/>
                <w:szCs w:val="1"/>
                <w:color w:val="auto"/>
              </w:rPr>
            </w:pPr>
          </w:p>
        </w:tc>
      </w:tr>
      <w:tr>
        <w:trPr>
          <w:trHeight w:val="104"/>
        </w:trPr>
        <w:tc>
          <w:tcPr>
            <w:tcW w:w="1580" w:type="dxa"/>
            <w:vAlign w:val="bottom"/>
            <w:vMerge w:val="continue"/>
          </w:tcPr>
          <w:p>
            <w:pPr>
              <w:spacing w:after="0"/>
              <w:rPr>
                <w:sz w:val="9"/>
                <w:szCs w:val="9"/>
                <w:color w:val="auto"/>
              </w:rPr>
            </w:pPr>
          </w:p>
        </w:tc>
        <w:tc>
          <w:tcPr>
            <w:tcW w:w="1100" w:type="dxa"/>
            <w:vAlign w:val="bottom"/>
            <w:vMerge w:val="restart"/>
          </w:tcPr>
          <w:p>
            <w:pPr>
              <w:jc w:val="right"/>
              <w:ind w:right="82"/>
              <w:spacing w:after="0"/>
              <w:rPr>
                <w:sz w:val="20"/>
                <w:szCs w:val="20"/>
                <w:color w:val="auto"/>
              </w:rPr>
            </w:pPr>
            <w:r>
              <w:rPr>
                <w:rFonts w:ascii="Arial" w:cs="Arial" w:eastAsia="Arial" w:hAnsi="Arial"/>
                <w:sz w:val="16"/>
                <w:szCs w:val="16"/>
                <w:color w:val="auto"/>
              </w:rPr>
              <w:t>25%</w:t>
            </w:r>
          </w:p>
        </w:tc>
        <w:tc>
          <w:tcPr>
            <w:tcW w:w="1820" w:type="dxa"/>
            <w:vAlign w:val="bottom"/>
            <w:vMerge w:val="restart"/>
          </w:tcPr>
          <w:p>
            <w:pPr>
              <w:ind w:left="140"/>
              <w:spacing w:after="0"/>
              <w:rPr>
                <w:sz w:val="20"/>
                <w:szCs w:val="20"/>
                <w:color w:val="auto"/>
              </w:rPr>
            </w:pPr>
            <w:r>
              <w:rPr>
                <w:rFonts w:ascii="Arial" w:cs="Arial" w:eastAsia="Arial" w:hAnsi="Arial"/>
                <w:sz w:val="16"/>
                <w:szCs w:val="16"/>
                <w:color w:val="auto"/>
                <w:w w:val="86"/>
              </w:rPr>
              <w:t>and shareholders’ interests</w:t>
            </w:r>
          </w:p>
        </w:tc>
        <w:tc>
          <w:tcPr>
            <w:tcW w:w="0" w:type="dxa"/>
            <w:vAlign w:val="bottom"/>
          </w:tcPr>
          <w:p>
            <w:pPr>
              <w:spacing w:after="0"/>
              <w:rPr>
                <w:sz w:val="1"/>
                <w:szCs w:val="1"/>
                <w:color w:val="auto"/>
              </w:rPr>
            </w:pPr>
          </w:p>
        </w:tc>
      </w:tr>
      <w:tr>
        <w:trPr>
          <w:trHeight w:val="91"/>
        </w:trPr>
        <w:tc>
          <w:tcPr>
            <w:tcW w:w="1580" w:type="dxa"/>
            <w:vAlign w:val="bottom"/>
            <w:vMerge w:val="restart"/>
          </w:tcPr>
          <w:p>
            <w:pPr>
              <w:spacing w:after="0"/>
              <w:rPr>
                <w:sz w:val="20"/>
                <w:szCs w:val="20"/>
                <w:color w:val="auto"/>
              </w:rPr>
            </w:pPr>
            <w:r>
              <w:rPr>
                <w:rFonts w:ascii="Arial" w:cs="Arial" w:eastAsia="Arial" w:hAnsi="Arial"/>
                <w:sz w:val="16"/>
                <w:szCs w:val="16"/>
                <w:color w:val="auto"/>
              </w:rPr>
              <w:t>Metric PRSUs</w:t>
            </w:r>
          </w:p>
        </w:tc>
        <w:tc>
          <w:tcPr>
            <w:tcW w:w="1100" w:type="dxa"/>
            <w:vAlign w:val="bottom"/>
            <w:vMerge w:val="continue"/>
          </w:tcPr>
          <w:p>
            <w:pPr>
              <w:spacing w:after="0"/>
              <w:rPr>
                <w:sz w:val="7"/>
                <w:szCs w:val="7"/>
                <w:color w:val="auto"/>
              </w:rPr>
            </w:pPr>
          </w:p>
        </w:tc>
        <w:tc>
          <w:tcPr>
            <w:tcW w:w="1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820" w:type="dxa"/>
            <w:vAlign w:val="bottom"/>
            <w:vMerge w:val="restart"/>
          </w:tcPr>
          <w:p>
            <w:pPr>
              <w:ind w:left="140"/>
              <w:spacing w:after="0"/>
              <w:rPr>
                <w:sz w:val="20"/>
                <w:szCs w:val="20"/>
                <w:color w:val="auto"/>
              </w:rPr>
            </w:pPr>
            <w:r>
              <w:rPr>
                <w:rFonts w:ascii="Arial" w:cs="Arial" w:eastAsia="Arial" w:hAnsi="Arial"/>
                <w:sz w:val="16"/>
                <w:szCs w:val="16"/>
                <w:color w:val="auto"/>
              </w:rPr>
              <w:t>in long-term profitability</w:t>
            </w:r>
          </w:p>
        </w:tc>
        <w:tc>
          <w:tcPr>
            <w:tcW w:w="0" w:type="dxa"/>
            <w:vAlign w:val="bottom"/>
          </w:tcPr>
          <w:p>
            <w:pPr>
              <w:spacing w:after="0"/>
              <w:rPr>
                <w:sz w:val="1"/>
                <w:szCs w:val="1"/>
                <w:color w:val="auto"/>
              </w:rPr>
            </w:pPr>
          </w:p>
        </w:tc>
      </w:tr>
      <w:tr>
        <w:trPr>
          <w:trHeight w:val="91"/>
        </w:trPr>
        <w:tc>
          <w:tcPr>
            <w:tcW w:w="15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900" w:type="dxa"/>
            <w:vAlign w:val="bottom"/>
          </w:tcPr>
          <w:p>
            <w:pPr>
              <w:spacing w:after="0"/>
              <w:rPr>
                <w:sz w:val="20"/>
                <w:szCs w:val="20"/>
                <w:color w:val="auto"/>
              </w:rPr>
            </w:pPr>
            <w:r>
              <w:rPr>
                <w:rFonts w:ascii="Arial" w:cs="Arial" w:eastAsia="Arial" w:hAnsi="Arial"/>
                <w:sz w:val="16"/>
                <w:szCs w:val="16"/>
                <w:color w:val="auto"/>
              </w:rPr>
              <w:t>1-year, 2-year cumulative</w:t>
            </w:r>
          </w:p>
        </w:tc>
        <w:tc>
          <w:tcPr>
            <w:tcW w:w="16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95"/>
        </w:trPr>
        <w:tc>
          <w:tcPr>
            <w:tcW w:w="1900" w:type="dxa"/>
            <w:vAlign w:val="bottom"/>
          </w:tcPr>
          <w:p>
            <w:pPr>
              <w:spacing w:after="0"/>
              <w:rPr>
                <w:sz w:val="20"/>
                <w:szCs w:val="20"/>
                <w:color w:val="auto"/>
              </w:rPr>
            </w:pPr>
            <w:r>
              <w:rPr>
                <w:rFonts w:ascii="Arial" w:cs="Arial" w:eastAsia="Arial" w:hAnsi="Arial"/>
                <w:sz w:val="16"/>
                <w:szCs w:val="16"/>
                <w:color w:val="auto"/>
              </w:rPr>
              <w:t>and 3-year cumulative</w:t>
            </w:r>
          </w:p>
        </w:tc>
        <w:tc>
          <w:tcPr>
            <w:tcW w:w="1660" w:type="dxa"/>
            <w:vAlign w:val="bottom"/>
          </w:tcPr>
          <w:p>
            <w:pPr>
              <w:ind w:left="300"/>
              <w:spacing w:after="0"/>
              <w:rPr>
                <w:sz w:val="20"/>
                <w:szCs w:val="20"/>
                <w:color w:val="auto"/>
              </w:rPr>
            </w:pPr>
            <w:r>
              <w:rPr>
                <w:rFonts w:ascii="Arial" w:cs="Arial" w:eastAsia="Arial" w:hAnsi="Arial"/>
                <w:sz w:val="16"/>
                <w:szCs w:val="16"/>
                <w:color w:val="auto"/>
              </w:rPr>
              <w:t>1-year, 2-year</w:t>
            </w:r>
          </w:p>
        </w:tc>
        <w:tc>
          <w:tcPr>
            <w:tcW w:w="720" w:type="dxa"/>
            <w:vAlign w:val="bottom"/>
          </w:tcPr>
          <w:p>
            <w:pPr>
              <w:spacing w:after="0"/>
              <w:rPr>
                <w:sz w:val="16"/>
                <w:szCs w:val="16"/>
                <w:color w:val="auto"/>
              </w:rPr>
            </w:pPr>
          </w:p>
        </w:tc>
      </w:tr>
      <w:tr>
        <w:trPr>
          <w:trHeight w:val="195"/>
        </w:trPr>
        <w:tc>
          <w:tcPr>
            <w:tcW w:w="1900" w:type="dxa"/>
            <w:vAlign w:val="bottom"/>
          </w:tcPr>
          <w:p>
            <w:pPr>
              <w:spacing w:after="0"/>
              <w:rPr>
                <w:sz w:val="20"/>
                <w:szCs w:val="20"/>
                <w:color w:val="auto"/>
              </w:rPr>
            </w:pPr>
            <w:r>
              <w:rPr>
                <w:rFonts w:ascii="Arial" w:cs="Arial" w:eastAsia="Arial" w:hAnsi="Arial"/>
                <w:sz w:val="16"/>
                <w:szCs w:val="16"/>
                <w:color w:val="auto"/>
              </w:rPr>
              <w:t>performance periods;</w:t>
            </w:r>
          </w:p>
        </w:tc>
        <w:tc>
          <w:tcPr>
            <w:tcW w:w="1660" w:type="dxa"/>
            <w:vAlign w:val="bottom"/>
          </w:tcPr>
          <w:p>
            <w:pPr>
              <w:ind w:left="300"/>
              <w:spacing w:after="0"/>
              <w:rPr>
                <w:sz w:val="20"/>
                <w:szCs w:val="20"/>
                <w:color w:val="auto"/>
              </w:rPr>
            </w:pPr>
            <w:r>
              <w:rPr>
                <w:rFonts w:ascii="Arial" w:cs="Arial" w:eastAsia="Arial" w:hAnsi="Arial"/>
                <w:sz w:val="16"/>
                <w:szCs w:val="16"/>
                <w:color w:val="auto"/>
              </w:rPr>
              <w:t>cumulative and</w:t>
            </w:r>
          </w:p>
        </w:tc>
        <w:tc>
          <w:tcPr>
            <w:tcW w:w="720" w:type="dxa"/>
            <w:vAlign w:val="bottom"/>
          </w:tcPr>
          <w:p>
            <w:pPr>
              <w:spacing w:after="0"/>
              <w:rPr>
                <w:sz w:val="16"/>
                <w:szCs w:val="16"/>
                <w:color w:val="auto"/>
              </w:rPr>
            </w:pPr>
          </w:p>
        </w:tc>
      </w:tr>
      <w:tr>
        <w:trPr>
          <w:trHeight w:val="195"/>
        </w:trPr>
        <w:tc>
          <w:tcPr>
            <w:tcW w:w="1900" w:type="dxa"/>
            <w:vAlign w:val="bottom"/>
          </w:tcPr>
          <w:p>
            <w:pPr>
              <w:spacing w:after="0"/>
              <w:rPr>
                <w:sz w:val="20"/>
                <w:szCs w:val="20"/>
                <w:color w:val="auto"/>
              </w:rPr>
            </w:pPr>
            <w:r>
              <w:rPr>
                <w:rFonts w:ascii="Arial" w:cs="Arial" w:eastAsia="Arial" w:hAnsi="Arial"/>
                <w:sz w:val="16"/>
                <w:szCs w:val="16"/>
                <w:color w:val="auto"/>
              </w:rPr>
              <w:t>earned shares (if any)</w:t>
            </w:r>
          </w:p>
        </w:tc>
        <w:tc>
          <w:tcPr>
            <w:tcW w:w="1660" w:type="dxa"/>
            <w:vAlign w:val="bottom"/>
          </w:tcPr>
          <w:p>
            <w:pPr>
              <w:ind w:left="300"/>
              <w:spacing w:after="0"/>
              <w:rPr>
                <w:sz w:val="20"/>
                <w:szCs w:val="20"/>
                <w:color w:val="auto"/>
              </w:rPr>
            </w:pPr>
            <w:r>
              <w:rPr>
                <w:rFonts w:ascii="Arial" w:cs="Arial" w:eastAsia="Arial" w:hAnsi="Arial"/>
                <w:sz w:val="16"/>
                <w:szCs w:val="16"/>
                <w:color w:val="auto"/>
              </w:rPr>
              <w:t>3-year cumulative</w:t>
            </w:r>
          </w:p>
        </w:tc>
        <w:tc>
          <w:tcPr>
            <w:tcW w:w="720" w:type="dxa"/>
            <w:vAlign w:val="bottom"/>
          </w:tcPr>
          <w:p>
            <w:pPr>
              <w:ind w:left="200"/>
              <w:spacing w:after="0"/>
              <w:rPr>
                <w:sz w:val="20"/>
                <w:szCs w:val="20"/>
                <w:color w:val="auto"/>
              </w:rPr>
            </w:pPr>
            <w:r>
              <w:rPr>
                <w:rFonts w:ascii="Arial" w:cs="Arial" w:eastAsia="Arial" w:hAnsi="Arial"/>
                <w:sz w:val="16"/>
                <w:szCs w:val="16"/>
                <w:color w:val="auto"/>
                <w:w w:val="85"/>
              </w:rPr>
              <w:t>0–200%</w:t>
            </w:r>
          </w:p>
        </w:tc>
      </w:tr>
      <w:tr>
        <w:trPr>
          <w:trHeight w:val="195"/>
        </w:trPr>
        <w:tc>
          <w:tcPr>
            <w:tcW w:w="1900" w:type="dxa"/>
            <w:vAlign w:val="bottom"/>
          </w:tcPr>
          <w:p>
            <w:pPr>
              <w:spacing w:after="0"/>
              <w:rPr>
                <w:sz w:val="20"/>
                <w:szCs w:val="20"/>
                <w:color w:val="auto"/>
              </w:rPr>
            </w:pPr>
            <w:r>
              <w:rPr>
                <w:rFonts w:ascii="Arial" w:cs="Arial" w:eastAsia="Arial" w:hAnsi="Arial"/>
                <w:sz w:val="16"/>
                <w:szCs w:val="16"/>
                <w:color w:val="auto"/>
              </w:rPr>
              <w:t>vest on 3rd anniversary</w:t>
            </w:r>
          </w:p>
        </w:tc>
        <w:tc>
          <w:tcPr>
            <w:tcW w:w="1660" w:type="dxa"/>
            <w:vAlign w:val="bottom"/>
          </w:tcPr>
          <w:p>
            <w:pPr>
              <w:ind w:left="300"/>
              <w:spacing w:after="0"/>
              <w:rPr>
                <w:sz w:val="20"/>
                <w:szCs w:val="20"/>
                <w:color w:val="auto"/>
              </w:rPr>
            </w:pPr>
            <w:r>
              <w:rPr>
                <w:rFonts w:ascii="Arial" w:cs="Arial" w:eastAsia="Arial" w:hAnsi="Arial"/>
                <w:sz w:val="16"/>
                <w:szCs w:val="16"/>
                <w:color w:val="auto"/>
              </w:rPr>
              <w:t>operating profit</w:t>
            </w:r>
          </w:p>
        </w:tc>
        <w:tc>
          <w:tcPr>
            <w:tcW w:w="720" w:type="dxa"/>
            <w:vAlign w:val="bottom"/>
          </w:tcPr>
          <w:p>
            <w:pPr>
              <w:spacing w:after="0"/>
              <w:rPr>
                <w:sz w:val="16"/>
                <w:szCs w:val="16"/>
                <w:color w:val="auto"/>
              </w:rPr>
            </w:pPr>
          </w:p>
        </w:tc>
      </w:tr>
      <w:tr>
        <w:trPr>
          <w:trHeight w:val="195"/>
        </w:trPr>
        <w:tc>
          <w:tcPr>
            <w:tcW w:w="1900" w:type="dxa"/>
            <w:vAlign w:val="bottom"/>
          </w:tcPr>
          <w:p>
            <w:pPr>
              <w:spacing w:after="0"/>
              <w:rPr>
                <w:sz w:val="20"/>
                <w:szCs w:val="20"/>
                <w:color w:val="auto"/>
              </w:rPr>
            </w:pPr>
            <w:r>
              <w:rPr>
                <w:rFonts w:ascii="Arial" w:cs="Arial" w:eastAsia="Arial" w:hAnsi="Arial"/>
                <w:sz w:val="16"/>
                <w:szCs w:val="16"/>
                <w:color w:val="auto"/>
              </w:rPr>
              <w:t>of grant date. 3-year</w:t>
            </w:r>
          </w:p>
        </w:tc>
        <w:tc>
          <w:tcPr>
            <w:tcW w:w="1660" w:type="dxa"/>
            <w:vAlign w:val="bottom"/>
          </w:tcPr>
          <w:p>
            <w:pPr>
              <w:ind w:left="300"/>
              <w:spacing w:after="0"/>
              <w:rPr>
                <w:sz w:val="20"/>
                <w:szCs w:val="20"/>
                <w:color w:val="auto"/>
              </w:rPr>
            </w:pPr>
            <w:r>
              <w:rPr>
                <w:rFonts w:ascii="Arial" w:cs="Arial" w:eastAsia="Arial" w:hAnsi="Arial"/>
                <w:sz w:val="16"/>
                <w:szCs w:val="16"/>
                <w:color w:val="auto"/>
              </w:rPr>
              <w:t>(in dollars)</w:t>
            </w:r>
          </w:p>
        </w:tc>
        <w:tc>
          <w:tcPr>
            <w:tcW w:w="720" w:type="dxa"/>
            <w:vAlign w:val="bottom"/>
          </w:tcPr>
          <w:p>
            <w:pPr>
              <w:spacing w:after="0"/>
              <w:rPr>
                <w:sz w:val="16"/>
                <w:szCs w:val="16"/>
                <w:color w:val="auto"/>
              </w:rPr>
            </w:pPr>
          </w:p>
        </w:tc>
      </w:tr>
      <w:tr>
        <w:trPr>
          <w:trHeight w:val="199"/>
        </w:trPr>
        <w:tc>
          <w:tcPr>
            <w:tcW w:w="1900" w:type="dxa"/>
            <w:vAlign w:val="bottom"/>
          </w:tcPr>
          <w:p>
            <w:pPr>
              <w:spacing w:after="0"/>
              <w:rPr>
                <w:sz w:val="20"/>
                <w:szCs w:val="20"/>
                <w:color w:val="auto"/>
              </w:rPr>
            </w:pPr>
            <w:r>
              <w:rPr>
                <w:rFonts w:ascii="Arial" w:cs="Arial" w:eastAsia="Arial" w:hAnsi="Arial"/>
                <w:sz w:val="16"/>
                <w:szCs w:val="16"/>
                <w:color w:val="auto"/>
              </w:rPr>
              <w:t>cliff vesting</w:t>
            </w:r>
          </w:p>
        </w:tc>
        <w:tc>
          <w:tcPr>
            <w:tcW w:w="1660" w:type="dxa"/>
            <w:vAlign w:val="bottom"/>
          </w:tcPr>
          <w:p>
            <w:pPr>
              <w:spacing w:after="0"/>
              <w:rPr>
                <w:sz w:val="17"/>
                <w:szCs w:val="17"/>
                <w:color w:val="auto"/>
              </w:rPr>
            </w:pPr>
          </w:p>
        </w:tc>
        <w:tc>
          <w:tcPr>
            <w:tcW w:w="720" w:type="dxa"/>
            <w:vAlign w:val="bottom"/>
          </w:tcPr>
          <w:p>
            <w:pPr>
              <w:spacing w:after="0"/>
              <w:rPr>
                <w:sz w:val="17"/>
                <w:szCs w:val="17"/>
                <w:color w:val="auto"/>
              </w:rPr>
            </w:pPr>
          </w:p>
        </w:tc>
      </w:tr>
    </w:tbl>
    <w:p>
      <w:pPr>
        <w:spacing w:after="0" w:line="178" w:lineRule="exact"/>
        <w:rPr>
          <w:sz w:val="20"/>
          <w:szCs w:val="20"/>
          <w:color w:val="auto"/>
        </w:rPr>
      </w:pPr>
    </w:p>
    <w:p>
      <w:pPr>
        <w:sectPr>
          <w:pgSz w:w="11900" w:h="16838" w:orient="portrait"/>
          <w:cols w:equalWidth="0" w:num="2">
            <w:col w:w="5100" w:space="720"/>
            <w:col w:w="4940"/>
          </w:cols>
          <w:pgMar w:left="320" w:top="447" w:right="819" w:bottom="1440" w:gutter="0" w:footer="0" w:header="0"/>
          <w:type w:val="continuous"/>
        </w:sectPr>
      </w:pPr>
    </w:p>
    <w:tbl>
      <w:tblPr>
        <w:tblLayout w:type="fixed"/>
        <w:tblInd w:w="480" w:type="dxa"/>
        <w:tblCellMar>
          <w:top w:w="0" w:type="dxa"/>
          <w:left w:w="0" w:type="dxa"/>
          <w:bottom w:w="0" w:type="dxa"/>
          <w:right w:w="0" w:type="dxa"/>
        </w:tblCellMar>
      </w:tblPr>
      <w:tr>
        <w:trPr>
          <w:trHeight w:val="195"/>
        </w:trPr>
        <w:tc>
          <w:tcPr>
            <w:tcW w:w="1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0" w:type="dxa"/>
            <w:vAlign w:val="bottom"/>
          </w:tcPr>
          <w:p>
            <w:pPr>
              <w:ind w:left="140"/>
              <w:spacing w:after="0"/>
              <w:rPr>
                <w:sz w:val="20"/>
                <w:szCs w:val="20"/>
                <w:color w:val="auto"/>
              </w:rPr>
            </w:pPr>
            <w:r>
              <w:rPr>
                <w:rFonts w:ascii="Arial" w:cs="Arial" w:eastAsia="Arial" w:hAnsi="Arial"/>
                <w:sz w:val="16"/>
                <w:szCs w:val="16"/>
                <w:color w:val="auto"/>
              </w:rPr>
              <w:t>Align executive officers’</w:t>
            </w:r>
          </w:p>
        </w:tc>
        <w:tc>
          <w:tcPr>
            <w:tcW w:w="2220" w:type="dxa"/>
            <w:vAlign w:val="bottom"/>
            <w:vMerge w:val="restart"/>
          </w:tcPr>
          <w:p>
            <w:pPr>
              <w:ind w:left="400"/>
              <w:spacing w:after="0"/>
              <w:rPr>
                <w:sz w:val="20"/>
                <w:szCs w:val="20"/>
                <w:color w:val="auto"/>
              </w:rPr>
            </w:pPr>
            <w:r>
              <w:rPr>
                <w:rFonts w:ascii="Arial" w:cs="Arial" w:eastAsia="Arial" w:hAnsi="Arial"/>
                <w:sz w:val="16"/>
                <w:szCs w:val="16"/>
                <w:color w:val="auto"/>
              </w:rPr>
              <w:t>• 4-year graded vesting</w:t>
            </w:r>
          </w:p>
        </w:tc>
        <w:tc>
          <w:tcPr>
            <w:tcW w:w="1720" w:type="dxa"/>
            <w:vAlign w:val="bottom"/>
          </w:tcPr>
          <w:p>
            <w:pPr>
              <w:spacing w:after="0"/>
              <w:rPr>
                <w:sz w:val="16"/>
                <w:szCs w:val="16"/>
                <w:color w:val="auto"/>
              </w:rPr>
            </w:pPr>
          </w:p>
        </w:tc>
        <w:tc>
          <w:tcPr>
            <w:tcW w:w="1400" w:type="dxa"/>
            <w:vAlign w:val="bottom"/>
          </w:tcPr>
          <w:p>
            <w:pPr>
              <w:ind w:left="220"/>
              <w:spacing w:after="0"/>
              <w:rPr>
                <w:sz w:val="20"/>
                <w:szCs w:val="20"/>
                <w:color w:val="auto"/>
              </w:rPr>
            </w:pPr>
            <w:r>
              <w:rPr>
                <w:rFonts w:ascii="Arial" w:cs="Arial" w:eastAsia="Arial" w:hAnsi="Arial"/>
                <w:sz w:val="16"/>
                <w:szCs w:val="16"/>
                <w:color w:val="auto"/>
              </w:rPr>
              <w:t>100% Value</w:t>
            </w:r>
          </w:p>
        </w:tc>
        <w:tc>
          <w:tcPr>
            <w:tcW w:w="0" w:type="dxa"/>
            <w:vAlign w:val="bottom"/>
          </w:tcPr>
          <w:p>
            <w:pPr>
              <w:spacing w:after="0"/>
              <w:rPr>
                <w:sz w:val="1"/>
                <w:szCs w:val="1"/>
                <w:color w:val="auto"/>
              </w:rPr>
            </w:pPr>
          </w:p>
        </w:tc>
      </w:tr>
      <w:tr>
        <w:trPr>
          <w:trHeight w:val="195"/>
        </w:trPr>
        <w:tc>
          <w:tcPr>
            <w:tcW w:w="1560" w:type="dxa"/>
            <w:vAlign w:val="bottom"/>
          </w:tcPr>
          <w:p>
            <w:pPr>
              <w:ind w:left="60"/>
              <w:spacing w:after="0"/>
              <w:rPr>
                <w:sz w:val="20"/>
                <w:szCs w:val="20"/>
                <w:color w:val="auto"/>
              </w:rPr>
            </w:pPr>
            <w:r>
              <w:rPr>
                <w:rFonts w:ascii="Arial" w:cs="Arial" w:eastAsia="Arial" w:hAnsi="Arial"/>
                <w:sz w:val="16"/>
                <w:szCs w:val="16"/>
                <w:color w:val="auto"/>
              </w:rPr>
              <w:t>Stock</w:t>
            </w:r>
          </w:p>
        </w:tc>
        <w:tc>
          <w:tcPr>
            <w:tcW w:w="1180" w:type="dxa"/>
            <w:vAlign w:val="bottom"/>
            <w:vMerge w:val="restart"/>
          </w:tcPr>
          <w:p>
            <w:pPr>
              <w:jc w:val="right"/>
              <w:ind w:right="82"/>
              <w:spacing w:after="0"/>
              <w:rPr>
                <w:sz w:val="20"/>
                <w:szCs w:val="20"/>
                <w:color w:val="auto"/>
              </w:rPr>
            </w:pPr>
            <w:r>
              <w:rPr>
                <w:rFonts w:ascii="Arial" w:cs="Arial" w:eastAsia="Arial" w:hAnsi="Arial"/>
                <w:sz w:val="16"/>
                <w:szCs w:val="16"/>
                <w:color w:val="auto"/>
              </w:rPr>
              <w:t>25%</w:t>
            </w:r>
          </w:p>
        </w:tc>
        <w:tc>
          <w:tcPr>
            <w:tcW w:w="2200" w:type="dxa"/>
            <w:vAlign w:val="bottom"/>
          </w:tcPr>
          <w:p>
            <w:pPr>
              <w:ind w:left="140"/>
              <w:spacing w:after="0"/>
              <w:rPr>
                <w:sz w:val="20"/>
                <w:szCs w:val="20"/>
                <w:color w:val="auto"/>
              </w:rPr>
            </w:pPr>
            <w:r>
              <w:rPr>
                <w:rFonts w:ascii="Arial" w:cs="Arial" w:eastAsia="Arial" w:hAnsi="Arial"/>
                <w:sz w:val="16"/>
                <w:szCs w:val="16"/>
                <w:color w:val="auto"/>
              </w:rPr>
              <w:t>and shareholders’ interests</w:t>
            </w:r>
          </w:p>
        </w:tc>
        <w:tc>
          <w:tcPr>
            <w:tcW w:w="2220" w:type="dxa"/>
            <w:vAlign w:val="bottom"/>
            <w:vMerge w:val="continue"/>
          </w:tcPr>
          <w:p>
            <w:pPr>
              <w:spacing w:after="0"/>
              <w:rPr>
                <w:sz w:val="16"/>
                <w:szCs w:val="16"/>
                <w:color w:val="auto"/>
              </w:rPr>
            </w:pPr>
          </w:p>
        </w:tc>
        <w:tc>
          <w:tcPr>
            <w:tcW w:w="1720" w:type="dxa"/>
            <w:vAlign w:val="bottom"/>
          </w:tcPr>
          <w:p>
            <w:pPr>
              <w:ind w:left="380"/>
              <w:spacing w:after="0"/>
              <w:rPr>
                <w:sz w:val="20"/>
                <w:szCs w:val="20"/>
                <w:color w:val="auto"/>
              </w:rPr>
            </w:pPr>
            <w:r>
              <w:rPr>
                <w:rFonts w:ascii="Arial" w:cs="Arial" w:eastAsia="Arial" w:hAnsi="Arial"/>
                <w:sz w:val="16"/>
                <w:szCs w:val="16"/>
                <w:color w:val="auto"/>
              </w:rPr>
              <w:t>Absolute stock</w:t>
            </w:r>
          </w:p>
        </w:tc>
        <w:tc>
          <w:tcPr>
            <w:tcW w:w="1400" w:type="dxa"/>
            <w:vAlign w:val="bottom"/>
          </w:tcPr>
          <w:p>
            <w:pPr>
              <w:ind w:left="220"/>
              <w:spacing w:after="0"/>
              <w:rPr>
                <w:sz w:val="20"/>
                <w:szCs w:val="20"/>
                <w:color w:val="auto"/>
              </w:rPr>
            </w:pPr>
            <w:r>
              <w:rPr>
                <w:rFonts w:ascii="Arial" w:cs="Arial" w:eastAsia="Arial" w:hAnsi="Arial"/>
                <w:sz w:val="16"/>
                <w:szCs w:val="16"/>
                <w:color w:val="auto"/>
              </w:rPr>
              <w:t>only delivered</w:t>
            </w:r>
          </w:p>
        </w:tc>
        <w:tc>
          <w:tcPr>
            <w:tcW w:w="0" w:type="dxa"/>
            <w:vAlign w:val="bottom"/>
          </w:tcPr>
          <w:p>
            <w:pPr>
              <w:spacing w:after="0"/>
              <w:rPr>
                <w:sz w:val="1"/>
                <w:szCs w:val="1"/>
                <w:color w:val="auto"/>
              </w:rPr>
            </w:pPr>
          </w:p>
        </w:tc>
      </w:tr>
      <w:tr>
        <w:trPr>
          <w:trHeight w:val="108"/>
        </w:trPr>
        <w:tc>
          <w:tcPr>
            <w:tcW w:w="1560" w:type="dxa"/>
            <w:vAlign w:val="bottom"/>
            <w:vMerge w:val="restart"/>
          </w:tcPr>
          <w:p>
            <w:pPr>
              <w:ind w:left="60"/>
              <w:spacing w:after="0"/>
              <w:rPr>
                <w:sz w:val="20"/>
                <w:szCs w:val="20"/>
                <w:color w:val="auto"/>
              </w:rPr>
            </w:pPr>
            <w:r>
              <w:rPr>
                <w:rFonts w:ascii="Arial" w:cs="Arial" w:eastAsia="Arial" w:hAnsi="Arial"/>
                <w:sz w:val="16"/>
                <w:szCs w:val="16"/>
                <w:color w:val="auto"/>
              </w:rPr>
              <w:t>Options</w:t>
            </w:r>
          </w:p>
        </w:tc>
        <w:tc>
          <w:tcPr>
            <w:tcW w:w="1180" w:type="dxa"/>
            <w:vAlign w:val="bottom"/>
            <w:vMerge w:val="continue"/>
          </w:tcPr>
          <w:p>
            <w:pPr>
              <w:spacing w:after="0"/>
              <w:rPr>
                <w:sz w:val="9"/>
                <w:szCs w:val="9"/>
                <w:color w:val="auto"/>
              </w:rPr>
            </w:pPr>
          </w:p>
        </w:tc>
        <w:tc>
          <w:tcPr>
            <w:tcW w:w="2200" w:type="dxa"/>
            <w:vAlign w:val="bottom"/>
            <w:vMerge w:val="restart"/>
          </w:tcPr>
          <w:p>
            <w:pPr>
              <w:ind w:left="140"/>
              <w:spacing w:after="0"/>
              <w:rPr>
                <w:sz w:val="20"/>
                <w:szCs w:val="20"/>
                <w:color w:val="auto"/>
              </w:rPr>
            </w:pPr>
            <w:r>
              <w:rPr>
                <w:rFonts w:ascii="Arial" w:cs="Arial" w:eastAsia="Arial" w:hAnsi="Arial"/>
                <w:sz w:val="16"/>
                <w:szCs w:val="16"/>
                <w:color w:val="auto"/>
              </w:rPr>
              <w:t>in absolute stock price</w:t>
            </w:r>
          </w:p>
        </w:tc>
        <w:tc>
          <w:tcPr>
            <w:tcW w:w="2220" w:type="dxa"/>
            <w:vAlign w:val="bottom"/>
            <w:vMerge w:val="restart"/>
          </w:tcPr>
          <w:p>
            <w:pPr>
              <w:ind w:left="400"/>
              <w:spacing w:after="0"/>
              <w:rPr>
                <w:sz w:val="20"/>
                <w:szCs w:val="20"/>
                <w:color w:val="auto"/>
              </w:rPr>
            </w:pPr>
            <w:r>
              <w:rPr>
                <w:rFonts w:ascii="Arial" w:cs="Arial" w:eastAsia="Arial" w:hAnsi="Arial"/>
                <w:sz w:val="16"/>
                <w:szCs w:val="16"/>
                <w:color w:val="auto"/>
              </w:rPr>
              <w:t>• 10-year term</w:t>
            </w:r>
          </w:p>
        </w:tc>
        <w:tc>
          <w:tcPr>
            <w:tcW w:w="1720" w:type="dxa"/>
            <w:vAlign w:val="bottom"/>
            <w:vMerge w:val="restart"/>
          </w:tcPr>
          <w:p>
            <w:pPr>
              <w:ind w:left="380"/>
              <w:spacing w:after="0"/>
              <w:rPr>
                <w:sz w:val="20"/>
                <w:szCs w:val="20"/>
                <w:color w:val="auto"/>
              </w:rPr>
            </w:pPr>
            <w:r>
              <w:rPr>
                <w:rFonts w:ascii="Arial" w:cs="Arial" w:eastAsia="Arial" w:hAnsi="Arial"/>
                <w:sz w:val="16"/>
                <w:szCs w:val="16"/>
                <w:color w:val="auto"/>
              </w:rPr>
              <w:t>price appreciation</w:t>
            </w:r>
          </w:p>
        </w:tc>
        <w:tc>
          <w:tcPr>
            <w:tcW w:w="1400" w:type="dxa"/>
            <w:vAlign w:val="bottom"/>
            <w:vMerge w:val="restart"/>
          </w:tcPr>
          <w:p>
            <w:pPr>
              <w:ind w:left="220"/>
              <w:spacing w:after="0"/>
              <w:rPr>
                <w:sz w:val="20"/>
                <w:szCs w:val="20"/>
                <w:color w:val="auto"/>
              </w:rPr>
            </w:pPr>
            <w:r>
              <w:rPr>
                <w:rFonts w:ascii="Arial" w:cs="Arial" w:eastAsia="Arial" w:hAnsi="Arial"/>
                <w:sz w:val="16"/>
                <w:szCs w:val="16"/>
                <w:color w:val="auto"/>
              </w:rPr>
              <w:t>if stock price</w:t>
            </w:r>
          </w:p>
        </w:tc>
        <w:tc>
          <w:tcPr>
            <w:tcW w:w="0" w:type="dxa"/>
            <w:vAlign w:val="bottom"/>
          </w:tcPr>
          <w:p>
            <w:pPr>
              <w:spacing w:after="0"/>
              <w:rPr>
                <w:sz w:val="1"/>
                <w:szCs w:val="1"/>
                <w:color w:val="auto"/>
              </w:rPr>
            </w:pPr>
          </w:p>
        </w:tc>
      </w:tr>
      <w:tr>
        <w:trPr>
          <w:trHeight w:val="87"/>
        </w:trPr>
        <w:tc>
          <w:tcPr>
            <w:tcW w:w="156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2200" w:type="dxa"/>
            <w:vAlign w:val="bottom"/>
            <w:vMerge w:val="continue"/>
          </w:tcPr>
          <w:p>
            <w:pPr>
              <w:spacing w:after="0"/>
              <w:rPr>
                <w:sz w:val="7"/>
                <w:szCs w:val="7"/>
                <w:color w:val="auto"/>
              </w:rPr>
            </w:pPr>
          </w:p>
        </w:tc>
        <w:tc>
          <w:tcPr>
            <w:tcW w:w="222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0" w:type="dxa"/>
            <w:vAlign w:val="bottom"/>
          </w:tcPr>
          <w:p>
            <w:pPr>
              <w:ind w:left="140"/>
              <w:spacing w:after="0"/>
              <w:rPr>
                <w:sz w:val="20"/>
                <w:szCs w:val="20"/>
                <w:color w:val="auto"/>
              </w:rPr>
            </w:pPr>
            <w:r>
              <w:rPr>
                <w:rFonts w:ascii="Arial" w:cs="Arial" w:eastAsia="Arial" w:hAnsi="Arial"/>
                <w:sz w:val="16"/>
                <w:szCs w:val="16"/>
                <w:color w:val="auto"/>
              </w:rPr>
              <w:t>appreciation</w:t>
            </w:r>
          </w:p>
        </w:tc>
        <w:tc>
          <w:tcPr>
            <w:tcW w:w="2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00" w:type="dxa"/>
            <w:vAlign w:val="bottom"/>
          </w:tcPr>
          <w:p>
            <w:pPr>
              <w:ind w:left="220"/>
              <w:spacing w:after="0"/>
              <w:rPr>
                <w:sz w:val="20"/>
                <w:szCs w:val="20"/>
                <w:color w:val="auto"/>
              </w:rPr>
            </w:pPr>
            <w:r>
              <w:rPr>
                <w:rFonts w:ascii="Arial" w:cs="Arial" w:eastAsia="Arial" w:hAnsi="Arial"/>
                <w:sz w:val="16"/>
                <w:szCs w:val="16"/>
                <w:color w:val="auto"/>
              </w:rPr>
              <w:t>appreciates</w:t>
            </w:r>
          </w:p>
        </w:tc>
        <w:tc>
          <w:tcPr>
            <w:tcW w:w="0" w:type="dxa"/>
            <w:vAlign w:val="bottom"/>
          </w:tcPr>
          <w:p>
            <w:pPr>
              <w:spacing w:after="0"/>
              <w:rPr>
                <w:sz w:val="1"/>
                <w:szCs w:val="1"/>
                <w:color w:val="auto"/>
              </w:rPr>
            </w:pPr>
          </w:p>
        </w:tc>
      </w:tr>
      <w:tr>
        <w:trPr>
          <w:trHeight w:val="84"/>
        </w:trPr>
        <w:tc>
          <w:tcPr>
            <w:tcW w:w="1560" w:type="dxa"/>
            <w:vAlign w:val="bottom"/>
            <w:tcBorders>
              <w:bottom w:val="single" w:sz="8" w:color="333333"/>
            </w:tcBorders>
          </w:tcPr>
          <w:p>
            <w:pPr>
              <w:spacing w:after="0"/>
              <w:rPr>
                <w:sz w:val="7"/>
                <w:szCs w:val="7"/>
                <w:color w:val="auto"/>
              </w:rPr>
            </w:pPr>
          </w:p>
        </w:tc>
        <w:tc>
          <w:tcPr>
            <w:tcW w:w="1180" w:type="dxa"/>
            <w:vAlign w:val="bottom"/>
            <w:tcBorders>
              <w:bottom w:val="single" w:sz="8" w:color="333333"/>
            </w:tcBorders>
          </w:tcPr>
          <w:p>
            <w:pPr>
              <w:spacing w:after="0"/>
              <w:rPr>
                <w:sz w:val="7"/>
                <w:szCs w:val="7"/>
                <w:color w:val="auto"/>
              </w:rPr>
            </w:pPr>
          </w:p>
        </w:tc>
        <w:tc>
          <w:tcPr>
            <w:tcW w:w="2200" w:type="dxa"/>
            <w:vAlign w:val="bottom"/>
            <w:tcBorders>
              <w:bottom w:val="single" w:sz="8" w:color="333333"/>
            </w:tcBorders>
          </w:tcPr>
          <w:p>
            <w:pPr>
              <w:spacing w:after="0"/>
              <w:rPr>
                <w:sz w:val="7"/>
                <w:szCs w:val="7"/>
                <w:color w:val="auto"/>
              </w:rPr>
            </w:pPr>
          </w:p>
        </w:tc>
        <w:tc>
          <w:tcPr>
            <w:tcW w:w="2220" w:type="dxa"/>
            <w:vAlign w:val="bottom"/>
            <w:tcBorders>
              <w:bottom w:val="single" w:sz="8" w:color="333333"/>
            </w:tcBorders>
          </w:tcPr>
          <w:p>
            <w:pPr>
              <w:spacing w:after="0"/>
              <w:rPr>
                <w:sz w:val="7"/>
                <w:szCs w:val="7"/>
                <w:color w:val="auto"/>
              </w:rPr>
            </w:pPr>
          </w:p>
        </w:tc>
        <w:tc>
          <w:tcPr>
            <w:tcW w:w="1720" w:type="dxa"/>
            <w:vAlign w:val="bottom"/>
            <w:tcBorders>
              <w:bottom w:val="single" w:sz="8" w:color="333333"/>
            </w:tcBorders>
          </w:tcPr>
          <w:p>
            <w:pPr>
              <w:spacing w:after="0"/>
              <w:rPr>
                <w:sz w:val="7"/>
                <w:szCs w:val="7"/>
                <w:color w:val="auto"/>
              </w:rPr>
            </w:pPr>
          </w:p>
        </w:tc>
        <w:tc>
          <w:tcPr>
            <w:tcW w:w="1400" w:type="dxa"/>
            <w:vAlign w:val="bottom"/>
            <w:tcBorders>
              <w:bottom w:val="single" w:sz="8" w:color="333333"/>
            </w:tcBorders>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15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400" w:type="dxa"/>
            <w:vAlign w:val="bottom"/>
          </w:tcPr>
          <w:p>
            <w:pPr>
              <w:ind w:left="220"/>
              <w:spacing w:after="0"/>
              <w:rPr>
                <w:sz w:val="20"/>
                <w:szCs w:val="20"/>
                <w:color w:val="auto"/>
              </w:rPr>
            </w:pPr>
            <w:r>
              <w:rPr>
                <w:rFonts w:ascii="Arial" w:cs="Arial" w:eastAsia="Arial" w:hAnsi="Arial"/>
                <w:sz w:val="16"/>
                <w:szCs w:val="16"/>
                <w:color w:val="auto"/>
              </w:rPr>
              <w:t>100% Value</w:t>
            </w:r>
          </w:p>
        </w:tc>
        <w:tc>
          <w:tcPr>
            <w:tcW w:w="0" w:type="dxa"/>
            <w:vAlign w:val="bottom"/>
          </w:tcPr>
          <w:p>
            <w:pPr>
              <w:spacing w:after="0"/>
              <w:rPr>
                <w:sz w:val="1"/>
                <w:szCs w:val="1"/>
                <w:color w:val="auto"/>
              </w:rPr>
            </w:pPr>
          </w:p>
        </w:tc>
      </w:tr>
      <w:tr>
        <w:trPr>
          <w:trHeight w:val="195"/>
        </w:trPr>
        <w:tc>
          <w:tcPr>
            <w:tcW w:w="1560" w:type="dxa"/>
            <w:vAlign w:val="bottom"/>
          </w:tcPr>
          <w:p>
            <w:pPr>
              <w:ind w:left="60"/>
              <w:spacing w:after="0"/>
              <w:rPr>
                <w:sz w:val="20"/>
                <w:szCs w:val="20"/>
                <w:color w:val="auto"/>
              </w:rPr>
            </w:pPr>
            <w:r>
              <w:rPr>
                <w:rFonts w:ascii="Arial" w:cs="Arial" w:eastAsia="Arial" w:hAnsi="Arial"/>
                <w:sz w:val="16"/>
                <w:szCs w:val="16"/>
                <w:color w:val="auto"/>
              </w:rPr>
              <w:t>Time-Based</w:t>
            </w:r>
          </w:p>
        </w:tc>
        <w:tc>
          <w:tcPr>
            <w:tcW w:w="1180" w:type="dxa"/>
            <w:vAlign w:val="bottom"/>
            <w:vMerge w:val="restart"/>
          </w:tcPr>
          <w:p>
            <w:pPr>
              <w:jc w:val="right"/>
              <w:ind w:right="82"/>
              <w:spacing w:after="0"/>
              <w:rPr>
                <w:sz w:val="20"/>
                <w:szCs w:val="20"/>
                <w:color w:val="auto"/>
              </w:rPr>
            </w:pPr>
            <w:r>
              <w:rPr>
                <w:rFonts w:ascii="Arial" w:cs="Arial" w:eastAsia="Arial" w:hAnsi="Arial"/>
                <w:sz w:val="16"/>
                <w:szCs w:val="16"/>
                <w:color w:val="auto"/>
              </w:rPr>
              <w:t>25%</w:t>
            </w:r>
          </w:p>
        </w:tc>
        <w:tc>
          <w:tcPr>
            <w:tcW w:w="2200" w:type="dxa"/>
            <w:vAlign w:val="bottom"/>
          </w:tcPr>
          <w:p>
            <w:pPr>
              <w:ind w:left="140"/>
              <w:spacing w:after="0"/>
              <w:rPr>
                <w:sz w:val="20"/>
                <w:szCs w:val="20"/>
                <w:color w:val="auto"/>
              </w:rPr>
            </w:pPr>
            <w:r>
              <w:rPr>
                <w:rFonts w:ascii="Arial" w:cs="Arial" w:eastAsia="Arial" w:hAnsi="Arial"/>
                <w:sz w:val="16"/>
                <w:szCs w:val="16"/>
                <w:color w:val="auto"/>
              </w:rPr>
              <w:t>Attract and retain</w:t>
            </w:r>
          </w:p>
        </w:tc>
        <w:tc>
          <w:tcPr>
            <w:tcW w:w="2220" w:type="dxa"/>
            <w:vAlign w:val="bottom"/>
            <w:vMerge w:val="restart"/>
          </w:tcPr>
          <w:p>
            <w:pPr>
              <w:ind w:left="400"/>
              <w:spacing w:after="0"/>
              <w:rPr>
                <w:sz w:val="20"/>
                <w:szCs w:val="20"/>
                <w:color w:val="auto"/>
              </w:rPr>
            </w:pPr>
            <w:r>
              <w:rPr>
                <w:rFonts w:ascii="Arial" w:cs="Arial" w:eastAsia="Arial" w:hAnsi="Arial"/>
                <w:sz w:val="16"/>
                <w:szCs w:val="16"/>
                <w:color w:val="auto"/>
              </w:rPr>
              <w:t>4-year graded vesting</w:t>
            </w:r>
          </w:p>
        </w:tc>
        <w:tc>
          <w:tcPr>
            <w:tcW w:w="1720" w:type="dxa"/>
            <w:vAlign w:val="bottom"/>
            <w:vMerge w:val="restart"/>
          </w:tcPr>
          <w:p>
            <w:pPr>
              <w:ind w:left="380"/>
              <w:spacing w:after="0"/>
              <w:rPr>
                <w:sz w:val="20"/>
                <w:szCs w:val="20"/>
                <w:color w:val="auto"/>
              </w:rPr>
            </w:pPr>
            <w:r>
              <w:rPr>
                <w:rFonts w:ascii="Arial" w:cs="Arial" w:eastAsia="Arial" w:hAnsi="Arial"/>
                <w:sz w:val="16"/>
                <w:szCs w:val="16"/>
                <w:color w:val="auto"/>
              </w:rPr>
              <w:t>None</w:t>
            </w:r>
          </w:p>
        </w:tc>
        <w:tc>
          <w:tcPr>
            <w:tcW w:w="1400" w:type="dxa"/>
            <w:vAlign w:val="bottom"/>
          </w:tcPr>
          <w:p>
            <w:pPr>
              <w:ind w:left="220"/>
              <w:spacing w:after="0"/>
              <w:rPr>
                <w:sz w:val="20"/>
                <w:szCs w:val="20"/>
                <w:color w:val="auto"/>
              </w:rPr>
            </w:pPr>
            <w:r>
              <w:rPr>
                <w:rFonts w:ascii="Arial" w:cs="Arial" w:eastAsia="Arial" w:hAnsi="Arial"/>
                <w:sz w:val="16"/>
                <w:szCs w:val="16"/>
                <w:color w:val="auto"/>
              </w:rPr>
              <w:t>in line with</w:t>
            </w:r>
          </w:p>
        </w:tc>
        <w:tc>
          <w:tcPr>
            <w:tcW w:w="0" w:type="dxa"/>
            <w:vAlign w:val="bottom"/>
          </w:tcPr>
          <w:p>
            <w:pPr>
              <w:spacing w:after="0"/>
              <w:rPr>
                <w:sz w:val="1"/>
                <w:szCs w:val="1"/>
                <w:color w:val="auto"/>
              </w:rPr>
            </w:pPr>
          </w:p>
        </w:tc>
      </w:tr>
      <w:tr>
        <w:trPr>
          <w:trHeight w:val="108"/>
        </w:trPr>
        <w:tc>
          <w:tcPr>
            <w:tcW w:w="1560" w:type="dxa"/>
            <w:vAlign w:val="bottom"/>
            <w:vMerge w:val="restart"/>
          </w:tcPr>
          <w:p>
            <w:pPr>
              <w:ind w:left="60"/>
              <w:spacing w:after="0"/>
              <w:rPr>
                <w:sz w:val="20"/>
                <w:szCs w:val="20"/>
                <w:color w:val="auto"/>
              </w:rPr>
            </w:pPr>
            <w:r>
              <w:rPr>
                <w:rFonts w:ascii="Arial" w:cs="Arial" w:eastAsia="Arial" w:hAnsi="Arial"/>
                <w:sz w:val="16"/>
                <w:szCs w:val="16"/>
                <w:color w:val="auto"/>
              </w:rPr>
              <w:t>RSUs</w:t>
            </w:r>
          </w:p>
        </w:tc>
        <w:tc>
          <w:tcPr>
            <w:tcW w:w="1180" w:type="dxa"/>
            <w:vAlign w:val="bottom"/>
            <w:vMerge w:val="continue"/>
          </w:tcPr>
          <w:p>
            <w:pPr>
              <w:spacing w:after="0"/>
              <w:rPr>
                <w:sz w:val="9"/>
                <w:szCs w:val="9"/>
                <w:color w:val="auto"/>
              </w:rPr>
            </w:pPr>
          </w:p>
        </w:tc>
        <w:tc>
          <w:tcPr>
            <w:tcW w:w="2200" w:type="dxa"/>
            <w:vAlign w:val="bottom"/>
            <w:vMerge w:val="restart"/>
          </w:tcPr>
          <w:p>
            <w:pPr>
              <w:ind w:left="140"/>
              <w:spacing w:after="0"/>
              <w:rPr>
                <w:sz w:val="20"/>
                <w:szCs w:val="20"/>
                <w:color w:val="auto"/>
              </w:rPr>
            </w:pPr>
            <w:r>
              <w:rPr>
                <w:rFonts w:ascii="Arial" w:cs="Arial" w:eastAsia="Arial" w:hAnsi="Arial"/>
                <w:sz w:val="16"/>
                <w:szCs w:val="16"/>
                <w:color w:val="auto"/>
              </w:rPr>
              <w:t>key executives</w:t>
            </w:r>
          </w:p>
        </w:tc>
        <w:tc>
          <w:tcPr>
            <w:tcW w:w="222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1400" w:type="dxa"/>
            <w:vAlign w:val="bottom"/>
            <w:vMerge w:val="restart"/>
          </w:tcPr>
          <w:p>
            <w:pPr>
              <w:ind w:left="220"/>
              <w:spacing w:after="0"/>
              <w:rPr>
                <w:sz w:val="20"/>
                <w:szCs w:val="20"/>
                <w:color w:val="auto"/>
              </w:rPr>
            </w:pPr>
            <w:r>
              <w:rPr>
                <w:rFonts w:ascii="Arial" w:cs="Arial" w:eastAsia="Arial" w:hAnsi="Arial"/>
                <w:sz w:val="16"/>
                <w:szCs w:val="16"/>
                <w:color w:val="auto"/>
              </w:rPr>
              <w:t>stock price</w:t>
            </w:r>
          </w:p>
        </w:tc>
        <w:tc>
          <w:tcPr>
            <w:tcW w:w="0" w:type="dxa"/>
            <w:vAlign w:val="bottom"/>
          </w:tcPr>
          <w:p>
            <w:pPr>
              <w:spacing w:after="0"/>
              <w:rPr>
                <w:sz w:val="1"/>
                <w:szCs w:val="1"/>
                <w:color w:val="auto"/>
              </w:rPr>
            </w:pPr>
          </w:p>
        </w:tc>
      </w:tr>
      <w:tr>
        <w:trPr>
          <w:trHeight w:val="91"/>
        </w:trPr>
        <w:tc>
          <w:tcPr>
            <w:tcW w:w="156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220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9580"/>
        <w:spacing w:after="0"/>
        <w:rPr>
          <w:sz w:val="20"/>
          <w:szCs w:val="20"/>
          <w:color w:val="auto"/>
        </w:rPr>
      </w:pPr>
      <w:r>
        <w:rPr>
          <w:rFonts w:ascii="Arial" w:cs="Arial" w:eastAsia="Arial" w:hAnsi="Arial"/>
          <w:sz w:val="16"/>
          <w:szCs w:val="16"/>
          <w:color w:val="auto"/>
        </w:rPr>
        <w:t>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60325</wp:posOffset>
            </wp:positionV>
            <wp:extent cx="653415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534150" cy="8255"/>
                    </a:xfrm>
                    <a:prstGeom prst="rect">
                      <a:avLst/>
                    </a:prstGeom>
                    <a:noFill/>
                  </pic:spPr>
                </pic:pic>
              </a:graphicData>
            </a:graphic>
          </wp:anchor>
        </w:drawing>
      </w:r>
    </w:p>
    <w:p>
      <w:pPr>
        <w:spacing w:after="0" w:line="284" w:lineRule="exact"/>
        <w:rPr>
          <w:sz w:val="20"/>
          <w:szCs w:val="20"/>
          <w:color w:val="auto"/>
        </w:rPr>
      </w:pPr>
    </w:p>
    <w:p>
      <w:pPr>
        <w:ind w:left="480"/>
        <w:spacing w:after="0"/>
        <w:rPr>
          <w:sz w:val="20"/>
          <w:szCs w:val="20"/>
          <w:color w:val="auto"/>
        </w:rPr>
      </w:pPr>
      <w:r>
        <w:rPr>
          <w:rFonts w:ascii="Arial" w:cs="Arial" w:eastAsia="Arial" w:hAnsi="Arial"/>
          <w:sz w:val="17"/>
          <w:szCs w:val="17"/>
          <w:color w:val="0066BA"/>
        </w:rPr>
        <w:t>Equity Vehicle Structure</w:t>
      </w:r>
    </w:p>
    <w:p>
      <w:pPr>
        <w:spacing w:after="0" w:line="111" w:lineRule="exact"/>
        <w:rPr>
          <w:sz w:val="20"/>
          <w:szCs w:val="20"/>
          <w:color w:val="auto"/>
        </w:rPr>
      </w:pPr>
    </w:p>
    <w:p>
      <w:pPr>
        <w:ind w:left="480" w:right="20"/>
        <w:spacing w:after="0" w:line="327" w:lineRule="auto"/>
        <w:rPr>
          <w:sz w:val="20"/>
          <w:szCs w:val="20"/>
          <w:color w:val="auto"/>
        </w:rPr>
      </w:pPr>
      <w:r>
        <w:rPr>
          <w:rFonts w:ascii="Arial" w:cs="Arial" w:eastAsia="Arial" w:hAnsi="Arial"/>
          <w:sz w:val="15"/>
          <w:szCs w:val="15"/>
          <w:b w:val="1"/>
          <w:bCs w:val="1"/>
          <w:color w:val="auto"/>
        </w:rPr>
        <w:t>PRSUs</w:t>
      </w:r>
      <w:r>
        <w:rPr>
          <w:rFonts w:ascii="Arial" w:cs="Arial" w:eastAsia="Arial" w:hAnsi="Arial"/>
          <w:sz w:val="15"/>
          <w:szCs w:val="15"/>
          <w:color w:val="auto"/>
        </w:rPr>
        <w:t>. For fiscal 2021, approximately 50% of our annual equity awards to our executive officers, including our NEOs, were in the form of</w:t>
      </w:r>
      <w:r>
        <w:rPr>
          <w:rFonts w:ascii="Arial" w:cs="Arial" w:eastAsia="Arial" w:hAnsi="Arial"/>
          <w:sz w:val="15"/>
          <w:szCs w:val="15"/>
          <w:b w:val="1"/>
          <w:bCs w:val="1"/>
          <w:color w:val="auto"/>
        </w:rPr>
        <w:t xml:space="preserve"> </w:t>
      </w:r>
      <w:r>
        <w:rPr>
          <w:rFonts w:ascii="Arial" w:cs="Arial" w:eastAsia="Arial" w:hAnsi="Arial"/>
          <w:sz w:val="15"/>
          <w:szCs w:val="15"/>
          <w:color w:val="auto"/>
        </w:rPr>
        <w:t>PRSUs. To ensure that a direct link exists between the value of our long-term incentives and the value that is created for our shareholders, our fiscal 2021 equity compensation program included two types of PRSUs for our executive officers: Relative TSR PRSUs and Financial Metric PRSUs.</w:t>
      </w:r>
    </w:p>
    <w:p>
      <w:pPr>
        <w:spacing w:after="0" w:line="29" w:lineRule="exact"/>
        <w:rPr>
          <w:sz w:val="20"/>
          <w:szCs w:val="20"/>
          <w:color w:val="auto"/>
        </w:rPr>
      </w:pPr>
    </w:p>
    <w:p>
      <w:pPr>
        <w:ind w:left="480"/>
        <w:spacing w:after="0" w:line="279" w:lineRule="auto"/>
        <w:rPr>
          <w:sz w:val="20"/>
          <w:szCs w:val="20"/>
          <w:color w:val="auto"/>
        </w:rPr>
      </w:pPr>
      <w:r>
        <w:rPr>
          <w:rFonts w:ascii="Arial" w:cs="Arial" w:eastAsia="Arial" w:hAnsi="Arial"/>
          <w:sz w:val="16"/>
          <w:szCs w:val="16"/>
          <w:color w:val="0066BA"/>
        </w:rPr>
        <w:t xml:space="preserve">Relative TSR PRSUs. </w:t>
      </w:r>
      <w:r>
        <w:rPr>
          <w:rFonts w:ascii="Arial" w:cs="Arial" w:eastAsia="Arial" w:hAnsi="Arial"/>
          <w:sz w:val="16"/>
          <w:szCs w:val="16"/>
          <w:color w:val="000000"/>
        </w:rPr>
        <w:t>The number of PRSUs that executive officers, including our NEOs, may earn is based on our TSR performance relative to</w:t>
      </w:r>
      <w:r>
        <w:rPr>
          <w:rFonts w:ascii="Arial" w:cs="Arial" w:eastAsia="Arial" w:hAnsi="Arial"/>
          <w:sz w:val="16"/>
          <w:szCs w:val="16"/>
          <w:color w:val="0066BA"/>
        </w:rPr>
        <w:t xml:space="preserve"> </w:t>
      </w:r>
      <w:r>
        <w:rPr>
          <w:rFonts w:ascii="Arial" w:cs="Arial" w:eastAsia="Arial" w:hAnsi="Arial"/>
          <w:sz w:val="16"/>
          <w:szCs w:val="16"/>
          <w:color w:val="000000"/>
        </w:rPr>
        <w:t>the TSR performance of other companies in the Philadelphia Semiconductor Index (SOX Index) over a three-year period. The number of PRSUs vested is determined by ADI’s TSR performance relative to the median SOX Index company TSR. Target vesting of PRSUs is achieved when ADI’s TSR equals the TSR of the median company in the SOX Index. The actual amount of PRSUs that will be earned can range from 0%-200% of the target amount, and will adjust upward or downward from the target 100% payout by 1.5% for each percentage point ADI’s TSR is above or below that of the median company’s TSR. No shares will vest if ADI’s TSR is 66.67 percentage points lower than the median company’s TSR. The number of earned shares is capped at 100% if ADI’s TSR performance is negative.</w:t>
      </w:r>
    </w:p>
    <w:p>
      <w:pPr>
        <w:spacing w:after="0" w:line="64" w:lineRule="exact"/>
        <w:rPr>
          <w:sz w:val="20"/>
          <w:szCs w:val="20"/>
          <w:color w:val="auto"/>
        </w:rPr>
      </w:pPr>
    </w:p>
    <w:p>
      <w:pPr>
        <w:ind w:left="480" w:right="520"/>
        <w:spacing w:after="0" w:line="286" w:lineRule="auto"/>
        <w:rPr>
          <w:sz w:val="20"/>
          <w:szCs w:val="20"/>
          <w:color w:val="auto"/>
        </w:rPr>
      </w:pPr>
      <w:r>
        <w:rPr>
          <w:rFonts w:ascii="Arial" w:cs="Arial" w:eastAsia="Arial" w:hAnsi="Arial"/>
          <w:sz w:val="17"/>
          <w:szCs w:val="17"/>
          <w:color w:val="auto"/>
        </w:rPr>
        <w:t>The following table illustrates the percentage of target PRSUs that could be earned based on the Company’s relative TSR performance to the median company in the SOX Index:</w:t>
      </w:r>
    </w:p>
    <w:p>
      <w:pPr>
        <w:spacing w:after="0" w:line="197" w:lineRule="exact"/>
        <w:rPr>
          <w:sz w:val="20"/>
          <w:szCs w:val="20"/>
          <w:color w:val="auto"/>
        </w:rPr>
      </w:pPr>
    </w:p>
    <w:tbl>
      <w:tblPr>
        <w:tblLayout w:type="fixed"/>
        <w:tblInd w:w="480" w:type="dxa"/>
        <w:tblCellMar>
          <w:top w:w="0" w:type="dxa"/>
          <w:left w:w="0" w:type="dxa"/>
          <w:bottom w:w="0" w:type="dxa"/>
          <w:right w:w="0" w:type="dxa"/>
        </w:tblCellMar>
      </w:tblPr>
      <w:tr>
        <w:trPr>
          <w:trHeight w:val="274"/>
        </w:trPr>
        <w:tc>
          <w:tcPr>
            <w:tcW w:w="750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ADI TSR</w:t>
            </w:r>
          </w:p>
        </w:tc>
        <w:tc>
          <w:tcPr>
            <w:tcW w:w="2780" w:type="dxa"/>
            <w:vAlign w:val="bottom"/>
            <w:shd w:val="clear" w:color="auto" w:fill="0066BA"/>
          </w:tcPr>
          <w:p>
            <w:pPr>
              <w:ind w:left="880"/>
              <w:spacing w:after="0"/>
              <w:rPr>
                <w:sz w:val="20"/>
                <w:szCs w:val="20"/>
                <w:color w:val="auto"/>
              </w:rPr>
            </w:pPr>
            <w:r>
              <w:rPr>
                <w:rFonts w:ascii="Arial" w:cs="Arial" w:eastAsia="Arial" w:hAnsi="Arial"/>
                <w:sz w:val="14"/>
                <w:szCs w:val="14"/>
                <w:b w:val="1"/>
                <w:bCs w:val="1"/>
                <w:color w:val="FFFFFF"/>
              </w:rPr>
              <w:t>Payout Percentage</w:t>
            </w:r>
          </w:p>
        </w:tc>
      </w:tr>
      <w:tr>
        <w:trPr>
          <w:trHeight w:val="90"/>
        </w:trPr>
        <w:tc>
          <w:tcPr>
            <w:tcW w:w="7500" w:type="dxa"/>
            <w:vAlign w:val="bottom"/>
            <w:shd w:val="clear" w:color="auto" w:fill="0066BA"/>
          </w:tcPr>
          <w:p>
            <w:pPr>
              <w:spacing w:after="0"/>
              <w:rPr>
                <w:sz w:val="7"/>
                <w:szCs w:val="7"/>
                <w:color w:val="auto"/>
              </w:rPr>
            </w:pPr>
          </w:p>
        </w:tc>
        <w:tc>
          <w:tcPr>
            <w:tcW w:w="2780" w:type="dxa"/>
            <w:vAlign w:val="bottom"/>
            <w:shd w:val="clear" w:color="auto" w:fill="0066BA"/>
          </w:tcPr>
          <w:p>
            <w:pPr>
              <w:spacing w:after="0"/>
              <w:rPr>
                <w:sz w:val="7"/>
                <w:szCs w:val="7"/>
                <w:color w:val="auto"/>
              </w:rPr>
            </w:pPr>
          </w:p>
        </w:tc>
      </w:tr>
      <w:tr>
        <w:trPr>
          <w:trHeight w:val="332"/>
        </w:trPr>
        <w:tc>
          <w:tcPr>
            <w:tcW w:w="7500" w:type="dxa"/>
            <w:vAlign w:val="bottom"/>
          </w:tcPr>
          <w:p>
            <w:pPr>
              <w:ind w:left="60"/>
              <w:spacing w:after="0"/>
              <w:rPr>
                <w:sz w:val="20"/>
                <w:szCs w:val="20"/>
                <w:color w:val="auto"/>
              </w:rPr>
            </w:pPr>
            <w:r>
              <w:rPr>
                <w:rFonts w:ascii="Arial" w:cs="Arial" w:eastAsia="Arial" w:hAnsi="Arial"/>
                <w:sz w:val="16"/>
                <w:szCs w:val="16"/>
                <w:color w:val="auto"/>
              </w:rPr>
              <w:t>Equal to or greater than 66.67% above the median company TSR</w:t>
            </w:r>
          </w:p>
        </w:tc>
        <w:tc>
          <w:tcPr>
            <w:tcW w:w="2780" w:type="dxa"/>
            <w:vAlign w:val="bottom"/>
            <w:shd w:val="clear" w:color="auto" w:fill="EAEAEA"/>
          </w:tcPr>
          <w:p>
            <w:pPr>
              <w:ind w:left="880"/>
              <w:spacing w:after="0"/>
              <w:rPr>
                <w:sz w:val="20"/>
                <w:szCs w:val="20"/>
                <w:color w:val="auto"/>
              </w:rPr>
            </w:pPr>
            <w:r>
              <w:rPr>
                <w:rFonts w:ascii="Arial" w:cs="Arial" w:eastAsia="Arial" w:hAnsi="Arial"/>
                <w:sz w:val="16"/>
                <w:szCs w:val="16"/>
                <w:color w:val="auto"/>
              </w:rPr>
              <w:t>200%</w:t>
            </w:r>
          </w:p>
        </w:tc>
      </w:tr>
      <w:tr>
        <w:trPr>
          <w:trHeight w:val="97"/>
        </w:trPr>
        <w:tc>
          <w:tcPr>
            <w:tcW w:w="7500" w:type="dxa"/>
            <w:vAlign w:val="bottom"/>
            <w:tcBorders>
              <w:bottom w:val="single" w:sz="8" w:color="0066BA"/>
            </w:tcBorders>
          </w:tcPr>
          <w:p>
            <w:pPr>
              <w:spacing w:after="0"/>
              <w:rPr>
                <w:sz w:val="8"/>
                <w:szCs w:val="8"/>
                <w:color w:val="auto"/>
              </w:rPr>
            </w:pPr>
          </w:p>
        </w:tc>
        <w:tc>
          <w:tcPr>
            <w:tcW w:w="2780" w:type="dxa"/>
            <w:vAlign w:val="bottom"/>
            <w:tcBorders>
              <w:bottom w:val="single" w:sz="8" w:color="0066BA"/>
            </w:tcBorders>
            <w:shd w:val="clear" w:color="auto" w:fill="EAEAEA"/>
          </w:tcPr>
          <w:p>
            <w:pPr>
              <w:spacing w:after="0"/>
              <w:rPr>
                <w:sz w:val="8"/>
                <w:szCs w:val="8"/>
                <w:color w:val="auto"/>
              </w:rPr>
            </w:pPr>
          </w:p>
        </w:tc>
      </w:tr>
      <w:tr>
        <w:trPr>
          <w:trHeight w:val="312"/>
        </w:trPr>
        <w:tc>
          <w:tcPr>
            <w:tcW w:w="7500" w:type="dxa"/>
            <w:vAlign w:val="bottom"/>
          </w:tcPr>
          <w:p>
            <w:pPr>
              <w:ind w:left="60"/>
              <w:spacing w:after="0"/>
              <w:rPr>
                <w:sz w:val="20"/>
                <w:szCs w:val="20"/>
                <w:color w:val="auto"/>
              </w:rPr>
            </w:pPr>
            <w:r>
              <w:rPr>
                <w:rFonts w:ascii="Arial" w:cs="Arial" w:eastAsia="Arial" w:hAnsi="Arial"/>
                <w:sz w:val="16"/>
                <w:szCs w:val="16"/>
                <w:color w:val="auto"/>
              </w:rPr>
              <w:t>Equal to Median Company TSR</w:t>
            </w:r>
          </w:p>
        </w:tc>
        <w:tc>
          <w:tcPr>
            <w:tcW w:w="2780" w:type="dxa"/>
            <w:vAlign w:val="bottom"/>
            <w:shd w:val="clear" w:color="auto" w:fill="EAEAEA"/>
          </w:tcPr>
          <w:p>
            <w:pPr>
              <w:ind w:left="880"/>
              <w:spacing w:after="0"/>
              <w:rPr>
                <w:sz w:val="20"/>
                <w:szCs w:val="20"/>
                <w:color w:val="auto"/>
              </w:rPr>
            </w:pPr>
            <w:r>
              <w:rPr>
                <w:rFonts w:ascii="Arial" w:cs="Arial" w:eastAsia="Arial" w:hAnsi="Arial"/>
                <w:sz w:val="16"/>
                <w:szCs w:val="16"/>
                <w:color w:val="auto"/>
              </w:rPr>
              <w:t>100%</w:t>
            </w:r>
          </w:p>
        </w:tc>
      </w:tr>
      <w:tr>
        <w:trPr>
          <w:trHeight w:val="97"/>
        </w:trPr>
        <w:tc>
          <w:tcPr>
            <w:tcW w:w="7500" w:type="dxa"/>
            <w:vAlign w:val="bottom"/>
            <w:tcBorders>
              <w:bottom w:val="single" w:sz="8" w:color="0066BA"/>
            </w:tcBorders>
          </w:tcPr>
          <w:p>
            <w:pPr>
              <w:spacing w:after="0"/>
              <w:rPr>
                <w:sz w:val="8"/>
                <w:szCs w:val="8"/>
                <w:color w:val="auto"/>
              </w:rPr>
            </w:pPr>
          </w:p>
        </w:tc>
        <w:tc>
          <w:tcPr>
            <w:tcW w:w="2780" w:type="dxa"/>
            <w:vAlign w:val="bottom"/>
            <w:tcBorders>
              <w:bottom w:val="single" w:sz="8" w:color="0066BA"/>
            </w:tcBorders>
            <w:shd w:val="clear" w:color="auto" w:fill="EAEAEA"/>
          </w:tcPr>
          <w:p>
            <w:pPr>
              <w:spacing w:after="0"/>
              <w:rPr>
                <w:sz w:val="8"/>
                <w:szCs w:val="8"/>
                <w:color w:val="auto"/>
              </w:rPr>
            </w:pPr>
          </w:p>
        </w:tc>
      </w:tr>
      <w:tr>
        <w:trPr>
          <w:trHeight w:val="312"/>
        </w:trPr>
        <w:tc>
          <w:tcPr>
            <w:tcW w:w="7500" w:type="dxa"/>
            <w:vAlign w:val="bottom"/>
          </w:tcPr>
          <w:p>
            <w:pPr>
              <w:ind w:left="60"/>
              <w:spacing w:after="0"/>
              <w:rPr>
                <w:sz w:val="20"/>
                <w:szCs w:val="20"/>
                <w:color w:val="auto"/>
              </w:rPr>
            </w:pPr>
            <w:r>
              <w:rPr>
                <w:rFonts w:ascii="Arial" w:cs="Arial" w:eastAsia="Arial" w:hAnsi="Arial"/>
                <w:sz w:val="16"/>
                <w:szCs w:val="16"/>
                <w:color w:val="auto"/>
              </w:rPr>
              <w:t>Equal to or less than -66.67% below the median company TSR</w:t>
            </w:r>
          </w:p>
        </w:tc>
        <w:tc>
          <w:tcPr>
            <w:tcW w:w="2780" w:type="dxa"/>
            <w:vAlign w:val="bottom"/>
            <w:shd w:val="clear" w:color="auto" w:fill="EAEAEA"/>
          </w:tcPr>
          <w:p>
            <w:pPr>
              <w:ind w:left="880"/>
              <w:spacing w:after="0"/>
              <w:rPr>
                <w:sz w:val="20"/>
                <w:szCs w:val="20"/>
                <w:color w:val="auto"/>
              </w:rPr>
            </w:pPr>
            <w:r>
              <w:rPr>
                <w:rFonts w:ascii="Arial" w:cs="Arial" w:eastAsia="Arial" w:hAnsi="Arial"/>
                <w:sz w:val="16"/>
                <w:szCs w:val="16"/>
                <w:color w:val="auto"/>
              </w:rPr>
              <w:t>—%</w:t>
            </w:r>
          </w:p>
        </w:tc>
      </w:tr>
      <w:tr>
        <w:trPr>
          <w:trHeight w:val="97"/>
        </w:trPr>
        <w:tc>
          <w:tcPr>
            <w:tcW w:w="7500" w:type="dxa"/>
            <w:vAlign w:val="bottom"/>
            <w:tcBorders>
              <w:bottom w:val="single" w:sz="8" w:color="0066BA"/>
            </w:tcBorders>
          </w:tcPr>
          <w:p>
            <w:pPr>
              <w:spacing w:after="0"/>
              <w:rPr>
                <w:sz w:val="8"/>
                <w:szCs w:val="8"/>
                <w:color w:val="auto"/>
              </w:rPr>
            </w:pPr>
          </w:p>
        </w:tc>
        <w:tc>
          <w:tcPr>
            <w:tcW w:w="2780" w:type="dxa"/>
            <w:vAlign w:val="bottom"/>
            <w:tcBorders>
              <w:bottom w:val="single" w:sz="8" w:color="0066BA"/>
            </w:tcBorders>
            <w:shd w:val="clear" w:color="auto" w:fill="EAEAEA"/>
          </w:tcPr>
          <w:p>
            <w:pPr>
              <w:spacing w:after="0"/>
              <w:rPr>
                <w:sz w:val="8"/>
                <w:szCs w:val="8"/>
                <w:color w:val="auto"/>
              </w:rPr>
            </w:pPr>
          </w:p>
        </w:tc>
      </w:tr>
    </w:tbl>
    <w:p>
      <w:pPr>
        <w:spacing w:after="0" w:line="9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Attainment within performance parameters is subject to interpolation on a linear basis.</w:t>
      </w:r>
    </w:p>
    <w:p>
      <w:pPr>
        <w:spacing w:after="0" w:line="200" w:lineRule="exact"/>
        <w:rPr>
          <w:sz w:val="20"/>
          <w:szCs w:val="20"/>
          <w:color w:val="auto"/>
        </w:rPr>
      </w:pPr>
    </w:p>
    <w:p>
      <w:pPr>
        <w:spacing w:after="0" w:line="28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0760"/>
          </w:cols>
          <w:pgMar w:left="320" w:top="447" w:right="819" w:bottom="1440" w:gutter="0" w:footer="0" w:header="0"/>
          <w:type w:val="continuous"/>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 xml:space="preserve">2018-2021 TSR PRSUs Payouts. </w:t>
      </w:r>
      <w:r>
        <w:rPr>
          <w:rFonts w:ascii="Arial" w:cs="Arial" w:eastAsia="Arial" w:hAnsi="Arial"/>
          <w:sz w:val="16"/>
          <w:szCs w:val="16"/>
          <w:color w:val="auto"/>
        </w:rPr>
        <w:t>The relative TSR PRSUs granted on March 29, 2018 had a three-year performance period that ended on</w:t>
      </w:r>
    </w:p>
    <w:p>
      <w:pPr>
        <w:spacing w:after="0" w:line="43" w:lineRule="exact"/>
        <w:rPr>
          <w:sz w:val="20"/>
          <w:szCs w:val="20"/>
          <w:color w:val="auto"/>
        </w:rPr>
      </w:pPr>
    </w:p>
    <w:p>
      <w:pPr>
        <w:ind w:left="480" w:right="280"/>
        <w:spacing w:after="0" w:line="279" w:lineRule="auto"/>
        <w:rPr>
          <w:sz w:val="20"/>
          <w:szCs w:val="20"/>
          <w:color w:val="auto"/>
        </w:rPr>
      </w:pPr>
      <w:r>
        <w:rPr>
          <w:rFonts w:ascii="Arial" w:cs="Arial" w:eastAsia="Arial" w:hAnsi="Arial"/>
          <w:sz w:val="16"/>
          <w:szCs w:val="16"/>
          <w:color w:val="auto"/>
        </w:rPr>
        <w:t>March 29, 2021. The comparator group designated by the Compensation Committee for the relative TSR PRSUs granted in fiscal 2018 once again consisted of the companies represented in the SOX Index as of the grant date that are included in the SOX Index for the entire performance period. On a three-year cumulative basis, our TSR performance was 69.88%, compared to the median comparative peer group TSR of 121.96%. The median comparative peer group TSR performance exceeded the Company’s TSR performance by more than 50 percentage points, the performance threshold for the 2018 TSR PRSUs, which resulted in a payout percentage of 0% of target.</w:t>
      </w:r>
    </w:p>
    <w:p>
      <w:pPr>
        <w:spacing w:after="0" w:line="63" w:lineRule="exact"/>
        <w:rPr>
          <w:sz w:val="20"/>
          <w:szCs w:val="20"/>
          <w:color w:val="auto"/>
        </w:rPr>
      </w:pPr>
    </w:p>
    <w:p>
      <w:pPr>
        <w:ind w:left="480" w:right="380"/>
        <w:spacing w:after="0" w:line="260" w:lineRule="auto"/>
        <w:rPr>
          <w:sz w:val="20"/>
          <w:szCs w:val="20"/>
          <w:color w:val="auto"/>
        </w:rPr>
      </w:pPr>
      <w:r>
        <w:rPr>
          <w:rFonts w:ascii="Arial" w:cs="Arial" w:eastAsia="Arial" w:hAnsi="Arial"/>
          <w:sz w:val="17"/>
          <w:szCs w:val="17"/>
          <w:color w:val="0066BA"/>
        </w:rPr>
        <w:t xml:space="preserve">Financial Metric PRSUs. </w:t>
      </w:r>
      <w:r>
        <w:rPr>
          <w:rFonts w:ascii="Arial" w:cs="Arial" w:eastAsia="Arial" w:hAnsi="Arial"/>
          <w:sz w:val="17"/>
          <w:szCs w:val="17"/>
          <w:color w:val="000000"/>
        </w:rPr>
        <w:t>Beginning in fiscal 2019, the Compensation Committee has included Financial Metric PRSUs, based on non-GAAP</w:t>
      </w:r>
      <w:r>
        <w:rPr>
          <w:rFonts w:ascii="Arial" w:cs="Arial" w:eastAsia="Arial" w:hAnsi="Arial"/>
          <w:sz w:val="17"/>
          <w:szCs w:val="17"/>
          <w:color w:val="0066BA"/>
        </w:rPr>
        <w:t xml:space="preserve"> </w:t>
      </w:r>
      <w:r>
        <w:rPr>
          <w:rFonts w:ascii="Arial" w:cs="Arial" w:eastAsia="Arial" w:hAnsi="Arial"/>
          <w:sz w:val="17"/>
          <w:szCs w:val="17"/>
          <w:color w:val="000000"/>
        </w:rPr>
        <w:t>operating profit in dollars, for our executive officers to incentivize long-term profitable growth measured over one-year, two-year cumulative and three-year cumulative time periods.</w:t>
      </w:r>
    </w:p>
    <w:p>
      <w:pPr>
        <w:spacing w:after="0" w:line="2" w:lineRule="exact"/>
        <w:rPr>
          <w:sz w:val="20"/>
          <w:szCs w:val="20"/>
          <w:color w:val="auto"/>
        </w:rPr>
      </w:pPr>
    </w:p>
    <w:p>
      <w:pPr>
        <w:ind w:left="480" w:right="260"/>
        <w:spacing w:after="0" w:line="259" w:lineRule="auto"/>
        <w:rPr>
          <w:sz w:val="20"/>
          <w:szCs w:val="20"/>
          <w:color w:val="auto"/>
        </w:rPr>
      </w:pPr>
      <w:r>
        <w:rPr>
          <w:rFonts w:ascii="Arial" w:cs="Arial" w:eastAsia="Arial" w:hAnsi="Arial"/>
          <w:sz w:val="17"/>
          <w:szCs w:val="17"/>
          <w:color w:val="auto"/>
        </w:rPr>
        <w:t>The Compensation Committee selected this metric because it is a key measure that executives use both internally to drive business decisions and externally when speaking to investors about Company results and progress against execution of the Company’s strategy. The use of multiple performance periods incentivizes executives to achieve short-term objectives that support our long-term strategy, as well as to focus on long-term financial growth. For each award, the Compensation Committee reviews and approves challenging targets taking into consideration the Company’s long-term strategic priorities and objectives.</w:t>
      </w:r>
    </w:p>
    <w:p>
      <w:pPr>
        <w:spacing w:after="0" w:line="78" w:lineRule="exact"/>
        <w:rPr>
          <w:sz w:val="20"/>
          <w:szCs w:val="20"/>
          <w:color w:val="auto"/>
        </w:rPr>
      </w:pPr>
    </w:p>
    <w:p>
      <w:pPr>
        <w:ind w:left="480" w:right="700"/>
        <w:spacing w:after="0" w:line="286" w:lineRule="auto"/>
        <w:rPr>
          <w:sz w:val="20"/>
          <w:szCs w:val="20"/>
          <w:color w:val="auto"/>
        </w:rPr>
      </w:pPr>
      <w:r>
        <w:rPr>
          <w:rFonts w:ascii="Arial" w:cs="Arial" w:eastAsia="Arial" w:hAnsi="Arial"/>
          <w:sz w:val="17"/>
          <w:szCs w:val="17"/>
          <w:color w:val="auto"/>
        </w:rPr>
        <w:t>The Compensation Committee does not re-set these targets during the performance period, regardless of Company performance or economic conditions.</w:t>
      </w:r>
    </w:p>
    <w:p>
      <w:pPr>
        <w:spacing w:after="0" w:line="54" w:lineRule="exact"/>
        <w:rPr>
          <w:sz w:val="20"/>
          <w:szCs w:val="20"/>
          <w:color w:val="auto"/>
        </w:rPr>
      </w:pPr>
    </w:p>
    <w:p>
      <w:pPr>
        <w:ind w:left="480" w:right="180"/>
        <w:spacing w:after="0" w:line="283" w:lineRule="auto"/>
        <w:rPr>
          <w:sz w:val="20"/>
          <w:szCs w:val="20"/>
          <w:color w:val="auto"/>
        </w:rPr>
      </w:pPr>
      <w:r>
        <w:rPr>
          <w:rFonts w:ascii="Arial" w:cs="Arial" w:eastAsia="Arial" w:hAnsi="Arial"/>
          <w:sz w:val="16"/>
          <w:szCs w:val="16"/>
          <w:color w:val="auto"/>
        </w:rPr>
        <w:t>The number of PRSUs an executive officer, including each NEO, may earn ranges from 0% to a maximum of 200% of the target amount based on the Company’s performance against the targets of this metric. The Compensation Committee determines the level of achievement of each tranche of Financial Metric PRSUs after the completion of each of the one-year, two-year cumulative and three-year cumulative performance periods. After such determination, the number of shares of PRSUs earned by an executive officer remains subject to a time-based service requirement and will cliff vest on the third anniversary of the grant date, subject to the executive’s employment through such date.</w:t>
      </w:r>
    </w:p>
    <w:p>
      <w:pPr>
        <w:spacing w:after="0" w:line="6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 December 2021, the Compensation Committee determined the level of achievement of the current Financial Metric PRSUs as follows:</w:t>
      </w:r>
    </w:p>
    <w:p>
      <w:pPr>
        <w:spacing w:after="0" w:line="111" w:lineRule="exact"/>
        <w:rPr>
          <w:sz w:val="20"/>
          <w:szCs w:val="20"/>
          <w:color w:val="auto"/>
        </w:rPr>
      </w:pPr>
    </w:p>
    <w:p>
      <w:pPr>
        <w:ind w:left="480" w:right="280"/>
        <w:spacing w:after="0" w:line="277" w:lineRule="auto"/>
        <w:rPr>
          <w:sz w:val="20"/>
          <w:szCs w:val="20"/>
          <w:color w:val="auto"/>
        </w:rPr>
      </w:pPr>
      <w:r>
        <w:rPr>
          <w:rFonts w:ascii="Arial" w:cs="Arial" w:eastAsia="Arial" w:hAnsi="Arial"/>
          <w:sz w:val="16"/>
          <w:szCs w:val="16"/>
          <w:b w:val="1"/>
          <w:bCs w:val="1"/>
          <w:color w:val="auto"/>
        </w:rPr>
        <w:t xml:space="preserve">2019 – 2021 Financial Metric PRSUs: </w:t>
      </w:r>
      <w:r>
        <w:rPr>
          <w:rFonts w:ascii="Arial" w:cs="Arial" w:eastAsia="Arial" w:hAnsi="Arial"/>
          <w:sz w:val="16"/>
          <w:szCs w:val="16"/>
          <w:color w:val="auto"/>
        </w:rPr>
        <w:t>The targets were set at the beginning of fiscal 2019, and the awards were granted in March 2019.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Committee reviewed the achievement of the third and final tranche of these awards, covering the three-year cumulative non-GAAP operating profit for fiscal 2019 through fiscal 2021, and determined that with a non-GAAP operating profit of $7.520 billion, which was below the non-GAAP operating profit maximum attainment level of $8.920 billion and the non-GAAP operating profit target attainment level of</w:t>
      </w:r>
    </w:p>
    <w:p>
      <w:pPr>
        <w:spacing w:after="0" w:line="2" w:lineRule="exact"/>
        <w:rPr>
          <w:sz w:val="20"/>
          <w:szCs w:val="20"/>
          <w:color w:val="auto"/>
        </w:rPr>
      </w:pPr>
    </w:p>
    <w:p>
      <w:pPr>
        <w:ind w:left="480" w:right="220"/>
        <w:spacing w:after="0" w:line="260" w:lineRule="auto"/>
        <w:rPr>
          <w:sz w:val="20"/>
          <w:szCs w:val="20"/>
          <w:color w:val="auto"/>
        </w:rPr>
      </w:pPr>
      <w:r>
        <w:rPr>
          <w:rFonts w:ascii="Arial" w:cs="Arial" w:eastAsia="Arial" w:hAnsi="Arial"/>
          <w:sz w:val="17"/>
          <w:szCs w:val="17"/>
          <w:color w:val="auto"/>
        </w:rPr>
        <w:t>$8.305 billion, but above the non-GAAP operating profit minimum attainment level of $7.335 billion, the executives had achieved a 16% attainment level under this incentive compensation vehicle for that period. With all three measurement periods completed, and with the first and second tranches payable at 0%, the Company’s executive officers will earn an aggregate of 5.3% of the total target number of PRSUs subject to this incentive compensation vehicle.</w:t>
      </w:r>
    </w:p>
    <w:p>
      <w:pPr>
        <w:spacing w:after="0" w:line="71" w:lineRule="exact"/>
        <w:rPr>
          <w:sz w:val="20"/>
          <w:szCs w:val="20"/>
          <w:color w:val="auto"/>
        </w:rPr>
      </w:pPr>
    </w:p>
    <w:p>
      <w:pPr>
        <w:ind w:left="480" w:right="300"/>
        <w:spacing w:after="0" w:line="263" w:lineRule="auto"/>
        <w:rPr>
          <w:sz w:val="20"/>
          <w:szCs w:val="20"/>
          <w:color w:val="auto"/>
        </w:rPr>
      </w:pPr>
      <w:r>
        <w:rPr>
          <w:rFonts w:ascii="Arial" w:cs="Arial" w:eastAsia="Arial" w:hAnsi="Arial"/>
          <w:sz w:val="17"/>
          <w:szCs w:val="17"/>
          <w:b w:val="1"/>
          <w:bCs w:val="1"/>
          <w:color w:val="auto"/>
        </w:rPr>
        <w:t xml:space="preserve">2020 – 2022 Financial Metric PRSUs: </w:t>
      </w:r>
      <w:r>
        <w:rPr>
          <w:rFonts w:ascii="Arial" w:cs="Arial" w:eastAsia="Arial" w:hAnsi="Arial"/>
          <w:sz w:val="17"/>
          <w:szCs w:val="17"/>
          <w:color w:val="auto"/>
        </w:rPr>
        <w:t>The targets were set at the beginning of fiscal 2020, and the awards were granted in March 2020.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Committee reviewed the achievement of the second tranche of these awards, covering the two-year non-GAAP operating profit for fiscal 2020 and fiscal 2021, and determined that with a non-GAAP operating profit of $5.087 billion, which was above both the non-GAAP operating profit target attainment level of $4.481 billion and the non-GAAP operating profit maximum attainment level of $4.705 billion, 200% of the target number of PRSUs subject to the second tranche were earned by the Company’s executive officers under this incentive compensation vehicle for that period.</w:t>
      </w:r>
    </w:p>
    <w:p>
      <w:pPr>
        <w:spacing w:after="0" w:line="68" w:lineRule="exact"/>
        <w:rPr>
          <w:sz w:val="20"/>
          <w:szCs w:val="20"/>
          <w:color w:val="auto"/>
        </w:rPr>
      </w:pPr>
    </w:p>
    <w:p>
      <w:pPr>
        <w:ind w:left="480" w:right="320"/>
        <w:spacing w:after="0" w:line="285" w:lineRule="auto"/>
        <w:rPr>
          <w:sz w:val="20"/>
          <w:szCs w:val="20"/>
          <w:color w:val="auto"/>
        </w:rPr>
      </w:pPr>
      <w:r>
        <w:rPr>
          <w:rFonts w:ascii="Arial" w:cs="Arial" w:eastAsia="Arial" w:hAnsi="Arial"/>
          <w:sz w:val="16"/>
          <w:szCs w:val="16"/>
          <w:b w:val="1"/>
          <w:bCs w:val="1"/>
          <w:color w:val="auto"/>
        </w:rPr>
        <w:t xml:space="preserve">2021-2023 Financial Metric PRSUs: </w:t>
      </w:r>
      <w:r>
        <w:rPr>
          <w:rFonts w:ascii="Arial" w:cs="Arial" w:eastAsia="Arial" w:hAnsi="Arial"/>
          <w:sz w:val="16"/>
          <w:szCs w:val="16"/>
          <w:color w:val="auto"/>
        </w:rPr>
        <w:t>The targets were set at the beginning of fiscal 2021, and the awards were granted in March 2021.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Committee reviewed the achievement of the first tranche of these awards, covering the one-year non-GAAP operating profit for fiscal 2021, and determined that with a non-GAAP operating profit of $2.853 billion, which was above both the non-GAAP operating profit target attainment level of $2.392 billion and the non-GAAP operating profit maximum attainment level of $2.512 billion, 200% of the target number of PRSUs subject to the first tranche were earned by the Company’s executive officers under this incentive compensation vehicle for that period.</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0940"/>
          </w:cols>
          <w:pgMar w:left="320" w:top="447" w:right="63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480" w:right="300"/>
        <w:spacing w:after="0" w:line="319" w:lineRule="auto"/>
        <w:rPr>
          <w:sz w:val="20"/>
          <w:szCs w:val="20"/>
          <w:color w:val="auto"/>
        </w:rPr>
      </w:pPr>
      <w:r>
        <w:rPr>
          <w:rFonts w:ascii="Arial" w:cs="Arial" w:eastAsia="Arial" w:hAnsi="Arial"/>
          <w:sz w:val="16"/>
          <w:szCs w:val="16"/>
          <w:color w:val="0066BA"/>
        </w:rPr>
        <w:t xml:space="preserve">Stock Options. </w:t>
      </w:r>
      <w:r>
        <w:rPr>
          <w:rFonts w:ascii="Arial" w:cs="Arial" w:eastAsia="Arial" w:hAnsi="Arial"/>
          <w:sz w:val="16"/>
          <w:szCs w:val="16"/>
          <w:color w:val="000000"/>
        </w:rPr>
        <w:t>We use stock options as a way to reward long-term value creation. Stock options granted to our executive officers, including our</w:t>
      </w:r>
      <w:r>
        <w:rPr>
          <w:rFonts w:ascii="Arial" w:cs="Arial" w:eastAsia="Arial" w:hAnsi="Arial"/>
          <w:sz w:val="16"/>
          <w:szCs w:val="16"/>
          <w:color w:val="0066BA"/>
        </w:rPr>
        <w:t xml:space="preserve"> </w:t>
      </w:r>
      <w:r>
        <w:rPr>
          <w:rFonts w:ascii="Arial" w:cs="Arial" w:eastAsia="Arial" w:hAnsi="Arial"/>
          <w:sz w:val="16"/>
          <w:szCs w:val="16"/>
          <w:color w:val="000000"/>
        </w:rPr>
        <w:t>NEOs, in fiscal 2021 will vest 25% per year on each of the first four anniversaries of March 10, 2021, and are subject to a 10 year term.</w:t>
      </w:r>
    </w:p>
    <w:p>
      <w:pPr>
        <w:spacing w:after="0" w:line="31" w:lineRule="exact"/>
        <w:rPr>
          <w:sz w:val="20"/>
          <w:szCs w:val="20"/>
          <w:color w:val="auto"/>
        </w:rPr>
      </w:pPr>
    </w:p>
    <w:p>
      <w:pPr>
        <w:ind w:left="480" w:right="80"/>
        <w:spacing w:after="0" w:line="263" w:lineRule="auto"/>
        <w:rPr>
          <w:sz w:val="20"/>
          <w:szCs w:val="20"/>
          <w:color w:val="auto"/>
        </w:rPr>
      </w:pPr>
      <w:r>
        <w:rPr>
          <w:rFonts w:ascii="Arial" w:cs="Arial" w:eastAsia="Arial" w:hAnsi="Arial"/>
          <w:sz w:val="17"/>
          <w:szCs w:val="17"/>
          <w:color w:val="0066BA"/>
        </w:rPr>
        <w:t xml:space="preserve">Time-Based RSUs. </w:t>
      </w:r>
      <w:r>
        <w:rPr>
          <w:rFonts w:ascii="Arial" w:cs="Arial" w:eastAsia="Arial" w:hAnsi="Arial"/>
          <w:sz w:val="17"/>
          <w:szCs w:val="17"/>
          <w:color w:val="000000"/>
        </w:rPr>
        <w:t>In a volatile stock market, time-based RSUs continue to provide incentive and retentive value when stock options may not,</w:t>
      </w:r>
      <w:r>
        <w:rPr>
          <w:rFonts w:ascii="Arial" w:cs="Arial" w:eastAsia="Arial" w:hAnsi="Arial"/>
          <w:sz w:val="17"/>
          <w:szCs w:val="17"/>
          <w:color w:val="0066BA"/>
        </w:rPr>
        <w:t xml:space="preserve"> </w:t>
      </w:r>
      <w:r>
        <w:rPr>
          <w:rFonts w:ascii="Arial" w:cs="Arial" w:eastAsia="Arial" w:hAnsi="Arial"/>
          <w:sz w:val="17"/>
          <w:szCs w:val="17"/>
          <w:color w:val="000000"/>
        </w:rPr>
        <w:t>which the Compensation Committee believes to be useful in retaining talented executives and employees in uncertain economic times. In this way, we use time-based RSUs as a retention tool and to enable our executive officers to accumulate stock ownership in the Company. Time-based RSUs granted to our executive officers, including our NEOs, in fiscal 2021 will vest 25% per year on each of the first four anniversaries of March 10, 2021.</w:t>
      </w:r>
    </w:p>
    <w:p>
      <w:pPr>
        <w:spacing w:after="0" w:line="267"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Special Equity Awards</w:t>
      </w:r>
    </w:p>
    <w:p>
      <w:pPr>
        <w:spacing w:after="0" w:line="57" w:lineRule="exact"/>
        <w:rPr>
          <w:sz w:val="20"/>
          <w:szCs w:val="20"/>
          <w:color w:val="auto"/>
        </w:rPr>
      </w:pPr>
    </w:p>
    <w:p>
      <w:pPr>
        <w:ind w:left="480" w:right="60"/>
        <w:spacing w:after="0" w:line="302" w:lineRule="auto"/>
        <w:rPr>
          <w:sz w:val="20"/>
          <w:szCs w:val="20"/>
          <w:color w:val="auto"/>
        </w:rPr>
      </w:pPr>
      <w:r>
        <w:rPr>
          <w:rFonts w:ascii="Arial" w:cs="Arial" w:eastAsia="Arial" w:hAnsi="Arial"/>
          <w:sz w:val="15"/>
          <w:szCs w:val="15"/>
          <w:color w:val="0066BA"/>
        </w:rPr>
        <w:t xml:space="preserve">Maxim Integration PRSUs. </w:t>
      </w:r>
      <w:r>
        <w:rPr>
          <w:rFonts w:ascii="Arial" w:cs="Arial" w:eastAsia="Arial" w:hAnsi="Arial"/>
          <w:sz w:val="15"/>
          <w:szCs w:val="15"/>
          <w:color w:val="000000"/>
        </w:rPr>
        <w:t>To promote the successful integration of Maxim Integrated and the achievement of the Company’s synergy goals, in</w:t>
      </w:r>
      <w:r>
        <w:rPr>
          <w:rFonts w:ascii="Arial" w:cs="Arial" w:eastAsia="Arial" w:hAnsi="Arial"/>
          <w:sz w:val="15"/>
          <w:szCs w:val="15"/>
          <w:color w:val="0066BA"/>
        </w:rPr>
        <w:t xml:space="preserve"> </w:t>
      </w:r>
      <w:r>
        <w:rPr>
          <w:rFonts w:ascii="Arial" w:cs="Arial" w:eastAsia="Arial" w:hAnsi="Arial"/>
          <w:sz w:val="15"/>
          <w:szCs w:val="15"/>
          <w:color w:val="000000"/>
        </w:rPr>
        <w:t>December 2020, the Compensation Committee approved the award of Maxim Integration PRSUs to a select group of key employees, including our NEOs, but excluding our CEO. The CEO received a different award, described in greater detail below, that vests contingent on significant stock price appreciation. Both awards ultimately incentivize the accomplishment of ADI’s long-term strategy and the creation of long-term shareholder value. However, the Compensation Committee determined it was important to incentivize the CEO to achieve substantial stock price appreciation following the all-stock Maxim Integrated acquisition, while focusing other executives on the more immediate objective of a successful integration.</w:t>
      </w:r>
    </w:p>
    <w:p>
      <w:pPr>
        <w:spacing w:after="0" w:line="51" w:lineRule="exact"/>
        <w:rPr>
          <w:sz w:val="20"/>
          <w:szCs w:val="20"/>
          <w:color w:val="auto"/>
        </w:rPr>
      </w:pPr>
    </w:p>
    <w:p>
      <w:pPr>
        <w:ind w:left="480" w:right="120"/>
        <w:spacing w:after="0" w:line="261" w:lineRule="auto"/>
        <w:rPr>
          <w:sz w:val="20"/>
          <w:szCs w:val="20"/>
          <w:color w:val="auto"/>
        </w:rPr>
      </w:pPr>
      <w:r>
        <w:rPr>
          <w:rFonts w:ascii="Arial" w:cs="Arial" w:eastAsia="Arial" w:hAnsi="Arial"/>
          <w:sz w:val="17"/>
          <w:szCs w:val="17"/>
          <w:color w:val="auto"/>
        </w:rPr>
        <w:t>The number of Maxim Integration PRSUs that may be earned ranges from zero to a maximum of 200% of the target amount of Maxim Integration PRSUs, or the Target Amount, and will be determined according to the achievement of three performance metrics set forth below. Any PRSUs earned will vest on the 60th day following the period, which we refer to as the Performance Period, which extends from December 15, 2020 until August 26, 2023, which is the two-year anniversary of the closing date of the Maxim Integrated acquisition, or the Acquisition Date. The performance metrics are designed to incentivize the achievement of stretch targets with respect to both the magnitude of cost synergies and the speed of delivery:</w:t>
      </w:r>
    </w:p>
    <w:p>
      <w:pPr>
        <w:spacing w:after="0" w:line="84" w:lineRule="exact"/>
        <w:rPr>
          <w:sz w:val="20"/>
          <w:szCs w:val="20"/>
          <w:color w:val="auto"/>
        </w:rPr>
      </w:pPr>
    </w:p>
    <w:p>
      <w:pPr>
        <w:ind w:left="860" w:right="220" w:hanging="385"/>
        <w:spacing w:after="0" w:line="274" w:lineRule="auto"/>
        <w:tabs>
          <w:tab w:leader="none" w:pos="860" w:val="left"/>
        </w:tabs>
        <w:numPr>
          <w:ilvl w:val="0"/>
          <w:numId w:val="53"/>
        </w:numPr>
        <w:rPr>
          <w:rFonts w:ascii="Arial" w:cs="Arial" w:eastAsia="Arial" w:hAnsi="Arial"/>
          <w:sz w:val="17"/>
          <w:szCs w:val="17"/>
          <w:color w:val="auto"/>
        </w:rPr>
      </w:pPr>
      <w:r>
        <w:rPr>
          <w:rFonts w:ascii="Arial" w:cs="Arial" w:eastAsia="Arial" w:hAnsi="Arial"/>
          <w:sz w:val="17"/>
          <w:szCs w:val="17"/>
          <w:b w:val="1"/>
          <w:bCs w:val="1"/>
          <w:color w:val="auto"/>
        </w:rPr>
        <w:t xml:space="preserve">Operating Profit Goal: </w:t>
      </w:r>
      <w:r>
        <w:rPr>
          <w:rFonts w:ascii="Arial" w:cs="Arial" w:eastAsia="Arial" w:hAnsi="Arial"/>
          <w:sz w:val="17"/>
          <w:szCs w:val="17"/>
          <w:color w:val="auto"/>
        </w:rPr>
        <w:t>As a gatekeeping hurdle, the combined company must maintain a minimum average non-GAAP OPBT for the last</w:t>
      </w:r>
      <w:r>
        <w:rPr>
          <w:rFonts w:ascii="Arial" w:cs="Arial" w:eastAsia="Arial" w:hAnsi="Arial"/>
          <w:sz w:val="17"/>
          <w:szCs w:val="17"/>
          <w:b w:val="1"/>
          <w:bCs w:val="1"/>
          <w:color w:val="auto"/>
        </w:rPr>
        <w:t xml:space="preserve"> </w:t>
      </w:r>
      <w:r>
        <w:rPr>
          <w:rFonts w:ascii="Arial" w:cs="Arial" w:eastAsia="Arial" w:hAnsi="Arial"/>
          <w:sz w:val="17"/>
          <w:szCs w:val="17"/>
          <w:color w:val="auto"/>
        </w:rPr>
        <w:t>four fiscal quarters completed as of the end of the Performance Period as a percentage of revenue. If this requirement is not met, then no Maxim Integration PRSUs will vest.</w:t>
      </w:r>
    </w:p>
    <w:p>
      <w:pPr>
        <w:spacing w:after="0" w:line="19" w:lineRule="exact"/>
        <w:rPr>
          <w:rFonts w:ascii="Arial" w:cs="Arial" w:eastAsia="Arial" w:hAnsi="Arial"/>
          <w:sz w:val="17"/>
          <w:szCs w:val="17"/>
          <w:color w:val="auto"/>
        </w:rPr>
      </w:pPr>
    </w:p>
    <w:p>
      <w:pPr>
        <w:ind w:left="860" w:right="120" w:hanging="385"/>
        <w:spacing w:after="0" w:line="265" w:lineRule="auto"/>
        <w:tabs>
          <w:tab w:leader="none" w:pos="860" w:val="left"/>
        </w:tabs>
        <w:numPr>
          <w:ilvl w:val="0"/>
          <w:numId w:val="53"/>
        </w:numPr>
        <w:rPr>
          <w:rFonts w:ascii="Arial" w:cs="Arial" w:eastAsia="Arial" w:hAnsi="Arial"/>
          <w:sz w:val="17"/>
          <w:szCs w:val="17"/>
          <w:color w:val="auto"/>
        </w:rPr>
      </w:pPr>
      <w:r>
        <w:rPr>
          <w:rFonts w:ascii="Arial" w:cs="Arial" w:eastAsia="Arial" w:hAnsi="Arial"/>
          <w:sz w:val="17"/>
          <w:szCs w:val="17"/>
          <w:b w:val="1"/>
          <w:bCs w:val="1"/>
          <w:color w:val="auto"/>
        </w:rPr>
        <w:t xml:space="preserve">Synergy Performance Goal: </w:t>
      </w:r>
      <w:r>
        <w:rPr>
          <w:rFonts w:ascii="Arial" w:cs="Arial" w:eastAsia="Arial" w:hAnsi="Arial"/>
          <w:sz w:val="17"/>
          <w:szCs w:val="17"/>
          <w:color w:val="auto"/>
        </w:rPr>
        <w:t>Provided the Operating Profit Goal has been attained for the Performance Period, a number of Maxim</w:t>
      </w:r>
      <w:r>
        <w:rPr>
          <w:rFonts w:ascii="Arial" w:cs="Arial" w:eastAsia="Arial" w:hAnsi="Arial"/>
          <w:sz w:val="17"/>
          <w:szCs w:val="17"/>
          <w:b w:val="1"/>
          <w:bCs w:val="1"/>
          <w:color w:val="auto"/>
        </w:rPr>
        <w:t xml:space="preserve"> </w:t>
      </w:r>
      <w:r>
        <w:rPr>
          <w:rFonts w:ascii="Arial" w:cs="Arial" w:eastAsia="Arial" w:hAnsi="Arial"/>
          <w:sz w:val="17"/>
          <w:szCs w:val="17"/>
          <w:color w:val="auto"/>
        </w:rPr>
        <w:t>Integration PRSUs ranging from zero to 150% of the Target Amount will vest based on the gross dollar amount of cost synergies attained following the Acquisition Date, as represented by the scale set forth below. For cost synergies to be deemed attained, either (i) cost synergies must take effect within the Performance Period, or (ii) cost synergies must take effect within the 12-month period following the Performance Period as a result of a firm commitment made during the Performance Period.</w:t>
      </w:r>
    </w:p>
    <w:p>
      <w:pPr>
        <w:spacing w:after="0" w:line="32" w:lineRule="exact"/>
        <w:rPr>
          <w:rFonts w:ascii="Arial" w:cs="Arial" w:eastAsia="Arial" w:hAnsi="Arial"/>
          <w:sz w:val="17"/>
          <w:szCs w:val="17"/>
          <w:color w:val="auto"/>
        </w:rPr>
      </w:pPr>
    </w:p>
    <w:p>
      <w:pPr>
        <w:ind w:left="1280" w:right="40" w:hanging="403"/>
        <w:spacing w:after="0" w:line="319" w:lineRule="auto"/>
        <w:rPr>
          <w:rFonts w:ascii="Arial" w:cs="Arial" w:eastAsia="Arial" w:hAnsi="Arial"/>
          <w:sz w:val="17"/>
          <w:szCs w:val="17"/>
          <w:color w:val="auto"/>
        </w:rPr>
      </w:pPr>
      <w:r>
        <w:rPr>
          <w:rFonts w:ascii="Arial" w:cs="Arial" w:eastAsia="Arial" w:hAnsi="Arial"/>
          <w:sz w:val="16"/>
          <w:szCs w:val="16"/>
          <w:color w:val="auto"/>
        </w:rPr>
        <w:t>— While the Synergy Performance goals cannot be disclosed due to competitive reasons, they are rigorous, with threshold performance set higher than the synergy target of $275 million that ADI announced at the time of the Maxim Integrated acquisition.</w:t>
      </w:r>
    </w:p>
    <w:p>
      <w:pPr>
        <w:spacing w:after="0" w:line="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number of Maxim Integration PRSUs that will vest will be calculated based on linear interpolation between targets.</w:t>
      </w:r>
    </w:p>
    <w:p>
      <w:pPr>
        <w:spacing w:after="0" w:line="259" w:lineRule="exact"/>
        <w:rPr>
          <w:sz w:val="20"/>
          <w:szCs w:val="20"/>
          <w:color w:val="auto"/>
        </w:rPr>
      </w:pPr>
    </w:p>
    <w:tbl>
      <w:tblPr>
        <w:tblLayout w:type="fixed"/>
        <w:tblInd w:w="480" w:type="dxa"/>
        <w:tblCellMar>
          <w:top w:w="0" w:type="dxa"/>
          <w:left w:w="0" w:type="dxa"/>
          <w:bottom w:w="0" w:type="dxa"/>
          <w:right w:w="0" w:type="dxa"/>
        </w:tblCellMar>
      </w:tblPr>
      <w:tr>
        <w:trPr>
          <w:trHeight w:val="202"/>
        </w:trPr>
        <w:tc>
          <w:tcPr>
            <w:tcW w:w="648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Synergy Performance Goal Attained</w:t>
            </w:r>
          </w:p>
        </w:tc>
        <w:tc>
          <w:tcPr>
            <w:tcW w:w="3800" w:type="dxa"/>
            <w:vAlign w:val="bottom"/>
            <w:shd w:val="clear" w:color="auto" w:fill="0066BA"/>
          </w:tcPr>
          <w:p>
            <w:pPr>
              <w:ind w:left="220"/>
              <w:spacing w:after="0"/>
              <w:rPr>
                <w:sz w:val="20"/>
                <w:szCs w:val="20"/>
                <w:color w:val="auto"/>
              </w:rPr>
            </w:pPr>
            <w:r>
              <w:rPr>
                <w:rFonts w:ascii="Arial" w:cs="Arial" w:eastAsia="Arial" w:hAnsi="Arial"/>
                <w:sz w:val="14"/>
                <w:szCs w:val="14"/>
                <w:b w:val="1"/>
                <w:bCs w:val="1"/>
                <w:color w:val="FFFFFF"/>
              </w:rPr>
              <w:t>Percentage of Target Amount to Vest</w:t>
            </w:r>
          </w:p>
        </w:tc>
      </w:tr>
      <w:tr>
        <w:trPr>
          <w:trHeight w:val="85"/>
        </w:trPr>
        <w:tc>
          <w:tcPr>
            <w:tcW w:w="6480" w:type="dxa"/>
            <w:vAlign w:val="bottom"/>
            <w:shd w:val="clear" w:color="auto" w:fill="0066BA"/>
          </w:tcPr>
          <w:p>
            <w:pPr>
              <w:spacing w:after="0"/>
              <w:rPr>
                <w:sz w:val="7"/>
                <w:szCs w:val="7"/>
                <w:color w:val="auto"/>
              </w:rPr>
            </w:pPr>
          </w:p>
        </w:tc>
        <w:tc>
          <w:tcPr>
            <w:tcW w:w="3800" w:type="dxa"/>
            <w:vAlign w:val="bottom"/>
            <w:shd w:val="clear" w:color="auto" w:fill="0066BA"/>
          </w:tcPr>
          <w:p>
            <w:pPr>
              <w:spacing w:after="0"/>
              <w:rPr>
                <w:sz w:val="7"/>
                <w:szCs w:val="7"/>
                <w:color w:val="auto"/>
              </w:rPr>
            </w:pPr>
          </w:p>
        </w:tc>
      </w:tr>
      <w:tr>
        <w:trPr>
          <w:trHeight w:val="280"/>
        </w:trPr>
        <w:tc>
          <w:tcPr>
            <w:tcW w:w="6480" w:type="dxa"/>
            <w:vAlign w:val="bottom"/>
          </w:tcPr>
          <w:p>
            <w:pPr>
              <w:ind w:left="60"/>
              <w:spacing w:after="0"/>
              <w:rPr>
                <w:sz w:val="20"/>
                <w:szCs w:val="20"/>
                <w:color w:val="auto"/>
              </w:rPr>
            </w:pPr>
            <w:r>
              <w:rPr>
                <w:rFonts w:ascii="Arial" w:cs="Arial" w:eastAsia="Arial" w:hAnsi="Arial"/>
                <w:sz w:val="16"/>
                <w:szCs w:val="16"/>
                <w:color w:val="auto"/>
              </w:rPr>
              <w:t>Minimum threshold as determined by the Compensation Committee</w:t>
            </w:r>
          </w:p>
        </w:tc>
        <w:tc>
          <w:tcPr>
            <w:tcW w:w="3800" w:type="dxa"/>
            <w:vAlign w:val="bottom"/>
            <w:shd w:val="clear" w:color="auto" w:fill="EAEAEA"/>
          </w:tcPr>
          <w:p>
            <w:pPr>
              <w:ind w:left="220"/>
              <w:spacing w:after="0"/>
              <w:rPr>
                <w:sz w:val="20"/>
                <w:szCs w:val="20"/>
                <w:color w:val="auto"/>
              </w:rPr>
            </w:pPr>
            <w:r>
              <w:rPr>
                <w:rFonts w:ascii="Arial" w:cs="Arial" w:eastAsia="Arial" w:hAnsi="Arial"/>
                <w:sz w:val="16"/>
                <w:szCs w:val="16"/>
                <w:color w:val="auto"/>
              </w:rPr>
              <w:t>0%</w:t>
            </w:r>
          </w:p>
        </w:tc>
      </w:tr>
      <w:tr>
        <w:trPr>
          <w:trHeight w:val="84"/>
        </w:trPr>
        <w:tc>
          <w:tcPr>
            <w:tcW w:w="6480" w:type="dxa"/>
            <w:vAlign w:val="bottom"/>
            <w:tcBorders>
              <w:bottom w:val="single" w:sz="8" w:color="0066BA"/>
            </w:tcBorders>
          </w:tcPr>
          <w:p>
            <w:pPr>
              <w:spacing w:after="0"/>
              <w:rPr>
                <w:sz w:val="7"/>
                <w:szCs w:val="7"/>
                <w:color w:val="auto"/>
              </w:rPr>
            </w:pPr>
          </w:p>
        </w:tc>
        <w:tc>
          <w:tcPr>
            <w:tcW w:w="3800" w:type="dxa"/>
            <w:vAlign w:val="bottom"/>
            <w:tcBorders>
              <w:bottom w:val="single" w:sz="8" w:color="0066BA"/>
            </w:tcBorders>
            <w:shd w:val="clear" w:color="auto" w:fill="EAEAEA"/>
          </w:tcPr>
          <w:p>
            <w:pPr>
              <w:spacing w:after="0"/>
              <w:rPr>
                <w:sz w:val="7"/>
                <w:szCs w:val="7"/>
                <w:color w:val="auto"/>
              </w:rPr>
            </w:pPr>
          </w:p>
        </w:tc>
      </w:tr>
      <w:tr>
        <w:trPr>
          <w:trHeight w:val="260"/>
        </w:trPr>
        <w:tc>
          <w:tcPr>
            <w:tcW w:w="6480" w:type="dxa"/>
            <w:vAlign w:val="bottom"/>
          </w:tcPr>
          <w:p>
            <w:pPr>
              <w:ind w:left="60"/>
              <w:spacing w:after="0"/>
              <w:rPr>
                <w:sz w:val="20"/>
                <w:szCs w:val="20"/>
                <w:color w:val="auto"/>
              </w:rPr>
            </w:pPr>
            <w:r>
              <w:rPr>
                <w:rFonts w:ascii="Arial" w:cs="Arial" w:eastAsia="Arial" w:hAnsi="Arial"/>
                <w:sz w:val="16"/>
                <w:szCs w:val="16"/>
                <w:color w:val="auto"/>
              </w:rPr>
              <w:t>Target threshold as determined by the Compensation Committee</w:t>
            </w:r>
          </w:p>
        </w:tc>
        <w:tc>
          <w:tcPr>
            <w:tcW w:w="3800" w:type="dxa"/>
            <w:vAlign w:val="bottom"/>
            <w:shd w:val="clear" w:color="auto" w:fill="EAEAEA"/>
          </w:tcPr>
          <w:p>
            <w:pPr>
              <w:ind w:left="220"/>
              <w:spacing w:after="0"/>
              <w:rPr>
                <w:sz w:val="20"/>
                <w:szCs w:val="20"/>
                <w:color w:val="auto"/>
              </w:rPr>
            </w:pPr>
            <w:r>
              <w:rPr>
                <w:rFonts w:ascii="Arial" w:cs="Arial" w:eastAsia="Arial" w:hAnsi="Arial"/>
                <w:sz w:val="16"/>
                <w:szCs w:val="16"/>
                <w:color w:val="auto"/>
              </w:rPr>
              <w:t>100%</w:t>
            </w:r>
          </w:p>
        </w:tc>
      </w:tr>
      <w:tr>
        <w:trPr>
          <w:trHeight w:val="84"/>
        </w:trPr>
        <w:tc>
          <w:tcPr>
            <w:tcW w:w="6480" w:type="dxa"/>
            <w:vAlign w:val="bottom"/>
            <w:tcBorders>
              <w:bottom w:val="single" w:sz="8" w:color="0066BA"/>
            </w:tcBorders>
          </w:tcPr>
          <w:p>
            <w:pPr>
              <w:spacing w:after="0"/>
              <w:rPr>
                <w:sz w:val="7"/>
                <w:szCs w:val="7"/>
                <w:color w:val="auto"/>
              </w:rPr>
            </w:pPr>
          </w:p>
        </w:tc>
        <w:tc>
          <w:tcPr>
            <w:tcW w:w="3800" w:type="dxa"/>
            <w:vAlign w:val="bottom"/>
            <w:tcBorders>
              <w:bottom w:val="single" w:sz="8" w:color="0066BA"/>
            </w:tcBorders>
            <w:shd w:val="clear" w:color="auto" w:fill="EAEAEA"/>
          </w:tcPr>
          <w:p>
            <w:pPr>
              <w:spacing w:after="0"/>
              <w:rPr>
                <w:sz w:val="7"/>
                <w:szCs w:val="7"/>
                <w:color w:val="auto"/>
              </w:rPr>
            </w:pPr>
          </w:p>
        </w:tc>
      </w:tr>
      <w:tr>
        <w:trPr>
          <w:trHeight w:val="260"/>
        </w:trPr>
        <w:tc>
          <w:tcPr>
            <w:tcW w:w="6480" w:type="dxa"/>
            <w:vAlign w:val="bottom"/>
          </w:tcPr>
          <w:p>
            <w:pPr>
              <w:ind w:left="60"/>
              <w:spacing w:after="0"/>
              <w:rPr>
                <w:sz w:val="20"/>
                <w:szCs w:val="20"/>
                <w:color w:val="auto"/>
              </w:rPr>
            </w:pPr>
            <w:r>
              <w:rPr>
                <w:rFonts w:ascii="Arial" w:cs="Arial" w:eastAsia="Arial" w:hAnsi="Arial"/>
                <w:sz w:val="16"/>
                <w:szCs w:val="16"/>
                <w:color w:val="auto"/>
              </w:rPr>
              <w:t>Maximum threshold as determined by the Compensation Committee</w:t>
            </w:r>
          </w:p>
        </w:tc>
        <w:tc>
          <w:tcPr>
            <w:tcW w:w="3800" w:type="dxa"/>
            <w:vAlign w:val="bottom"/>
            <w:shd w:val="clear" w:color="auto" w:fill="EAEAEA"/>
          </w:tcPr>
          <w:p>
            <w:pPr>
              <w:ind w:left="220"/>
              <w:spacing w:after="0"/>
              <w:rPr>
                <w:sz w:val="20"/>
                <w:szCs w:val="20"/>
                <w:color w:val="auto"/>
              </w:rPr>
            </w:pPr>
            <w:r>
              <w:rPr>
                <w:rFonts w:ascii="Arial" w:cs="Arial" w:eastAsia="Arial" w:hAnsi="Arial"/>
                <w:sz w:val="16"/>
                <w:szCs w:val="16"/>
                <w:color w:val="auto"/>
              </w:rPr>
              <w:t>150%</w:t>
            </w:r>
          </w:p>
        </w:tc>
      </w:tr>
      <w:tr>
        <w:trPr>
          <w:trHeight w:val="84"/>
        </w:trPr>
        <w:tc>
          <w:tcPr>
            <w:tcW w:w="6480" w:type="dxa"/>
            <w:vAlign w:val="bottom"/>
            <w:tcBorders>
              <w:bottom w:val="single" w:sz="8" w:color="0066BA"/>
            </w:tcBorders>
          </w:tcPr>
          <w:p>
            <w:pPr>
              <w:spacing w:after="0"/>
              <w:rPr>
                <w:sz w:val="7"/>
                <w:szCs w:val="7"/>
                <w:color w:val="auto"/>
              </w:rPr>
            </w:pPr>
          </w:p>
        </w:tc>
        <w:tc>
          <w:tcPr>
            <w:tcW w:w="3800" w:type="dxa"/>
            <w:vAlign w:val="bottom"/>
            <w:tcBorders>
              <w:bottom w:val="single" w:sz="8" w:color="0066BA"/>
            </w:tcBorders>
            <w:shd w:val="clear" w:color="auto" w:fill="EAEAEA"/>
          </w:tcPr>
          <w:p>
            <w:pPr>
              <w:spacing w:after="0"/>
              <w:rPr>
                <w:sz w:val="7"/>
                <w:szCs w:val="7"/>
                <w:color w:val="auto"/>
              </w:rPr>
            </w:pPr>
          </w:p>
        </w:tc>
      </w:tr>
    </w:tbl>
    <w:p>
      <w:pPr>
        <w:spacing w:after="0" w:line="99" w:lineRule="exact"/>
        <w:rPr>
          <w:sz w:val="20"/>
          <w:szCs w:val="20"/>
          <w:color w:val="auto"/>
        </w:rPr>
      </w:pPr>
    </w:p>
    <w:p>
      <w:pPr>
        <w:ind w:left="860" w:right="360" w:hanging="385"/>
        <w:spacing w:after="0" w:line="293" w:lineRule="auto"/>
        <w:tabs>
          <w:tab w:leader="none" w:pos="860" w:val="left"/>
        </w:tabs>
        <w:numPr>
          <w:ilvl w:val="0"/>
          <w:numId w:val="54"/>
        </w:numPr>
        <w:rPr>
          <w:rFonts w:ascii="Arial" w:cs="Arial" w:eastAsia="Arial" w:hAnsi="Arial"/>
          <w:sz w:val="17"/>
          <w:szCs w:val="17"/>
          <w:color w:val="auto"/>
        </w:rPr>
      </w:pPr>
      <w:r>
        <w:rPr>
          <w:rFonts w:ascii="Arial" w:cs="Arial" w:eastAsia="Arial" w:hAnsi="Arial"/>
          <w:sz w:val="17"/>
          <w:szCs w:val="17"/>
          <w:b w:val="1"/>
          <w:bCs w:val="1"/>
          <w:color w:val="auto"/>
        </w:rPr>
        <w:t xml:space="preserve">Speed of Delivery Accelerator: </w:t>
      </w:r>
      <w:r>
        <w:rPr>
          <w:rFonts w:ascii="Arial" w:cs="Arial" w:eastAsia="Arial" w:hAnsi="Arial"/>
          <w:sz w:val="17"/>
          <w:szCs w:val="17"/>
          <w:color w:val="auto"/>
        </w:rPr>
        <w:t>If the minimum Synergy Performance Goal is fully realized within 18 months following the Acquisition</w:t>
      </w:r>
      <w:r>
        <w:rPr>
          <w:rFonts w:ascii="Arial" w:cs="Arial" w:eastAsia="Arial" w:hAnsi="Arial"/>
          <w:sz w:val="17"/>
          <w:szCs w:val="17"/>
          <w:b w:val="1"/>
          <w:bCs w:val="1"/>
          <w:color w:val="auto"/>
        </w:rPr>
        <w:t xml:space="preserve"> </w:t>
      </w:r>
      <w:r>
        <w:rPr>
          <w:rFonts w:ascii="Arial" w:cs="Arial" w:eastAsia="Arial" w:hAnsi="Arial"/>
          <w:sz w:val="17"/>
          <w:szCs w:val="17"/>
          <w:color w:val="auto"/>
        </w:rPr>
        <w:t>Date, then an additional number of Maxim Integration PRSUs equal to 50% of the Target Amount will vest.</w:t>
      </w:r>
    </w:p>
    <w:p>
      <w:pPr>
        <w:spacing w:after="0" w:line="49" w:lineRule="exact"/>
        <w:rPr>
          <w:sz w:val="20"/>
          <w:szCs w:val="20"/>
          <w:color w:val="auto"/>
        </w:rPr>
      </w:pPr>
    </w:p>
    <w:p>
      <w:pPr>
        <w:ind w:left="480" w:right="360"/>
        <w:spacing w:after="0" w:line="286" w:lineRule="auto"/>
        <w:rPr>
          <w:sz w:val="20"/>
          <w:szCs w:val="20"/>
          <w:color w:val="auto"/>
        </w:rPr>
      </w:pPr>
      <w:r>
        <w:rPr>
          <w:rFonts w:ascii="Arial" w:cs="Arial" w:eastAsia="Arial" w:hAnsi="Arial"/>
          <w:sz w:val="17"/>
          <w:szCs w:val="17"/>
          <w:color w:val="auto"/>
        </w:rPr>
        <w:t>A recipient can only obtain the maximum 200% of the Target Amount if both (i) the minimum Synergy Performance Goal is attained within 18 months following the Acquisition Date, in which case the Speed of</w:t>
      </w:r>
    </w:p>
    <w:p>
      <w:pPr>
        <w:spacing w:after="0" w:line="200" w:lineRule="exact"/>
        <w:rPr>
          <w:sz w:val="20"/>
          <w:szCs w:val="20"/>
          <w:color w:val="auto"/>
        </w:rPr>
      </w:pPr>
    </w:p>
    <w:p>
      <w:pPr>
        <w:spacing w:after="0" w:line="22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0760"/>
          </w:cols>
          <w:pgMar w:left="320" w:top="447" w:right="81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480" w:right="240"/>
        <w:spacing w:after="0" w:line="286" w:lineRule="auto"/>
        <w:rPr>
          <w:sz w:val="20"/>
          <w:szCs w:val="20"/>
          <w:color w:val="auto"/>
        </w:rPr>
      </w:pPr>
      <w:r>
        <w:rPr>
          <w:rFonts w:ascii="Arial" w:cs="Arial" w:eastAsia="Arial" w:hAnsi="Arial"/>
          <w:sz w:val="17"/>
          <w:szCs w:val="17"/>
          <w:color w:val="auto"/>
        </w:rPr>
        <w:t>Delivery Accelerator will apply, and (ii) the maximum Synergy Performance Goal is attained within the Performance Period. The recipient must be employed on the vesting date in order for any of the Maxim Integration PRSUs to vest.</w:t>
      </w:r>
    </w:p>
    <w:p>
      <w:pPr>
        <w:spacing w:after="0" w:line="48" w:lineRule="exact"/>
        <w:rPr>
          <w:sz w:val="20"/>
          <w:szCs w:val="20"/>
          <w:color w:val="auto"/>
        </w:rPr>
      </w:pPr>
    </w:p>
    <w:p>
      <w:pPr>
        <w:ind w:left="480" w:right="380"/>
        <w:spacing w:after="0" w:line="293" w:lineRule="auto"/>
        <w:rPr>
          <w:sz w:val="20"/>
          <w:szCs w:val="20"/>
          <w:color w:val="auto"/>
        </w:rPr>
      </w:pPr>
      <w:r>
        <w:rPr>
          <w:rFonts w:ascii="Arial" w:cs="Arial" w:eastAsia="Arial" w:hAnsi="Arial"/>
          <w:sz w:val="17"/>
          <w:szCs w:val="17"/>
          <w:b w:val="1"/>
          <w:bCs w:val="1"/>
          <w:color w:val="auto"/>
        </w:rPr>
        <w:t xml:space="preserve">Dilution Considerations. </w:t>
      </w:r>
      <w:r>
        <w:rPr>
          <w:rFonts w:ascii="Arial" w:cs="Arial" w:eastAsia="Arial" w:hAnsi="Arial"/>
          <w:sz w:val="17"/>
          <w:szCs w:val="17"/>
          <w:color w:val="auto"/>
        </w:rPr>
        <w:t>The Company is committed to keeping dilution under its stock plans for employees at reasonable levels. Our gross and</w:t>
      </w:r>
      <w:r>
        <w:rPr>
          <w:rFonts w:ascii="Arial" w:cs="Arial" w:eastAsia="Arial" w:hAnsi="Arial"/>
          <w:sz w:val="17"/>
          <w:szCs w:val="17"/>
          <w:b w:val="1"/>
          <w:bCs w:val="1"/>
          <w:color w:val="auto"/>
        </w:rPr>
        <w:t xml:space="preserve"> </w:t>
      </w:r>
      <w:r>
        <w:rPr>
          <w:rFonts w:ascii="Arial" w:cs="Arial" w:eastAsia="Arial" w:hAnsi="Arial"/>
          <w:sz w:val="17"/>
          <w:szCs w:val="17"/>
          <w:color w:val="auto"/>
        </w:rPr>
        <w:t>net dilution rate have been consistently lower than that of our peer group companies over the past several years.</w:t>
      </w:r>
    </w:p>
    <w:p>
      <w:pPr>
        <w:spacing w:after="0" w:line="49" w:lineRule="exact"/>
        <w:rPr>
          <w:sz w:val="20"/>
          <w:szCs w:val="20"/>
          <w:color w:val="auto"/>
        </w:rPr>
      </w:pPr>
    </w:p>
    <w:p>
      <w:pPr>
        <w:ind w:left="480"/>
        <w:spacing w:after="0"/>
        <w:rPr>
          <w:sz w:val="20"/>
          <w:szCs w:val="20"/>
          <w:color w:val="auto"/>
        </w:rPr>
      </w:pPr>
      <w:r>
        <w:rPr>
          <w:rFonts w:ascii="Arial" w:cs="Arial" w:eastAsia="Arial" w:hAnsi="Arial"/>
          <w:sz w:val="17"/>
          <w:szCs w:val="17"/>
          <w:color w:val="0066BA"/>
        </w:rPr>
        <w:t>CEO Performance Stock Option Award</w:t>
      </w:r>
    </w:p>
    <w:p>
      <w:pPr>
        <w:spacing w:after="0" w:line="25" w:lineRule="exact"/>
        <w:rPr>
          <w:sz w:val="20"/>
          <w:szCs w:val="20"/>
          <w:color w:val="auto"/>
        </w:rPr>
      </w:pPr>
    </w:p>
    <w:p>
      <w:pPr>
        <w:ind w:left="480" w:right="620"/>
        <w:spacing w:after="0" w:line="271" w:lineRule="auto"/>
        <w:rPr>
          <w:sz w:val="20"/>
          <w:szCs w:val="20"/>
          <w:color w:val="auto"/>
        </w:rPr>
      </w:pPr>
      <w:r>
        <w:rPr>
          <w:rFonts w:ascii="Arial" w:cs="Arial" w:eastAsia="Arial" w:hAnsi="Arial"/>
          <w:sz w:val="17"/>
          <w:szCs w:val="17"/>
          <w:color w:val="auto"/>
        </w:rPr>
        <w:t>In addition to the grants described above, in December 2020, the Compensation Committee approved the grant of a special performance stock option award to Mr. Roche, which we refer to as the CEO Performance Stock Option Award.</w:t>
      </w:r>
    </w:p>
    <w:p>
      <w:pPr>
        <w:spacing w:after="0" w:line="67" w:lineRule="exact"/>
        <w:rPr>
          <w:sz w:val="20"/>
          <w:szCs w:val="20"/>
          <w:color w:val="auto"/>
        </w:rPr>
      </w:pPr>
    </w:p>
    <w:p>
      <w:pPr>
        <w:ind w:left="480" w:right="540"/>
        <w:spacing w:after="0" w:line="298" w:lineRule="auto"/>
        <w:rPr>
          <w:sz w:val="20"/>
          <w:szCs w:val="20"/>
          <w:color w:val="auto"/>
        </w:rPr>
      </w:pPr>
      <w:r>
        <w:rPr>
          <w:rFonts w:ascii="Arial" w:cs="Arial" w:eastAsia="Arial" w:hAnsi="Arial"/>
          <w:sz w:val="15"/>
          <w:szCs w:val="15"/>
          <w:color w:val="auto"/>
        </w:rPr>
        <w:t>Since Mr. Roche’s tenure as CEO began in 2013 through the end of fiscal 2021, the Company’s total shareholder return has increased to 371%, which is 1.5x the S&amp;P 500 return of 237% for the same time period, and the Company’s market capitalization has increased by more than</w:t>
      </w:r>
    </w:p>
    <w:p>
      <w:pPr>
        <w:ind w:left="480" w:right="400"/>
        <w:spacing w:after="0" w:line="339" w:lineRule="auto"/>
        <w:rPr>
          <w:sz w:val="20"/>
          <w:szCs w:val="20"/>
          <w:color w:val="auto"/>
        </w:rPr>
      </w:pPr>
      <w:r>
        <w:rPr>
          <w:rFonts w:ascii="Arial" w:cs="Arial" w:eastAsia="Arial" w:hAnsi="Arial"/>
          <w:sz w:val="15"/>
          <w:szCs w:val="15"/>
          <w:color w:val="auto"/>
        </w:rPr>
        <w:t>$80 billion. The CEO Performance Stock Option Award was granted to provide Mr. Roche with a strong incentive to continue to create sustained exceptional growth in the Company and its stock price. The award carries a long-term performance period and rigorous stock price hurdles.</w:t>
      </w:r>
    </w:p>
    <w:p>
      <w:pPr>
        <w:spacing w:after="0" w:line="21"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Before granting the CEO Performance Stock Option Award in December 2020, the Compensation Committee considered the following factors:</w:t>
      </w:r>
    </w:p>
    <w:p>
      <w:pPr>
        <w:spacing w:after="0" w:line="78" w:lineRule="exact"/>
        <w:rPr>
          <w:sz w:val="20"/>
          <w:szCs w:val="20"/>
          <w:color w:val="auto"/>
        </w:rPr>
      </w:pPr>
    </w:p>
    <w:p>
      <w:pPr>
        <w:ind w:left="860" w:right="360" w:hanging="385"/>
        <w:spacing w:after="0" w:line="334" w:lineRule="auto"/>
        <w:tabs>
          <w:tab w:leader="none" w:pos="8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key role that Mr. Roche has played in leading and transforming ADI since he became CEO in 2013 and the importance of his continued leadership during this critical phase of ADI’s growth, particularly given the Maxim Integrated acquisition, which was pending at the time;</w:t>
      </w:r>
    </w:p>
    <w:p>
      <w:pPr>
        <w:spacing w:after="0" w:line="1" w:lineRule="exact"/>
        <w:rPr>
          <w:rFonts w:ascii="Arial" w:cs="Arial" w:eastAsia="Arial" w:hAnsi="Arial"/>
          <w:sz w:val="15"/>
          <w:szCs w:val="15"/>
          <w:color w:val="auto"/>
        </w:rPr>
      </w:pPr>
    </w:p>
    <w:p>
      <w:pPr>
        <w:ind w:left="860" w:right="300" w:hanging="385"/>
        <w:spacing w:after="0" w:line="286" w:lineRule="auto"/>
        <w:tabs>
          <w:tab w:leader="none" w:pos="8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Mr. Roche’s unique depth of understanding of ADI, strength of leadership capability and vision to drive the long-term corporate strategy and continued success of the Company;</w:t>
      </w:r>
    </w:p>
    <w:p>
      <w:pPr>
        <w:spacing w:after="0" w:line="15" w:lineRule="exact"/>
        <w:rPr>
          <w:rFonts w:ascii="Arial" w:cs="Arial" w:eastAsia="Arial" w:hAnsi="Arial"/>
          <w:sz w:val="17"/>
          <w:szCs w:val="17"/>
          <w:color w:val="auto"/>
        </w:rPr>
      </w:pPr>
    </w:p>
    <w:p>
      <w:pPr>
        <w:ind w:left="860" w:right="320" w:hanging="385"/>
        <w:spacing w:after="0" w:line="286" w:lineRule="auto"/>
        <w:tabs>
          <w:tab w:leader="none" w:pos="8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rapid changes and consolidation taking place within the semiconductor industry and the constant need to transform and grow within this highly competitive environment;</w:t>
      </w:r>
    </w:p>
    <w:p>
      <w:pPr>
        <w:spacing w:after="0" w:line="15" w:lineRule="exact"/>
        <w:rPr>
          <w:rFonts w:ascii="Arial" w:cs="Arial" w:eastAsia="Arial" w:hAnsi="Arial"/>
          <w:sz w:val="17"/>
          <w:szCs w:val="17"/>
          <w:color w:val="auto"/>
        </w:rPr>
      </w:pPr>
    </w:p>
    <w:p>
      <w:pPr>
        <w:ind w:left="860" w:hanging="385"/>
        <w:spacing w:after="0"/>
        <w:tabs>
          <w:tab w:leader="none" w:pos="8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importance of continuing to incentivize continued exceptional shareholder value creation over an extended timeframe, and</w:t>
      </w:r>
    </w:p>
    <w:p>
      <w:pPr>
        <w:spacing w:after="0" w:line="77" w:lineRule="exact"/>
        <w:rPr>
          <w:rFonts w:ascii="Arial" w:cs="Arial" w:eastAsia="Arial" w:hAnsi="Arial"/>
          <w:sz w:val="17"/>
          <w:szCs w:val="17"/>
          <w:color w:val="auto"/>
        </w:rPr>
      </w:pPr>
    </w:p>
    <w:p>
      <w:pPr>
        <w:ind w:left="860" w:hanging="385"/>
        <w:spacing w:after="0"/>
        <w:tabs>
          <w:tab w:leader="none" w:pos="8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importance of aligning Mr. Roche’s interests with those of our shareholders.</w:t>
      </w:r>
    </w:p>
    <w:p>
      <w:pPr>
        <w:spacing w:after="0" w:line="117" w:lineRule="exact"/>
        <w:rPr>
          <w:sz w:val="20"/>
          <w:szCs w:val="20"/>
          <w:color w:val="auto"/>
        </w:rPr>
      </w:pPr>
    </w:p>
    <w:p>
      <w:pPr>
        <w:ind w:left="480" w:right="240"/>
        <w:spacing w:after="0" w:line="287" w:lineRule="auto"/>
        <w:rPr>
          <w:sz w:val="20"/>
          <w:szCs w:val="20"/>
          <w:color w:val="auto"/>
        </w:rPr>
      </w:pPr>
      <w:r>
        <w:rPr>
          <w:rFonts w:ascii="Arial" w:cs="Arial" w:eastAsia="Arial" w:hAnsi="Arial"/>
          <w:sz w:val="16"/>
          <w:szCs w:val="16"/>
          <w:color w:val="auto"/>
        </w:rPr>
        <w:t>The CEO Performance Stock Option Award, designed by the Compensation Committee in consultation with Pearl Meyer, its independent compensation consultant, emphasizes sustainable shareholder value creation over time. The Compensation Committee specifically determined to issue this award in the form of performance-vested stock options such that Mr. Roche will only realize value from the award if significant increases in our stock price are sustained above the exercise price, thereby closely aligning with shareholder interests.</w:t>
      </w:r>
    </w:p>
    <w:p>
      <w:pPr>
        <w:spacing w:after="0" w:line="57" w:lineRule="exact"/>
        <w:rPr>
          <w:sz w:val="20"/>
          <w:szCs w:val="20"/>
          <w:color w:val="auto"/>
        </w:rPr>
      </w:pPr>
    </w:p>
    <w:p>
      <w:pPr>
        <w:ind w:left="480" w:right="380"/>
        <w:spacing w:after="0" w:line="260" w:lineRule="auto"/>
        <w:rPr>
          <w:sz w:val="20"/>
          <w:szCs w:val="20"/>
          <w:color w:val="auto"/>
        </w:rPr>
      </w:pPr>
      <w:r>
        <w:rPr>
          <w:rFonts w:ascii="Arial" w:cs="Arial" w:eastAsia="Arial" w:hAnsi="Arial"/>
          <w:sz w:val="17"/>
          <w:szCs w:val="17"/>
          <w:color w:val="auto"/>
        </w:rPr>
        <w:t>The CEO Performance Stock Option Award is exercisable for up to 460,000 shares of our common stock, or the Target Number of Shares, at an exercise price per share of $144.06 (which was the closing price of our common stock on the date of grant of the CEO Performance Stock Option Award) and vests subject to the satisfaction of certain challenging target price thresholds during a five-year period. The award was valued at $14.4 million on the date of grant. The value when annualized over the five-year performance period is $2.9 million per year, approximately one-third of the average value of Mr. Roche’s long-term incentive compensation over the past three years. The CEO Performance Stock Option Award was granted to Mr. Roche in addition to his annual equity awards for fiscal 2021. The Committee does not intend to grant Mr. Roche additional special awards during the performance period of this award.</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0940"/>
          </w:cols>
          <w:pgMar w:left="320" w:top="447" w:right="63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480" w:right="20"/>
        <w:spacing w:after="0" w:line="281" w:lineRule="auto"/>
        <w:rPr>
          <w:sz w:val="20"/>
          <w:szCs w:val="20"/>
          <w:color w:val="auto"/>
        </w:rPr>
      </w:pPr>
      <w:r>
        <w:rPr>
          <w:rFonts w:ascii="Arial" w:cs="Arial" w:eastAsia="Arial" w:hAnsi="Arial"/>
          <w:sz w:val="16"/>
          <w:szCs w:val="16"/>
          <w:color w:val="auto"/>
        </w:rPr>
        <w:t>The target price thresholds, and the number of shares underlying the CEO Performance Stock Option Award that will become exercisable as a result of the attainment of each threshold, are set forth below. To determine meaningful but challenging target price thresholds, the Compensation Committee established a baseline stock price of $122.72, which was calculated as the 70-trading day average closing stock price on November 30, 2020. The target price thresholds were chosen to reward significant growth from our baseline stock price. The actual number of shares that will become exercisable will range from zero to a maximum of 100% of the Target Number of Shares based on the attainment of such target price thresholds at any time during a five-year period from December 15, 2020 to December 15, 2025.</w:t>
      </w:r>
    </w:p>
    <w:p>
      <w:pPr>
        <w:spacing w:after="0" w:line="203" w:lineRule="exact"/>
        <w:rPr>
          <w:sz w:val="20"/>
          <w:szCs w:val="20"/>
          <w:color w:val="auto"/>
        </w:rPr>
      </w:pPr>
    </w:p>
    <w:tbl>
      <w:tblPr>
        <w:tblLayout w:type="fixed"/>
        <w:tblInd w:w="480" w:type="dxa"/>
        <w:tblCellMar>
          <w:top w:w="0" w:type="dxa"/>
          <w:left w:w="0" w:type="dxa"/>
          <w:bottom w:w="0" w:type="dxa"/>
          <w:right w:w="0" w:type="dxa"/>
        </w:tblCellMar>
      </w:tblPr>
      <w:tr>
        <w:trPr>
          <w:trHeight w:val="171"/>
        </w:trPr>
        <w:tc>
          <w:tcPr>
            <w:tcW w:w="3680" w:type="dxa"/>
            <w:vAlign w:val="bottom"/>
            <w:shd w:val="clear" w:color="auto" w:fill="0066BA"/>
          </w:tcPr>
          <w:p>
            <w:pPr>
              <w:spacing w:after="0"/>
              <w:rPr>
                <w:sz w:val="14"/>
                <w:szCs w:val="14"/>
                <w:color w:val="auto"/>
              </w:rPr>
            </w:pPr>
          </w:p>
        </w:tc>
        <w:tc>
          <w:tcPr>
            <w:tcW w:w="2900" w:type="dxa"/>
            <w:vAlign w:val="bottom"/>
            <w:shd w:val="clear" w:color="auto" w:fill="0066BA"/>
          </w:tcPr>
          <w:p>
            <w:pPr>
              <w:ind w:left="140"/>
              <w:spacing w:after="0"/>
              <w:rPr>
                <w:sz w:val="20"/>
                <w:szCs w:val="20"/>
                <w:color w:val="auto"/>
              </w:rPr>
            </w:pPr>
            <w:r>
              <w:rPr>
                <w:rFonts w:ascii="Arial" w:cs="Arial" w:eastAsia="Arial" w:hAnsi="Arial"/>
                <w:sz w:val="14"/>
                <w:szCs w:val="14"/>
                <w:b w:val="1"/>
                <w:bCs w:val="1"/>
                <w:color w:val="FFFFFF"/>
              </w:rPr>
              <w:t>Share price % increase vs</w:t>
            </w:r>
          </w:p>
        </w:tc>
        <w:tc>
          <w:tcPr>
            <w:tcW w:w="3700" w:type="dxa"/>
            <w:vAlign w:val="bottom"/>
            <w:shd w:val="clear" w:color="auto" w:fill="0066BA"/>
          </w:tcPr>
          <w:p>
            <w:pPr>
              <w:ind w:left="120"/>
              <w:spacing w:after="0"/>
              <w:rPr>
                <w:sz w:val="20"/>
                <w:szCs w:val="20"/>
                <w:color w:val="auto"/>
              </w:rPr>
            </w:pPr>
            <w:r>
              <w:rPr>
                <w:rFonts w:ascii="Arial" w:cs="Arial" w:eastAsia="Arial" w:hAnsi="Arial"/>
                <w:sz w:val="14"/>
                <w:szCs w:val="14"/>
                <w:b w:val="1"/>
                <w:bCs w:val="1"/>
                <w:color w:val="FFFFFF"/>
              </w:rPr>
              <w:t>Number of Shares Exercisable as a</w:t>
            </w:r>
          </w:p>
        </w:tc>
      </w:tr>
      <w:tr>
        <w:trPr>
          <w:trHeight w:val="195"/>
        </w:trPr>
        <w:tc>
          <w:tcPr>
            <w:tcW w:w="368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Target Price Threshold</w:t>
            </w:r>
          </w:p>
        </w:tc>
        <w:tc>
          <w:tcPr>
            <w:tcW w:w="2900" w:type="dxa"/>
            <w:vAlign w:val="bottom"/>
            <w:shd w:val="clear" w:color="auto" w:fill="0066BA"/>
          </w:tcPr>
          <w:p>
            <w:pPr>
              <w:ind w:left="140"/>
              <w:spacing w:after="0"/>
              <w:rPr>
                <w:sz w:val="20"/>
                <w:szCs w:val="20"/>
                <w:color w:val="auto"/>
              </w:rPr>
            </w:pPr>
            <w:r>
              <w:rPr>
                <w:rFonts w:ascii="Arial" w:cs="Arial" w:eastAsia="Arial" w:hAnsi="Arial"/>
                <w:sz w:val="14"/>
                <w:szCs w:val="14"/>
                <w:b w:val="1"/>
                <w:bCs w:val="1"/>
                <w:color w:val="FFFFFF"/>
              </w:rPr>
              <w:t>baseline stock price of $122.72</w:t>
            </w:r>
          </w:p>
        </w:tc>
        <w:tc>
          <w:tcPr>
            <w:tcW w:w="3700" w:type="dxa"/>
            <w:vAlign w:val="bottom"/>
            <w:shd w:val="clear" w:color="auto" w:fill="0066BA"/>
          </w:tcPr>
          <w:p>
            <w:pPr>
              <w:ind w:left="120"/>
              <w:spacing w:after="0"/>
              <w:rPr>
                <w:sz w:val="20"/>
                <w:szCs w:val="20"/>
                <w:color w:val="auto"/>
              </w:rPr>
            </w:pPr>
            <w:r>
              <w:rPr>
                <w:rFonts w:ascii="Arial" w:cs="Arial" w:eastAsia="Arial" w:hAnsi="Arial"/>
                <w:sz w:val="14"/>
                <w:szCs w:val="14"/>
                <w:b w:val="1"/>
                <w:bCs w:val="1"/>
                <w:color w:val="FFFFFF"/>
              </w:rPr>
              <w:t>Percentage of Target Number of Shares</w:t>
            </w:r>
          </w:p>
        </w:tc>
      </w:tr>
      <w:tr>
        <w:trPr>
          <w:trHeight w:val="90"/>
        </w:trPr>
        <w:tc>
          <w:tcPr>
            <w:tcW w:w="3680" w:type="dxa"/>
            <w:vAlign w:val="bottom"/>
            <w:shd w:val="clear" w:color="auto" w:fill="0066BA"/>
          </w:tcPr>
          <w:p>
            <w:pPr>
              <w:spacing w:after="0"/>
              <w:rPr>
                <w:sz w:val="7"/>
                <w:szCs w:val="7"/>
                <w:color w:val="auto"/>
              </w:rPr>
            </w:pPr>
          </w:p>
        </w:tc>
        <w:tc>
          <w:tcPr>
            <w:tcW w:w="2900" w:type="dxa"/>
            <w:vAlign w:val="bottom"/>
            <w:shd w:val="clear" w:color="auto" w:fill="0066BA"/>
          </w:tcPr>
          <w:p>
            <w:pPr>
              <w:spacing w:after="0"/>
              <w:rPr>
                <w:sz w:val="7"/>
                <w:szCs w:val="7"/>
                <w:color w:val="auto"/>
              </w:rPr>
            </w:pPr>
          </w:p>
        </w:tc>
        <w:tc>
          <w:tcPr>
            <w:tcW w:w="3700" w:type="dxa"/>
            <w:vAlign w:val="bottom"/>
            <w:shd w:val="clear" w:color="auto" w:fill="0066BA"/>
          </w:tcPr>
          <w:p>
            <w:pPr>
              <w:spacing w:after="0"/>
              <w:rPr>
                <w:sz w:val="7"/>
                <w:szCs w:val="7"/>
                <w:color w:val="auto"/>
              </w:rPr>
            </w:pPr>
          </w:p>
        </w:tc>
      </w:tr>
      <w:tr>
        <w:trPr>
          <w:trHeight w:val="260"/>
        </w:trPr>
        <w:tc>
          <w:tcPr>
            <w:tcW w:w="3680" w:type="dxa"/>
            <w:vAlign w:val="bottom"/>
          </w:tcPr>
          <w:p>
            <w:pPr>
              <w:ind w:left="60"/>
              <w:spacing w:after="0"/>
              <w:rPr>
                <w:sz w:val="20"/>
                <w:szCs w:val="20"/>
                <w:color w:val="auto"/>
              </w:rPr>
            </w:pPr>
            <w:r>
              <w:rPr>
                <w:rFonts w:ascii="Arial" w:cs="Arial" w:eastAsia="Arial" w:hAnsi="Arial"/>
                <w:sz w:val="16"/>
                <w:szCs w:val="16"/>
                <w:color w:val="auto"/>
              </w:rPr>
              <w:t>$180 per share</w:t>
            </w:r>
          </w:p>
        </w:tc>
        <w:tc>
          <w:tcPr>
            <w:tcW w:w="2900" w:type="dxa"/>
            <w:vAlign w:val="bottom"/>
            <w:tcBorders>
              <w:bottom w:val="single" w:sz="8" w:color="EAEAEA"/>
            </w:tcBorders>
            <w:shd w:val="clear" w:color="auto" w:fill="EAEAEA"/>
          </w:tcPr>
          <w:p>
            <w:pPr>
              <w:jc w:val="right"/>
              <w:ind w:right="2345"/>
              <w:spacing w:after="0"/>
              <w:rPr>
                <w:sz w:val="20"/>
                <w:szCs w:val="20"/>
                <w:color w:val="auto"/>
              </w:rPr>
            </w:pPr>
            <w:r>
              <w:rPr>
                <w:rFonts w:ascii="Arial" w:cs="Arial" w:eastAsia="Arial" w:hAnsi="Arial"/>
                <w:sz w:val="16"/>
                <w:szCs w:val="16"/>
                <w:color w:val="auto"/>
              </w:rPr>
              <w:t>47%</w:t>
            </w:r>
          </w:p>
        </w:tc>
        <w:tc>
          <w:tcPr>
            <w:tcW w:w="3700" w:type="dxa"/>
            <w:vAlign w:val="bottom"/>
          </w:tcPr>
          <w:p>
            <w:pPr>
              <w:ind w:left="180"/>
              <w:spacing w:after="0"/>
              <w:rPr>
                <w:sz w:val="20"/>
                <w:szCs w:val="20"/>
                <w:color w:val="auto"/>
              </w:rPr>
            </w:pPr>
            <w:r>
              <w:rPr>
                <w:rFonts w:ascii="Arial" w:cs="Arial" w:eastAsia="Arial" w:hAnsi="Arial"/>
                <w:sz w:val="16"/>
                <w:szCs w:val="16"/>
                <w:color w:val="auto"/>
              </w:rPr>
              <w:t>33%</w:t>
            </w:r>
          </w:p>
        </w:tc>
      </w:tr>
      <w:tr>
        <w:trPr>
          <w:trHeight w:val="253"/>
        </w:trPr>
        <w:tc>
          <w:tcPr>
            <w:tcW w:w="368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$200 per share</w:t>
            </w:r>
          </w:p>
        </w:tc>
        <w:tc>
          <w:tcPr>
            <w:tcW w:w="2900" w:type="dxa"/>
            <w:vAlign w:val="bottom"/>
            <w:tcBorders>
              <w:top w:val="single" w:sz="8" w:color="auto"/>
              <w:bottom w:val="single" w:sz="8" w:color="EAEAEA"/>
            </w:tcBorders>
            <w:shd w:val="clear" w:color="auto" w:fill="EAEAEA"/>
          </w:tcPr>
          <w:p>
            <w:pPr>
              <w:jc w:val="right"/>
              <w:ind w:right="2345"/>
              <w:spacing w:after="0"/>
              <w:rPr>
                <w:sz w:val="20"/>
                <w:szCs w:val="20"/>
                <w:color w:val="auto"/>
              </w:rPr>
            </w:pPr>
            <w:r>
              <w:rPr>
                <w:rFonts w:ascii="Arial" w:cs="Arial" w:eastAsia="Arial" w:hAnsi="Arial"/>
                <w:sz w:val="16"/>
                <w:szCs w:val="16"/>
                <w:color w:val="auto"/>
              </w:rPr>
              <w:t>63%</w:t>
            </w:r>
          </w:p>
        </w:tc>
        <w:tc>
          <w:tcPr>
            <w:tcW w:w="3700" w:type="dxa"/>
            <w:vAlign w:val="bottom"/>
            <w:tcBorders>
              <w:top w:val="single" w:sz="8" w:color="auto"/>
            </w:tcBorders>
          </w:tcPr>
          <w:p>
            <w:pPr>
              <w:ind w:left="180"/>
              <w:spacing w:after="0"/>
              <w:rPr>
                <w:sz w:val="20"/>
                <w:szCs w:val="20"/>
                <w:color w:val="auto"/>
              </w:rPr>
            </w:pPr>
            <w:r>
              <w:rPr>
                <w:rFonts w:ascii="Arial" w:cs="Arial" w:eastAsia="Arial" w:hAnsi="Arial"/>
                <w:sz w:val="16"/>
                <w:szCs w:val="16"/>
                <w:color w:val="auto"/>
              </w:rPr>
              <w:t>66%</w:t>
            </w:r>
          </w:p>
        </w:tc>
      </w:tr>
      <w:tr>
        <w:trPr>
          <w:trHeight w:val="233"/>
        </w:trPr>
        <w:tc>
          <w:tcPr>
            <w:tcW w:w="368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$220 per share</w:t>
            </w:r>
          </w:p>
        </w:tc>
        <w:tc>
          <w:tcPr>
            <w:tcW w:w="2900" w:type="dxa"/>
            <w:vAlign w:val="bottom"/>
            <w:tcBorders>
              <w:top w:val="single" w:sz="8" w:color="auto"/>
              <w:bottom w:val="single" w:sz="8" w:color="EAEAEA"/>
            </w:tcBorders>
            <w:shd w:val="clear" w:color="auto" w:fill="EAEAEA"/>
          </w:tcPr>
          <w:p>
            <w:pPr>
              <w:jc w:val="right"/>
              <w:ind w:right="2345"/>
              <w:spacing w:after="0"/>
              <w:rPr>
                <w:sz w:val="20"/>
                <w:szCs w:val="20"/>
                <w:color w:val="auto"/>
              </w:rPr>
            </w:pPr>
            <w:r>
              <w:rPr>
                <w:rFonts w:ascii="Arial" w:cs="Arial" w:eastAsia="Arial" w:hAnsi="Arial"/>
                <w:sz w:val="16"/>
                <w:szCs w:val="16"/>
                <w:color w:val="auto"/>
              </w:rPr>
              <w:t>79%</w:t>
            </w:r>
          </w:p>
        </w:tc>
        <w:tc>
          <w:tcPr>
            <w:tcW w:w="3700" w:type="dxa"/>
            <w:vAlign w:val="bottom"/>
            <w:tcBorders>
              <w:top w:val="single" w:sz="8" w:color="auto"/>
            </w:tcBorders>
          </w:tcPr>
          <w:p>
            <w:pPr>
              <w:ind w:left="180"/>
              <w:spacing w:after="0"/>
              <w:rPr>
                <w:sz w:val="20"/>
                <w:szCs w:val="20"/>
                <w:color w:val="auto"/>
              </w:rPr>
            </w:pPr>
            <w:r>
              <w:rPr>
                <w:rFonts w:ascii="Arial" w:cs="Arial" w:eastAsia="Arial" w:hAnsi="Arial"/>
                <w:sz w:val="16"/>
                <w:szCs w:val="16"/>
                <w:color w:val="auto"/>
              </w:rPr>
              <w:t>100%</w:t>
            </w:r>
          </w:p>
        </w:tc>
      </w:tr>
      <w:tr>
        <w:trPr>
          <w:trHeight w:val="20"/>
        </w:trPr>
        <w:tc>
          <w:tcPr>
            <w:tcW w:w="3680" w:type="dxa"/>
            <w:vAlign w:val="bottom"/>
            <w:shd w:val="clear" w:color="auto" w:fill="0066BA"/>
          </w:tcPr>
          <w:p>
            <w:pPr>
              <w:spacing w:after="0" w:line="20" w:lineRule="exact"/>
              <w:rPr>
                <w:sz w:val="1"/>
                <w:szCs w:val="1"/>
                <w:color w:val="auto"/>
              </w:rPr>
            </w:pPr>
          </w:p>
        </w:tc>
        <w:tc>
          <w:tcPr>
            <w:tcW w:w="2900" w:type="dxa"/>
            <w:vAlign w:val="bottom"/>
            <w:shd w:val="clear" w:color="auto" w:fill="0066BA"/>
          </w:tcPr>
          <w:p>
            <w:pPr>
              <w:spacing w:after="0" w:line="20" w:lineRule="exact"/>
              <w:rPr>
                <w:sz w:val="1"/>
                <w:szCs w:val="1"/>
                <w:color w:val="auto"/>
              </w:rPr>
            </w:pPr>
          </w:p>
        </w:tc>
        <w:tc>
          <w:tcPr>
            <w:tcW w:w="3700" w:type="dxa"/>
            <w:vAlign w:val="bottom"/>
            <w:shd w:val="clear" w:color="auto" w:fill="0066BA"/>
          </w:tcPr>
          <w:p>
            <w:pPr>
              <w:spacing w:after="0" w:line="20" w:lineRule="exact"/>
              <w:rPr>
                <w:sz w:val="1"/>
                <w:szCs w:val="1"/>
                <w:color w:val="auto"/>
              </w:rPr>
            </w:pPr>
          </w:p>
        </w:tc>
      </w:tr>
    </w:tbl>
    <w:p>
      <w:pPr>
        <w:spacing w:after="0" w:line="92" w:lineRule="exact"/>
        <w:rPr>
          <w:sz w:val="20"/>
          <w:szCs w:val="20"/>
          <w:color w:val="auto"/>
        </w:rPr>
      </w:pPr>
    </w:p>
    <w:p>
      <w:pPr>
        <w:ind w:left="480" w:right="20"/>
        <w:spacing w:after="0" w:line="283" w:lineRule="auto"/>
        <w:rPr>
          <w:sz w:val="20"/>
          <w:szCs w:val="20"/>
          <w:color w:val="auto"/>
        </w:rPr>
      </w:pPr>
      <w:r>
        <w:rPr>
          <w:rFonts w:ascii="Arial" w:cs="Arial" w:eastAsia="Arial" w:hAnsi="Arial"/>
          <w:sz w:val="16"/>
          <w:szCs w:val="16"/>
          <w:color w:val="auto"/>
        </w:rPr>
        <w:t>A given target price threshold will be met, and the shares underlying the CEO Performance Stock Option Award that are associated with such threshold will become exercisable, when our average closing stock price over 70 consecutive trading days is equal to or exceeds the threshold. If a threshold is attained, the earned number of shares will become exercisable one year after the attainment date, or if earlier, on December 15, 2025, in each case provided that Mr. Roche continues to serve as our CEO (or in a substantially similar role as determined by our Board) on the applicable vesting date. There is no linear interpolation between target price thresholds and a threshold may be met only once.</w:t>
      </w:r>
    </w:p>
    <w:p>
      <w:pPr>
        <w:spacing w:after="0" w:line="253"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Equity Awards Granted in Fiscal 2021</w:t>
      </w:r>
    </w:p>
    <w:p>
      <w:pPr>
        <w:spacing w:after="0" w:line="5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 fiscal 2021, the Compensation Committee granted equity awards to our NEOs as follows:</w:t>
      </w:r>
    </w:p>
    <w:p>
      <w:pPr>
        <w:spacing w:after="0" w:line="259"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3380" w:type="dxa"/>
            <w:vAlign w:val="bottom"/>
            <w:shd w:val="clear" w:color="auto" w:fill="0066BA"/>
          </w:tcPr>
          <w:p>
            <w:pPr>
              <w:spacing w:after="0"/>
              <w:rPr>
                <w:sz w:val="18"/>
                <w:szCs w:val="18"/>
                <w:color w:val="auto"/>
              </w:rPr>
            </w:pPr>
          </w:p>
        </w:tc>
        <w:tc>
          <w:tcPr>
            <w:tcW w:w="860" w:type="dxa"/>
            <w:vAlign w:val="bottom"/>
            <w:shd w:val="clear" w:color="auto" w:fill="0066BA"/>
          </w:tcPr>
          <w:p>
            <w:pPr>
              <w:jc w:val="right"/>
              <w:ind w:right="2"/>
              <w:spacing w:after="0"/>
              <w:rPr>
                <w:sz w:val="20"/>
                <w:szCs w:val="20"/>
                <w:color w:val="auto"/>
              </w:rPr>
            </w:pPr>
            <w:r>
              <w:rPr>
                <w:rFonts w:ascii="Arial" w:cs="Arial" w:eastAsia="Arial" w:hAnsi="Arial"/>
                <w:sz w:val="16"/>
                <w:szCs w:val="16"/>
                <w:b w:val="1"/>
                <w:bCs w:val="1"/>
                <w:color w:val="FFFFFF"/>
              </w:rPr>
              <w:t>Standard</w:t>
            </w:r>
          </w:p>
        </w:tc>
        <w:tc>
          <w:tcPr>
            <w:tcW w:w="780" w:type="dxa"/>
            <w:vAlign w:val="bottom"/>
            <w:shd w:val="clear" w:color="auto" w:fill="0066BA"/>
          </w:tcPr>
          <w:p>
            <w:pPr>
              <w:jc w:val="right"/>
              <w:ind w:right="102"/>
              <w:spacing w:after="0"/>
              <w:rPr>
                <w:sz w:val="20"/>
                <w:szCs w:val="20"/>
                <w:color w:val="auto"/>
              </w:rPr>
            </w:pPr>
            <w:r>
              <w:rPr>
                <w:rFonts w:ascii="Arial" w:cs="Arial" w:eastAsia="Arial" w:hAnsi="Arial"/>
                <w:sz w:val="16"/>
                <w:szCs w:val="16"/>
                <w:b w:val="1"/>
                <w:bCs w:val="1"/>
                <w:color w:val="FFFFFF"/>
              </w:rPr>
              <w:t>Time-</w:t>
            </w:r>
          </w:p>
        </w:tc>
        <w:tc>
          <w:tcPr>
            <w:tcW w:w="860" w:type="dxa"/>
            <w:vAlign w:val="bottom"/>
            <w:shd w:val="clear" w:color="auto" w:fill="0066BA"/>
          </w:tcPr>
          <w:p>
            <w:pPr>
              <w:jc w:val="right"/>
              <w:ind w:right="102"/>
              <w:spacing w:after="0"/>
              <w:rPr>
                <w:sz w:val="20"/>
                <w:szCs w:val="20"/>
                <w:color w:val="auto"/>
              </w:rPr>
            </w:pPr>
            <w:r>
              <w:rPr>
                <w:rFonts w:ascii="Arial" w:cs="Arial" w:eastAsia="Arial" w:hAnsi="Arial"/>
                <w:sz w:val="16"/>
                <w:szCs w:val="16"/>
                <w:b w:val="1"/>
                <w:bCs w:val="1"/>
                <w:color w:val="FFFFFF"/>
              </w:rPr>
              <w:t>Relative</w:t>
            </w:r>
          </w:p>
        </w:tc>
        <w:tc>
          <w:tcPr>
            <w:tcW w:w="960" w:type="dxa"/>
            <w:vAlign w:val="bottom"/>
            <w:shd w:val="clear" w:color="auto" w:fill="0066BA"/>
          </w:tcPr>
          <w:p>
            <w:pPr>
              <w:jc w:val="right"/>
              <w:ind w:right="102"/>
              <w:spacing w:after="0"/>
              <w:rPr>
                <w:sz w:val="20"/>
                <w:szCs w:val="20"/>
                <w:color w:val="auto"/>
              </w:rPr>
            </w:pPr>
            <w:r>
              <w:rPr>
                <w:rFonts w:ascii="Arial" w:cs="Arial" w:eastAsia="Arial" w:hAnsi="Arial"/>
                <w:sz w:val="16"/>
                <w:szCs w:val="16"/>
                <w:b w:val="1"/>
                <w:bCs w:val="1"/>
                <w:color w:val="FFFFFF"/>
              </w:rPr>
              <w:t>Financial</w:t>
            </w:r>
          </w:p>
        </w:tc>
        <w:tc>
          <w:tcPr>
            <w:tcW w:w="920" w:type="dxa"/>
            <w:vAlign w:val="bottom"/>
            <w:shd w:val="clear" w:color="auto" w:fill="0066BA"/>
          </w:tcPr>
          <w:p>
            <w:pPr>
              <w:jc w:val="right"/>
              <w:spacing w:after="0"/>
              <w:rPr>
                <w:sz w:val="20"/>
                <w:szCs w:val="20"/>
                <w:color w:val="auto"/>
              </w:rPr>
            </w:pPr>
            <w:r>
              <w:rPr>
                <w:rFonts w:ascii="Arial" w:cs="Arial" w:eastAsia="Arial" w:hAnsi="Arial"/>
                <w:sz w:val="16"/>
                <w:szCs w:val="16"/>
                <w:b w:val="1"/>
                <w:bCs w:val="1"/>
                <w:color w:val="FFFFFF"/>
              </w:rPr>
              <w:t>Maxim</w:t>
            </w:r>
          </w:p>
        </w:tc>
        <w:tc>
          <w:tcPr>
            <w:tcW w:w="200" w:type="dxa"/>
            <w:vAlign w:val="bottom"/>
            <w:shd w:val="clear" w:color="auto" w:fill="0066BA"/>
          </w:tcPr>
          <w:p>
            <w:pPr>
              <w:spacing w:after="0"/>
              <w:rPr>
                <w:sz w:val="18"/>
                <w:szCs w:val="18"/>
                <w:color w:val="auto"/>
              </w:rPr>
            </w:pPr>
          </w:p>
        </w:tc>
        <w:tc>
          <w:tcPr>
            <w:tcW w:w="1140" w:type="dxa"/>
            <w:vAlign w:val="bottom"/>
            <w:shd w:val="clear" w:color="auto" w:fill="0066BA"/>
          </w:tcPr>
          <w:p>
            <w:pPr>
              <w:jc w:val="right"/>
              <w:ind w:right="2"/>
              <w:spacing w:after="0"/>
              <w:rPr>
                <w:sz w:val="20"/>
                <w:szCs w:val="20"/>
                <w:color w:val="auto"/>
              </w:rPr>
            </w:pPr>
            <w:r>
              <w:rPr>
                <w:rFonts w:ascii="Arial" w:cs="Arial" w:eastAsia="Arial" w:hAnsi="Arial"/>
                <w:sz w:val="16"/>
                <w:szCs w:val="16"/>
                <w:b w:val="1"/>
                <w:bCs w:val="1"/>
                <w:color w:val="FFFFFF"/>
              </w:rPr>
              <w:t>CEO</w:t>
            </w:r>
          </w:p>
        </w:tc>
        <w:tc>
          <w:tcPr>
            <w:tcW w:w="1180" w:type="dxa"/>
            <w:vAlign w:val="bottom"/>
            <w:shd w:val="clear" w:color="auto" w:fill="0066BA"/>
          </w:tcPr>
          <w:p>
            <w:pPr>
              <w:jc w:val="right"/>
              <w:ind w:right="102"/>
              <w:spacing w:after="0"/>
              <w:rPr>
                <w:sz w:val="20"/>
                <w:szCs w:val="20"/>
                <w:color w:val="auto"/>
              </w:rPr>
            </w:pPr>
            <w:r>
              <w:rPr>
                <w:rFonts w:ascii="Arial" w:cs="Arial" w:eastAsia="Arial" w:hAnsi="Arial"/>
                <w:sz w:val="16"/>
                <w:szCs w:val="16"/>
                <w:b w:val="1"/>
                <w:bCs w:val="1"/>
                <w:color w:val="FFFFFF"/>
              </w:rPr>
              <w:t>Total</w:t>
            </w:r>
          </w:p>
        </w:tc>
      </w:tr>
      <w:tr>
        <w:trPr>
          <w:trHeight w:val="195"/>
        </w:trPr>
        <w:tc>
          <w:tcPr>
            <w:tcW w:w="3380" w:type="dxa"/>
            <w:vAlign w:val="bottom"/>
            <w:shd w:val="clear" w:color="auto" w:fill="0066BA"/>
          </w:tcPr>
          <w:p>
            <w:pPr>
              <w:spacing w:after="0"/>
              <w:rPr>
                <w:sz w:val="16"/>
                <w:szCs w:val="16"/>
                <w:color w:val="auto"/>
              </w:rPr>
            </w:pPr>
          </w:p>
        </w:tc>
        <w:tc>
          <w:tcPr>
            <w:tcW w:w="860" w:type="dxa"/>
            <w:vAlign w:val="bottom"/>
            <w:shd w:val="clear" w:color="auto" w:fill="0066BA"/>
          </w:tcPr>
          <w:p>
            <w:pPr>
              <w:jc w:val="right"/>
              <w:ind w:right="2"/>
              <w:spacing w:after="0"/>
              <w:rPr>
                <w:sz w:val="20"/>
                <w:szCs w:val="20"/>
                <w:color w:val="auto"/>
              </w:rPr>
            </w:pPr>
            <w:r>
              <w:rPr>
                <w:rFonts w:ascii="Arial" w:cs="Arial" w:eastAsia="Arial" w:hAnsi="Arial"/>
                <w:sz w:val="16"/>
                <w:szCs w:val="16"/>
                <w:b w:val="1"/>
                <w:bCs w:val="1"/>
                <w:color w:val="FFFFFF"/>
              </w:rPr>
              <w:t>Stock</w:t>
            </w:r>
          </w:p>
        </w:tc>
        <w:tc>
          <w:tcPr>
            <w:tcW w:w="780" w:type="dxa"/>
            <w:vAlign w:val="bottom"/>
            <w:shd w:val="clear" w:color="auto" w:fill="0066BA"/>
          </w:tcPr>
          <w:p>
            <w:pPr>
              <w:jc w:val="right"/>
              <w:ind w:right="102"/>
              <w:spacing w:after="0"/>
              <w:rPr>
                <w:sz w:val="20"/>
                <w:szCs w:val="20"/>
                <w:color w:val="auto"/>
              </w:rPr>
            </w:pPr>
            <w:r>
              <w:rPr>
                <w:rFonts w:ascii="Arial" w:cs="Arial" w:eastAsia="Arial" w:hAnsi="Arial"/>
                <w:sz w:val="16"/>
                <w:szCs w:val="16"/>
                <w:b w:val="1"/>
                <w:bCs w:val="1"/>
                <w:color w:val="FFFFFF"/>
              </w:rPr>
              <w:t>based</w:t>
            </w:r>
          </w:p>
        </w:tc>
        <w:tc>
          <w:tcPr>
            <w:tcW w:w="860" w:type="dxa"/>
            <w:vAlign w:val="bottom"/>
            <w:shd w:val="clear" w:color="auto" w:fill="0066BA"/>
          </w:tcPr>
          <w:p>
            <w:pPr>
              <w:jc w:val="right"/>
              <w:ind w:right="102"/>
              <w:spacing w:after="0"/>
              <w:rPr>
                <w:sz w:val="20"/>
                <w:szCs w:val="20"/>
                <w:color w:val="auto"/>
              </w:rPr>
            </w:pPr>
            <w:r>
              <w:rPr>
                <w:rFonts w:ascii="Arial" w:cs="Arial" w:eastAsia="Arial" w:hAnsi="Arial"/>
                <w:sz w:val="16"/>
                <w:szCs w:val="16"/>
                <w:b w:val="1"/>
                <w:bCs w:val="1"/>
                <w:color w:val="FFFFFF"/>
              </w:rPr>
              <w:t>TSR</w:t>
            </w:r>
          </w:p>
        </w:tc>
        <w:tc>
          <w:tcPr>
            <w:tcW w:w="960" w:type="dxa"/>
            <w:vAlign w:val="bottom"/>
            <w:shd w:val="clear" w:color="auto" w:fill="0066BA"/>
          </w:tcPr>
          <w:p>
            <w:pPr>
              <w:jc w:val="right"/>
              <w:ind w:right="102"/>
              <w:spacing w:after="0"/>
              <w:rPr>
                <w:sz w:val="20"/>
                <w:szCs w:val="20"/>
                <w:color w:val="auto"/>
              </w:rPr>
            </w:pPr>
            <w:r>
              <w:rPr>
                <w:rFonts w:ascii="Arial" w:cs="Arial" w:eastAsia="Arial" w:hAnsi="Arial"/>
                <w:sz w:val="16"/>
                <w:szCs w:val="16"/>
                <w:b w:val="1"/>
                <w:bCs w:val="1"/>
                <w:color w:val="FFFFFF"/>
              </w:rPr>
              <w:t>Metric</w:t>
            </w:r>
          </w:p>
        </w:tc>
        <w:tc>
          <w:tcPr>
            <w:tcW w:w="920" w:type="dxa"/>
            <w:vAlign w:val="bottom"/>
            <w:shd w:val="clear" w:color="auto" w:fill="0066BA"/>
          </w:tcPr>
          <w:p>
            <w:pPr>
              <w:jc w:val="right"/>
              <w:spacing w:after="0"/>
              <w:rPr>
                <w:sz w:val="20"/>
                <w:szCs w:val="20"/>
                <w:color w:val="auto"/>
              </w:rPr>
            </w:pPr>
            <w:r>
              <w:rPr>
                <w:rFonts w:ascii="Arial" w:cs="Arial" w:eastAsia="Arial" w:hAnsi="Arial"/>
                <w:sz w:val="16"/>
                <w:szCs w:val="16"/>
                <w:b w:val="1"/>
                <w:bCs w:val="1"/>
                <w:color w:val="FFFFFF"/>
              </w:rPr>
              <w:t>Integration</w:t>
            </w:r>
          </w:p>
        </w:tc>
        <w:tc>
          <w:tcPr>
            <w:tcW w:w="200" w:type="dxa"/>
            <w:vAlign w:val="bottom"/>
            <w:shd w:val="clear" w:color="auto" w:fill="0066BA"/>
          </w:tcPr>
          <w:p>
            <w:pPr>
              <w:spacing w:after="0"/>
              <w:rPr>
                <w:sz w:val="16"/>
                <w:szCs w:val="16"/>
                <w:color w:val="auto"/>
              </w:rPr>
            </w:pPr>
          </w:p>
        </w:tc>
        <w:tc>
          <w:tcPr>
            <w:tcW w:w="1140" w:type="dxa"/>
            <w:vAlign w:val="bottom"/>
            <w:shd w:val="clear" w:color="auto" w:fill="0066BA"/>
          </w:tcPr>
          <w:p>
            <w:pPr>
              <w:jc w:val="right"/>
              <w:ind w:right="2"/>
              <w:spacing w:after="0"/>
              <w:rPr>
                <w:sz w:val="20"/>
                <w:szCs w:val="20"/>
                <w:color w:val="auto"/>
              </w:rPr>
            </w:pPr>
            <w:r>
              <w:rPr>
                <w:rFonts w:ascii="Arial" w:cs="Arial" w:eastAsia="Arial" w:hAnsi="Arial"/>
                <w:sz w:val="16"/>
                <w:szCs w:val="16"/>
                <w:b w:val="1"/>
                <w:bCs w:val="1"/>
                <w:color w:val="FFFFFF"/>
              </w:rPr>
              <w:t>Performance</w:t>
            </w:r>
          </w:p>
        </w:tc>
        <w:tc>
          <w:tcPr>
            <w:tcW w:w="1180" w:type="dxa"/>
            <w:vAlign w:val="bottom"/>
            <w:shd w:val="clear" w:color="auto" w:fill="0066BA"/>
          </w:tcPr>
          <w:p>
            <w:pPr>
              <w:jc w:val="right"/>
              <w:ind w:right="102"/>
              <w:spacing w:after="0"/>
              <w:rPr>
                <w:sz w:val="20"/>
                <w:szCs w:val="20"/>
                <w:color w:val="auto"/>
              </w:rPr>
            </w:pPr>
            <w:r>
              <w:rPr>
                <w:rFonts w:ascii="Arial" w:cs="Arial" w:eastAsia="Arial" w:hAnsi="Arial"/>
                <w:sz w:val="16"/>
                <w:szCs w:val="16"/>
                <w:b w:val="1"/>
                <w:bCs w:val="1"/>
                <w:color w:val="FFFFFF"/>
              </w:rPr>
              <w:t>Grant Date</w:t>
            </w:r>
          </w:p>
        </w:tc>
      </w:tr>
      <w:tr>
        <w:trPr>
          <w:trHeight w:val="216"/>
        </w:trPr>
        <w:tc>
          <w:tcPr>
            <w:tcW w:w="3380" w:type="dxa"/>
            <w:vAlign w:val="bottom"/>
            <w:shd w:val="clear" w:color="auto" w:fill="0066BA"/>
          </w:tcPr>
          <w:p>
            <w:pPr>
              <w:ind w:left="60"/>
              <w:spacing w:after="0"/>
              <w:rPr>
                <w:sz w:val="20"/>
                <w:szCs w:val="20"/>
                <w:color w:val="auto"/>
              </w:rPr>
            </w:pPr>
            <w:r>
              <w:rPr>
                <w:rFonts w:ascii="Arial" w:cs="Arial" w:eastAsia="Arial" w:hAnsi="Arial"/>
                <w:sz w:val="16"/>
                <w:szCs w:val="16"/>
                <w:b w:val="1"/>
                <w:bCs w:val="1"/>
                <w:color w:val="FFFFFF"/>
              </w:rPr>
              <w:t>Name</w:t>
            </w:r>
          </w:p>
        </w:tc>
        <w:tc>
          <w:tcPr>
            <w:tcW w:w="860" w:type="dxa"/>
            <w:vAlign w:val="bottom"/>
            <w:shd w:val="clear" w:color="auto" w:fill="0066BA"/>
          </w:tcPr>
          <w:p>
            <w:pPr>
              <w:jc w:val="right"/>
              <w:ind w:right="2"/>
              <w:spacing w:after="0"/>
              <w:rPr>
                <w:sz w:val="20"/>
                <w:szCs w:val="20"/>
                <w:color w:val="auto"/>
              </w:rPr>
            </w:pPr>
            <w:r>
              <w:rPr>
                <w:rFonts w:ascii="Arial" w:cs="Arial" w:eastAsia="Arial" w:hAnsi="Arial"/>
                <w:sz w:val="16"/>
                <w:szCs w:val="16"/>
                <w:b w:val="1"/>
                <w:bCs w:val="1"/>
                <w:color w:val="FFFFFF"/>
              </w:rPr>
              <w:t>Options</w:t>
            </w:r>
          </w:p>
        </w:tc>
        <w:tc>
          <w:tcPr>
            <w:tcW w:w="780" w:type="dxa"/>
            <w:vAlign w:val="bottom"/>
            <w:shd w:val="clear" w:color="auto" w:fill="0066BA"/>
          </w:tcPr>
          <w:p>
            <w:pPr>
              <w:jc w:val="right"/>
              <w:ind w:right="102"/>
              <w:spacing w:after="0"/>
              <w:rPr>
                <w:sz w:val="20"/>
                <w:szCs w:val="20"/>
                <w:color w:val="auto"/>
              </w:rPr>
            </w:pPr>
            <w:r>
              <w:rPr>
                <w:rFonts w:ascii="Arial" w:cs="Arial" w:eastAsia="Arial" w:hAnsi="Arial"/>
                <w:sz w:val="16"/>
                <w:szCs w:val="16"/>
                <w:b w:val="1"/>
                <w:bCs w:val="1"/>
                <w:color w:val="FFFFFF"/>
              </w:rPr>
              <w:t>RSUs</w:t>
            </w:r>
          </w:p>
        </w:tc>
        <w:tc>
          <w:tcPr>
            <w:tcW w:w="860" w:type="dxa"/>
            <w:vAlign w:val="bottom"/>
            <w:shd w:val="clear" w:color="auto" w:fill="0066BA"/>
          </w:tcPr>
          <w:p>
            <w:pPr>
              <w:jc w:val="right"/>
              <w:ind w:right="102"/>
              <w:spacing w:after="0"/>
              <w:rPr>
                <w:sz w:val="20"/>
                <w:szCs w:val="20"/>
                <w:color w:val="auto"/>
              </w:rPr>
            </w:pPr>
            <w:r>
              <w:rPr>
                <w:rFonts w:ascii="Arial" w:cs="Arial" w:eastAsia="Arial" w:hAnsi="Arial"/>
                <w:sz w:val="16"/>
                <w:szCs w:val="16"/>
                <w:b w:val="1"/>
                <w:bCs w:val="1"/>
                <w:color w:val="FFFFFF"/>
              </w:rPr>
              <w:t>PRSUs</w:t>
            </w:r>
          </w:p>
        </w:tc>
        <w:tc>
          <w:tcPr>
            <w:tcW w:w="960" w:type="dxa"/>
            <w:vAlign w:val="bottom"/>
            <w:shd w:val="clear" w:color="auto" w:fill="0066BA"/>
          </w:tcPr>
          <w:p>
            <w:pPr>
              <w:jc w:val="right"/>
              <w:ind w:right="102"/>
              <w:spacing w:after="0"/>
              <w:rPr>
                <w:sz w:val="20"/>
                <w:szCs w:val="20"/>
                <w:color w:val="auto"/>
              </w:rPr>
            </w:pPr>
            <w:r>
              <w:rPr>
                <w:rFonts w:ascii="Arial" w:cs="Arial" w:eastAsia="Arial" w:hAnsi="Arial"/>
                <w:sz w:val="16"/>
                <w:szCs w:val="16"/>
                <w:b w:val="1"/>
                <w:bCs w:val="1"/>
                <w:color w:val="FFFFFF"/>
              </w:rPr>
              <w:t>PRSUs</w:t>
            </w:r>
          </w:p>
        </w:tc>
        <w:tc>
          <w:tcPr>
            <w:tcW w:w="920" w:type="dxa"/>
            <w:vAlign w:val="bottom"/>
            <w:shd w:val="clear" w:color="auto" w:fill="0066BA"/>
          </w:tcPr>
          <w:p>
            <w:pPr>
              <w:jc w:val="right"/>
              <w:spacing w:after="0"/>
              <w:rPr>
                <w:sz w:val="20"/>
                <w:szCs w:val="20"/>
                <w:color w:val="auto"/>
              </w:rPr>
            </w:pPr>
            <w:r>
              <w:rPr>
                <w:rFonts w:ascii="Arial" w:cs="Arial" w:eastAsia="Arial" w:hAnsi="Arial"/>
                <w:sz w:val="16"/>
                <w:szCs w:val="16"/>
                <w:b w:val="1"/>
                <w:bCs w:val="1"/>
                <w:color w:val="FFFFFF"/>
              </w:rPr>
              <w:t>PRSUs</w:t>
            </w:r>
          </w:p>
        </w:tc>
        <w:tc>
          <w:tcPr>
            <w:tcW w:w="200" w:type="dxa"/>
            <w:vAlign w:val="bottom"/>
            <w:shd w:val="clear" w:color="auto" w:fill="0066BA"/>
          </w:tcPr>
          <w:p>
            <w:pPr>
              <w:spacing w:after="0"/>
              <w:rPr>
                <w:sz w:val="18"/>
                <w:szCs w:val="18"/>
                <w:color w:val="auto"/>
              </w:rPr>
            </w:pPr>
          </w:p>
        </w:tc>
        <w:tc>
          <w:tcPr>
            <w:tcW w:w="1140" w:type="dxa"/>
            <w:vAlign w:val="bottom"/>
            <w:shd w:val="clear" w:color="auto" w:fill="0066BA"/>
          </w:tcPr>
          <w:p>
            <w:pPr>
              <w:jc w:val="right"/>
              <w:ind w:right="2"/>
              <w:spacing w:after="0"/>
              <w:rPr>
                <w:sz w:val="20"/>
                <w:szCs w:val="20"/>
                <w:color w:val="auto"/>
              </w:rPr>
            </w:pPr>
            <w:r>
              <w:rPr>
                <w:rFonts w:ascii="Arial" w:cs="Arial" w:eastAsia="Arial" w:hAnsi="Arial"/>
                <w:sz w:val="16"/>
                <w:szCs w:val="16"/>
                <w:b w:val="1"/>
                <w:bCs w:val="1"/>
                <w:color w:val="FFFFFF"/>
              </w:rPr>
              <w:t>Stock Option</w:t>
            </w:r>
          </w:p>
        </w:tc>
        <w:tc>
          <w:tcPr>
            <w:tcW w:w="1180" w:type="dxa"/>
            <w:vAlign w:val="bottom"/>
            <w:shd w:val="clear" w:color="auto" w:fill="0066BA"/>
          </w:tcPr>
          <w:p>
            <w:pPr>
              <w:jc w:val="right"/>
              <w:ind w:right="102"/>
              <w:spacing w:after="0"/>
              <w:rPr>
                <w:sz w:val="20"/>
                <w:szCs w:val="20"/>
                <w:color w:val="auto"/>
              </w:rPr>
            </w:pPr>
            <w:r>
              <w:rPr>
                <w:rFonts w:ascii="Arial" w:cs="Arial" w:eastAsia="Arial" w:hAnsi="Arial"/>
                <w:sz w:val="16"/>
                <w:szCs w:val="16"/>
                <w:b w:val="1"/>
                <w:bCs w:val="1"/>
                <w:color w:val="FFFFFF"/>
              </w:rPr>
              <w:t>Fair Value</w:t>
            </w:r>
          </w:p>
        </w:tc>
      </w:tr>
      <w:tr>
        <w:trPr>
          <w:trHeight w:val="110"/>
        </w:trPr>
        <w:tc>
          <w:tcPr>
            <w:tcW w:w="3380" w:type="dxa"/>
            <w:vAlign w:val="bottom"/>
            <w:shd w:val="clear" w:color="auto" w:fill="0066BA"/>
          </w:tcPr>
          <w:p>
            <w:pPr>
              <w:spacing w:after="0"/>
              <w:rPr>
                <w:sz w:val="9"/>
                <w:szCs w:val="9"/>
                <w:color w:val="auto"/>
              </w:rPr>
            </w:pPr>
          </w:p>
        </w:tc>
        <w:tc>
          <w:tcPr>
            <w:tcW w:w="860" w:type="dxa"/>
            <w:vAlign w:val="bottom"/>
            <w:shd w:val="clear" w:color="auto" w:fill="0066BA"/>
          </w:tcPr>
          <w:p>
            <w:pPr>
              <w:spacing w:after="0"/>
              <w:rPr>
                <w:sz w:val="9"/>
                <w:szCs w:val="9"/>
                <w:color w:val="auto"/>
              </w:rPr>
            </w:pPr>
          </w:p>
        </w:tc>
        <w:tc>
          <w:tcPr>
            <w:tcW w:w="780" w:type="dxa"/>
            <w:vAlign w:val="bottom"/>
            <w:shd w:val="clear" w:color="auto" w:fill="0066BA"/>
          </w:tcPr>
          <w:p>
            <w:pPr>
              <w:spacing w:after="0"/>
              <w:rPr>
                <w:sz w:val="9"/>
                <w:szCs w:val="9"/>
                <w:color w:val="auto"/>
              </w:rPr>
            </w:pPr>
          </w:p>
        </w:tc>
        <w:tc>
          <w:tcPr>
            <w:tcW w:w="860" w:type="dxa"/>
            <w:vAlign w:val="bottom"/>
            <w:shd w:val="clear" w:color="auto" w:fill="0066BA"/>
          </w:tcPr>
          <w:p>
            <w:pPr>
              <w:spacing w:after="0"/>
              <w:rPr>
                <w:sz w:val="9"/>
                <w:szCs w:val="9"/>
                <w:color w:val="auto"/>
              </w:rPr>
            </w:pPr>
          </w:p>
        </w:tc>
        <w:tc>
          <w:tcPr>
            <w:tcW w:w="960" w:type="dxa"/>
            <w:vAlign w:val="bottom"/>
            <w:shd w:val="clear" w:color="auto" w:fill="0066BA"/>
          </w:tcPr>
          <w:p>
            <w:pPr>
              <w:spacing w:after="0"/>
              <w:rPr>
                <w:sz w:val="9"/>
                <w:szCs w:val="9"/>
                <w:color w:val="auto"/>
              </w:rPr>
            </w:pPr>
          </w:p>
        </w:tc>
        <w:tc>
          <w:tcPr>
            <w:tcW w:w="920" w:type="dxa"/>
            <w:vAlign w:val="bottom"/>
            <w:shd w:val="clear" w:color="auto" w:fill="0066BA"/>
          </w:tcPr>
          <w:p>
            <w:pPr>
              <w:spacing w:after="0"/>
              <w:rPr>
                <w:sz w:val="9"/>
                <w:szCs w:val="9"/>
                <w:color w:val="auto"/>
              </w:rPr>
            </w:pPr>
          </w:p>
        </w:tc>
        <w:tc>
          <w:tcPr>
            <w:tcW w:w="200" w:type="dxa"/>
            <w:vAlign w:val="bottom"/>
            <w:shd w:val="clear" w:color="auto" w:fill="0066BA"/>
          </w:tcPr>
          <w:p>
            <w:pPr>
              <w:spacing w:after="0"/>
              <w:rPr>
                <w:sz w:val="9"/>
                <w:szCs w:val="9"/>
                <w:color w:val="auto"/>
              </w:rPr>
            </w:pPr>
          </w:p>
        </w:tc>
        <w:tc>
          <w:tcPr>
            <w:tcW w:w="1140" w:type="dxa"/>
            <w:vAlign w:val="bottom"/>
            <w:shd w:val="clear" w:color="auto" w:fill="0066BA"/>
          </w:tcPr>
          <w:p>
            <w:pPr>
              <w:spacing w:after="0"/>
              <w:rPr>
                <w:sz w:val="9"/>
                <w:szCs w:val="9"/>
                <w:color w:val="auto"/>
              </w:rPr>
            </w:pPr>
          </w:p>
        </w:tc>
        <w:tc>
          <w:tcPr>
            <w:tcW w:w="1180" w:type="dxa"/>
            <w:vAlign w:val="bottom"/>
            <w:shd w:val="clear" w:color="auto" w:fill="0066BA"/>
          </w:tcPr>
          <w:p>
            <w:pPr>
              <w:spacing w:after="0"/>
              <w:rPr>
                <w:sz w:val="9"/>
                <w:szCs w:val="9"/>
                <w:color w:val="auto"/>
              </w:rPr>
            </w:pPr>
          </w:p>
        </w:tc>
      </w:tr>
      <w:tr>
        <w:trPr>
          <w:trHeight w:val="280"/>
        </w:trPr>
        <w:tc>
          <w:tcPr>
            <w:tcW w:w="3380" w:type="dxa"/>
            <w:vAlign w:val="bottom"/>
          </w:tcPr>
          <w:p>
            <w:pPr>
              <w:ind w:left="60"/>
              <w:spacing w:after="0"/>
              <w:rPr>
                <w:sz w:val="20"/>
                <w:szCs w:val="20"/>
                <w:color w:val="auto"/>
              </w:rPr>
            </w:pPr>
            <w:r>
              <w:rPr>
                <w:rFonts w:ascii="Arial" w:cs="Arial" w:eastAsia="Arial" w:hAnsi="Arial"/>
                <w:sz w:val="16"/>
                <w:szCs w:val="16"/>
                <w:b w:val="1"/>
                <w:bCs w:val="1"/>
                <w:color w:val="0066BA"/>
              </w:rPr>
              <w:t>Vincent Roche</w:t>
            </w:r>
          </w:p>
        </w:tc>
        <w:tc>
          <w:tcPr>
            <w:tcW w:w="860" w:type="dxa"/>
            <w:vAlign w:val="bottom"/>
            <w:shd w:val="clear" w:color="auto" w:fill="EAEAEA"/>
          </w:tcPr>
          <w:p>
            <w:pPr>
              <w:jc w:val="right"/>
              <w:ind w:right="2"/>
              <w:spacing w:after="0"/>
              <w:rPr>
                <w:sz w:val="20"/>
                <w:szCs w:val="20"/>
                <w:color w:val="auto"/>
              </w:rPr>
            </w:pPr>
            <w:r>
              <w:rPr>
                <w:rFonts w:ascii="Arial" w:cs="Arial" w:eastAsia="Arial" w:hAnsi="Arial"/>
                <w:sz w:val="16"/>
                <w:szCs w:val="16"/>
                <w:color w:val="auto"/>
              </w:rPr>
              <w:t>70,786</w:t>
            </w:r>
          </w:p>
        </w:tc>
        <w:tc>
          <w:tcPr>
            <w:tcW w:w="780" w:type="dxa"/>
            <w:vAlign w:val="bottom"/>
          </w:tcPr>
          <w:p>
            <w:pPr>
              <w:jc w:val="right"/>
              <w:ind w:right="102"/>
              <w:spacing w:after="0"/>
              <w:rPr>
                <w:sz w:val="20"/>
                <w:szCs w:val="20"/>
                <w:color w:val="auto"/>
              </w:rPr>
            </w:pPr>
            <w:r>
              <w:rPr>
                <w:rFonts w:ascii="Arial" w:cs="Arial" w:eastAsia="Arial" w:hAnsi="Arial"/>
                <w:sz w:val="16"/>
                <w:szCs w:val="16"/>
                <w:color w:val="auto"/>
              </w:rPr>
              <w:t>19,361</w:t>
            </w:r>
          </w:p>
        </w:tc>
        <w:tc>
          <w:tcPr>
            <w:tcW w:w="860" w:type="dxa"/>
            <w:vAlign w:val="bottom"/>
            <w:shd w:val="clear" w:color="auto" w:fill="EAEAEA"/>
          </w:tcPr>
          <w:p>
            <w:pPr>
              <w:jc w:val="right"/>
              <w:ind w:right="102"/>
              <w:spacing w:after="0"/>
              <w:rPr>
                <w:sz w:val="20"/>
                <w:szCs w:val="20"/>
                <w:color w:val="auto"/>
              </w:rPr>
            </w:pPr>
            <w:r>
              <w:rPr>
                <w:rFonts w:ascii="Arial" w:cs="Arial" w:eastAsia="Arial" w:hAnsi="Arial"/>
                <w:sz w:val="16"/>
                <w:szCs w:val="16"/>
                <w:color w:val="auto"/>
              </w:rPr>
              <w:t>19,361</w:t>
            </w:r>
          </w:p>
        </w:tc>
        <w:tc>
          <w:tcPr>
            <w:tcW w:w="960" w:type="dxa"/>
            <w:vAlign w:val="bottom"/>
          </w:tcPr>
          <w:p>
            <w:pPr>
              <w:jc w:val="right"/>
              <w:ind w:right="102"/>
              <w:spacing w:after="0"/>
              <w:rPr>
                <w:sz w:val="20"/>
                <w:szCs w:val="20"/>
                <w:color w:val="auto"/>
              </w:rPr>
            </w:pPr>
            <w:r>
              <w:rPr>
                <w:rFonts w:ascii="Arial" w:cs="Arial" w:eastAsia="Arial" w:hAnsi="Arial"/>
                <w:sz w:val="16"/>
                <w:szCs w:val="16"/>
                <w:color w:val="auto"/>
              </w:rPr>
              <w:t>19,361</w:t>
            </w:r>
          </w:p>
        </w:tc>
        <w:tc>
          <w:tcPr>
            <w:tcW w:w="9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EAEAEA"/>
          </w:tcPr>
          <w:p>
            <w:pPr>
              <w:spacing w:after="0"/>
              <w:rPr>
                <w:sz w:val="24"/>
                <w:szCs w:val="24"/>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460,000</w:t>
            </w:r>
          </w:p>
        </w:tc>
        <w:tc>
          <w:tcPr>
            <w:tcW w:w="1180" w:type="dxa"/>
            <w:vAlign w:val="bottom"/>
            <w:shd w:val="clear" w:color="auto" w:fill="EAEAEA"/>
          </w:tcPr>
          <w:p>
            <w:pPr>
              <w:jc w:val="right"/>
              <w:ind w:right="102"/>
              <w:spacing w:after="0"/>
              <w:rPr>
                <w:sz w:val="20"/>
                <w:szCs w:val="20"/>
                <w:color w:val="auto"/>
              </w:rPr>
            </w:pPr>
            <w:r>
              <w:rPr>
                <w:rFonts w:ascii="Arial" w:cs="Arial" w:eastAsia="Arial" w:hAnsi="Arial"/>
                <w:sz w:val="16"/>
                <w:szCs w:val="16"/>
                <w:color w:val="auto"/>
              </w:rPr>
              <w:t>$25,709,208</w:t>
            </w:r>
          </w:p>
        </w:tc>
      </w:tr>
      <w:tr>
        <w:trPr>
          <w:trHeight w:val="84"/>
        </w:trPr>
        <w:tc>
          <w:tcPr>
            <w:tcW w:w="3380" w:type="dxa"/>
            <w:vAlign w:val="bottom"/>
            <w:tcBorders>
              <w:bottom w:val="single" w:sz="8" w:color="0066BA"/>
            </w:tcBorders>
          </w:tcPr>
          <w:p>
            <w:pPr>
              <w:spacing w:after="0"/>
              <w:rPr>
                <w:sz w:val="7"/>
                <w:szCs w:val="7"/>
                <w:color w:val="auto"/>
              </w:rPr>
            </w:pPr>
          </w:p>
        </w:tc>
        <w:tc>
          <w:tcPr>
            <w:tcW w:w="860" w:type="dxa"/>
            <w:vAlign w:val="bottom"/>
            <w:tcBorders>
              <w:bottom w:val="single" w:sz="8" w:color="0066BA"/>
            </w:tcBorders>
            <w:shd w:val="clear" w:color="auto" w:fill="EAEAEA"/>
          </w:tcPr>
          <w:p>
            <w:pPr>
              <w:spacing w:after="0"/>
              <w:rPr>
                <w:sz w:val="7"/>
                <w:szCs w:val="7"/>
                <w:color w:val="auto"/>
              </w:rPr>
            </w:pPr>
          </w:p>
        </w:tc>
        <w:tc>
          <w:tcPr>
            <w:tcW w:w="780" w:type="dxa"/>
            <w:vAlign w:val="bottom"/>
            <w:tcBorders>
              <w:bottom w:val="single" w:sz="8" w:color="0066BA"/>
            </w:tcBorders>
          </w:tcPr>
          <w:p>
            <w:pPr>
              <w:spacing w:after="0"/>
              <w:rPr>
                <w:sz w:val="7"/>
                <w:szCs w:val="7"/>
                <w:color w:val="auto"/>
              </w:rPr>
            </w:pPr>
          </w:p>
        </w:tc>
        <w:tc>
          <w:tcPr>
            <w:tcW w:w="860" w:type="dxa"/>
            <w:vAlign w:val="bottom"/>
            <w:tcBorders>
              <w:bottom w:val="single" w:sz="8" w:color="0066BA"/>
            </w:tcBorders>
            <w:shd w:val="clear" w:color="auto" w:fill="EAEAEA"/>
          </w:tcPr>
          <w:p>
            <w:pPr>
              <w:spacing w:after="0"/>
              <w:rPr>
                <w:sz w:val="7"/>
                <w:szCs w:val="7"/>
                <w:color w:val="auto"/>
              </w:rPr>
            </w:pPr>
          </w:p>
        </w:tc>
        <w:tc>
          <w:tcPr>
            <w:tcW w:w="960" w:type="dxa"/>
            <w:vAlign w:val="bottom"/>
            <w:tcBorders>
              <w:bottom w:val="single" w:sz="8" w:color="0066BA"/>
            </w:tcBorders>
          </w:tcPr>
          <w:p>
            <w:pPr>
              <w:spacing w:after="0"/>
              <w:rPr>
                <w:sz w:val="7"/>
                <w:szCs w:val="7"/>
                <w:color w:val="auto"/>
              </w:rPr>
            </w:pPr>
          </w:p>
        </w:tc>
        <w:tc>
          <w:tcPr>
            <w:tcW w:w="920" w:type="dxa"/>
            <w:vAlign w:val="bottom"/>
            <w:tcBorders>
              <w:bottom w:val="single" w:sz="8" w:color="0066BA"/>
            </w:tcBorders>
            <w:shd w:val="clear" w:color="auto" w:fill="EAEAEA"/>
          </w:tcPr>
          <w:p>
            <w:pPr>
              <w:spacing w:after="0"/>
              <w:rPr>
                <w:sz w:val="7"/>
                <w:szCs w:val="7"/>
                <w:color w:val="auto"/>
              </w:rPr>
            </w:pPr>
          </w:p>
        </w:tc>
        <w:tc>
          <w:tcPr>
            <w:tcW w:w="200" w:type="dxa"/>
            <w:vAlign w:val="bottom"/>
            <w:tcBorders>
              <w:bottom w:val="single" w:sz="8" w:color="0066BA"/>
            </w:tcBorders>
            <w:shd w:val="clear" w:color="auto" w:fill="EAEAEA"/>
          </w:tcPr>
          <w:p>
            <w:pPr>
              <w:spacing w:after="0"/>
              <w:rPr>
                <w:sz w:val="7"/>
                <w:szCs w:val="7"/>
                <w:color w:val="auto"/>
              </w:rPr>
            </w:pPr>
          </w:p>
        </w:tc>
        <w:tc>
          <w:tcPr>
            <w:tcW w:w="1140" w:type="dxa"/>
            <w:vAlign w:val="bottom"/>
            <w:tcBorders>
              <w:bottom w:val="single" w:sz="8" w:color="0066BA"/>
            </w:tcBorders>
          </w:tcPr>
          <w:p>
            <w:pPr>
              <w:spacing w:after="0"/>
              <w:rPr>
                <w:sz w:val="7"/>
                <w:szCs w:val="7"/>
                <w:color w:val="auto"/>
              </w:rPr>
            </w:pPr>
          </w:p>
        </w:tc>
        <w:tc>
          <w:tcPr>
            <w:tcW w:w="1180" w:type="dxa"/>
            <w:vAlign w:val="bottom"/>
            <w:tcBorders>
              <w:bottom w:val="single" w:sz="8" w:color="0066BA"/>
            </w:tcBorders>
            <w:shd w:val="clear" w:color="auto" w:fill="EAEAEA"/>
          </w:tcPr>
          <w:p>
            <w:pPr>
              <w:spacing w:after="0"/>
              <w:rPr>
                <w:sz w:val="7"/>
                <w:szCs w:val="7"/>
                <w:color w:val="auto"/>
              </w:rPr>
            </w:pPr>
          </w:p>
        </w:tc>
      </w:tr>
      <w:tr>
        <w:trPr>
          <w:trHeight w:val="279"/>
        </w:trPr>
        <w:tc>
          <w:tcPr>
            <w:tcW w:w="3380" w:type="dxa"/>
            <w:vAlign w:val="bottom"/>
          </w:tcPr>
          <w:p>
            <w:pPr>
              <w:ind w:left="60"/>
              <w:spacing w:after="0"/>
              <w:rPr>
                <w:sz w:val="20"/>
                <w:szCs w:val="20"/>
                <w:color w:val="auto"/>
              </w:rPr>
            </w:pPr>
            <w:r>
              <w:rPr>
                <w:rFonts w:ascii="Arial" w:cs="Arial" w:eastAsia="Arial" w:hAnsi="Arial"/>
                <w:sz w:val="16"/>
                <w:szCs w:val="16"/>
                <w:b w:val="1"/>
                <w:bCs w:val="1"/>
                <w:color w:val="0066BA"/>
              </w:rPr>
              <w:t>Prashanth Mahendra-Rajah</w:t>
            </w:r>
          </w:p>
        </w:tc>
        <w:tc>
          <w:tcPr>
            <w:tcW w:w="860" w:type="dxa"/>
            <w:vAlign w:val="bottom"/>
            <w:tcBorders>
              <w:bottom w:val="single" w:sz="8" w:color="EAEAEA"/>
            </w:tcBorders>
            <w:shd w:val="clear" w:color="auto" w:fill="EAEAEA"/>
          </w:tcPr>
          <w:p>
            <w:pPr>
              <w:jc w:val="right"/>
              <w:ind w:right="2"/>
              <w:spacing w:after="0"/>
              <w:rPr>
                <w:sz w:val="20"/>
                <w:szCs w:val="20"/>
                <w:color w:val="auto"/>
              </w:rPr>
            </w:pPr>
            <w:r>
              <w:rPr>
                <w:rFonts w:ascii="Arial" w:cs="Arial" w:eastAsia="Arial" w:hAnsi="Arial"/>
                <w:sz w:val="16"/>
                <w:szCs w:val="16"/>
                <w:color w:val="auto"/>
              </w:rPr>
              <w:t>19,306</w:t>
            </w:r>
          </w:p>
        </w:tc>
        <w:tc>
          <w:tcPr>
            <w:tcW w:w="780" w:type="dxa"/>
            <w:vAlign w:val="bottom"/>
          </w:tcPr>
          <w:p>
            <w:pPr>
              <w:jc w:val="right"/>
              <w:ind w:right="102"/>
              <w:spacing w:after="0"/>
              <w:rPr>
                <w:sz w:val="20"/>
                <w:szCs w:val="20"/>
                <w:color w:val="auto"/>
              </w:rPr>
            </w:pPr>
            <w:r>
              <w:rPr>
                <w:rFonts w:ascii="Arial" w:cs="Arial" w:eastAsia="Arial" w:hAnsi="Arial"/>
                <w:sz w:val="16"/>
                <w:szCs w:val="16"/>
                <w:color w:val="auto"/>
              </w:rPr>
              <w:t>5,281</w:t>
            </w:r>
          </w:p>
        </w:tc>
        <w:tc>
          <w:tcPr>
            <w:tcW w:w="860" w:type="dxa"/>
            <w:vAlign w:val="bottom"/>
            <w:tcBorders>
              <w:bottom w:val="single" w:sz="8" w:color="EAEAEA"/>
            </w:tcBorders>
            <w:shd w:val="clear" w:color="auto" w:fill="EAEAEA"/>
          </w:tcPr>
          <w:p>
            <w:pPr>
              <w:jc w:val="right"/>
              <w:ind w:right="102"/>
              <w:spacing w:after="0"/>
              <w:rPr>
                <w:sz w:val="20"/>
                <w:szCs w:val="20"/>
                <w:color w:val="auto"/>
              </w:rPr>
            </w:pPr>
            <w:r>
              <w:rPr>
                <w:rFonts w:ascii="Arial" w:cs="Arial" w:eastAsia="Arial" w:hAnsi="Arial"/>
                <w:sz w:val="16"/>
                <w:szCs w:val="16"/>
                <w:color w:val="auto"/>
              </w:rPr>
              <w:t>5,281</w:t>
            </w:r>
          </w:p>
        </w:tc>
        <w:tc>
          <w:tcPr>
            <w:tcW w:w="960" w:type="dxa"/>
            <w:vAlign w:val="bottom"/>
          </w:tcPr>
          <w:p>
            <w:pPr>
              <w:jc w:val="right"/>
              <w:ind w:right="102"/>
              <w:spacing w:after="0"/>
              <w:rPr>
                <w:sz w:val="20"/>
                <w:szCs w:val="20"/>
                <w:color w:val="auto"/>
              </w:rPr>
            </w:pPr>
            <w:r>
              <w:rPr>
                <w:rFonts w:ascii="Arial" w:cs="Arial" w:eastAsia="Arial" w:hAnsi="Arial"/>
                <w:sz w:val="16"/>
                <w:szCs w:val="16"/>
                <w:color w:val="auto"/>
              </w:rPr>
              <w:t>5,281</w:t>
            </w:r>
          </w:p>
        </w:tc>
        <w:tc>
          <w:tcPr>
            <w:tcW w:w="92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19,433</w:t>
            </w:r>
          </w:p>
        </w:tc>
        <w:tc>
          <w:tcPr>
            <w:tcW w:w="200" w:type="dxa"/>
            <w:vAlign w:val="bottom"/>
            <w:tcBorders>
              <w:bottom w:val="single" w:sz="8" w:color="EAEAEA"/>
            </w:tcBorders>
            <w:shd w:val="clear" w:color="auto" w:fill="EAEAEA"/>
          </w:tcPr>
          <w:p>
            <w:pPr>
              <w:spacing w:after="0"/>
              <w:rPr>
                <w:sz w:val="24"/>
                <w:szCs w:val="24"/>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AEAEA"/>
            </w:tcBorders>
            <w:shd w:val="clear" w:color="auto" w:fill="EAEAEA"/>
          </w:tcPr>
          <w:p>
            <w:pPr>
              <w:jc w:val="right"/>
              <w:ind w:right="102"/>
              <w:spacing w:after="0"/>
              <w:rPr>
                <w:sz w:val="20"/>
                <w:szCs w:val="20"/>
                <w:color w:val="auto"/>
              </w:rPr>
            </w:pPr>
            <w:r>
              <w:rPr>
                <w:rFonts w:ascii="Arial" w:cs="Arial" w:eastAsia="Arial" w:hAnsi="Arial"/>
                <w:sz w:val="16"/>
                <w:szCs w:val="16"/>
                <w:color w:val="auto"/>
              </w:rPr>
              <w:t>$5,769,343</w:t>
            </w:r>
          </w:p>
        </w:tc>
      </w:tr>
      <w:tr>
        <w:trPr>
          <w:trHeight w:val="260"/>
        </w:trPr>
        <w:tc>
          <w:tcPr>
            <w:tcW w:w="3380" w:type="dxa"/>
            <w:vAlign w:val="bottom"/>
            <w:tcBorders>
              <w:top w:val="single" w:sz="8" w:color="0066BA"/>
            </w:tcBorders>
          </w:tcPr>
          <w:p>
            <w:pPr>
              <w:ind w:left="60"/>
              <w:spacing w:after="0"/>
              <w:rPr>
                <w:sz w:val="20"/>
                <w:szCs w:val="20"/>
                <w:color w:val="auto"/>
              </w:rPr>
            </w:pPr>
            <w:r>
              <w:rPr>
                <w:rFonts w:ascii="Arial" w:cs="Arial" w:eastAsia="Arial" w:hAnsi="Arial"/>
                <w:sz w:val="16"/>
                <w:szCs w:val="16"/>
                <w:b w:val="1"/>
                <w:bCs w:val="1"/>
                <w:color w:val="0066BA"/>
              </w:rPr>
              <w:t>Martin Cotter</w:t>
            </w:r>
          </w:p>
        </w:tc>
        <w:tc>
          <w:tcPr>
            <w:tcW w:w="860" w:type="dxa"/>
            <w:vAlign w:val="bottom"/>
            <w:tcBorders>
              <w:top w:val="single" w:sz="8" w:color="0066BA"/>
            </w:tcBorders>
            <w:shd w:val="clear" w:color="auto" w:fill="EAEAEA"/>
          </w:tcPr>
          <w:p>
            <w:pPr>
              <w:jc w:val="right"/>
              <w:ind w:right="2"/>
              <w:spacing w:after="0"/>
              <w:rPr>
                <w:sz w:val="20"/>
                <w:szCs w:val="20"/>
                <w:color w:val="auto"/>
              </w:rPr>
            </w:pPr>
            <w:r>
              <w:rPr>
                <w:rFonts w:ascii="Arial" w:cs="Arial" w:eastAsia="Arial" w:hAnsi="Arial"/>
                <w:sz w:val="16"/>
                <w:szCs w:val="16"/>
                <w:color w:val="auto"/>
              </w:rPr>
              <w:t>14,158</w:t>
            </w:r>
          </w:p>
        </w:tc>
        <w:tc>
          <w:tcPr>
            <w:tcW w:w="780" w:type="dxa"/>
            <w:vAlign w:val="bottom"/>
            <w:tcBorders>
              <w:top w:val="single" w:sz="8" w:color="0066BA"/>
            </w:tcBorders>
          </w:tcPr>
          <w:p>
            <w:pPr>
              <w:jc w:val="right"/>
              <w:ind w:right="102"/>
              <w:spacing w:after="0"/>
              <w:rPr>
                <w:sz w:val="20"/>
                <w:szCs w:val="20"/>
                <w:color w:val="auto"/>
              </w:rPr>
            </w:pPr>
            <w:r>
              <w:rPr>
                <w:rFonts w:ascii="Arial" w:cs="Arial" w:eastAsia="Arial" w:hAnsi="Arial"/>
                <w:sz w:val="16"/>
                <w:szCs w:val="16"/>
                <w:color w:val="auto"/>
              </w:rPr>
              <w:t>3,873</w:t>
            </w:r>
          </w:p>
        </w:tc>
        <w:tc>
          <w:tcPr>
            <w:tcW w:w="860" w:type="dxa"/>
            <w:vAlign w:val="bottom"/>
            <w:tcBorders>
              <w:top w:val="single" w:sz="8" w:color="0066BA"/>
            </w:tcBorders>
            <w:shd w:val="clear" w:color="auto" w:fill="EAEAEA"/>
          </w:tcPr>
          <w:p>
            <w:pPr>
              <w:jc w:val="right"/>
              <w:ind w:right="102"/>
              <w:spacing w:after="0"/>
              <w:rPr>
                <w:sz w:val="20"/>
                <w:szCs w:val="20"/>
                <w:color w:val="auto"/>
              </w:rPr>
            </w:pPr>
            <w:r>
              <w:rPr>
                <w:rFonts w:ascii="Arial" w:cs="Arial" w:eastAsia="Arial" w:hAnsi="Arial"/>
                <w:sz w:val="16"/>
                <w:szCs w:val="16"/>
                <w:color w:val="auto"/>
              </w:rPr>
              <w:t>3,873</w:t>
            </w:r>
          </w:p>
        </w:tc>
        <w:tc>
          <w:tcPr>
            <w:tcW w:w="960" w:type="dxa"/>
            <w:vAlign w:val="bottom"/>
            <w:tcBorders>
              <w:top w:val="single" w:sz="8" w:color="0066BA"/>
            </w:tcBorders>
          </w:tcPr>
          <w:p>
            <w:pPr>
              <w:jc w:val="right"/>
              <w:ind w:right="102"/>
              <w:spacing w:after="0"/>
              <w:rPr>
                <w:sz w:val="20"/>
                <w:szCs w:val="20"/>
                <w:color w:val="auto"/>
              </w:rPr>
            </w:pPr>
            <w:r>
              <w:rPr>
                <w:rFonts w:ascii="Arial" w:cs="Arial" w:eastAsia="Arial" w:hAnsi="Arial"/>
                <w:sz w:val="16"/>
                <w:szCs w:val="16"/>
                <w:color w:val="auto"/>
              </w:rPr>
              <w:t>3,873</w:t>
            </w:r>
          </w:p>
        </w:tc>
        <w:tc>
          <w:tcPr>
            <w:tcW w:w="920" w:type="dxa"/>
            <w:vAlign w:val="bottom"/>
            <w:tcBorders>
              <w:top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13,460</w:t>
            </w:r>
          </w:p>
        </w:tc>
        <w:tc>
          <w:tcPr>
            <w:tcW w:w="200" w:type="dxa"/>
            <w:vAlign w:val="bottom"/>
            <w:tcBorders>
              <w:top w:val="single" w:sz="8" w:color="0066BA"/>
            </w:tcBorders>
            <w:shd w:val="clear" w:color="auto" w:fill="EAEAEA"/>
          </w:tcPr>
          <w:p>
            <w:pPr>
              <w:spacing w:after="0"/>
              <w:rPr>
                <w:sz w:val="22"/>
                <w:szCs w:val="22"/>
                <w:color w:val="auto"/>
              </w:rPr>
            </w:pPr>
          </w:p>
        </w:tc>
        <w:tc>
          <w:tcPr>
            <w:tcW w:w="1140" w:type="dxa"/>
            <w:vAlign w:val="bottom"/>
            <w:tcBorders>
              <w:top w:val="single" w:sz="8" w:color="0066BA"/>
            </w:tcBorders>
          </w:tcPr>
          <w:p>
            <w:pPr>
              <w:jc w:val="right"/>
              <w:ind w:right="2"/>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0066BA"/>
            </w:tcBorders>
            <w:shd w:val="clear" w:color="auto" w:fill="EAEAEA"/>
          </w:tcPr>
          <w:p>
            <w:pPr>
              <w:jc w:val="right"/>
              <w:ind w:right="102"/>
              <w:spacing w:after="0"/>
              <w:rPr>
                <w:sz w:val="20"/>
                <w:szCs w:val="20"/>
                <w:color w:val="auto"/>
              </w:rPr>
            </w:pPr>
            <w:r>
              <w:rPr>
                <w:rFonts w:ascii="Arial" w:cs="Arial" w:eastAsia="Arial" w:hAnsi="Arial"/>
                <w:sz w:val="16"/>
                <w:szCs w:val="16"/>
                <w:color w:val="auto"/>
              </w:rPr>
              <w:t>$4,120,908</w:t>
            </w:r>
          </w:p>
        </w:tc>
      </w:tr>
      <w:tr>
        <w:trPr>
          <w:trHeight w:val="84"/>
        </w:trPr>
        <w:tc>
          <w:tcPr>
            <w:tcW w:w="3380" w:type="dxa"/>
            <w:vAlign w:val="bottom"/>
            <w:tcBorders>
              <w:bottom w:val="single" w:sz="8" w:color="0066BA"/>
            </w:tcBorders>
          </w:tcPr>
          <w:p>
            <w:pPr>
              <w:spacing w:after="0"/>
              <w:rPr>
                <w:sz w:val="7"/>
                <w:szCs w:val="7"/>
                <w:color w:val="auto"/>
              </w:rPr>
            </w:pPr>
          </w:p>
        </w:tc>
        <w:tc>
          <w:tcPr>
            <w:tcW w:w="860" w:type="dxa"/>
            <w:vAlign w:val="bottom"/>
            <w:tcBorders>
              <w:bottom w:val="single" w:sz="8" w:color="0066BA"/>
            </w:tcBorders>
            <w:shd w:val="clear" w:color="auto" w:fill="EAEAEA"/>
          </w:tcPr>
          <w:p>
            <w:pPr>
              <w:spacing w:after="0"/>
              <w:rPr>
                <w:sz w:val="7"/>
                <w:szCs w:val="7"/>
                <w:color w:val="auto"/>
              </w:rPr>
            </w:pPr>
          </w:p>
        </w:tc>
        <w:tc>
          <w:tcPr>
            <w:tcW w:w="780" w:type="dxa"/>
            <w:vAlign w:val="bottom"/>
            <w:tcBorders>
              <w:bottom w:val="single" w:sz="8" w:color="0066BA"/>
            </w:tcBorders>
          </w:tcPr>
          <w:p>
            <w:pPr>
              <w:spacing w:after="0"/>
              <w:rPr>
                <w:sz w:val="7"/>
                <w:szCs w:val="7"/>
                <w:color w:val="auto"/>
              </w:rPr>
            </w:pPr>
          </w:p>
        </w:tc>
        <w:tc>
          <w:tcPr>
            <w:tcW w:w="860" w:type="dxa"/>
            <w:vAlign w:val="bottom"/>
            <w:tcBorders>
              <w:bottom w:val="single" w:sz="8" w:color="0066BA"/>
            </w:tcBorders>
            <w:shd w:val="clear" w:color="auto" w:fill="EAEAEA"/>
          </w:tcPr>
          <w:p>
            <w:pPr>
              <w:spacing w:after="0"/>
              <w:rPr>
                <w:sz w:val="7"/>
                <w:szCs w:val="7"/>
                <w:color w:val="auto"/>
              </w:rPr>
            </w:pPr>
          </w:p>
        </w:tc>
        <w:tc>
          <w:tcPr>
            <w:tcW w:w="960" w:type="dxa"/>
            <w:vAlign w:val="bottom"/>
            <w:tcBorders>
              <w:bottom w:val="single" w:sz="8" w:color="0066BA"/>
            </w:tcBorders>
          </w:tcPr>
          <w:p>
            <w:pPr>
              <w:spacing w:after="0"/>
              <w:rPr>
                <w:sz w:val="7"/>
                <w:szCs w:val="7"/>
                <w:color w:val="auto"/>
              </w:rPr>
            </w:pPr>
          </w:p>
        </w:tc>
        <w:tc>
          <w:tcPr>
            <w:tcW w:w="920" w:type="dxa"/>
            <w:vAlign w:val="bottom"/>
            <w:tcBorders>
              <w:bottom w:val="single" w:sz="8" w:color="0066BA"/>
            </w:tcBorders>
            <w:shd w:val="clear" w:color="auto" w:fill="EAEAEA"/>
          </w:tcPr>
          <w:p>
            <w:pPr>
              <w:spacing w:after="0"/>
              <w:rPr>
                <w:sz w:val="7"/>
                <w:szCs w:val="7"/>
                <w:color w:val="auto"/>
              </w:rPr>
            </w:pPr>
          </w:p>
        </w:tc>
        <w:tc>
          <w:tcPr>
            <w:tcW w:w="200" w:type="dxa"/>
            <w:vAlign w:val="bottom"/>
            <w:tcBorders>
              <w:bottom w:val="single" w:sz="8" w:color="0066BA"/>
            </w:tcBorders>
            <w:shd w:val="clear" w:color="auto" w:fill="EAEAEA"/>
          </w:tcPr>
          <w:p>
            <w:pPr>
              <w:spacing w:after="0"/>
              <w:rPr>
                <w:sz w:val="7"/>
                <w:szCs w:val="7"/>
                <w:color w:val="auto"/>
              </w:rPr>
            </w:pPr>
          </w:p>
        </w:tc>
        <w:tc>
          <w:tcPr>
            <w:tcW w:w="1140" w:type="dxa"/>
            <w:vAlign w:val="bottom"/>
            <w:tcBorders>
              <w:bottom w:val="single" w:sz="8" w:color="0066BA"/>
            </w:tcBorders>
          </w:tcPr>
          <w:p>
            <w:pPr>
              <w:spacing w:after="0"/>
              <w:rPr>
                <w:sz w:val="7"/>
                <w:szCs w:val="7"/>
                <w:color w:val="auto"/>
              </w:rPr>
            </w:pPr>
          </w:p>
        </w:tc>
        <w:tc>
          <w:tcPr>
            <w:tcW w:w="1180" w:type="dxa"/>
            <w:vAlign w:val="bottom"/>
            <w:tcBorders>
              <w:bottom w:val="single" w:sz="8" w:color="0066BA"/>
            </w:tcBorders>
            <w:shd w:val="clear" w:color="auto" w:fill="EAEAEA"/>
          </w:tcPr>
          <w:p>
            <w:pPr>
              <w:spacing w:after="0"/>
              <w:rPr>
                <w:sz w:val="7"/>
                <w:szCs w:val="7"/>
                <w:color w:val="auto"/>
              </w:rPr>
            </w:pPr>
          </w:p>
        </w:tc>
      </w:tr>
      <w:tr>
        <w:trPr>
          <w:trHeight w:val="260"/>
        </w:trPr>
        <w:tc>
          <w:tcPr>
            <w:tcW w:w="3380" w:type="dxa"/>
            <w:vAlign w:val="bottom"/>
          </w:tcPr>
          <w:p>
            <w:pPr>
              <w:ind w:left="60"/>
              <w:spacing w:after="0"/>
              <w:rPr>
                <w:sz w:val="20"/>
                <w:szCs w:val="20"/>
                <w:color w:val="auto"/>
              </w:rPr>
            </w:pPr>
            <w:r>
              <w:rPr>
                <w:rFonts w:ascii="Arial" w:cs="Arial" w:eastAsia="Arial" w:hAnsi="Arial"/>
                <w:sz w:val="16"/>
                <w:szCs w:val="16"/>
                <w:b w:val="1"/>
                <w:bCs w:val="1"/>
                <w:color w:val="0066BA"/>
              </w:rPr>
              <w:t>John Hassett</w:t>
            </w:r>
          </w:p>
        </w:tc>
        <w:tc>
          <w:tcPr>
            <w:tcW w:w="860" w:type="dxa"/>
            <w:vAlign w:val="bottom"/>
            <w:shd w:val="clear" w:color="auto" w:fill="EAEAEA"/>
          </w:tcPr>
          <w:p>
            <w:pPr>
              <w:jc w:val="right"/>
              <w:ind w:right="2"/>
              <w:spacing w:after="0"/>
              <w:rPr>
                <w:sz w:val="20"/>
                <w:szCs w:val="20"/>
                <w:color w:val="auto"/>
              </w:rPr>
            </w:pPr>
            <w:r>
              <w:rPr>
                <w:rFonts w:ascii="Arial" w:cs="Arial" w:eastAsia="Arial" w:hAnsi="Arial"/>
                <w:sz w:val="16"/>
                <w:szCs w:val="16"/>
                <w:color w:val="auto"/>
              </w:rPr>
              <w:t>14,158</w:t>
            </w:r>
          </w:p>
        </w:tc>
        <w:tc>
          <w:tcPr>
            <w:tcW w:w="780" w:type="dxa"/>
            <w:vAlign w:val="bottom"/>
          </w:tcPr>
          <w:p>
            <w:pPr>
              <w:jc w:val="right"/>
              <w:ind w:right="102"/>
              <w:spacing w:after="0"/>
              <w:rPr>
                <w:sz w:val="20"/>
                <w:szCs w:val="20"/>
                <w:color w:val="auto"/>
              </w:rPr>
            </w:pPr>
            <w:r>
              <w:rPr>
                <w:rFonts w:ascii="Arial" w:cs="Arial" w:eastAsia="Arial" w:hAnsi="Arial"/>
                <w:sz w:val="16"/>
                <w:szCs w:val="16"/>
                <w:color w:val="auto"/>
              </w:rPr>
              <w:t>3,873</w:t>
            </w:r>
          </w:p>
        </w:tc>
        <w:tc>
          <w:tcPr>
            <w:tcW w:w="860" w:type="dxa"/>
            <w:vAlign w:val="bottom"/>
            <w:shd w:val="clear" w:color="auto" w:fill="EAEAEA"/>
          </w:tcPr>
          <w:p>
            <w:pPr>
              <w:jc w:val="right"/>
              <w:ind w:right="102"/>
              <w:spacing w:after="0"/>
              <w:rPr>
                <w:sz w:val="20"/>
                <w:szCs w:val="20"/>
                <w:color w:val="auto"/>
              </w:rPr>
            </w:pPr>
            <w:r>
              <w:rPr>
                <w:rFonts w:ascii="Arial" w:cs="Arial" w:eastAsia="Arial" w:hAnsi="Arial"/>
                <w:sz w:val="16"/>
                <w:szCs w:val="16"/>
                <w:color w:val="auto"/>
              </w:rPr>
              <w:t>3,873</w:t>
            </w:r>
          </w:p>
        </w:tc>
        <w:tc>
          <w:tcPr>
            <w:tcW w:w="960" w:type="dxa"/>
            <w:vAlign w:val="bottom"/>
          </w:tcPr>
          <w:p>
            <w:pPr>
              <w:jc w:val="right"/>
              <w:ind w:right="102"/>
              <w:spacing w:after="0"/>
              <w:rPr>
                <w:sz w:val="20"/>
                <w:szCs w:val="20"/>
                <w:color w:val="auto"/>
              </w:rPr>
            </w:pPr>
            <w:r>
              <w:rPr>
                <w:rFonts w:ascii="Arial" w:cs="Arial" w:eastAsia="Arial" w:hAnsi="Arial"/>
                <w:sz w:val="16"/>
                <w:szCs w:val="16"/>
                <w:color w:val="auto"/>
              </w:rPr>
              <w:t>3,873</w:t>
            </w:r>
          </w:p>
        </w:tc>
        <w:tc>
          <w:tcPr>
            <w:tcW w:w="9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13,460</w:t>
            </w:r>
          </w:p>
        </w:tc>
        <w:tc>
          <w:tcPr>
            <w:tcW w:w="200" w:type="dxa"/>
            <w:vAlign w:val="bottom"/>
            <w:shd w:val="clear" w:color="auto" w:fill="EAEAEA"/>
          </w:tcPr>
          <w:p>
            <w:pPr>
              <w:spacing w:after="0"/>
              <w:rPr>
                <w:sz w:val="22"/>
                <w:szCs w:val="22"/>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180" w:type="dxa"/>
            <w:vAlign w:val="bottom"/>
            <w:shd w:val="clear" w:color="auto" w:fill="EAEAEA"/>
          </w:tcPr>
          <w:p>
            <w:pPr>
              <w:jc w:val="right"/>
              <w:ind w:right="102"/>
              <w:spacing w:after="0"/>
              <w:rPr>
                <w:sz w:val="20"/>
                <w:szCs w:val="20"/>
                <w:color w:val="auto"/>
              </w:rPr>
            </w:pPr>
            <w:r>
              <w:rPr>
                <w:rFonts w:ascii="Arial" w:cs="Arial" w:eastAsia="Arial" w:hAnsi="Arial"/>
                <w:sz w:val="16"/>
                <w:szCs w:val="16"/>
                <w:color w:val="auto"/>
              </w:rPr>
              <w:t>$4,120,908</w:t>
            </w:r>
          </w:p>
        </w:tc>
      </w:tr>
      <w:tr>
        <w:trPr>
          <w:trHeight w:val="84"/>
        </w:trPr>
        <w:tc>
          <w:tcPr>
            <w:tcW w:w="3380" w:type="dxa"/>
            <w:vAlign w:val="bottom"/>
            <w:tcBorders>
              <w:bottom w:val="single" w:sz="8" w:color="0066BA"/>
            </w:tcBorders>
          </w:tcPr>
          <w:p>
            <w:pPr>
              <w:spacing w:after="0"/>
              <w:rPr>
                <w:sz w:val="7"/>
                <w:szCs w:val="7"/>
                <w:color w:val="auto"/>
              </w:rPr>
            </w:pPr>
          </w:p>
        </w:tc>
        <w:tc>
          <w:tcPr>
            <w:tcW w:w="860" w:type="dxa"/>
            <w:vAlign w:val="bottom"/>
            <w:tcBorders>
              <w:bottom w:val="single" w:sz="8" w:color="0066BA"/>
            </w:tcBorders>
            <w:shd w:val="clear" w:color="auto" w:fill="EAEAEA"/>
          </w:tcPr>
          <w:p>
            <w:pPr>
              <w:spacing w:after="0"/>
              <w:rPr>
                <w:sz w:val="7"/>
                <w:szCs w:val="7"/>
                <w:color w:val="auto"/>
              </w:rPr>
            </w:pPr>
          </w:p>
        </w:tc>
        <w:tc>
          <w:tcPr>
            <w:tcW w:w="780" w:type="dxa"/>
            <w:vAlign w:val="bottom"/>
            <w:tcBorders>
              <w:bottom w:val="single" w:sz="8" w:color="0066BA"/>
            </w:tcBorders>
          </w:tcPr>
          <w:p>
            <w:pPr>
              <w:spacing w:after="0"/>
              <w:rPr>
                <w:sz w:val="7"/>
                <w:szCs w:val="7"/>
                <w:color w:val="auto"/>
              </w:rPr>
            </w:pPr>
          </w:p>
        </w:tc>
        <w:tc>
          <w:tcPr>
            <w:tcW w:w="860" w:type="dxa"/>
            <w:vAlign w:val="bottom"/>
            <w:tcBorders>
              <w:bottom w:val="single" w:sz="8" w:color="0066BA"/>
            </w:tcBorders>
            <w:shd w:val="clear" w:color="auto" w:fill="EAEAEA"/>
          </w:tcPr>
          <w:p>
            <w:pPr>
              <w:spacing w:after="0"/>
              <w:rPr>
                <w:sz w:val="7"/>
                <w:szCs w:val="7"/>
                <w:color w:val="auto"/>
              </w:rPr>
            </w:pPr>
          </w:p>
        </w:tc>
        <w:tc>
          <w:tcPr>
            <w:tcW w:w="960" w:type="dxa"/>
            <w:vAlign w:val="bottom"/>
            <w:tcBorders>
              <w:bottom w:val="single" w:sz="8" w:color="0066BA"/>
            </w:tcBorders>
          </w:tcPr>
          <w:p>
            <w:pPr>
              <w:spacing w:after="0"/>
              <w:rPr>
                <w:sz w:val="7"/>
                <w:szCs w:val="7"/>
                <w:color w:val="auto"/>
              </w:rPr>
            </w:pPr>
          </w:p>
        </w:tc>
        <w:tc>
          <w:tcPr>
            <w:tcW w:w="920" w:type="dxa"/>
            <w:vAlign w:val="bottom"/>
            <w:tcBorders>
              <w:bottom w:val="single" w:sz="8" w:color="0066BA"/>
            </w:tcBorders>
            <w:shd w:val="clear" w:color="auto" w:fill="EAEAEA"/>
          </w:tcPr>
          <w:p>
            <w:pPr>
              <w:spacing w:after="0"/>
              <w:rPr>
                <w:sz w:val="7"/>
                <w:szCs w:val="7"/>
                <w:color w:val="auto"/>
              </w:rPr>
            </w:pPr>
          </w:p>
        </w:tc>
        <w:tc>
          <w:tcPr>
            <w:tcW w:w="200" w:type="dxa"/>
            <w:vAlign w:val="bottom"/>
            <w:tcBorders>
              <w:bottom w:val="single" w:sz="8" w:color="0066BA"/>
            </w:tcBorders>
            <w:shd w:val="clear" w:color="auto" w:fill="EAEAEA"/>
          </w:tcPr>
          <w:p>
            <w:pPr>
              <w:spacing w:after="0"/>
              <w:rPr>
                <w:sz w:val="7"/>
                <w:szCs w:val="7"/>
                <w:color w:val="auto"/>
              </w:rPr>
            </w:pPr>
          </w:p>
        </w:tc>
        <w:tc>
          <w:tcPr>
            <w:tcW w:w="1140" w:type="dxa"/>
            <w:vAlign w:val="bottom"/>
            <w:tcBorders>
              <w:bottom w:val="single" w:sz="8" w:color="0066BA"/>
            </w:tcBorders>
          </w:tcPr>
          <w:p>
            <w:pPr>
              <w:spacing w:after="0"/>
              <w:rPr>
                <w:sz w:val="7"/>
                <w:szCs w:val="7"/>
                <w:color w:val="auto"/>
              </w:rPr>
            </w:pPr>
          </w:p>
        </w:tc>
        <w:tc>
          <w:tcPr>
            <w:tcW w:w="1180" w:type="dxa"/>
            <w:vAlign w:val="bottom"/>
            <w:tcBorders>
              <w:bottom w:val="single" w:sz="8" w:color="0066BA"/>
            </w:tcBorders>
            <w:shd w:val="clear" w:color="auto" w:fill="EAEAEA"/>
          </w:tcPr>
          <w:p>
            <w:pPr>
              <w:spacing w:after="0"/>
              <w:rPr>
                <w:sz w:val="7"/>
                <w:szCs w:val="7"/>
                <w:color w:val="auto"/>
              </w:rPr>
            </w:pPr>
          </w:p>
        </w:tc>
      </w:tr>
      <w:tr>
        <w:trPr>
          <w:trHeight w:val="260"/>
        </w:trPr>
        <w:tc>
          <w:tcPr>
            <w:tcW w:w="3380" w:type="dxa"/>
            <w:vAlign w:val="bottom"/>
          </w:tcPr>
          <w:p>
            <w:pPr>
              <w:ind w:left="60"/>
              <w:spacing w:after="0"/>
              <w:rPr>
                <w:sz w:val="20"/>
                <w:szCs w:val="20"/>
                <w:color w:val="auto"/>
              </w:rPr>
            </w:pPr>
            <w:r>
              <w:rPr>
                <w:rFonts w:ascii="Arial" w:cs="Arial" w:eastAsia="Arial" w:hAnsi="Arial"/>
                <w:sz w:val="16"/>
                <w:szCs w:val="16"/>
                <w:b w:val="1"/>
                <w:bCs w:val="1"/>
                <w:color w:val="0066BA"/>
              </w:rPr>
              <w:t>Greg Henderson</w:t>
            </w:r>
          </w:p>
        </w:tc>
        <w:tc>
          <w:tcPr>
            <w:tcW w:w="860" w:type="dxa"/>
            <w:vAlign w:val="bottom"/>
            <w:shd w:val="clear" w:color="auto" w:fill="EAEAEA"/>
          </w:tcPr>
          <w:p>
            <w:pPr>
              <w:jc w:val="right"/>
              <w:ind w:right="2"/>
              <w:spacing w:after="0"/>
              <w:rPr>
                <w:sz w:val="20"/>
                <w:szCs w:val="20"/>
                <w:color w:val="auto"/>
              </w:rPr>
            </w:pPr>
            <w:r>
              <w:rPr>
                <w:rFonts w:ascii="Arial" w:cs="Arial" w:eastAsia="Arial" w:hAnsi="Arial"/>
                <w:sz w:val="16"/>
                <w:szCs w:val="16"/>
                <w:color w:val="auto"/>
              </w:rPr>
              <w:t>14,158</w:t>
            </w:r>
          </w:p>
        </w:tc>
        <w:tc>
          <w:tcPr>
            <w:tcW w:w="780" w:type="dxa"/>
            <w:vAlign w:val="bottom"/>
          </w:tcPr>
          <w:p>
            <w:pPr>
              <w:jc w:val="right"/>
              <w:ind w:right="102"/>
              <w:spacing w:after="0"/>
              <w:rPr>
                <w:sz w:val="20"/>
                <w:szCs w:val="20"/>
                <w:color w:val="auto"/>
              </w:rPr>
            </w:pPr>
            <w:r>
              <w:rPr>
                <w:rFonts w:ascii="Arial" w:cs="Arial" w:eastAsia="Arial" w:hAnsi="Arial"/>
                <w:sz w:val="16"/>
                <w:szCs w:val="16"/>
                <w:color w:val="auto"/>
              </w:rPr>
              <w:t>3,873</w:t>
            </w:r>
          </w:p>
        </w:tc>
        <w:tc>
          <w:tcPr>
            <w:tcW w:w="860" w:type="dxa"/>
            <w:vAlign w:val="bottom"/>
            <w:shd w:val="clear" w:color="auto" w:fill="EAEAEA"/>
          </w:tcPr>
          <w:p>
            <w:pPr>
              <w:jc w:val="right"/>
              <w:ind w:right="102"/>
              <w:spacing w:after="0"/>
              <w:rPr>
                <w:sz w:val="20"/>
                <w:szCs w:val="20"/>
                <w:color w:val="auto"/>
              </w:rPr>
            </w:pPr>
            <w:r>
              <w:rPr>
                <w:rFonts w:ascii="Arial" w:cs="Arial" w:eastAsia="Arial" w:hAnsi="Arial"/>
                <w:sz w:val="16"/>
                <w:szCs w:val="16"/>
                <w:color w:val="auto"/>
              </w:rPr>
              <w:t>3,873</w:t>
            </w:r>
          </w:p>
        </w:tc>
        <w:tc>
          <w:tcPr>
            <w:tcW w:w="960" w:type="dxa"/>
            <w:vAlign w:val="bottom"/>
          </w:tcPr>
          <w:p>
            <w:pPr>
              <w:jc w:val="right"/>
              <w:ind w:right="102"/>
              <w:spacing w:after="0"/>
              <w:rPr>
                <w:sz w:val="20"/>
                <w:szCs w:val="20"/>
                <w:color w:val="auto"/>
              </w:rPr>
            </w:pPr>
            <w:r>
              <w:rPr>
                <w:rFonts w:ascii="Arial" w:cs="Arial" w:eastAsia="Arial" w:hAnsi="Arial"/>
                <w:sz w:val="16"/>
                <w:szCs w:val="16"/>
                <w:color w:val="auto"/>
              </w:rPr>
              <w:t>3,873</w:t>
            </w:r>
          </w:p>
        </w:tc>
        <w:tc>
          <w:tcPr>
            <w:tcW w:w="9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13,460</w:t>
            </w:r>
          </w:p>
        </w:tc>
        <w:tc>
          <w:tcPr>
            <w:tcW w:w="200" w:type="dxa"/>
            <w:vAlign w:val="bottom"/>
            <w:shd w:val="clear" w:color="auto" w:fill="EAEAEA"/>
          </w:tcPr>
          <w:p>
            <w:pPr>
              <w:spacing w:after="0"/>
              <w:rPr>
                <w:sz w:val="22"/>
                <w:szCs w:val="22"/>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180" w:type="dxa"/>
            <w:vAlign w:val="bottom"/>
            <w:shd w:val="clear" w:color="auto" w:fill="EAEAEA"/>
          </w:tcPr>
          <w:p>
            <w:pPr>
              <w:jc w:val="right"/>
              <w:ind w:right="102"/>
              <w:spacing w:after="0"/>
              <w:rPr>
                <w:sz w:val="20"/>
                <w:szCs w:val="20"/>
                <w:color w:val="auto"/>
              </w:rPr>
            </w:pPr>
            <w:r>
              <w:rPr>
                <w:rFonts w:ascii="Arial" w:cs="Arial" w:eastAsia="Arial" w:hAnsi="Arial"/>
                <w:sz w:val="16"/>
                <w:szCs w:val="16"/>
                <w:color w:val="auto"/>
              </w:rPr>
              <w:t>$4,120,908</w:t>
            </w:r>
          </w:p>
        </w:tc>
      </w:tr>
      <w:tr>
        <w:trPr>
          <w:trHeight w:val="84"/>
        </w:trPr>
        <w:tc>
          <w:tcPr>
            <w:tcW w:w="3380" w:type="dxa"/>
            <w:vAlign w:val="bottom"/>
            <w:tcBorders>
              <w:bottom w:val="single" w:sz="8" w:color="0066BA"/>
            </w:tcBorders>
          </w:tcPr>
          <w:p>
            <w:pPr>
              <w:spacing w:after="0"/>
              <w:rPr>
                <w:sz w:val="7"/>
                <w:szCs w:val="7"/>
                <w:color w:val="auto"/>
              </w:rPr>
            </w:pPr>
          </w:p>
        </w:tc>
        <w:tc>
          <w:tcPr>
            <w:tcW w:w="860" w:type="dxa"/>
            <w:vAlign w:val="bottom"/>
            <w:tcBorders>
              <w:bottom w:val="single" w:sz="8" w:color="0066BA"/>
            </w:tcBorders>
            <w:shd w:val="clear" w:color="auto" w:fill="EAEAEA"/>
          </w:tcPr>
          <w:p>
            <w:pPr>
              <w:spacing w:after="0"/>
              <w:rPr>
                <w:sz w:val="7"/>
                <w:szCs w:val="7"/>
                <w:color w:val="auto"/>
              </w:rPr>
            </w:pPr>
          </w:p>
        </w:tc>
        <w:tc>
          <w:tcPr>
            <w:tcW w:w="780" w:type="dxa"/>
            <w:vAlign w:val="bottom"/>
            <w:tcBorders>
              <w:bottom w:val="single" w:sz="8" w:color="0066BA"/>
            </w:tcBorders>
          </w:tcPr>
          <w:p>
            <w:pPr>
              <w:spacing w:after="0"/>
              <w:rPr>
                <w:sz w:val="7"/>
                <w:szCs w:val="7"/>
                <w:color w:val="auto"/>
              </w:rPr>
            </w:pPr>
          </w:p>
        </w:tc>
        <w:tc>
          <w:tcPr>
            <w:tcW w:w="860" w:type="dxa"/>
            <w:vAlign w:val="bottom"/>
            <w:tcBorders>
              <w:bottom w:val="single" w:sz="8" w:color="0066BA"/>
            </w:tcBorders>
            <w:shd w:val="clear" w:color="auto" w:fill="EAEAEA"/>
          </w:tcPr>
          <w:p>
            <w:pPr>
              <w:spacing w:after="0"/>
              <w:rPr>
                <w:sz w:val="7"/>
                <w:szCs w:val="7"/>
                <w:color w:val="auto"/>
              </w:rPr>
            </w:pPr>
          </w:p>
        </w:tc>
        <w:tc>
          <w:tcPr>
            <w:tcW w:w="960" w:type="dxa"/>
            <w:vAlign w:val="bottom"/>
            <w:tcBorders>
              <w:bottom w:val="single" w:sz="8" w:color="0066BA"/>
            </w:tcBorders>
          </w:tcPr>
          <w:p>
            <w:pPr>
              <w:spacing w:after="0"/>
              <w:rPr>
                <w:sz w:val="7"/>
                <w:szCs w:val="7"/>
                <w:color w:val="auto"/>
              </w:rPr>
            </w:pPr>
          </w:p>
        </w:tc>
        <w:tc>
          <w:tcPr>
            <w:tcW w:w="920" w:type="dxa"/>
            <w:vAlign w:val="bottom"/>
            <w:tcBorders>
              <w:bottom w:val="single" w:sz="8" w:color="0066BA"/>
            </w:tcBorders>
            <w:shd w:val="clear" w:color="auto" w:fill="EAEAEA"/>
          </w:tcPr>
          <w:p>
            <w:pPr>
              <w:spacing w:after="0"/>
              <w:rPr>
                <w:sz w:val="7"/>
                <w:szCs w:val="7"/>
                <w:color w:val="auto"/>
              </w:rPr>
            </w:pPr>
          </w:p>
        </w:tc>
        <w:tc>
          <w:tcPr>
            <w:tcW w:w="200" w:type="dxa"/>
            <w:vAlign w:val="bottom"/>
            <w:tcBorders>
              <w:bottom w:val="single" w:sz="8" w:color="0066BA"/>
            </w:tcBorders>
            <w:shd w:val="clear" w:color="auto" w:fill="EAEAEA"/>
          </w:tcPr>
          <w:p>
            <w:pPr>
              <w:spacing w:after="0"/>
              <w:rPr>
                <w:sz w:val="7"/>
                <w:szCs w:val="7"/>
                <w:color w:val="auto"/>
              </w:rPr>
            </w:pPr>
          </w:p>
        </w:tc>
        <w:tc>
          <w:tcPr>
            <w:tcW w:w="1140" w:type="dxa"/>
            <w:vAlign w:val="bottom"/>
            <w:tcBorders>
              <w:bottom w:val="single" w:sz="8" w:color="0066BA"/>
            </w:tcBorders>
          </w:tcPr>
          <w:p>
            <w:pPr>
              <w:spacing w:after="0"/>
              <w:rPr>
                <w:sz w:val="7"/>
                <w:szCs w:val="7"/>
                <w:color w:val="auto"/>
              </w:rPr>
            </w:pPr>
          </w:p>
        </w:tc>
        <w:tc>
          <w:tcPr>
            <w:tcW w:w="1180" w:type="dxa"/>
            <w:vAlign w:val="bottom"/>
            <w:tcBorders>
              <w:bottom w:val="single" w:sz="8" w:color="0066BA"/>
            </w:tcBorders>
            <w:shd w:val="clear" w:color="auto" w:fill="EAEAEA"/>
          </w:tcPr>
          <w:p>
            <w:pPr>
              <w:spacing w:after="0"/>
              <w:rPr>
                <w:sz w:val="7"/>
                <w:szCs w:val="7"/>
                <w:color w:val="auto"/>
              </w:rPr>
            </w:pPr>
          </w:p>
        </w:tc>
      </w:tr>
      <w:tr>
        <w:trPr>
          <w:trHeight w:val="260"/>
        </w:trPr>
        <w:tc>
          <w:tcPr>
            <w:tcW w:w="3380" w:type="dxa"/>
            <w:vAlign w:val="bottom"/>
          </w:tcPr>
          <w:p>
            <w:pPr>
              <w:ind w:left="60"/>
              <w:spacing w:after="0"/>
              <w:rPr>
                <w:sz w:val="20"/>
                <w:szCs w:val="20"/>
                <w:color w:val="auto"/>
              </w:rPr>
            </w:pPr>
            <w:r>
              <w:rPr>
                <w:rFonts w:ascii="Arial" w:cs="Arial" w:eastAsia="Arial" w:hAnsi="Arial"/>
                <w:sz w:val="16"/>
                <w:szCs w:val="16"/>
                <w:b w:val="1"/>
                <w:bCs w:val="1"/>
                <w:color w:val="0066BA"/>
              </w:rPr>
              <w:t>Anelise Sacks</w:t>
            </w:r>
          </w:p>
        </w:tc>
        <w:tc>
          <w:tcPr>
            <w:tcW w:w="860" w:type="dxa"/>
            <w:vAlign w:val="bottom"/>
            <w:shd w:val="clear" w:color="auto" w:fill="EAEAEA"/>
          </w:tcPr>
          <w:p>
            <w:pPr>
              <w:jc w:val="right"/>
              <w:ind w:right="2"/>
              <w:spacing w:after="0"/>
              <w:rPr>
                <w:sz w:val="20"/>
                <w:szCs w:val="20"/>
                <w:color w:val="auto"/>
              </w:rPr>
            </w:pPr>
            <w:r>
              <w:rPr>
                <w:rFonts w:ascii="Arial" w:cs="Arial" w:eastAsia="Arial" w:hAnsi="Arial"/>
                <w:sz w:val="16"/>
                <w:szCs w:val="16"/>
                <w:color w:val="auto"/>
              </w:rPr>
              <w:t>8,366</w:t>
            </w:r>
          </w:p>
        </w:tc>
        <w:tc>
          <w:tcPr>
            <w:tcW w:w="780" w:type="dxa"/>
            <w:vAlign w:val="bottom"/>
          </w:tcPr>
          <w:p>
            <w:pPr>
              <w:jc w:val="right"/>
              <w:ind w:right="102"/>
              <w:spacing w:after="0"/>
              <w:rPr>
                <w:sz w:val="20"/>
                <w:szCs w:val="20"/>
                <w:color w:val="auto"/>
              </w:rPr>
            </w:pPr>
            <w:r>
              <w:rPr>
                <w:rFonts w:ascii="Arial" w:cs="Arial" w:eastAsia="Arial" w:hAnsi="Arial"/>
                <w:sz w:val="16"/>
                <w:szCs w:val="16"/>
                <w:color w:val="auto"/>
              </w:rPr>
              <w:t>2,289</w:t>
            </w:r>
          </w:p>
        </w:tc>
        <w:tc>
          <w:tcPr>
            <w:tcW w:w="860" w:type="dxa"/>
            <w:vAlign w:val="bottom"/>
            <w:shd w:val="clear" w:color="auto" w:fill="EAEAEA"/>
          </w:tcPr>
          <w:p>
            <w:pPr>
              <w:jc w:val="right"/>
              <w:ind w:right="102"/>
              <w:spacing w:after="0"/>
              <w:rPr>
                <w:sz w:val="20"/>
                <w:szCs w:val="20"/>
                <w:color w:val="auto"/>
              </w:rPr>
            </w:pPr>
            <w:r>
              <w:rPr>
                <w:rFonts w:ascii="Arial" w:cs="Arial" w:eastAsia="Arial" w:hAnsi="Arial"/>
                <w:sz w:val="16"/>
                <w:szCs w:val="16"/>
                <w:color w:val="auto"/>
              </w:rPr>
              <w:t>2,289</w:t>
            </w:r>
          </w:p>
        </w:tc>
        <w:tc>
          <w:tcPr>
            <w:tcW w:w="960" w:type="dxa"/>
            <w:vAlign w:val="bottom"/>
          </w:tcPr>
          <w:p>
            <w:pPr>
              <w:jc w:val="right"/>
              <w:ind w:right="102"/>
              <w:spacing w:after="0"/>
              <w:rPr>
                <w:sz w:val="20"/>
                <w:szCs w:val="20"/>
                <w:color w:val="auto"/>
              </w:rPr>
            </w:pPr>
            <w:r>
              <w:rPr>
                <w:rFonts w:ascii="Arial" w:cs="Arial" w:eastAsia="Arial" w:hAnsi="Arial"/>
                <w:sz w:val="16"/>
                <w:szCs w:val="16"/>
                <w:color w:val="auto"/>
              </w:rPr>
              <w:t>2,289</w:t>
            </w:r>
          </w:p>
        </w:tc>
        <w:tc>
          <w:tcPr>
            <w:tcW w:w="9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11,377</w:t>
            </w:r>
          </w:p>
        </w:tc>
        <w:tc>
          <w:tcPr>
            <w:tcW w:w="200" w:type="dxa"/>
            <w:vAlign w:val="bottom"/>
            <w:shd w:val="clear" w:color="auto" w:fill="EAEAEA"/>
          </w:tcPr>
          <w:p>
            <w:pPr>
              <w:jc w:val="right"/>
              <w:spacing w:after="0"/>
              <w:rPr>
                <w:sz w:val="20"/>
                <w:szCs w:val="20"/>
                <w:color w:val="auto"/>
              </w:rPr>
            </w:pPr>
            <w:r>
              <w:rPr>
                <w:rFonts w:ascii="Arial" w:cs="Arial" w:eastAsia="Arial" w:hAnsi="Arial"/>
                <w:sz w:val="16"/>
                <w:szCs w:val="16"/>
                <w:color w:val="auto"/>
                <w:w w:val="81"/>
              </w:rPr>
              <w:t>(1)</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180" w:type="dxa"/>
            <w:vAlign w:val="bottom"/>
            <w:shd w:val="clear" w:color="auto" w:fill="EAEAEA"/>
          </w:tcPr>
          <w:p>
            <w:pPr>
              <w:jc w:val="right"/>
              <w:ind w:right="102"/>
              <w:spacing w:after="0"/>
              <w:rPr>
                <w:sz w:val="20"/>
                <w:szCs w:val="20"/>
                <w:color w:val="auto"/>
              </w:rPr>
            </w:pPr>
            <w:r>
              <w:rPr>
                <w:rFonts w:ascii="Arial" w:cs="Arial" w:eastAsia="Arial" w:hAnsi="Arial"/>
                <w:sz w:val="16"/>
                <w:szCs w:val="16"/>
                <w:color w:val="auto"/>
              </w:rPr>
              <w:t>$3,007,784</w:t>
            </w:r>
          </w:p>
        </w:tc>
      </w:tr>
      <w:tr>
        <w:trPr>
          <w:trHeight w:val="84"/>
        </w:trPr>
        <w:tc>
          <w:tcPr>
            <w:tcW w:w="3380" w:type="dxa"/>
            <w:vAlign w:val="bottom"/>
            <w:tcBorders>
              <w:bottom w:val="single" w:sz="8" w:color="0066BA"/>
            </w:tcBorders>
          </w:tcPr>
          <w:p>
            <w:pPr>
              <w:spacing w:after="0"/>
              <w:rPr>
                <w:sz w:val="7"/>
                <w:szCs w:val="7"/>
                <w:color w:val="auto"/>
              </w:rPr>
            </w:pPr>
          </w:p>
        </w:tc>
        <w:tc>
          <w:tcPr>
            <w:tcW w:w="860" w:type="dxa"/>
            <w:vAlign w:val="bottom"/>
            <w:tcBorders>
              <w:bottom w:val="single" w:sz="8" w:color="0066BA"/>
            </w:tcBorders>
            <w:shd w:val="clear" w:color="auto" w:fill="EAEAEA"/>
          </w:tcPr>
          <w:p>
            <w:pPr>
              <w:spacing w:after="0"/>
              <w:rPr>
                <w:sz w:val="7"/>
                <w:szCs w:val="7"/>
                <w:color w:val="auto"/>
              </w:rPr>
            </w:pPr>
          </w:p>
        </w:tc>
        <w:tc>
          <w:tcPr>
            <w:tcW w:w="780" w:type="dxa"/>
            <w:vAlign w:val="bottom"/>
            <w:tcBorders>
              <w:bottom w:val="single" w:sz="8" w:color="0066BA"/>
            </w:tcBorders>
          </w:tcPr>
          <w:p>
            <w:pPr>
              <w:spacing w:after="0"/>
              <w:rPr>
                <w:sz w:val="7"/>
                <w:szCs w:val="7"/>
                <w:color w:val="auto"/>
              </w:rPr>
            </w:pPr>
          </w:p>
        </w:tc>
        <w:tc>
          <w:tcPr>
            <w:tcW w:w="860" w:type="dxa"/>
            <w:vAlign w:val="bottom"/>
            <w:tcBorders>
              <w:bottom w:val="single" w:sz="8" w:color="0066BA"/>
            </w:tcBorders>
            <w:shd w:val="clear" w:color="auto" w:fill="EAEAEA"/>
          </w:tcPr>
          <w:p>
            <w:pPr>
              <w:spacing w:after="0"/>
              <w:rPr>
                <w:sz w:val="7"/>
                <w:szCs w:val="7"/>
                <w:color w:val="auto"/>
              </w:rPr>
            </w:pPr>
          </w:p>
        </w:tc>
        <w:tc>
          <w:tcPr>
            <w:tcW w:w="960" w:type="dxa"/>
            <w:vAlign w:val="bottom"/>
            <w:tcBorders>
              <w:bottom w:val="single" w:sz="8" w:color="0066BA"/>
            </w:tcBorders>
          </w:tcPr>
          <w:p>
            <w:pPr>
              <w:spacing w:after="0"/>
              <w:rPr>
                <w:sz w:val="7"/>
                <w:szCs w:val="7"/>
                <w:color w:val="auto"/>
              </w:rPr>
            </w:pPr>
          </w:p>
        </w:tc>
        <w:tc>
          <w:tcPr>
            <w:tcW w:w="920" w:type="dxa"/>
            <w:vAlign w:val="bottom"/>
            <w:tcBorders>
              <w:bottom w:val="single" w:sz="8" w:color="0066BA"/>
            </w:tcBorders>
            <w:shd w:val="clear" w:color="auto" w:fill="EAEAEA"/>
          </w:tcPr>
          <w:p>
            <w:pPr>
              <w:spacing w:after="0"/>
              <w:rPr>
                <w:sz w:val="7"/>
                <w:szCs w:val="7"/>
                <w:color w:val="auto"/>
              </w:rPr>
            </w:pPr>
          </w:p>
        </w:tc>
        <w:tc>
          <w:tcPr>
            <w:tcW w:w="200" w:type="dxa"/>
            <w:vAlign w:val="bottom"/>
            <w:tcBorders>
              <w:bottom w:val="single" w:sz="8" w:color="0066BA"/>
            </w:tcBorders>
            <w:shd w:val="clear" w:color="auto" w:fill="EAEAEA"/>
          </w:tcPr>
          <w:p>
            <w:pPr>
              <w:spacing w:after="0"/>
              <w:rPr>
                <w:sz w:val="7"/>
                <w:szCs w:val="7"/>
                <w:color w:val="auto"/>
              </w:rPr>
            </w:pPr>
          </w:p>
        </w:tc>
        <w:tc>
          <w:tcPr>
            <w:tcW w:w="1140" w:type="dxa"/>
            <w:vAlign w:val="bottom"/>
            <w:tcBorders>
              <w:bottom w:val="single" w:sz="8" w:color="0066BA"/>
            </w:tcBorders>
          </w:tcPr>
          <w:p>
            <w:pPr>
              <w:spacing w:after="0"/>
              <w:rPr>
                <w:sz w:val="7"/>
                <w:szCs w:val="7"/>
                <w:color w:val="auto"/>
              </w:rPr>
            </w:pPr>
          </w:p>
        </w:tc>
        <w:tc>
          <w:tcPr>
            <w:tcW w:w="1180" w:type="dxa"/>
            <w:vAlign w:val="bottom"/>
            <w:tcBorders>
              <w:bottom w:val="single" w:sz="8" w:color="0066BA"/>
            </w:tcBorders>
            <w:shd w:val="clear" w:color="auto" w:fill="EAEAEA"/>
          </w:tcPr>
          <w:p>
            <w:pPr>
              <w:spacing w:after="0"/>
              <w:rPr>
                <w:sz w:val="7"/>
                <w:szCs w:val="7"/>
                <w:color w:val="auto"/>
              </w:rPr>
            </w:pPr>
          </w:p>
        </w:tc>
      </w:tr>
    </w:tbl>
    <w:p>
      <w:pPr>
        <w:spacing w:after="0" w:line="24" w:lineRule="exact"/>
        <w:rPr>
          <w:sz w:val="20"/>
          <w:szCs w:val="20"/>
          <w:color w:val="auto"/>
        </w:rPr>
      </w:pPr>
    </w:p>
    <w:p>
      <w:pPr>
        <w:ind w:left="480"/>
        <w:spacing w:after="0"/>
        <w:rPr>
          <w:sz w:val="20"/>
          <w:szCs w:val="20"/>
          <w:color w:val="auto"/>
        </w:rPr>
      </w:pPr>
      <w:r>
        <w:rPr>
          <w:rFonts w:ascii="Arial" w:cs="Arial" w:eastAsia="Arial" w:hAnsi="Arial"/>
          <w:sz w:val="13"/>
          <w:szCs w:val="13"/>
          <w:i w:val="1"/>
          <w:iCs w:val="1"/>
          <w:color w:val="auto"/>
        </w:rPr>
        <w:t>(1) Ms. Sacks joined ADI in February 2021, and the Maxim Integrated PRSU award was granted to Ms. Sacks on March 15, 2021 rather than in December 2020.</w:t>
      </w:r>
    </w:p>
    <w:p>
      <w:pPr>
        <w:spacing w:after="0" w:line="293"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Other Compensation Elements</w:t>
      </w:r>
    </w:p>
    <w:p>
      <w:pPr>
        <w:spacing w:after="0" w:line="57" w:lineRule="exact"/>
        <w:rPr>
          <w:sz w:val="20"/>
          <w:szCs w:val="20"/>
          <w:color w:val="auto"/>
        </w:rPr>
      </w:pPr>
    </w:p>
    <w:p>
      <w:pPr>
        <w:ind w:left="480"/>
        <w:spacing w:after="0"/>
        <w:rPr>
          <w:sz w:val="20"/>
          <w:szCs w:val="20"/>
          <w:color w:val="auto"/>
        </w:rPr>
      </w:pPr>
      <w:r>
        <w:rPr>
          <w:rFonts w:ascii="Arial" w:cs="Arial" w:eastAsia="Arial" w:hAnsi="Arial"/>
          <w:sz w:val="17"/>
          <w:szCs w:val="17"/>
          <w:color w:val="0066BA"/>
        </w:rPr>
        <w:t>Retirement and Other Employee Benefits</w:t>
      </w:r>
    </w:p>
    <w:p>
      <w:pPr>
        <w:spacing w:after="0" w:line="25" w:lineRule="exact"/>
        <w:rPr>
          <w:sz w:val="20"/>
          <w:szCs w:val="20"/>
          <w:color w:val="auto"/>
        </w:rPr>
      </w:pPr>
    </w:p>
    <w:p>
      <w:pPr>
        <w:ind w:left="480" w:right="260"/>
        <w:spacing w:after="0" w:line="306" w:lineRule="auto"/>
        <w:rPr>
          <w:sz w:val="20"/>
          <w:szCs w:val="20"/>
          <w:color w:val="auto"/>
        </w:rPr>
      </w:pPr>
      <w:r>
        <w:rPr>
          <w:rFonts w:ascii="Arial" w:cs="Arial" w:eastAsia="Arial" w:hAnsi="Arial"/>
          <w:sz w:val="15"/>
          <w:szCs w:val="15"/>
          <w:color w:val="auto"/>
        </w:rPr>
        <w:t>We maintain broad-based benefits for all employees, including health and dental insurance, life and disability insurance and retirement plans. Executive officers, including our NEOs, are eligible to participate in all of our employee benefit plans on the same basis as our other employees. The retirement and other employee benefit components of our executive compensation program are designed to attract excellent candidates by providing financial protection and security, and reward our executives for the total commitment we expect from them in service to ADI.</w:t>
      </w:r>
    </w:p>
    <w:p>
      <w:pPr>
        <w:spacing w:after="0" w:line="45" w:lineRule="exact"/>
        <w:rPr>
          <w:sz w:val="20"/>
          <w:szCs w:val="20"/>
          <w:color w:val="auto"/>
        </w:rPr>
      </w:pPr>
    </w:p>
    <w:p>
      <w:pPr>
        <w:ind w:left="480"/>
        <w:spacing w:after="0" w:line="265" w:lineRule="auto"/>
        <w:rPr>
          <w:sz w:val="20"/>
          <w:szCs w:val="20"/>
          <w:color w:val="auto"/>
        </w:rPr>
      </w:pPr>
      <w:r>
        <w:rPr>
          <w:rFonts w:ascii="Arial" w:cs="Arial" w:eastAsia="Arial" w:hAnsi="Arial"/>
          <w:sz w:val="17"/>
          <w:szCs w:val="17"/>
          <w:color w:val="auto"/>
        </w:rPr>
        <w:t>We maintain a Deferred Compensation Plan, or DCP, under which our executive officers and directors, along with a group of highly compensated management and engineering employees, are eligible to defer receipt of some or all of their cash compensation. This plan offers many of the same investment options as our 401(k) plan. Under our DCP, we provide all participants (other than non-employee directors) with Company contributions equal to 8% of eligible deferred contributions.</w:t>
      </w:r>
    </w:p>
    <w:p>
      <w:pPr>
        <w:spacing w:after="0" w:line="73" w:lineRule="exact"/>
        <w:rPr>
          <w:sz w:val="20"/>
          <w:szCs w:val="20"/>
          <w:color w:val="auto"/>
        </w:rPr>
      </w:pPr>
    </w:p>
    <w:p>
      <w:pPr>
        <w:ind w:left="480" w:right="160"/>
        <w:spacing w:after="0" w:line="270" w:lineRule="auto"/>
        <w:rPr>
          <w:sz w:val="20"/>
          <w:szCs w:val="20"/>
          <w:color w:val="auto"/>
        </w:rPr>
      </w:pPr>
      <w:r>
        <w:rPr>
          <w:rFonts w:ascii="Arial" w:cs="Arial" w:eastAsia="Arial" w:hAnsi="Arial"/>
          <w:sz w:val="17"/>
          <w:szCs w:val="17"/>
          <w:color w:val="auto"/>
        </w:rPr>
        <w:t>In the United States during fiscal 2021, we contributed to our 401(k) plan on behalf of all eligible employees, including our NEOs, amounts equal to 5% of the employee’s eligible compensation, plus matching contributions up to an additional 3%, subject to Internal Revenue Service, or IRS, limits. For those employees who also</w:t>
      </w:r>
    </w:p>
    <w:p>
      <w:pPr>
        <w:spacing w:after="0" w:line="200" w:lineRule="exact"/>
        <w:rPr>
          <w:sz w:val="20"/>
          <w:szCs w:val="20"/>
          <w:color w:val="auto"/>
        </w:rPr>
      </w:pPr>
    </w:p>
    <w:p>
      <w:pPr>
        <w:spacing w:after="0" w:line="23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0760"/>
          </w:cols>
          <w:pgMar w:left="320" w:top="447" w:right="81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480" w:right="260"/>
        <w:spacing w:after="0" w:line="287" w:lineRule="auto"/>
        <w:rPr>
          <w:sz w:val="20"/>
          <w:szCs w:val="20"/>
          <w:color w:val="auto"/>
        </w:rPr>
      </w:pPr>
      <w:r>
        <w:rPr>
          <w:rFonts w:ascii="Arial" w:cs="Arial" w:eastAsia="Arial" w:hAnsi="Arial"/>
          <w:sz w:val="16"/>
          <w:szCs w:val="16"/>
          <w:color w:val="auto"/>
        </w:rPr>
        <w:t>participated in the DCP described above, any compensation that was deferred under that plan was not considered eligible compensation for purposes of our Company contributions under the 401(k) plan. We also provided employees who are eligible to participate in the 401(k) plan but whose compensation is greater than the amount that may be taken into account in any plan year as a result of IRS limits ($290,000 for fiscal 2021), with a taxable payment equal to 8% of the employee’s 401(k)-eligible compensation in excess of the IRS limit.</w:t>
      </w:r>
    </w:p>
    <w:p>
      <w:pPr>
        <w:spacing w:after="0" w:line="57" w:lineRule="exact"/>
        <w:rPr>
          <w:sz w:val="20"/>
          <w:szCs w:val="20"/>
          <w:color w:val="auto"/>
        </w:rPr>
      </w:pPr>
    </w:p>
    <w:p>
      <w:pPr>
        <w:ind w:left="480"/>
        <w:spacing w:after="0"/>
        <w:rPr>
          <w:sz w:val="20"/>
          <w:szCs w:val="20"/>
          <w:color w:val="auto"/>
        </w:rPr>
      </w:pPr>
      <w:r>
        <w:rPr>
          <w:rFonts w:ascii="Arial" w:cs="Arial" w:eastAsia="Arial" w:hAnsi="Arial"/>
          <w:sz w:val="17"/>
          <w:szCs w:val="17"/>
          <w:color w:val="0066BA"/>
        </w:rPr>
        <w:t>Limited Perquisites</w:t>
      </w:r>
    </w:p>
    <w:p>
      <w:pPr>
        <w:spacing w:after="0" w:line="25" w:lineRule="exact"/>
        <w:rPr>
          <w:sz w:val="20"/>
          <w:szCs w:val="20"/>
          <w:color w:val="auto"/>
        </w:rPr>
      </w:pPr>
    </w:p>
    <w:p>
      <w:pPr>
        <w:jc w:val="both"/>
        <w:ind w:left="480" w:right="400"/>
        <w:spacing w:after="0" w:line="263" w:lineRule="auto"/>
        <w:rPr>
          <w:sz w:val="20"/>
          <w:szCs w:val="20"/>
          <w:color w:val="auto"/>
        </w:rPr>
      </w:pPr>
      <w:r>
        <w:rPr>
          <w:rFonts w:ascii="Arial" w:cs="Arial" w:eastAsia="Arial" w:hAnsi="Arial"/>
          <w:sz w:val="17"/>
          <w:szCs w:val="17"/>
          <w:color w:val="auto"/>
        </w:rPr>
        <w:t>We do not award extensive perquisites to our executive officers. In fiscal 2021, we provided a voluntary health services benefit to executives and reimbursement for financial and tax planning services of up to $15,000 for our Chief Executive Officer and up to $10,000 for our other executive officers, including our NEOs. These items are detailed in the Summary Compensation Table below.</w:t>
      </w:r>
    </w:p>
    <w:p>
      <w:pPr>
        <w:spacing w:after="0" w:line="74" w:lineRule="exact"/>
        <w:rPr>
          <w:sz w:val="20"/>
          <w:szCs w:val="20"/>
          <w:color w:val="auto"/>
        </w:rPr>
      </w:pPr>
    </w:p>
    <w:p>
      <w:pPr>
        <w:ind w:left="480" w:right="300"/>
        <w:spacing w:after="0" w:line="265" w:lineRule="auto"/>
        <w:rPr>
          <w:sz w:val="20"/>
          <w:szCs w:val="20"/>
          <w:color w:val="auto"/>
        </w:rPr>
      </w:pPr>
      <w:r>
        <w:rPr>
          <w:rFonts w:ascii="Arial" w:cs="Arial" w:eastAsia="Arial" w:hAnsi="Arial"/>
          <w:sz w:val="17"/>
          <w:szCs w:val="17"/>
          <w:color w:val="auto"/>
        </w:rPr>
        <w:t>On occasion, and with the approval of our CEO, an officer or director may have his or her family members accompany him or her on the Company’s leased airplane when traveling on business. The executive or director may incur taxable income for any such travel in accordance with applicable tax rules. We do not gross-up or in any way compensate the officer or director for any income tax owed for any such travel. No such travel occurred in fiscal 2021.</w:t>
      </w:r>
    </w:p>
    <w:p>
      <w:pPr>
        <w:spacing w:after="0" w:line="73" w:lineRule="exact"/>
        <w:rPr>
          <w:sz w:val="20"/>
          <w:szCs w:val="20"/>
          <w:color w:val="auto"/>
        </w:rPr>
      </w:pPr>
    </w:p>
    <w:p>
      <w:pPr>
        <w:ind w:left="480" w:right="280"/>
        <w:spacing w:after="0" w:line="270" w:lineRule="auto"/>
        <w:rPr>
          <w:sz w:val="20"/>
          <w:szCs w:val="20"/>
          <w:color w:val="auto"/>
        </w:rPr>
      </w:pPr>
      <w:r>
        <w:rPr>
          <w:rFonts w:ascii="Arial" w:cs="Arial" w:eastAsia="Arial" w:hAnsi="Arial"/>
          <w:sz w:val="17"/>
          <w:szCs w:val="17"/>
          <w:color w:val="auto"/>
        </w:rPr>
        <w:t>In November 2021, ADI adopted a Post-Employment Equity Vesting policy under which eligible stock-based awards, including RSUs, restricted stock awards and stock options may continue to vest, subject to the terms of the policy, after an employee’s retirement. Awards issued to Executive Officers, including our NEOs, will be eligible for post-employment vesting under the policy.</w:t>
      </w:r>
    </w:p>
    <w:p>
      <w:pPr>
        <w:spacing w:after="0" w:line="265"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0066BA"/>
        </w:rPr>
        <w:t>Compensation Processes and Policies</w:t>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Executive Stock Ownership Guidelines</w:t>
      </w:r>
    </w:p>
    <w:p>
      <w:pPr>
        <w:spacing w:after="0" w:line="57" w:lineRule="exact"/>
        <w:rPr>
          <w:sz w:val="20"/>
          <w:szCs w:val="20"/>
          <w:color w:val="auto"/>
        </w:rPr>
      </w:pPr>
    </w:p>
    <w:p>
      <w:pPr>
        <w:ind w:left="480" w:right="280"/>
        <w:spacing w:after="0" w:line="297" w:lineRule="auto"/>
        <w:rPr>
          <w:sz w:val="20"/>
          <w:szCs w:val="20"/>
          <w:color w:val="auto"/>
        </w:rPr>
      </w:pPr>
      <w:r>
        <w:rPr>
          <w:rFonts w:ascii="Arial" w:cs="Arial" w:eastAsia="Arial" w:hAnsi="Arial"/>
          <w:sz w:val="15"/>
          <w:szCs w:val="15"/>
          <w:color w:val="auto"/>
        </w:rPr>
        <w:t>Under our guidelines, the target stock ownership levels are five times annual base salary for the Chief Executive Officer, and three times annual base salary for other members of the Leadership Team. The Chief Executive Officer has four years from the date of his or her appointment as CEO to achieve his or her targeted level. Members of the Leadership Team other than the CEO have five years from the date he or she becomes part of the Leadership Team to achieve their targeted level. Shares subject to unexercised options, whether or not vested, and unvested PRSUs whose performance has not yet been certified by the Compensation Committee are not counted for purposes of satisfying these guidelines. Time-based RSUs (whether or not vested) and unvested PRSUs whose performance has been certified by the Compensation Committee are counted for purposes of satisfying the guidelines. All members of our Leadership Team, other than Mses. Sacks and Asgeirsson, who first joined ADI in fiscal 2021, were in compliance with our stock ownership guidelines as of the end of fiscal 2021. Mses. Sacks and Asgeirsson are expected to be in compliance with our stock ownership guidelines within the first five years of their appointment to the Leadership Team.</w:t>
      </w:r>
    </w:p>
    <w:p>
      <w:pPr>
        <w:spacing w:after="0" w:line="249"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Compensation Recovery</w:t>
      </w:r>
    </w:p>
    <w:p>
      <w:pPr>
        <w:spacing w:after="0" w:line="57" w:lineRule="exact"/>
        <w:rPr>
          <w:sz w:val="20"/>
          <w:szCs w:val="20"/>
          <w:color w:val="auto"/>
        </w:rPr>
      </w:pPr>
    </w:p>
    <w:p>
      <w:pPr>
        <w:ind w:left="480" w:right="200"/>
        <w:spacing w:after="0" w:line="259" w:lineRule="auto"/>
        <w:rPr>
          <w:sz w:val="20"/>
          <w:szCs w:val="20"/>
          <w:color w:val="auto"/>
        </w:rPr>
      </w:pPr>
      <w:r>
        <w:rPr>
          <w:rFonts w:ascii="Arial" w:cs="Arial" w:eastAsia="Arial" w:hAnsi="Arial"/>
          <w:sz w:val="17"/>
          <w:szCs w:val="17"/>
          <w:color w:val="auto"/>
        </w:rPr>
        <w:t>Under the Sarbanes-Oxley Act, in the event of misconduct that results in a financial restatement that would have reduced a previously paid incentive amount, we can recoup those improper payments from our Chief Executive Officer and Chief Financial Officer. In addition, in December 2020, our Board of Directors adopted a compensation clawback policy. The policy provides that in the event of a material restatement of our financial results, the result of which is that any performance-based cash or equity compensation received by an executive officer, or awarded compensation, would have been lower had it been calculated based on such restated financial results, or actual compensation, the Compensation Committee may, in its sole discretion and as appropriate under the circumstances, seek to recover for our benefit all or a portion of the difference between the awarded compensation and the actual compensation of any executive officer whose fraud or willful misconduct caused or partially caused the need for such restatement. For purposes of the policy, the term “executive officer” has the meaning given to that term in Rule 3b-7 under the Securities Exchange Act of 1934, as amended.</w:t>
      </w:r>
    </w:p>
    <w:p>
      <w:pPr>
        <w:spacing w:after="0" w:line="79" w:lineRule="exact"/>
        <w:rPr>
          <w:sz w:val="20"/>
          <w:szCs w:val="20"/>
          <w:color w:val="auto"/>
        </w:rPr>
      </w:pPr>
    </w:p>
    <w:p>
      <w:pPr>
        <w:jc w:val="both"/>
        <w:ind w:left="480" w:right="400"/>
        <w:spacing w:after="0" w:line="356" w:lineRule="auto"/>
        <w:rPr>
          <w:sz w:val="20"/>
          <w:szCs w:val="20"/>
          <w:color w:val="auto"/>
        </w:rPr>
      </w:pPr>
      <w:r>
        <w:rPr>
          <w:rFonts w:ascii="Arial" w:cs="Arial" w:eastAsia="Arial" w:hAnsi="Arial"/>
          <w:sz w:val="15"/>
          <w:szCs w:val="15"/>
          <w:color w:val="auto"/>
        </w:rPr>
        <w:t>We will amend our compensation clawback policy, if necessary, so that it is compliant with the regulations mandated under the Dodd-Frank Wall Street Reform and Consumer Protection Act when the regulations are adopted by the SEC and corresponding listing standards become effective.</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0940"/>
          </w:cols>
          <w:pgMar w:left="320" w:top="447" w:right="63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Equity Award Grant Date Policy</w:t>
      </w:r>
    </w:p>
    <w:p>
      <w:pPr>
        <w:spacing w:after="0" w:line="57" w:lineRule="exact"/>
        <w:rPr>
          <w:sz w:val="20"/>
          <w:szCs w:val="20"/>
          <w:color w:val="auto"/>
        </w:rPr>
      </w:pPr>
    </w:p>
    <w:p>
      <w:pPr>
        <w:jc w:val="both"/>
        <w:ind w:left="480" w:right="100"/>
        <w:spacing w:after="0" w:line="356" w:lineRule="auto"/>
        <w:rPr>
          <w:sz w:val="20"/>
          <w:szCs w:val="20"/>
          <w:color w:val="auto"/>
        </w:rPr>
      </w:pPr>
      <w:r>
        <w:rPr>
          <w:rFonts w:ascii="Arial" w:cs="Arial" w:eastAsia="Arial" w:hAnsi="Arial"/>
          <w:sz w:val="15"/>
          <w:szCs w:val="15"/>
          <w:color w:val="auto"/>
        </w:rPr>
        <w:t>Our Compensation Committee has adopted specific policies regarding the grant dates of stock options, RSUs and other stock-based awards for our executive officers and employees. In each case, the exercise price of stock options equals the closing price of our common stock on the grant date.</w:t>
      </w:r>
    </w:p>
    <w:p>
      <w:pPr>
        <w:spacing w:after="0" w:line="22" w:lineRule="exact"/>
        <w:rPr>
          <w:sz w:val="20"/>
          <w:szCs w:val="20"/>
          <w:color w:val="auto"/>
        </w:rPr>
      </w:pPr>
    </w:p>
    <w:p>
      <w:pPr>
        <w:ind w:left="860" w:right="120" w:hanging="385"/>
        <w:spacing w:after="0" w:line="286" w:lineRule="auto"/>
        <w:tabs>
          <w:tab w:leader="none" w:pos="860" w:val="left"/>
        </w:tabs>
        <w:numPr>
          <w:ilvl w:val="0"/>
          <w:numId w:val="56"/>
        </w:numPr>
        <w:rPr>
          <w:rFonts w:ascii="Arial" w:cs="Arial" w:eastAsia="Arial" w:hAnsi="Arial"/>
          <w:sz w:val="17"/>
          <w:szCs w:val="17"/>
          <w:color w:val="auto"/>
        </w:rPr>
      </w:pPr>
      <w:r>
        <w:rPr>
          <w:rFonts w:ascii="Arial" w:cs="Arial" w:eastAsia="Arial" w:hAnsi="Arial"/>
          <w:sz w:val="17"/>
          <w:szCs w:val="17"/>
          <w:color w:val="0066BA"/>
        </w:rPr>
        <w:t xml:space="preserve">New Hire Grants: </w:t>
      </w:r>
      <w:r>
        <w:rPr>
          <w:rFonts w:ascii="Arial" w:cs="Arial" w:eastAsia="Arial" w:hAnsi="Arial"/>
          <w:sz w:val="17"/>
          <w:szCs w:val="17"/>
          <w:color w:val="000000"/>
        </w:rPr>
        <w:t>The grant date of all awards to newly hired executive officers and employees is the 15th day of the month after the date on</w:t>
      </w:r>
      <w:r>
        <w:rPr>
          <w:rFonts w:ascii="Arial" w:cs="Arial" w:eastAsia="Arial" w:hAnsi="Arial"/>
          <w:sz w:val="17"/>
          <w:szCs w:val="17"/>
          <w:color w:val="0066BA"/>
        </w:rPr>
        <w:t xml:space="preserve"> </w:t>
      </w:r>
      <w:r>
        <w:rPr>
          <w:rFonts w:ascii="Arial" w:cs="Arial" w:eastAsia="Arial" w:hAnsi="Arial"/>
          <w:sz w:val="17"/>
          <w:szCs w:val="17"/>
          <w:color w:val="000000"/>
        </w:rPr>
        <w:t>which the individual commences employment with us (or the next succeeding business day that Nasdaq is open).</w:t>
      </w:r>
    </w:p>
    <w:p>
      <w:pPr>
        <w:spacing w:after="0" w:line="15" w:lineRule="exact"/>
        <w:rPr>
          <w:rFonts w:ascii="Arial" w:cs="Arial" w:eastAsia="Arial" w:hAnsi="Arial"/>
          <w:sz w:val="17"/>
          <w:szCs w:val="17"/>
          <w:color w:val="auto"/>
        </w:rPr>
      </w:pPr>
    </w:p>
    <w:p>
      <w:pPr>
        <w:ind w:left="860" w:right="220" w:hanging="385"/>
        <w:spacing w:after="0" w:line="286" w:lineRule="auto"/>
        <w:tabs>
          <w:tab w:leader="none" w:pos="860" w:val="left"/>
        </w:tabs>
        <w:numPr>
          <w:ilvl w:val="0"/>
          <w:numId w:val="56"/>
        </w:numPr>
        <w:rPr>
          <w:rFonts w:ascii="Arial" w:cs="Arial" w:eastAsia="Arial" w:hAnsi="Arial"/>
          <w:sz w:val="17"/>
          <w:szCs w:val="17"/>
          <w:color w:val="auto"/>
        </w:rPr>
      </w:pPr>
      <w:r>
        <w:rPr>
          <w:rFonts w:ascii="Arial" w:cs="Arial" w:eastAsia="Arial" w:hAnsi="Arial"/>
          <w:sz w:val="17"/>
          <w:szCs w:val="17"/>
          <w:color w:val="0066BA"/>
        </w:rPr>
        <w:t xml:space="preserve">Annual Grants: </w:t>
      </w:r>
      <w:r>
        <w:rPr>
          <w:rFonts w:ascii="Arial" w:cs="Arial" w:eastAsia="Arial" w:hAnsi="Arial"/>
          <w:sz w:val="17"/>
          <w:szCs w:val="17"/>
          <w:color w:val="000000"/>
        </w:rPr>
        <w:t>The grant date of all annual awards is the earlier to occur of (i) the scheduled date of the annual meeting of shareholders, or</w:t>
      </w:r>
      <w:r>
        <w:rPr>
          <w:rFonts w:ascii="Arial" w:cs="Arial" w:eastAsia="Arial" w:hAnsi="Arial"/>
          <w:sz w:val="17"/>
          <w:szCs w:val="17"/>
          <w:color w:val="0066BA"/>
        </w:rPr>
        <w:t xml:space="preserve"> </w:t>
      </w:r>
      <w:r>
        <w:rPr>
          <w:rFonts w:ascii="Arial" w:cs="Arial" w:eastAsia="Arial" w:hAnsi="Arial"/>
          <w:sz w:val="17"/>
          <w:szCs w:val="17"/>
          <w:color w:val="000000"/>
        </w:rPr>
        <w:t>(ii) the first business day of April that Nasdaq is open.</w:t>
      </w:r>
    </w:p>
    <w:p>
      <w:pPr>
        <w:spacing w:after="0" w:line="15" w:lineRule="exact"/>
        <w:rPr>
          <w:rFonts w:ascii="Arial" w:cs="Arial" w:eastAsia="Arial" w:hAnsi="Arial"/>
          <w:sz w:val="17"/>
          <w:szCs w:val="17"/>
          <w:color w:val="auto"/>
        </w:rPr>
      </w:pPr>
    </w:p>
    <w:p>
      <w:pPr>
        <w:ind w:left="860" w:right="120" w:hanging="385"/>
        <w:spacing w:after="0" w:line="270" w:lineRule="auto"/>
        <w:tabs>
          <w:tab w:leader="none" w:pos="860" w:val="left"/>
        </w:tabs>
        <w:numPr>
          <w:ilvl w:val="0"/>
          <w:numId w:val="56"/>
        </w:numPr>
        <w:rPr>
          <w:rFonts w:ascii="Arial" w:cs="Arial" w:eastAsia="Arial" w:hAnsi="Arial"/>
          <w:sz w:val="17"/>
          <w:szCs w:val="17"/>
          <w:color w:val="auto"/>
        </w:rPr>
      </w:pPr>
      <w:r>
        <w:rPr>
          <w:rFonts w:ascii="Arial" w:cs="Arial" w:eastAsia="Arial" w:hAnsi="Arial"/>
          <w:sz w:val="17"/>
          <w:szCs w:val="17"/>
          <w:color w:val="0066BA"/>
        </w:rPr>
        <w:t xml:space="preserve">Other Grants: </w:t>
      </w:r>
      <w:r>
        <w:rPr>
          <w:rFonts w:ascii="Arial" w:cs="Arial" w:eastAsia="Arial" w:hAnsi="Arial"/>
          <w:sz w:val="17"/>
          <w:szCs w:val="17"/>
          <w:color w:val="000000"/>
        </w:rPr>
        <w:t>All other awards granted to existing executive officers and employees throughout the year (off-cycle awards) have a grant date</w:t>
      </w:r>
      <w:r>
        <w:rPr>
          <w:rFonts w:ascii="Arial" w:cs="Arial" w:eastAsia="Arial" w:hAnsi="Arial"/>
          <w:sz w:val="17"/>
          <w:szCs w:val="17"/>
          <w:color w:val="0066BA"/>
        </w:rPr>
        <w:t xml:space="preserve"> </w:t>
      </w:r>
      <w:r>
        <w:rPr>
          <w:rFonts w:ascii="Arial" w:cs="Arial" w:eastAsia="Arial" w:hAnsi="Arial"/>
          <w:sz w:val="17"/>
          <w:szCs w:val="17"/>
          <w:color w:val="000000"/>
        </w:rPr>
        <w:t>of the 15th day of the month (or the next succeeding business day that Nasdaq is open) provided the award is approved on or prior to such grant date.</w:t>
      </w:r>
    </w:p>
    <w:p>
      <w:pPr>
        <w:spacing w:after="0" w:line="29" w:lineRule="exact"/>
        <w:rPr>
          <w:rFonts w:ascii="Arial" w:cs="Arial" w:eastAsia="Arial" w:hAnsi="Arial"/>
          <w:sz w:val="17"/>
          <w:szCs w:val="17"/>
          <w:color w:val="auto"/>
        </w:rPr>
      </w:pPr>
    </w:p>
    <w:p>
      <w:pPr>
        <w:ind w:left="860" w:right="380" w:hanging="385"/>
        <w:spacing w:after="0" w:line="313" w:lineRule="auto"/>
        <w:tabs>
          <w:tab w:leader="none" w:pos="860" w:val="left"/>
        </w:tabs>
        <w:numPr>
          <w:ilvl w:val="0"/>
          <w:numId w:val="56"/>
        </w:numPr>
        <w:rPr>
          <w:rFonts w:ascii="Arial" w:cs="Arial" w:eastAsia="Arial" w:hAnsi="Arial"/>
          <w:sz w:val="16"/>
          <w:szCs w:val="16"/>
          <w:color w:val="auto"/>
        </w:rPr>
      </w:pPr>
      <w:r>
        <w:rPr>
          <w:rFonts w:ascii="Arial" w:cs="Arial" w:eastAsia="Arial" w:hAnsi="Arial"/>
          <w:sz w:val="16"/>
          <w:szCs w:val="16"/>
          <w:color w:val="0066BA"/>
        </w:rPr>
        <w:t xml:space="preserve">Foreign Registrations: </w:t>
      </w:r>
      <w:r>
        <w:rPr>
          <w:rFonts w:ascii="Arial" w:cs="Arial" w:eastAsia="Arial" w:hAnsi="Arial"/>
          <w:sz w:val="16"/>
          <w:szCs w:val="16"/>
          <w:color w:val="000000"/>
        </w:rPr>
        <w:t>Any awards requiring registration or approval in a foreign jurisdiction will have a grant date of the 15th day of the</w:t>
      </w:r>
      <w:r>
        <w:rPr>
          <w:rFonts w:ascii="Arial" w:cs="Arial" w:eastAsia="Arial" w:hAnsi="Arial"/>
          <w:sz w:val="16"/>
          <w:szCs w:val="16"/>
          <w:color w:val="0066BA"/>
        </w:rPr>
        <w:t xml:space="preserve"> </w:t>
      </w:r>
      <w:r>
        <w:rPr>
          <w:rFonts w:ascii="Arial" w:cs="Arial" w:eastAsia="Arial" w:hAnsi="Arial"/>
          <w:sz w:val="16"/>
          <w:szCs w:val="16"/>
          <w:color w:val="000000"/>
        </w:rPr>
        <w:t>month (or the next succeeding business day that Nasdaq is open) following the effective date of that registration or approval.</w:t>
      </w:r>
    </w:p>
    <w:p>
      <w:pPr>
        <w:spacing w:after="0" w:line="1" w:lineRule="exact"/>
        <w:rPr>
          <w:rFonts w:ascii="Arial" w:cs="Arial" w:eastAsia="Arial" w:hAnsi="Arial"/>
          <w:sz w:val="16"/>
          <w:szCs w:val="16"/>
          <w:color w:val="auto"/>
        </w:rPr>
      </w:pPr>
    </w:p>
    <w:p>
      <w:pPr>
        <w:ind w:left="860" w:right="100" w:hanging="385"/>
        <w:spacing w:after="0" w:line="270" w:lineRule="auto"/>
        <w:tabs>
          <w:tab w:leader="none" w:pos="860" w:val="left"/>
        </w:tabs>
        <w:numPr>
          <w:ilvl w:val="0"/>
          <w:numId w:val="56"/>
        </w:numPr>
        <w:rPr>
          <w:rFonts w:ascii="Arial" w:cs="Arial" w:eastAsia="Arial" w:hAnsi="Arial"/>
          <w:sz w:val="17"/>
          <w:szCs w:val="17"/>
          <w:color w:val="auto"/>
        </w:rPr>
      </w:pPr>
      <w:r>
        <w:rPr>
          <w:rFonts w:ascii="Arial" w:cs="Arial" w:eastAsia="Arial" w:hAnsi="Arial"/>
          <w:sz w:val="17"/>
          <w:szCs w:val="17"/>
          <w:color w:val="0066BA"/>
        </w:rPr>
        <w:t xml:space="preserve">Blackout Periods: </w:t>
      </w:r>
      <w:r>
        <w:rPr>
          <w:rFonts w:ascii="Arial" w:cs="Arial" w:eastAsia="Arial" w:hAnsi="Arial"/>
          <w:sz w:val="17"/>
          <w:szCs w:val="17"/>
          <w:color w:val="000000"/>
        </w:rPr>
        <w:t>Our Compensation Committee does not approve off-cycle awards to our executive officers during the quarterly and annual</w:t>
      </w:r>
      <w:r>
        <w:rPr>
          <w:rFonts w:ascii="Arial" w:cs="Arial" w:eastAsia="Arial" w:hAnsi="Arial"/>
          <w:sz w:val="17"/>
          <w:szCs w:val="17"/>
          <w:color w:val="0066BA"/>
        </w:rPr>
        <w:t xml:space="preserve"> </w:t>
      </w:r>
      <w:r>
        <w:rPr>
          <w:rFonts w:ascii="Arial" w:cs="Arial" w:eastAsia="Arial" w:hAnsi="Arial"/>
          <w:sz w:val="17"/>
          <w:szCs w:val="17"/>
          <w:color w:val="000000"/>
        </w:rPr>
        <w:t>blackout periods under our insider trading policy. The quarterly and annual blackout periods begin three weeks before the end of each fiscal quarter and end at the beginning of the second full trading day after we announce our quarterly earnings.</w:t>
      </w:r>
    </w:p>
    <w:p>
      <w:pPr>
        <w:spacing w:after="0" w:line="6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We describe the Equity Award Grant Date Policy for our non-employee directors above under “Corporate Governance—Director Compensation.”</w:t>
      </w:r>
    </w:p>
    <w:p>
      <w:pPr>
        <w:spacing w:after="0" w:line="321"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Severance, Retention and Change in Control Benefits</w:t>
      </w:r>
    </w:p>
    <w:p>
      <w:pPr>
        <w:spacing w:after="0" w:line="57" w:lineRule="exact"/>
        <w:rPr>
          <w:sz w:val="20"/>
          <w:szCs w:val="20"/>
          <w:color w:val="auto"/>
        </w:rPr>
      </w:pPr>
    </w:p>
    <w:p>
      <w:pPr>
        <w:ind w:left="480"/>
        <w:spacing w:after="0"/>
        <w:rPr>
          <w:sz w:val="20"/>
          <w:szCs w:val="20"/>
          <w:color w:val="auto"/>
        </w:rPr>
      </w:pPr>
      <w:r>
        <w:rPr>
          <w:rFonts w:ascii="Arial" w:cs="Arial" w:eastAsia="Arial" w:hAnsi="Arial"/>
          <w:sz w:val="17"/>
          <w:szCs w:val="17"/>
          <w:color w:val="0066BA"/>
        </w:rPr>
        <w:t>Change in Control Benefits</w:t>
      </w:r>
    </w:p>
    <w:p>
      <w:pPr>
        <w:spacing w:after="0" w:line="25" w:lineRule="exact"/>
        <w:rPr>
          <w:sz w:val="20"/>
          <w:szCs w:val="20"/>
          <w:color w:val="auto"/>
        </w:rPr>
      </w:pPr>
    </w:p>
    <w:p>
      <w:pPr>
        <w:ind w:left="480" w:right="40"/>
        <w:spacing w:after="0" w:line="263" w:lineRule="auto"/>
        <w:rPr>
          <w:sz w:val="20"/>
          <w:szCs w:val="20"/>
          <w:color w:val="auto"/>
        </w:rPr>
      </w:pPr>
      <w:r>
        <w:rPr>
          <w:rFonts w:ascii="Arial" w:cs="Arial" w:eastAsia="Arial" w:hAnsi="Arial"/>
          <w:sz w:val="17"/>
          <w:szCs w:val="17"/>
          <w:color w:val="auto"/>
        </w:rPr>
        <w:t>We have entered into change in control retention agreements with each of our executive officers and other key employees. Among other things, these retention agreements provide for severance benefits if the employee’s service with us is terminated within 24 months after a change in control (as defined in each agreement) that was approved by our Board of Directors.</w:t>
      </w:r>
    </w:p>
    <w:p>
      <w:pPr>
        <w:spacing w:after="0" w:line="74" w:lineRule="exact"/>
        <w:rPr>
          <w:sz w:val="20"/>
          <w:szCs w:val="20"/>
          <w:color w:val="auto"/>
        </w:rPr>
      </w:pPr>
    </w:p>
    <w:p>
      <w:pPr>
        <w:ind w:left="480"/>
        <w:spacing w:after="0" w:line="296" w:lineRule="auto"/>
        <w:rPr>
          <w:sz w:val="20"/>
          <w:szCs w:val="20"/>
          <w:color w:val="auto"/>
        </w:rPr>
      </w:pPr>
      <w:r>
        <w:rPr>
          <w:rFonts w:ascii="Arial" w:cs="Arial" w:eastAsia="Arial" w:hAnsi="Arial"/>
          <w:sz w:val="15"/>
          <w:szCs w:val="15"/>
          <w:color w:val="auto"/>
        </w:rPr>
        <w:t>We designed the change in control retention agreements to help ensure that our executive team is able to evaluate objectively whether a potential change in control transaction is in the best interests of ADI and our shareholders, despite possible risks to their future employment. We believe that retaining the services of our key executives during a change in control scenario is critical. These agreements help ensure the continued services of our executive officers throughout the change in control transaction by giving them incentives to remain with us rather than seeking alternative employment or being recruited to a competitor during a highly uncertain time. The Compensation Committee reviewed prevalent market practices in determining the severance amounts and the events that trigger payments under the agreements. The Compensation Committee determined that the amounts and triggering events were appropriate and designed to encourage decision-making that is in the best interests of ADI. In fiscal 2021, the Compensation Committee asked Pearl Meyer, its independent compensation consultant, to review our severance, retention and change in control arrangements and Pearl Meyer determined that those arrangements were competitive with existing market practice in the semiconductor industry and that it was appropriate to maintain the program for fiscal 2021. Change in control retention agreements entered into between the Company and eligible employees since 2009 do not contain excess parachute payment tax gross-up provisions.</w:t>
      </w:r>
    </w:p>
    <w:p>
      <w:pPr>
        <w:spacing w:after="0" w:line="54" w:lineRule="exact"/>
        <w:rPr>
          <w:sz w:val="20"/>
          <w:szCs w:val="20"/>
          <w:color w:val="auto"/>
        </w:rPr>
      </w:pPr>
    </w:p>
    <w:p>
      <w:pPr>
        <w:ind w:left="480" w:right="80"/>
        <w:spacing w:after="0" w:line="279" w:lineRule="auto"/>
        <w:rPr>
          <w:sz w:val="20"/>
          <w:szCs w:val="20"/>
          <w:color w:val="auto"/>
        </w:rPr>
      </w:pPr>
      <w:r>
        <w:rPr>
          <w:rFonts w:ascii="Arial" w:cs="Arial" w:eastAsia="Arial" w:hAnsi="Arial"/>
          <w:sz w:val="16"/>
          <w:szCs w:val="16"/>
          <w:color w:val="auto"/>
        </w:rPr>
        <w:t>Under our 2020 Plan and our 2006 Plan, in the event of a change in control, all of our employees who continue to remain employed on the closing of the change in control, including our NEOs, would have the vesting of one-half of the shares of common stock subject to their then outstanding unvested equity awards accelerate and become immediately exercisable and free from forfeiture. The remaining one-half of their unvested equity awards would continue to vest in accordance with the original vesting schedules, and any remaining unvested equity awards would vest if, on or prior to the first anniversary of the change in control, his or her employment is terminated without “cause” or for “good reason” (as defined in the plan). We have provided more detailed information about these benefits, along with estimates of their value under various circumstances, under the caption “—Potential Payments Upon Termination or Change in Control” below.</w:t>
      </w:r>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0760"/>
          </w:cols>
          <w:pgMar w:left="320" w:top="447" w:right="81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480"/>
        <w:spacing w:after="0"/>
        <w:rPr>
          <w:sz w:val="20"/>
          <w:szCs w:val="20"/>
          <w:color w:val="auto"/>
        </w:rPr>
      </w:pPr>
      <w:r>
        <w:rPr>
          <w:rFonts w:ascii="Arial" w:cs="Arial" w:eastAsia="Arial" w:hAnsi="Arial"/>
          <w:sz w:val="17"/>
          <w:szCs w:val="17"/>
          <w:color w:val="0066BA"/>
        </w:rPr>
        <w:t>Severance Benefits</w:t>
      </w:r>
    </w:p>
    <w:p>
      <w:pPr>
        <w:spacing w:after="0" w:line="25" w:lineRule="exact"/>
        <w:rPr>
          <w:sz w:val="20"/>
          <w:szCs w:val="20"/>
          <w:color w:val="auto"/>
        </w:rPr>
      </w:pPr>
    </w:p>
    <w:p>
      <w:pPr>
        <w:ind w:left="480" w:right="300"/>
        <w:spacing w:after="0" w:line="271" w:lineRule="auto"/>
        <w:rPr>
          <w:sz w:val="20"/>
          <w:szCs w:val="20"/>
          <w:color w:val="auto"/>
        </w:rPr>
      </w:pPr>
      <w:r>
        <w:rPr>
          <w:rFonts w:ascii="Arial" w:cs="Arial" w:eastAsia="Arial" w:hAnsi="Arial"/>
          <w:sz w:val="17"/>
          <w:szCs w:val="17"/>
          <w:color w:val="auto"/>
        </w:rPr>
        <w:t>When the employment of an executive officer terminates in a situation that does not involve a change in control, the executive officer is entitled to receive the same benefits as any other terminated employee in that geographical location.</w:t>
      </w:r>
    </w:p>
    <w:p>
      <w:pPr>
        <w:spacing w:after="0" w:line="260"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Tax and Accounting Considerations</w:t>
      </w:r>
    </w:p>
    <w:p>
      <w:pPr>
        <w:spacing w:after="0" w:line="57" w:lineRule="exact"/>
        <w:rPr>
          <w:sz w:val="20"/>
          <w:szCs w:val="20"/>
          <w:color w:val="auto"/>
        </w:rPr>
      </w:pPr>
    </w:p>
    <w:p>
      <w:pPr>
        <w:ind w:left="480" w:right="200"/>
        <w:spacing w:after="0" w:line="261" w:lineRule="auto"/>
        <w:rPr>
          <w:sz w:val="20"/>
          <w:szCs w:val="20"/>
          <w:color w:val="auto"/>
        </w:rPr>
      </w:pPr>
      <w:r>
        <w:rPr>
          <w:rFonts w:ascii="Arial" w:cs="Arial" w:eastAsia="Arial" w:hAnsi="Arial"/>
          <w:sz w:val="17"/>
          <w:szCs w:val="17"/>
          <w:color w:val="auto"/>
        </w:rPr>
        <w:t>Section 162(m) of the Internal Revenue Code generally disallows a tax deduction to public companies for compensation in excess of $1 million paid to certain of the Company’s executives. Pursuant to the Tax Cuts and Jobs Act of 2017, or the Tax Act, for fiscal years beginning after December 31, 2017, the group of executives whose compensation is subject to the deduction limitation is broader than under prior law. Prior to the effectiveness of the Tax Act, the deduction limit did not apply to “performance-based compensation” satisfying the requirements of Section 162(m). For fiscal years commencing after December 31, 2017 and future tax years, subject to the transition rules, all compensation in excess of $1 million paid to the specified executives will not be deductible.</w:t>
      </w:r>
    </w:p>
    <w:p>
      <w:pPr>
        <w:spacing w:after="0" w:line="77" w:lineRule="exact"/>
        <w:rPr>
          <w:sz w:val="20"/>
          <w:szCs w:val="20"/>
          <w:color w:val="auto"/>
        </w:rPr>
      </w:pPr>
    </w:p>
    <w:p>
      <w:pPr>
        <w:ind w:left="480" w:right="280"/>
        <w:spacing w:after="0" w:line="356" w:lineRule="auto"/>
        <w:rPr>
          <w:sz w:val="20"/>
          <w:szCs w:val="20"/>
          <w:color w:val="auto"/>
        </w:rPr>
      </w:pPr>
      <w:r>
        <w:rPr>
          <w:rFonts w:ascii="Arial" w:cs="Arial" w:eastAsia="Arial" w:hAnsi="Arial"/>
          <w:sz w:val="15"/>
          <w:szCs w:val="15"/>
          <w:color w:val="auto"/>
        </w:rPr>
        <w:t>Mr. Roche has a change in control retention agreement that contains provisions regarding Section 280G of the Internal Revenue Code. Since 2009, any new executive compensation arrangements for new executives do not contain tax gross up provisions for excess parachute payments.</w:t>
      </w:r>
    </w:p>
    <w:p>
      <w:pPr>
        <w:spacing w:after="0" w:line="9" w:lineRule="exact"/>
        <w:rPr>
          <w:sz w:val="20"/>
          <w:szCs w:val="20"/>
          <w:color w:val="auto"/>
        </w:rPr>
      </w:pPr>
    </w:p>
    <w:p>
      <w:pPr>
        <w:ind w:left="480" w:right="260"/>
        <w:spacing w:after="0" w:line="287" w:lineRule="auto"/>
        <w:rPr>
          <w:sz w:val="20"/>
          <w:szCs w:val="20"/>
          <w:color w:val="auto"/>
        </w:rPr>
      </w:pPr>
      <w:r>
        <w:rPr>
          <w:rFonts w:ascii="Arial" w:cs="Arial" w:eastAsia="Arial" w:hAnsi="Arial"/>
          <w:sz w:val="16"/>
          <w:szCs w:val="16"/>
          <w:color w:val="auto"/>
        </w:rPr>
        <w:t>We expense in our financial statements the compensation that we pay to our executive officers, as required by U.S. generally accepted accounting principles. As one of many factors, the Compensation Committee considers the financial statement impact in determining the amount of, and allocation among the elements of, compensation. We account for stock-based compensation under our 2020 Plan, 2006 Plan, 2005 Plan, 2010 Plan, and 1996 Plan, as well as all predecessor plans, in accordance with U.S. generally accepted accounting principles.</w:t>
      </w:r>
    </w:p>
    <w:p>
      <w:pPr>
        <w:spacing w:after="0" w:line="250"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Risk Considerations in Our Compensation Program</w:t>
      </w:r>
    </w:p>
    <w:p>
      <w:pPr>
        <w:spacing w:after="0" w:line="57" w:lineRule="exact"/>
        <w:rPr>
          <w:sz w:val="20"/>
          <w:szCs w:val="20"/>
          <w:color w:val="auto"/>
        </w:rPr>
      </w:pPr>
    </w:p>
    <w:p>
      <w:pPr>
        <w:ind w:left="480" w:right="340"/>
        <w:spacing w:after="0" w:line="261" w:lineRule="auto"/>
        <w:rPr>
          <w:sz w:val="20"/>
          <w:szCs w:val="20"/>
          <w:color w:val="auto"/>
        </w:rPr>
      </w:pPr>
      <w:r>
        <w:rPr>
          <w:rFonts w:ascii="Arial" w:cs="Arial" w:eastAsia="Arial" w:hAnsi="Arial"/>
          <w:sz w:val="17"/>
          <w:szCs w:val="17"/>
          <w:color w:val="auto"/>
        </w:rPr>
        <w:t>In fiscal 2021, our Compensation Committee reviewed our incentive compensation programs, discussed the concept of risk as it relates to our compensation program, considered various mitigating factors and reviewed these items with its independent consultant, Pearl Meyer. In addition, our Compensation Committee asked Pearl Meyer to conduct an independent risk assessment of our executive compensation program. Based on these reviews and discussions, the Compensation Committee does not believe that any risks arising from our employee compensation policies and practices are reasonably likely to have a material adverse effect on our company. Our Compensation Committee believes that any such risks are mitigated by the following factors, among others:</w:t>
      </w:r>
    </w:p>
    <w:p>
      <w:pPr>
        <w:spacing w:after="0" w:line="90" w:lineRule="exact"/>
        <w:rPr>
          <w:sz w:val="20"/>
          <w:szCs w:val="20"/>
          <w:color w:val="auto"/>
        </w:rPr>
      </w:pPr>
    </w:p>
    <w:p>
      <w:pPr>
        <w:ind w:left="860" w:right="180" w:hanging="385"/>
        <w:spacing w:after="0" w:line="263" w:lineRule="auto"/>
        <w:tabs>
          <w:tab w:leader="none" w:pos="8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We structure our pay to consist of both fixed and variable compensation with short- and long-term horizons. We feel that the variable elements of compensation, which represented 92% and 84% of the total target compensation for our CEO and other NEOs, respectively, for fiscal 2021, are a sufficient percentage of overall compensation to motivate executives to produce superior short- and long-term corporate results and to achieve Company goals, while the fixed element is also sufficiently high that the executives are not encouraged to take unnecessary or excessive risks in doing so.</w:t>
      </w:r>
    </w:p>
    <w:p>
      <w:pPr>
        <w:spacing w:after="0" w:line="34" w:lineRule="exact"/>
        <w:rPr>
          <w:rFonts w:ascii="Arial" w:cs="Arial" w:eastAsia="Arial" w:hAnsi="Arial"/>
          <w:sz w:val="17"/>
          <w:szCs w:val="17"/>
          <w:color w:val="auto"/>
        </w:rPr>
      </w:pPr>
    </w:p>
    <w:p>
      <w:pPr>
        <w:ind w:left="860" w:right="240" w:hanging="385"/>
        <w:spacing w:after="0" w:line="297" w:lineRule="auto"/>
        <w:tabs>
          <w:tab w:leader="none" w:pos="8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We believe that our focus on both OPBT margin and year-over-year revenue growth through our executive performance incentive plan, and operating profit and stock price performance through our equity compensation program, provides a check on excessive short-term risk taking. That is, even if our executives could inappropriately increase OPBT margin or revenue by excessively reducing expenses or adding new revenue sources that are inconsistent with our business model, this could ultimately harm our stock price and the value of their equity awards. Conversely, if our executives were to add revenue sources at low margins in order to generate a higher growth multiple and increased stock prices, it could decrease OPBT margin and the value of their cash bonus payments. Our OPBT margin and year-over-year revenue targets are applicable to our executives and employees alike, which we believe encourages consistent behavior across the organization, and reflect goals that are challenging, but not so high that they require performance outside of what the Compensation Committee believes is reasonable for us or could motivate our executives and employees to take actions in which we assume unreasonable levels of risk.</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0940"/>
          </w:cols>
          <w:pgMar w:left="320" w:top="447" w:right="63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860" w:right="60" w:hanging="385"/>
        <w:spacing w:after="0" w:line="287" w:lineRule="auto"/>
        <w:tabs>
          <w:tab w:leader="none" w:pos="8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We cap our bonus payout factors. Even if we dramatically exceed our OPBT margin or year-over-year revenue growth targets, bonus payments are limited. In fiscal 2021, the bonus payment factor cap was 300% of target. Conversely, we also have a floor on the OPBT margin target so that profitability at or below 36% will result in no bonus payments for that performance period, regardless of revenue growth levels. We believe this avoids incentivizing management to drive revenue levels without regard to profitability.</w:t>
      </w:r>
    </w:p>
    <w:p>
      <w:pPr>
        <w:spacing w:after="0" w:line="17" w:lineRule="exact"/>
        <w:rPr>
          <w:rFonts w:ascii="Arial" w:cs="Arial" w:eastAsia="Arial" w:hAnsi="Arial"/>
          <w:sz w:val="16"/>
          <w:szCs w:val="16"/>
          <w:color w:val="auto"/>
        </w:rPr>
      </w:pPr>
    </w:p>
    <w:p>
      <w:pPr>
        <w:ind w:left="860" w:hanging="385"/>
        <w:spacing w:after="0" w:line="286" w:lineRule="auto"/>
        <w:tabs>
          <w:tab w:leader="none" w:pos="8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stock ownership guidelines provide an incentive for management to consider ADI’s long-term interests because a portion of their personal investment portfolio consists of ADI stock.</w:t>
      </w:r>
    </w:p>
    <w:p>
      <w:pPr>
        <w:spacing w:after="0" w:line="242"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33333"/>
        </w:rPr>
        <w:t>Summary Compensation Table</w:t>
      </w:r>
    </w:p>
    <w:p>
      <w:pPr>
        <w:spacing w:after="0" w:line="125" w:lineRule="exact"/>
        <w:rPr>
          <w:sz w:val="20"/>
          <w:szCs w:val="20"/>
          <w:color w:val="auto"/>
        </w:rPr>
      </w:pPr>
    </w:p>
    <w:p>
      <w:pPr>
        <w:ind w:left="480" w:right="220"/>
        <w:spacing w:after="0" w:line="286" w:lineRule="auto"/>
        <w:rPr>
          <w:sz w:val="20"/>
          <w:szCs w:val="20"/>
          <w:color w:val="auto"/>
        </w:rPr>
      </w:pPr>
      <w:r>
        <w:rPr>
          <w:rFonts w:ascii="Arial" w:cs="Arial" w:eastAsia="Arial" w:hAnsi="Arial"/>
          <w:sz w:val="17"/>
          <w:szCs w:val="17"/>
          <w:color w:val="auto"/>
        </w:rPr>
        <w:t>The following table contains certain information about the compensation that our named executive officers earned in fiscal 2021, fiscal 2020 and fiscal 2019.</w:t>
      </w:r>
    </w:p>
    <w:p>
      <w:pPr>
        <w:spacing w:after="0" w:line="197" w:lineRule="exact"/>
        <w:rPr>
          <w:sz w:val="20"/>
          <w:szCs w:val="20"/>
          <w:color w:val="auto"/>
        </w:rPr>
      </w:pPr>
    </w:p>
    <w:tbl>
      <w:tblPr>
        <w:tblLayout w:type="fixed"/>
        <w:tblInd w:w="480" w:type="dxa"/>
        <w:tblCellMar>
          <w:top w:w="0" w:type="dxa"/>
          <w:left w:w="0" w:type="dxa"/>
          <w:bottom w:w="0" w:type="dxa"/>
          <w:right w:w="0" w:type="dxa"/>
        </w:tblCellMar>
      </w:tblPr>
      <w:tr>
        <w:trPr>
          <w:trHeight w:val="324"/>
        </w:trPr>
        <w:tc>
          <w:tcPr>
            <w:tcW w:w="3120" w:type="dxa"/>
            <w:vAlign w:val="bottom"/>
            <w:shd w:val="clear" w:color="auto" w:fill="0066BA"/>
          </w:tcPr>
          <w:p>
            <w:pPr>
              <w:spacing w:after="0"/>
              <w:rPr>
                <w:sz w:val="24"/>
                <w:szCs w:val="24"/>
                <w:color w:val="auto"/>
              </w:rPr>
            </w:pPr>
          </w:p>
        </w:tc>
        <w:tc>
          <w:tcPr>
            <w:tcW w:w="140" w:type="dxa"/>
            <w:vAlign w:val="bottom"/>
            <w:shd w:val="clear" w:color="auto" w:fill="0066BA"/>
          </w:tcPr>
          <w:p>
            <w:pPr>
              <w:spacing w:after="0"/>
              <w:rPr>
                <w:sz w:val="24"/>
                <w:szCs w:val="24"/>
                <w:color w:val="auto"/>
              </w:rPr>
            </w:pPr>
          </w:p>
        </w:tc>
        <w:tc>
          <w:tcPr>
            <w:tcW w:w="340" w:type="dxa"/>
            <w:vAlign w:val="bottom"/>
            <w:shd w:val="clear" w:color="auto" w:fill="0066BA"/>
          </w:tcPr>
          <w:p>
            <w:pPr>
              <w:spacing w:after="0"/>
              <w:rPr>
                <w:sz w:val="24"/>
                <w:szCs w:val="24"/>
                <w:color w:val="auto"/>
              </w:rPr>
            </w:pPr>
          </w:p>
        </w:tc>
        <w:tc>
          <w:tcPr>
            <w:tcW w:w="100" w:type="dxa"/>
            <w:vAlign w:val="bottom"/>
            <w:shd w:val="clear" w:color="auto" w:fill="0066BA"/>
          </w:tcPr>
          <w:p>
            <w:pPr>
              <w:spacing w:after="0"/>
              <w:rPr>
                <w:sz w:val="24"/>
                <w:szCs w:val="24"/>
                <w:color w:val="auto"/>
              </w:rPr>
            </w:pPr>
          </w:p>
        </w:tc>
        <w:tc>
          <w:tcPr>
            <w:tcW w:w="840" w:type="dxa"/>
            <w:vAlign w:val="bottom"/>
            <w:shd w:val="clear" w:color="auto" w:fill="0066BA"/>
          </w:tcPr>
          <w:p>
            <w:pPr>
              <w:spacing w:after="0"/>
              <w:rPr>
                <w:sz w:val="24"/>
                <w:szCs w:val="24"/>
                <w:color w:val="auto"/>
              </w:rPr>
            </w:pPr>
          </w:p>
        </w:tc>
        <w:tc>
          <w:tcPr>
            <w:tcW w:w="140" w:type="dxa"/>
            <w:vAlign w:val="bottom"/>
            <w:shd w:val="clear" w:color="auto" w:fill="0066BA"/>
          </w:tcPr>
          <w:p>
            <w:pPr>
              <w:spacing w:after="0"/>
              <w:rPr>
                <w:sz w:val="24"/>
                <w:szCs w:val="24"/>
                <w:color w:val="auto"/>
              </w:rPr>
            </w:pPr>
          </w:p>
        </w:tc>
        <w:tc>
          <w:tcPr>
            <w:tcW w:w="500" w:type="dxa"/>
            <w:vAlign w:val="bottom"/>
            <w:shd w:val="clear" w:color="auto" w:fill="0066BA"/>
          </w:tcPr>
          <w:p>
            <w:pPr>
              <w:spacing w:after="0"/>
              <w:rPr>
                <w:sz w:val="24"/>
                <w:szCs w:val="24"/>
                <w:color w:val="auto"/>
              </w:rPr>
            </w:pPr>
          </w:p>
        </w:tc>
        <w:tc>
          <w:tcPr>
            <w:tcW w:w="100" w:type="dxa"/>
            <w:vAlign w:val="bottom"/>
            <w:shd w:val="clear" w:color="auto" w:fill="0066BA"/>
          </w:tcPr>
          <w:p>
            <w:pPr>
              <w:spacing w:after="0"/>
              <w:rPr>
                <w:sz w:val="24"/>
                <w:szCs w:val="24"/>
                <w:color w:val="auto"/>
              </w:rPr>
            </w:pPr>
          </w:p>
        </w:tc>
        <w:tc>
          <w:tcPr>
            <w:tcW w:w="840" w:type="dxa"/>
            <w:vAlign w:val="bottom"/>
            <w:shd w:val="clear" w:color="auto" w:fill="0066BA"/>
          </w:tcPr>
          <w:p>
            <w:pPr>
              <w:spacing w:after="0"/>
              <w:rPr>
                <w:sz w:val="24"/>
                <w:szCs w:val="24"/>
                <w:color w:val="auto"/>
              </w:rPr>
            </w:pPr>
          </w:p>
        </w:tc>
        <w:tc>
          <w:tcPr>
            <w:tcW w:w="120" w:type="dxa"/>
            <w:vAlign w:val="bottom"/>
            <w:shd w:val="clear" w:color="auto" w:fill="0066BA"/>
          </w:tcPr>
          <w:p>
            <w:pPr>
              <w:spacing w:after="0"/>
              <w:rPr>
                <w:sz w:val="24"/>
                <w:szCs w:val="24"/>
                <w:color w:val="auto"/>
              </w:rPr>
            </w:pPr>
          </w:p>
        </w:tc>
        <w:tc>
          <w:tcPr>
            <w:tcW w:w="720" w:type="dxa"/>
            <w:vAlign w:val="bottom"/>
            <w:shd w:val="clear" w:color="auto" w:fill="0066BA"/>
          </w:tcPr>
          <w:p>
            <w:pPr>
              <w:spacing w:after="0"/>
              <w:rPr>
                <w:sz w:val="24"/>
                <w:szCs w:val="24"/>
                <w:color w:val="auto"/>
              </w:rPr>
            </w:pPr>
          </w:p>
        </w:tc>
        <w:tc>
          <w:tcPr>
            <w:tcW w:w="80" w:type="dxa"/>
            <w:vAlign w:val="bottom"/>
            <w:shd w:val="clear" w:color="auto" w:fill="0066BA"/>
          </w:tcPr>
          <w:p>
            <w:pPr>
              <w:spacing w:after="0"/>
              <w:rPr>
                <w:sz w:val="24"/>
                <w:szCs w:val="24"/>
                <w:color w:val="auto"/>
              </w:rPr>
            </w:pPr>
          </w:p>
        </w:tc>
        <w:tc>
          <w:tcPr>
            <w:tcW w:w="1160" w:type="dxa"/>
            <w:vAlign w:val="bottom"/>
            <w:shd w:val="clear" w:color="auto" w:fill="0066BA"/>
          </w:tcPr>
          <w:p>
            <w:pPr>
              <w:jc w:val="right"/>
              <w:ind w:right="2"/>
              <w:spacing w:after="0"/>
              <w:rPr>
                <w:sz w:val="20"/>
                <w:szCs w:val="20"/>
                <w:color w:val="auto"/>
              </w:rPr>
            </w:pPr>
            <w:r>
              <w:rPr>
                <w:rFonts w:ascii="Arial" w:cs="Arial" w:eastAsia="Arial" w:hAnsi="Arial"/>
                <w:sz w:val="16"/>
                <w:szCs w:val="16"/>
                <w:b w:val="1"/>
                <w:bCs w:val="1"/>
                <w:color w:val="FFFFFF"/>
              </w:rPr>
              <w:t>Non-Equity</w:t>
            </w:r>
          </w:p>
        </w:tc>
        <w:tc>
          <w:tcPr>
            <w:tcW w:w="160" w:type="dxa"/>
            <w:vAlign w:val="bottom"/>
            <w:shd w:val="clear" w:color="auto" w:fill="0066BA"/>
          </w:tcPr>
          <w:p>
            <w:pPr>
              <w:spacing w:after="0"/>
              <w:rPr>
                <w:sz w:val="24"/>
                <w:szCs w:val="24"/>
                <w:color w:val="auto"/>
              </w:rPr>
            </w:pPr>
          </w:p>
        </w:tc>
        <w:tc>
          <w:tcPr>
            <w:tcW w:w="900" w:type="dxa"/>
            <w:vAlign w:val="bottom"/>
            <w:shd w:val="clear" w:color="auto" w:fill="0066BA"/>
          </w:tcPr>
          <w:p>
            <w:pPr>
              <w:spacing w:after="0"/>
              <w:rPr>
                <w:sz w:val="24"/>
                <w:szCs w:val="24"/>
                <w:color w:val="auto"/>
              </w:rPr>
            </w:pPr>
          </w:p>
        </w:tc>
        <w:tc>
          <w:tcPr>
            <w:tcW w:w="100" w:type="dxa"/>
            <w:vAlign w:val="bottom"/>
            <w:shd w:val="clear" w:color="auto" w:fill="0066BA"/>
          </w:tcPr>
          <w:p>
            <w:pPr>
              <w:spacing w:after="0"/>
              <w:rPr>
                <w:sz w:val="24"/>
                <w:szCs w:val="24"/>
                <w:color w:val="auto"/>
              </w:rPr>
            </w:pPr>
          </w:p>
        </w:tc>
        <w:tc>
          <w:tcPr>
            <w:tcW w:w="920" w:type="dxa"/>
            <w:vAlign w:val="bottom"/>
            <w:shd w:val="clear" w:color="auto" w:fill="0066BA"/>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120" w:type="dxa"/>
            <w:vAlign w:val="bottom"/>
            <w:shd w:val="clear" w:color="auto" w:fill="0066BA"/>
          </w:tcPr>
          <w:p>
            <w:pPr>
              <w:spacing w:after="0"/>
              <w:rPr>
                <w:sz w:val="16"/>
                <w:szCs w:val="16"/>
                <w:color w:val="auto"/>
              </w:rPr>
            </w:pPr>
          </w:p>
        </w:tc>
        <w:tc>
          <w:tcPr>
            <w:tcW w:w="140" w:type="dxa"/>
            <w:vAlign w:val="bottom"/>
            <w:shd w:val="clear" w:color="auto" w:fill="0066BA"/>
          </w:tcPr>
          <w:p>
            <w:pPr>
              <w:spacing w:after="0"/>
              <w:rPr>
                <w:sz w:val="16"/>
                <w:szCs w:val="16"/>
                <w:color w:val="auto"/>
              </w:rPr>
            </w:pPr>
          </w:p>
        </w:tc>
        <w:tc>
          <w:tcPr>
            <w:tcW w:w="340" w:type="dxa"/>
            <w:vAlign w:val="bottom"/>
            <w:shd w:val="clear" w:color="auto" w:fill="0066BA"/>
          </w:tcPr>
          <w:p>
            <w:pPr>
              <w:spacing w:after="0"/>
              <w:rPr>
                <w:sz w:val="16"/>
                <w:szCs w:val="16"/>
                <w:color w:val="auto"/>
              </w:rPr>
            </w:pPr>
          </w:p>
        </w:tc>
        <w:tc>
          <w:tcPr>
            <w:tcW w:w="100" w:type="dxa"/>
            <w:vAlign w:val="bottom"/>
            <w:shd w:val="clear" w:color="auto" w:fill="0066BA"/>
          </w:tcPr>
          <w:p>
            <w:pPr>
              <w:spacing w:after="0"/>
              <w:rPr>
                <w:sz w:val="16"/>
                <w:szCs w:val="16"/>
                <w:color w:val="auto"/>
              </w:rPr>
            </w:pPr>
          </w:p>
        </w:tc>
        <w:tc>
          <w:tcPr>
            <w:tcW w:w="840" w:type="dxa"/>
            <w:vAlign w:val="bottom"/>
            <w:shd w:val="clear" w:color="auto" w:fill="0066BA"/>
          </w:tcPr>
          <w:p>
            <w:pPr>
              <w:spacing w:after="0"/>
              <w:rPr>
                <w:sz w:val="16"/>
                <w:szCs w:val="16"/>
                <w:color w:val="auto"/>
              </w:rPr>
            </w:pPr>
          </w:p>
        </w:tc>
        <w:tc>
          <w:tcPr>
            <w:tcW w:w="140" w:type="dxa"/>
            <w:vAlign w:val="bottom"/>
            <w:shd w:val="clear" w:color="auto" w:fill="0066BA"/>
          </w:tcPr>
          <w:p>
            <w:pPr>
              <w:spacing w:after="0"/>
              <w:rPr>
                <w:sz w:val="16"/>
                <w:szCs w:val="16"/>
                <w:color w:val="auto"/>
              </w:rPr>
            </w:pPr>
          </w:p>
        </w:tc>
        <w:tc>
          <w:tcPr>
            <w:tcW w:w="500" w:type="dxa"/>
            <w:vAlign w:val="bottom"/>
            <w:shd w:val="clear" w:color="auto" w:fill="0066BA"/>
          </w:tcPr>
          <w:p>
            <w:pPr>
              <w:spacing w:after="0"/>
              <w:rPr>
                <w:sz w:val="16"/>
                <w:szCs w:val="16"/>
                <w:color w:val="auto"/>
              </w:rPr>
            </w:pPr>
          </w:p>
        </w:tc>
        <w:tc>
          <w:tcPr>
            <w:tcW w:w="100" w:type="dxa"/>
            <w:vAlign w:val="bottom"/>
            <w:shd w:val="clear" w:color="auto" w:fill="0066BA"/>
          </w:tcPr>
          <w:p>
            <w:pPr>
              <w:spacing w:after="0"/>
              <w:rPr>
                <w:sz w:val="16"/>
                <w:szCs w:val="16"/>
                <w:color w:val="auto"/>
              </w:rPr>
            </w:pPr>
          </w:p>
        </w:tc>
        <w:tc>
          <w:tcPr>
            <w:tcW w:w="840" w:type="dxa"/>
            <w:vAlign w:val="bottom"/>
            <w:shd w:val="clear" w:color="auto" w:fill="0066BA"/>
          </w:tcPr>
          <w:p>
            <w:pPr>
              <w:jc w:val="right"/>
              <w:ind w:right="2"/>
              <w:spacing w:after="0"/>
              <w:rPr>
                <w:sz w:val="20"/>
                <w:szCs w:val="20"/>
                <w:color w:val="auto"/>
              </w:rPr>
            </w:pPr>
            <w:r>
              <w:rPr>
                <w:rFonts w:ascii="Arial" w:cs="Arial" w:eastAsia="Arial" w:hAnsi="Arial"/>
                <w:sz w:val="16"/>
                <w:szCs w:val="16"/>
                <w:b w:val="1"/>
                <w:bCs w:val="1"/>
                <w:color w:val="FFFFFF"/>
              </w:rPr>
              <w:t>Stock</w:t>
            </w:r>
          </w:p>
        </w:tc>
        <w:tc>
          <w:tcPr>
            <w:tcW w:w="120" w:type="dxa"/>
            <w:vAlign w:val="bottom"/>
            <w:shd w:val="clear" w:color="auto" w:fill="0066BA"/>
          </w:tcPr>
          <w:p>
            <w:pPr>
              <w:spacing w:after="0"/>
              <w:rPr>
                <w:sz w:val="16"/>
                <w:szCs w:val="16"/>
                <w:color w:val="auto"/>
              </w:rPr>
            </w:pPr>
          </w:p>
        </w:tc>
        <w:tc>
          <w:tcPr>
            <w:tcW w:w="800" w:type="dxa"/>
            <w:vAlign w:val="bottom"/>
            <w:gridSpan w:val="2"/>
            <w:shd w:val="clear" w:color="auto" w:fill="0066BA"/>
          </w:tcPr>
          <w:p>
            <w:pPr>
              <w:jc w:val="right"/>
              <w:ind w:right="80"/>
              <w:spacing w:after="0"/>
              <w:rPr>
                <w:sz w:val="20"/>
                <w:szCs w:val="20"/>
                <w:color w:val="auto"/>
              </w:rPr>
            </w:pPr>
            <w:r>
              <w:rPr>
                <w:rFonts w:ascii="Arial" w:cs="Arial" w:eastAsia="Arial" w:hAnsi="Arial"/>
                <w:sz w:val="16"/>
                <w:szCs w:val="16"/>
                <w:b w:val="1"/>
                <w:bCs w:val="1"/>
                <w:color w:val="FFFFFF"/>
              </w:rPr>
              <w:t>Option</w:t>
            </w:r>
          </w:p>
        </w:tc>
        <w:tc>
          <w:tcPr>
            <w:tcW w:w="1160" w:type="dxa"/>
            <w:vAlign w:val="bottom"/>
            <w:shd w:val="clear" w:color="auto" w:fill="0066BA"/>
          </w:tcPr>
          <w:p>
            <w:pPr>
              <w:jc w:val="right"/>
              <w:ind w:right="2"/>
              <w:spacing w:after="0"/>
              <w:rPr>
                <w:sz w:val="20"/>
                <w:szCs w:val="20"/>
                <w:color w:val="auto"/>
              </w:rPr>
            </w:pPr>
            <w:r>
              <w:rPr>
                <w:rFonts w:ascii="Arial" w:cs="Arial" w:eastAsia="Arial" w:hAnsi="Arial"/>
                <w:sz w:val="16"/>
                <w:szCs w:val="16"/>
                <w:b w:val="1"/>
                <w:bCs w:val="1"/>
                <w:color w:val="FFFFFF"/>
                <w:w w:val="98"/>
              </w:rPr>
              <w:t>Incentive Plan</w:t>
            </w:r>
          </w:p>
        </w:tc>
        <w:tc>
          <w:tcPr>
            <w:tcW w:w="160" w:type="dxa"/>
            <w:vAlign w:val="bottom"/>
            <w:shd w:val="clear" w:color="auto" w:fill="0066BA"/>
          </w:tcPr>
          <w:p>
            <w:pPr>
              <w:spacing w:after="0"/>
              <w:rPr>
                <w:sz w:val="16"/>
                <w:szCs w:val="16"/>
                <w:color w:val="auto"/>
              </w:rPr>
            </w:pPr>
          </w:p>
        </w:tc>
        <w:tc>
          <w:tcPr>
            <w:tcW w:w="1000" w:type="dxa"/>
            <w:vAlign w:val="bottom"/>
            <w:gridSpan w:val="2"/>
            <w:shd w:val="clear" w:color="auto" w:fill="0066BA"/>
          </w:tcPr>
          <w:p>
            <w:pPr>
              <w:jc w:val="right"/>
              <w:ind w:right="80"/>
              <w:spacing w:after="0"/>
              <w:rPr>
                <w:sz w:val="20"/>
                <w:szCs w:val="20"/>
                <w:color w:val="auto"/>
              </w:rPr>
            </w:pPr>
            <w:r>
              <w:rPr>
                <w:rFonts w:ascii="Arial" w:cs="Arial" w:eastAsia="Arial" w:hAnsi="Arial"/>
                <w:sz w:val="16"/>
                <w:szCs w:val="16"/>
                <w:b w:val="1"/>
                <w:bCs w:val="1"/>
                <w:color w:val="FFFFFF"/>
              </w:rPr>
              <w:t>All Other</w:t>
            </w:r>
          </w:p>
        </w:tc>
        <w:tc>
          <w:tcPr>
            <w:tcW w:w="920" w:type="dxa"/>
            <w:vAlign w:val="bottom"/>
            <w:shd w:val="clear" w:color="auto" w:fill="0066BA"/>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shd w:val="clear" w:color="auto" w:fill="0066BA"/>
          </w:tcPr>
          <w:p>
            <w:pPr>
              <w:ind w:left="140"/>
              <w:spacing w:after="0"/>
              <w:rPr>
                <w:sz w:val="20"/>
                <w:szCs w:val="20"/>
                <w:color w:val="auto"/>
              </w:rPr>
            </w:pPr>
            <w:r>
              <w:rPr>
                <w:rFonts w:ascii="Arial" w:cs="Arial" w:eastAsia="Arial" w:hAnsi="Arial"/>
                <w:sz w:val="16"/>
                <w:szCs w:val="16"/>
                <w:b w:val="1"/>
                <w:bCs w:val="1"/>
                <w:color w:val="FFFFFF"/>
              </w:rPr>
              <w:t>Name and</w:t>
            </w:r>
          </w:p>
        </w:tc>
        <w:tc>
          <w:tcPr>
            <w:tcW w:w="580" w:type="dxa"/>
            <w:vAlign w:val="bottom"/>
            <w:gridSpan w:val="3"/>
            <w:shd w:val="clear" w:color="auto" w:fill="0066BA"/>
          </w:tcPr>
          <w:p>
            <w:pPr>
              <w:jc w:val="right"/>
              <w:ind w:right="80"/>
              <w:spacing w:after="0"/>
              <w:rPr>
                <w:sz w:val="20"/>
                <w:szCs w:val="20"/>
                <w:color w:val="auto"/>
              </w:rPr>
            </w:pPr>
            <w:r>
              <w:rPr>
                <w:rFonts w:ascii="Arial" w:cs="Arial" w:eastAsia="Arial" w:hAnsi="Arial"/>
                <w:sz w:val="16"/>
                <w:szCs w:val="16"/>
                <w:b w:val="1"/>
                <w:bCs w:val="1"/>
                <w:color w:val="FFFFFF"/>
              </w:rPr>
              <w:t>Fiscal</w:t>
            </w:r>
          </w:p>
        </w:tc>
        <w:tc>
          <w:tcPr>
            <w:tcW w:w="840" w:type="dxa"/>
            <w:vAlign w:val="bottom"/>
            <w:shd w:val="clear" w:color="auto" w:fill="0066BA"/>
          </w:tcPr>
          <w:p>
            <w:pPr>
              <w:spacing w:after="0"/>
              <w:rPr>
                <w:sz w:val="16"/>
                <w:szCs w:val="16"/>
                <w:color w:val="auto"/>
              </w:rPr>
            </w:pPr>
          </w:p>
        </w:tc>
        <w:tc>
          <w:tcPr>
            <w:tcW w:w="140" w:type="dxa"/>
            <w:vAlign w:val="bottom"/>
            <w:shd w:val="clear" w:color="auto" w:fill="0066BA"/>
          </w:tcPr>
          <w:p>
            <w:pPr>
              <w:spacing w:after="0"/>
              <w:rPr>
                <w:sz w:val="16"/>
                <w:szCs w:val="16"/>
                <w:color w:val="auto"/>
              </w:rPr>
            </w:pPr>
          </w:p>
        </w:tc>
        <w:tc>
          <w:tcPr>
            <w:tcW w:w="600" w:type="dxa"/>
            <w:vAlign w:val="bottom"/>
            <w:gridSpan w:val="2"/>
            <w:shd w:val="clear" w:color="auto" w:fill="0066BA"/>
          </w:tcPr>
          <w:p>
            <w:pPr>
              <w:jc w:val="right"/>
              <w:ind w:right="100"/>
              <w:spacing w:after="0"/>
              <w:rPr>
                <w:sz w:val="20"/>
                <w:szCs w:val="20"/>
                <w:color w:val="auto"/>
              </w:rPr>
            </w:pPr>
            <w:r>
              <w:rPr>
                <w:rFonts w:ascii="Arial" w:cs="Arial" w:eastAsia="Arial" w:hAnsi="Arial"/>
                <w:sz w:val="16"/>
                <w:szCs w:val="16"/>
                <w:b w:val="1"/>
                <w:bCs w:val="1"/>
                <w:color w:val="FFFFFF"/>
                <w:w w:val="96"/>
              </w:rPr>
              <w:t>Bonus</w:t>
            </w:r>
          </w:p>
        </w:tc>
        <w:tc>
          <w:tcPr>
            <w:tcW w:w="840" w:type="dxa"/>
            <w:vAlign w:val="bottom"/>
            <w:shd w:val="clear" w:color="auto" w:fill="0066BA"/>
          </w:tcPr>
          <w:p>
            <w:pPr>
              <w:jc w:val="right"/>
              <w:ind w:right="2"/>
              <w:spacing w:after="0"/>
              <w:rPr>
                <w:sz w:val="20"/>
                <w:szCs w:val="20"/>
                <w:color w:val="auto"/>
              </w:rPr>
            </w:pPr>
            <w:r>
              <w:rPr>
                <w:rFonts w:ascii="Arial" w:cs="Arial" w:eastAsia="Arial" w:hAnsi="Arial"/>
                <w:sz w:val="16"/>
                <w:szCs w:val="16"/>
                <w:b w:val="1"/>
                <w:bCs w:val="1"/>
                <w:color w:val="FFFFFF"/>
              </w:rPr>
              <w:t>Awards</w:t>
            </w:r>
          </w:p>
        </w:tc>
        <w:tc>
          <w:tcPr>
            <w:tcW w:w="120" w:type="dxa"/>
            <w:vAlign w:val="bottom"/>
            <w:shd w:val="clear" w:color="auto" w:fill="0066BA"/>
          </w:tcPr>
          <w:p>
            <w:pPr>
              <w:spacing w:after="0"/>
              <w:rPr>
                <w:sz w:val="16"/>
                <w:szCs w:val="16"/>
                <w:color w:val="auto"/>
              </w:rPr>
            </w:pPr>
          </w:p>
        </w:tc>
        <w:tc>
          <w:tcPr>
            <w:tcW w:w="800" w:type="dxa"/>
            <w:vAlign w:val="bottom"/>
            <w:gridSpan w:val="2"/>
            <w:shd w:val="clear" w:color="auto" w:fill="0066BA"/>
          </w:tcPr>
          <w:p>
            <w:pPr>
              <w:jc w:val="right"/>
              <w:ind w:right="80"/>
              <w:spacing w:after="0"/>
              <w:rPr>
                <w:sz w:val="20"/>
                <w:szCs w:val="20"/>
                <w:color w:val="auto"/>
              </w:rPr>
            </w:pPr>
            <w:r>
              <w:rPr>
                <w:rFonts w:ascii="Arial" w:cs="Arial" w:eastAsia="Arial" w:hAnsi="Arial"/>
                <w:sz w:val="16"/>
                <w:szCs w:val="16"/>
                <w:b w:val="1"/>
                <w:bCs w:val="1"/>
                <w:color w:val="FFFFFF"/>
              </w:rPr>
              <w:t>Awards</w:t>
            </w:r>
          </w:p>
        </w:tc>
        <w:tc>
          <w:tcPr>
            <w:tcW w:w="1160" w:type="dxa"/>
            <w:vAlign w:val="bottom"/>
            <w:shd w:val="clear" w:color="auto" w:fill="0066BA"/>
          </w:tcPr>
          <w:p>
            <w:pPr>
              <w:jc w:val="right"/>
              <w:ind w:right="2"/>
              <w:spacing w:after="0"/>
              <w:rPr>
                <w:sz w:val="20"/>
                <w:szCs w:val="20"/>
                <w:color w:val="auto"/>
              </w:rPr>
            </w:pPr>
            <w:r>
              <w:rPr>
                <w:rFonts w:ascii="Arial" w:cs="Arial" w:eastAsia="Arial" w:hAnsi="Arial"/>
                <w:sz w:val="16"/>
                <w:szCs w:val="16"/>
                <w:b w:val="1"/>
                <w:bCs w:val="1"/>
                <w:color w:val="FFFFFF"/>
                <w:w w:val="95"/>
              </w:rPr>
              <w:t>Compensation</w:t>
            </w:r>
          </w:p>
        </w:tc>
        <w:tc>
          <w:tcPr>
            <w:tcW w:w="1160" w:type="dxa"/>
            <w:vAlign w:val="bottom"/>
            <w:gridSpan w:val="3"/>
            <w:shd w:val="clear" w:color="auto" w:fill="0066BA"/>
          </w:tcPr>
          <w:p>
            <w:pPr>
              <w:jc w:val="right"/>
              <w:ind w:right="80"/>
              <w:spacing w:after="0"/>
              <w:rPr>
                <w:sz w:val="20"/>
                <w:szCs w:val="20"/>
                <w:color w:val="auto"/>
              </w:rPr>
            </w:pPr>
            <w:r>
              <w:rPr>
                <w:rFonts w:ascii="Arial" w:cs="Arial" w:eastAsia="Arial" w:hAnsi="Arial"/>
                <w:sz w:val="16"/>
                <w:szCs w:val="16"/>
                <w:b w:val="1"/>
                <w:bCs w:val="1"/>
                <w:color w:val="FFFFFF"/>
                <w:w w:val="95"/>
              </w:rPr>
              <w:t>Compensation</w:t>
            </w:r>
          </w:p>
        </w:tc>
        <w:tc>
          <w:tcPr>
            <w:tcW w:w="920" w:type="dxa"/>
            <w:vAlign w:val="bottom"/>
            <w:shd w:val="clear" w:color="auto" w:fill="0066BA"/>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0066BA"/>
          </w:tcPr>
          <w:p>
            <w:pPr>
              <w:ind w:left="140"/>
              <w:spacing w:after="0"/>
              <w:rPr>
                <w:sz w:val="20"/>
                <w:szCs w:val="20"/>
                <w:color w:val="auto"/>
              </w:rPr>
            </w:pPr>
            <w:r>
              <w:rPr>
                <w:rFonts w:ascii="Arial" w:cs="Arial" w:eastAsia="Arial" w:hAnsi="Arial"/>
                <w:sz w:val="16"/>
                <w:szCs w:val="16"/>
                <w:b w:val="1"/>
                <w:bCs w:val="1"/>
                <w:color w:val="FFFFFF"/>
              </w:rPr>
              <w:t>Principal Position</w:t>
            </w:r>
          </w:p>
        </w:tc>
        <w:tc>
          <w:tcPr>
            <w:tcW w:w="140" w:type="dxa"/>
            <w:vAlign w:val="bottom"/>
            <w:shd w:val="clear" w:color="auto" w:fill="0066BA"/>
          </w:tcPr>
          <w:p>
            <w:pPr>
              <w:spacing w:after="0"/>
              <w:rPr>
                <w:sz w:val="18"/>
                <w:szCs w:val="18"/>
                <w:color w:val="auto"/>
              </w:rPr>
            </w:pPr>
          </w:p>
        </w:tc>
        <w:tc>
          <w:tcPr>
            <w:tcW w:w="440" w:type="dxa"/>
            <w:vAlign w:val="bottom"/>
            <w:gridSpan w:val="2"/>
            <w:shd w:val="clear" w:color="auto" w:fill="0066BA"/>
          </w:tcPr>
          <w:p>
            <w:pPr>
              <w:jc w:val="right"/>
              <w:ind w:right="80"/>
              <w:spacing w:after="0"/>
              <w:rPr>
                <w:sz w:val="20"/>
                <w:szCs w:val="20"/>
                <w:color w:val="auto"/>
              </w:rPr>
            </w:pPr>
            <w:r>
              <w:rPr>
                <w:rFonts w:ascii="Arial" w:cs="Arial" w:eastAsia="Arial" w:hAnsi="Arial"/>
                <w:sz w:val="16"/>
                <w:szCs w:val="16"/>
                <w:b w:val="1"/>
                <w:bCs w:val="1"/>
                <w:color w:val="FFFFFF"/>
                <w:w w:val="97"/>
              </w:rPr>
              <w:t>Year</w:t>
            </w:r>
          </w:p>
        </w:tc>
        <w:tc>
          <w:tcPr>
            <w:tcW w:w="840" w:type="dxa"/>
            <w:vAlign w:val="bottom"/>
            <w:shd w:val="clear" w:color="auto" w:fill="0066BA"/>
          </w:tcPr>
          <w:p>
            <w:pPr>
              <w:jc w:val="right"/>
              <w:ind w:right="2"/>
              <w:spacing w:after="0"/>
              <w:rPr>
                <w:sz w:val="20"/>
                <w:szCs w:val="20"/>
                <w:color w:val="auto"/>
              </w:rPr>
            </w:pPr>
            <w:r>
              <w:rPr>
                <w:rFonts w:ascii="Arial" w:cs="Arial" w:eastAsia="Arial" w:hAnsi="Arial"/>
                <w:sz w:val="16"/>
                <w:szCs w:val="16"/>
                <w:b w:val="1"/>
                <w:bCs w:val="1"/>
                <w:color w:val="FFFFFF"/>
              </w:rPr>
              <w:t>Salary ($)</w:t>
            </w:r>
          </w:p>
        </w:tc>
        <w:tc>
          <w:tcPr>
            <w:tcW w:w="740" w:type="dxa"/>
            <w:vAlign w:val="bottom"/>
            <w:gridSpan w:val="3"/>
            <w:shd w:val="clear" w:color="auto" w:fill="0066BA"/>
          </w:tcPr>
          <w:p>
            <w:pPr>
              <w:jc w:val="right"/>
              <w:ind w:right="100"/>
              <w:spacing w:after="0"/>
              <w:rPr>
                <w:sz w:val="20"/>
                <w:szCs w:val="20"/>
                <w:color w:val="auto"/>
              </w:rPr>
            </w:pPr>
            <w:r>
              <w:rPr>
                <w:rFonts w:ascii="Arial" w:cs="Arial" w:eastAsia="Arial" w:hAnsi="Arial"/>
                <w:sz w:val="16"/>
                <w:szCs w:val="16"/>
                <w:b w:val="1"/>
                <w:bCs w:val="1"/>
                <w:color w:val="FFFFFF"/>
              </w:rPr>
              <w:t>($)(1)</w:t>
            </w:r>
          </w:p>
        </w:tc>
        <w:tc>
          <w:tcPr>
            <w:tcW w:w="840" w:type="dxa"/>
            <w:vAlign w:val="bottom"/>
            <w:shd w:val="clear" w:color="auto" w:fill="0066BA"/>
          </w:tcPr>
          <w:p>
            <w:pPr>
              <w:jc w:val="right"/>
              <w:ind w:right="2"/>
              <w:spacing w:after="0"/>
              <w:rPr>
                <w:sz w:val="20"/>
                <w:szCs w:val="20"/>
                <w:color w:val="auto"/>
              </w:rPr>
            </w:pPr>
            <w:r>
              <w:rPr>
                <w:rFonts w:ascii="Arial" w:cs="Arial" w:eastAsia="Arial" w:hAnsi="Arial"/>
                <w:sz w:val="16"/>
                <w:szCs w:val="16"/>
                <w:b w:val="1"/>
                <w:bCs w:val="1"/>
                <w:color w:val="FFFFFF"/>
              </w:rPr>
              <w:t>($)(2a)</w:t>
            </w:r>
          </w:p>
        </w:tc>
        <w:tc>
          <w:tcPr>
            <w:tcW w:w="120" w:type="dxa"/>
            <w:vAlign w:val="bottom"/>
            <w:shd w:val="clear" w:color="auto" w:fill="0066BA"/>
          </w:tcPr>
          <w:p>
            <w:pPr>
              <w:spacing w:after="0"/>
              <w:rPr>
                <w:sz w:val="18"/>
                <w:szCs w:val="18"/>
                <w:color w:val="auto"/>
              </w:rPr>
            </w:pPr>
          </w:p>
        </w:tc>
        <w:tc>
          <w:tcPr>
            <w:tcW w:w="800" w:type="dxa"/>
            <w:vAlign w:val="bottom"/>
            <w:gridSpan w:val="2"/>
            <w:shd w:val="clear" w:color="auto" w:fill="0066BA"/>
          </w:tcPr>
          <w:p>
            <w:pPr>
              <w:jc w:val="right"/>
              <w:ind w:right="80"/>
              <w:spacing w:after="0"/>
              <w:rPr>
                <w:sz w:val="20"/>
                <w:szCs w:val="20"/>
                <w:color w:val="auto"/>
              </w:rPr>
            </w:pPr>
            <w:r>
              <w:rPr>
                <w:rFonts w:ascii="Arial" w:cs="Arial" w:eastAsia="Arial" w:hAnsi="Arial"/>
                <w:sz w:val="16"/>
                <w:szCs w:val="16"/>
                <w:b w:val="1"/>
                <w:bCs w:val="1"/>
                <w:color w:val="FFFFFF"/>
              </w:rPr>
              <w:t>($)(2b)</w:t>
            </w:r>
          </w:p>
        </w:tc>
        <w:tc>
          <w:tcPr>
            <w:tcW w:w="1160" w:type="dxa"/>
            <w:vAlign w:val="bottom"/>
            <w:shd w:val="clear" w:color="auto" w:fill="0066BA"/>
          </w:tcPr>
          <w:p>
            <w:pPr>
              <w:jc w:val="right"/>
              <w:ind w:right="2"/>
              <w:spacing w:after="0"/>
              <w:rPr>
                <w:sz w:val="20"/>
                <w:szCs w:val="20"/>
                <w:color w:val="auto"/>
              </w:rPr>
            </w:pPr>
            <w:r>
              <w:rPr>
                <w:rFonts w:ascii="Arial" w:cs="Arial" w:eastAsia="Arial" w:hAnsi="Arial"/>
                <w:sz w:val="16"/>
                <w:szCs w:val="16"/>
                <w:b w:val="1"/>
                <w:bCs w:val="1"/>
                <w:color w:val="FFFFFF"/>
              </w:rPr>
              <w:t>($)(3)</w:t>
            </w:r>
          </w:p>
        </w:tc>
        <w:tc>
          <w:tcPr>
            <w:tcW w:w="1160" w:type="dxa"/>
            <w:vAlign w:val="bottom"/>
            <w:gridSpan w:val="3"/>
            <w:shd w:val="clear" w:color="auto" w:fill="0066BA"/>
          </w:tcPr>
          <w:p>
            <w:pPr>
              <w:jc w:val="right"/>
              <w:ind w:right="80"/>
              <w:spacing w:after="0"/>
              <w:rPr>
                <w:sz w:val="20"/>
                <w:szCs w:val="20"/>
                <w:color w:val="auto"/>
              </w:rPr>
            </w:pPr>
            <w:r>
              <w:rPr>
                <w:rFonts w:ascii="Arial" w:cs="Arial" w:eastAsia="Arial" w:hAnsi="Arial"/>
                <w:sz w:val="16"/>
                <w:szCs w:val="16"/>
                <w:b w:val="1"/>
                <w:bCs w:val="1"/>
                <w:color w:val="FFFFFF"/>
              </w:rPr>
              <w:t>($)(4)</w:t>
            </w:r>
          </w:p>
        </w:tc>
        <w:tc>
          <w:tcPr>
            <w:tcW w:w="920" w:type="dxa"/>
            <w:vAlign w:val="bottom"/>
            <w:shd w:val="clear" w:color="auto" w:fill="0066BA"/>
          </w:tcPr>
          <w:p>
            <w:pPr>
              <w:jc w:val="right"/>
              <w:ind w:right="2"/>
              <w:spacing w:after="0"/>
              <w:rPr>
                <w:sz w:val="20"/>
                <w:szCs w:val="20"/>
                <w:color w:val="auto"/>
              </w:rPr>
            </w:pPr>
            <w:r>
              <w:rPr>
                <w:rFonts w:ascii="Arial" w:cs="Arial" w:eastAsia="Arial" w:hAnsi="Arial"/>
                <w:sz w:val="16"/>
                <w:szCs w:val="16"/>
                <w:b w:val="1"/>
                <w:bCs w:val="1"/>
                <w:color w:val="FFFFFF"/>
              </w:rPr>
              <w:t>Total ($)</w:t>
            </w:r>
          </w:p>
        </w:tc>
        <w:tc>
          <w:tcPr>
            <w:tcW w:w="0" w:type="dxa"/>
            <w:vAlign w:val="bottom"/>
          </w:tcPr>
          <w:p>
            <w:pPr>
              <w:spacing w:after="0"/>
              <w:rPr>
                <w:sz w:val="1"/>
                <w:szCs w:val="1"/>
                <w:color w:val="auto"/>
              </w:rPr>
            </w:pPr>
          </w:p>
        </w:tc>
      </w:tr>
      <w:tr>
        <w:trPr>
          <w:trHeight w:val="110"/>
        </w:trPr>
        <w:tc>
          <w:tcPr>
            <w:tcW w:w="3120" w:type="dxa"/>
            <w:vAlign w:val="bottom"/>
            <w:shd w:val="clear" w:color="auto" w:fill="0066BA"/>
          </w:tcPr>
          <w:p>
            <w:pPr>
              <w:spacing w:after="0"/>
              <w:rPr>
                <w:sz w:val="9"/>
                <w:szCs w:val="9"/>
                <w:color w:val="auto"/>
              </w:rPr>
            </w:pPr>
          </w:p>
        </w:tc>
        <w:tc>
          <w:tcPr>
            <w:tcW w:w="140" w:type="dxa"/>
            <w:vAlign w:val="bottom"/>
            <w:shd w:val="clear" w:color="auto" w:fill="0066BA"/>
          </w:tcPr>
          <w:p>
            <w:pPr>
              <w:spacing w:after="0"/>
              <w:rPr>
                <w:sz w:val="9"/>
                <w:szCs w:val="9"/>
                <w:color w:val="auto"/>
              </w:rPr>
            </w:pPr>
          </w:p>
        </w:tc>
        <w:tc>
          <w:tcPr>
            <w:tcW w:w="340" w:type="dxa"/>
            <w:vAlign w:val="bottom"/>
            <w:shd w:val="clear" w:color="auto" w:fill="0066BA"/>
          </w:tcPr>
          <w:p>
            <w:pPr>
              <w:spacing w:after="0"/>
              <w:rPr>
                <w:sz w:val="9"/>
                <w:szCs w:val="9"/>
                <w:color w:val="auto"/>
              </w:rPr>
            </w:pPr>
          </w:p>
        </w:tc>
        <w:tc>
          <w:tcPr>
            <w:tcW w:w="100" w:type="dxa"/>
            <w:vAlign w:val="bottom"/>
            <w:shd w:val="clear" w:color="auto" w:fill="0066BA"/>
          </w:tcPr>
          <w:p>
            <w:pPr>
              <w:spacing w:after="0"/>
              <w:rPr>
                <w:sz w:val="9"/>
                <w:szCs w:val="9"/>
                <w:color w:val="auto"/>
              </w:rPr>
            </w:pPr>
          </w:p>
        </w:tc>
        <w:tc>
          <w:tcPr>
            <w:tcW w:w="840" w:type="dxa"/>
            <w:vAlign w:val="bottom"/>
            <w:shd w:val="clear" w:color="auto" w:fill="0066BA"/>
          </w:tcPr>
          <w:p>
            <w:pPr>
              <w:spacing w:after="0"/>
              <w:rPr>
                <w:sz w:val="9"/>
                <w:szCs w:val="9"/>
                <w:color w:val="auto"/>
              </w:rPr>
            </w:pPr>
          </w:p>
        </w:tc>
        <w:tc>
          <w:tcPr>
            <w:tcW w:w="140" w:type="dxa"/>
            <w:vAlign w:val="bottom"/>
            <w:shd w:val="clear" w:color="auto" w:fill="0066BA"/>
          </w:tcPr>
          <w:p>
            <w:pPr>
              <w:spacing w:after="0"/>
              <w:rPr>
                <w:sz w:val="9"/>
                <w:szCs w:val="9"/>
                <w:color w:val="auto"/>
              </w:rPr>
            </w:pPr>
          </w:p>
        </w:tc>
        <w:tc>
          <w:tcPr>
            <w:tcW w:w="500" w:type="dxa"/>
            <w:vAlign w:val="bottom"/>
            <w:shd w:val="clear" w:color="auto" w:fill="0066BA"/>
          </w:tcPr>
          <w:p>
            <w:pPr>
              <w:spacing w:after="0"/>
              <w:rPr>
                <w:sz w:val="9"/>
                <w:szCs w:val="9"/>
                <w:color w:val="auto"/>
              </w:rPr>
            </w:pPr>
          </w:p>
        </w:tc>
        <w:tc>
          <w:tcPr>
            <w:tcW w:w="100" w:type="dxa"/>
            <w:vAlign w:val="bottom"/>
            <w:shd w:val="clear" w:color="auto" w:fill="0066BA"/>
          </w:tcPr>
          <w:p>
            <w:pPr>
              <w:spacing w:after="0"/>
              <w:rPr>
                <w:sz w:val="9"/>
                <w:szCs w:val="9"/>
                <w:color w:val="auto"/>
              </w:rPr>
            </w:pPr>
          </w:p>
        </w:tc>
        <w:tc>
          <w:tcPr>
            <w:tcW w:w="840" w:type="dxa"/>
            <w:vAlign w:val="bottom"/>
            <w:shd w:val="clear" w:color="auto" w:fill="0066BA"/>
          </w:tcPr>
          <w:p>
            <w:pPr>
              <w:spacing w:after="0"/>
              <w:rPr>
                <w:sz w:val="9"/>
                <w:szCs w:val="9"/>
                <w:color w:val="auto"/>
              </w:rPr>
            </w:pPr>
          </w:p>
        </w:tc>
        <w:tc>
          <w:tcPr>
            <w:tcW w:w="120" w:type="dxa"/>
            <w:vAlign w:val="bottom"/>
            <w:shd w:val="clear" w:color="auto" w:fill="0066BA"/>
          </w:tcPr>
          <w:p>
            <w:pPr>
              <w:spacing w:after="0"/>
              <w:rPr>
                <w:sz w:val="9"/>
                <w:szCs w:val="9"/>
                <w:color w:val="auto"/>
              </w:rPr>
            </w:pPr>
          </w:p>
        </w:tc>
        <w:tc>
          <w:tcPr>
            <w:tcW w:w="720" w:type="dxa"/>
            <w:vAlign w:val="bottom"/>
            <w:shd w:val="clear" w:color="auto" w:fill="0066BA"/>
          </w:tcPr>
          <w:p>
            <w:pPr>
              <w:spacing w:after="0"/>
              <w:rPr>
                <w:sz w:val="9"/>
                <w:szCs w:val="9"/>
                <w:color w:val="auto"/>
              </w:rPr>
            </w:pPr>
          </w:p>
        </w:tc>
        <w:tc>
          <w:tcPr>
            <w:tcW w:w="80" w:type="dxa"/>
            <w:vAlign w:val="bottom"/>
            <w:shd w:val="clear" w:color="auto" w:fill="0066BA"/>
          </w:tcPr>
          <w:p>
            <w:pPr>
              <w:spacing w:after="0"/>
              <w:rPr>
                <w:sz w:val="9"/>
                <w:szCs w:val="9"/>
                <w:color w:val="auto"/>
              </w:rPr>
            </w:pPr>
          </w:p>
        </w:tc>
        <w:tc>
          <w:tcPr>
            <w:tcW w:w="1160" w:type="dxa"/>
            <w:vAlign w:val="bottom"/>
            <w:shd w:val="clear" w:color="auto" w:fill="0066BA"/>
          </w:tcPr>
          <w:p>
            <w:pPr>
              <w:spacing w:after="0"/>
              <w:rPr>
                <w:sz w:val="9"/>
                <w:szCs w:val="9"/>
                <w:color w:val="auto"/>
              </w:rPr>
            </w:pPr>
          </w:p>
        </w:tc>
        <w:tc>
          <w:tcPr>
            <w:tcW w:w="160" w:type="dxa"/>
            <w:vAlign w:val="bottom"/>
            <w:shd w:val="clear" w:color="auto" w:fill="0066BA"/>
          </w:tcPr>
          <w:p>
            <w:pPr>
              <w:spacing w:after="0"/>
              <w:rPr>
                <w:sz w:val="9"/>
                <w:szCs w:val="9"/>
                <w:color w:val="auto"/>
              </w:rPr>
            </w:pPr>
          </w:p>
        </w:tc>
        <w:tc>
          <w:tcPr>
            <w:tcW w:w="900" w:type="dxa"/>
            <w:vAlign w:val="bottom"/>
            <w:shd w:val="clear" w:color="auto" w:fill="0066BA"/>
          </w:tcPr>
          <w:p>
            <w:pPr>
              <w:spacing w:after="0"/>
              <w:rPr>
                <w:sz w:val="9"/>
                <w:szCs w:val="9"/>
                <w:color w:val="auto"/>
              </w:rPr>
            </w:pPr>
          </w:p>
        </w:tc>
        <w:tc>
          <w:tcPr>
            <w:tcW w:w="100" w:type="dxa"/>
            <w:vAlign w:val="bottom"/>
            <w:shd w:val="clear" w:color="auto" w:fill="0066BA"/>
          </w:tcPr>
          <w:p>
            <w:pPr>
              <w:spacing w:after="0"/>
              <w:rPr>
                <w:sz w:val="9"/>
                <w:szCs w:val="9"/>
                <w:color w:val="auto"/>
              </w:rPr>
            </w:pPr>
          </w:p>
        </w:tc>
        <w:tc>
          <w:tcPr>
            <w:tcW w:w="920" w:type="dxa"/>
            <w:vAlign w:val="bottom"/>
            <w:shd w:val="clear" w:color="auto" w:fill="0066BA"/>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3120" w:type="dxa"/>
            <w:vAlign w:val="bottom"/>
            <w:vMerge w:val="restart"/>
          </w:tcPr>
          <w:p>
            <w:pPr>
              <w:ind w:left="100"/>
              <w:spacing w:after="0"/>
              <w:rPr>
                <w:sz w:val="20"/>
                <w:szCs w:val="20"/>
                <w:color w:val="auto"/>
              </w:rPr>
            </w:pPr>
            <w:r>
              <w:rPr>
                <w:rFonts w:ascii="Arial" w:cs="Arial" w:eastAsia="Arial" w:hAnsi="Arial"/>
                <w:sz w:val="16"/>
                <w:szCs w:val="16"/>
                <w:b w:val="1"/>
                <w:bCs w:val="1"/>
                <w:color w:val="0066BA"/>
              </w:rPr>
              <w:t>Vincent Roche</w:t>
            </w:r>
          </w:p>
        </w:tc>
        <w:tc>
          <w:tcPr>
            <w:tcW w:w="580" w:type="dxa"/>
            <w:vAlign w:val="bottom"/>
            <w:tcBorders>
              <w:bottom w:val="single" w:sz="8" w:color="auto"/>
            </w:tcBorders>
            <w:gridSpan w:val="3"/>
            <w:shd w:val="clear" w:color="auto" w:fill="EAEAEA"/>
          </w:tcPr>
          <w:p>
            <w:pPr>
              <w:ind w:left="180"/>
              <w:spacing w:after="0"/>
              <w:rPr>
                <w:sz w:val="20"/>
                <w:szCs w:val="20"/>
                <w:color w:val="auto"/>
              </w:rPr>
            </w:pPr>
            <w:r>
              <w:rPr>
                <w:rFonts w:ascii="Arial" w:cs="Arial" w:eastAsia="Arial" w:hAnsi="Arial"/>
                <w:sz w:val="16"/>
                <w:szCs w:val="16"/>
                <w:color w:val="auto"/>
              </w:rPr>
              <w:t>2021</w:t>
            </w: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1,050,000</w:t>
            </w:r>
          </w:p>
        </w:tc>
        <w:tc>
          <w:tcPr>
            <w:tcW w:w="140" w:type="dxa"/>
            <w:vAlign w:val="bottom"/>
            <w:tcBorders>
              <w:bottom w:val="single" w:sz="8" w:color="auto"/>
            </w:tcBorders>
            <w:shd w:val="clear" w:color="auto" w:fill="EAEAEA"/>
          </w:tcPr>
          <w:p>
            <w:pPr>
              <w:spacing w:after="0"/>
              <w:rPr>
                <w:sz w:val="23"/>
                <w:szCs w:val="23"/>
                <w:color w:val="auto"/>
              </w:rPr>
            </w:pPr>
          </w:p>
        </w:tc>
        <w:tc>
          <w:tcPr>
            <w:tcW w:w="600" w:type="dxa"/>
            <w:vAlign w:val="bottom"/>
            <w:tcBorders>
              <w:bottom w:val="single" w:sz="8" w:color="auto"/>
            </w:tcBorders>
            <w:gridSpan w:val="2"/>
            <w:shd w:val="clear" w:color="auto" w:fill="EAEAEA"/>
          </w:tcPr>
          <w:p>
            <w:pPr>
              <w:ind w:left="3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8,591,204</w:t>
            </w:r>
          </w:p>
        </w:tc>
        <w:tc>
          <w:tcPr>
            <w:tcW w:w="920" w:type="dxa"/>
            <w:vAlign w:val="bottom"/>
            <w:tcBorders>
              <w:bottom w:val="single" w:sz="8" w:color="auto"/>
            </w:tcBorders>
            <w:gridSpan w:val="3"/>
            <w:shd w:val="clear" w:color="auto" w:fill="EAEAEA"/>
          </w:tcPr>
          <w:p>
            <w:pPr>
              <w:jc w:val="right"/>
              <w:ind w:right="80"/>
              <w:spacing w:after="0"/>
              <w:rPr>
                <w:sz w:val="20"/>
                <w:szCs w:val="20"/>
                <w:color w:val="auto"/>
              </w:rPr>
            </w:pPr>
            <w:r>
              <w:rPr>
                <w:rFonts w:ascii="Arial" w:cs="Arial" w:eastAsia="Arial" w:hAnsi="Arial"/>
                <w:sz w:val="16"/>
                <w:szCs w:val="16"/>
                <w:color w:val="auto"/>
              </w:rPr>
              <w:t>17,118,004</w:t>
            </w: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3,981,115</w:t>
            </w:r>
          </w:p>
        </w:tc>
        <w:tc>
          <w:tcPr>
            <w:tcW w:w="1160" w:type="dxa"/>
            <w:vAlign w:val="bottom"/>
            <w:tcBorders>
              <w:bottom w:val="single" w:sz="8" w:color="auto"/>
            </w:tcBorders>
            <w:gridSpan w:val="3"/>
            <w:shd w:val="clear" w:color="auto" w:fill="EAEAEA"/>
          </w:tcPr>
          <w:p>
            <w:pPr>
              <w:jc w:val="right"/>
              <w:ind w:right="80"/>
              <w:spacing w:after="0"/>
              <w:rPr>
                <w:sz w:val="20"/>
                <w:szCs w:val="20"/>
                <w:color w:val="auto"/>
              </w:rPr>
            </w:pPr>
            <w:r>
              <w:rPr>
                <w:rFonts w:ascii="Arial" w:cs="Arial" w:eastAsia="Arial" w:hAnsi="Arial"/>
                <w:sz w:val="16"/>
                <w:szCs w:val="16"/>
                <w:color w:val="auto"/>
              </w:rPr>
              <w:t>84,000</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30,824,323</w:t>
            </w:r>
          </w:p>
        </w:tc>
        <w:tc>
          <w:tcPr>
            <w:tcW w:w="0" w:type="dxa"/>
            <w:vAlign w:val="bottom"/>
          </w:tcPr>
          <w:p>
            <w:pPr>
              <w:spacing w:after="0"/>
              <w:rPr>
                <w:sz w:val="1"/>
                <w:szCs w:val="1"/>
                <w:color w:val="auto"/>
              </w:rPr>
            </w:pPr>
          </w:p>
        </w:tc>
      </w:tr>
      <w:tr>
        <w:trPr>
          <w:trHeight w:val="51"/>
        </w:trPr>
        <w:tc>
          <w:tcPr>
            <w:tcW w:w="3120" w:type="dxa"/>
            <w:vAlign w:val="bottom"/>
            <w:vMerge w:val="continue"/>
          </w:tcPr>
          <w:p>
            <w:pPr>
              <w:spacing w:after="0"/>
              <w:rPr>
                <w:sz w:val="4"/>
                <w:szCs w:val="4"/>
                <w:color w:val="auto"/>
              </w:rPr>
            </w:pPr>
          </w:p>
        </w:tc>
        <w:tc>
          <w:tcPr>
            <w:tcW w:w="140" w:type="dxa"/>
            <w:vAlign w:val="bottom"/>
            <w:shd w:val="clear" w:color="auto" w:fill="EAEAEA"/>
          </w:tcPr>
          <w:p>
            <w:pPr>
              <w:spacing w:after="0"/>
              <w:rPr>
                <w:sz w:val="4"/>
                <w:szCs w:val="4"/>
                <w:color w:val="auto"/>
              </w:rPr>
            </w:pPr>
          </w:p>
        </w:tc>
        <w:tc>
          <w:tcPr>
            <w:tcW w:w="340" w:type="dxa"/>
            <w:vAlign w:val="bottom"/>
            <w:shd w:val="clear" w:color="auto" w:fill="EAEAEA"/>
          </w:tcPr>
          <w:p>
            <w:pPr>
              <w:spacing w:after="0"/>
              <w:rPr>
                <w:sz w:val="4"/>
                <w:szCs w:val="4"/>
                <w:color w:val="auto"/>
              </w:rPr>
            </w:pPr>
          </w:p>
        </w:tc>
        <w:tc>
          <w:tcPr>
            <w:tcW w:w="100" w:type="dxa"/>
            <w:vAlign w:val="bottom"/>
            <w:shd w:val="clear" w:color="auto" w:fill="EAEAEA"/>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shd w:val="clear" w:color="auto" w:fill="EAEAEA"/>
          </w:tcPr>
          <w:p>
            <w:pPr>
              <w:spacing w:after="0"/>
              <w:rPr>
                <w:sz w:val="4"/>
                <w:szCs w:val="4"/>
                <w:color w:val="auto"/>
              </w:rPr>
            </w:pPr>
          </w:p>
        </w:tc>
        <w:tc>
          <w:tcPr>
            <w:tcW w:w="500" w:type="dxa"/>
            <w:vAlign w:val="bottom"/>
            <w:shd w:val="clear" w:color="auto" w:fill="EAEAEA"/>
          </w:tcPr>
          <w:p>
            <w:pPr>
              <w:spacing w:after="0"/>
              <w:rPr>
                <w:sz w:val="4"/>
                <w:szCs w:val="4"/>
                <w:color w:val="auto"/>
              </w:rPr>
            </w:pPr>
          </w:p>
        </w:tc>
        <w:tc>
          <w:tcPr>
            <w:tcW w:w="100" w:type="dxa"/>
            <w:vAlign w:val="bottom"/>
            <w:shd w:val="clear" w:color="auto" w:fill="EAEAEA"/>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shd w:val="clear" w:color="auto" w:fill="EAEAEA"/>
          </w:tcPr>
          <w:p>
            <w:pPr>
              <w:spacing w:after="0"/>
              <w:rPr>
                <w:sz w:val="4"/>
                <w:szCs w:val="4"/>
                <w:color w:val="auto"/>
              </w:rPr>
            </w:pPr>
          </w:p>
        </w:tc>
        <w:tc>
          <w:tcPr>
            <w:tcW w:w="720" w:type="dxa"/>
            <w:vAlign w:val="bottom"/>
            <w:shd w:val="clear" w:color="auto" w:fill="EAEAEA"/>
          </w:tcPr>
          <w:p>
            <w:pPr>
              <w:spacing w:after="0"/>
              <w:rPr>
                <w:sz w:val="4"/>
                <w:szCs w:val="4"/>
                <w:color w:val="auto"/>
              </w:rPr>
            </w:pPr>
          </w:p>
        </w:tc>
        <w:tc>
          <w:tcPr>
            <w:tcW w:w="80" w:type="dxa"/>
            <w:vAlign w:val="bottom"/>
            <w:shd w:val="clear" w:color="auto" w:fill="EAEAEA"/>
          </w:tcPr>
          <w:p>
            <w:pPr>
              <w:spacing w:after="0"/>
              <w:rPr>
                <w:sz w:val="4"/>
                <w:szCs w:val="4"/>
                <w:color w:val="auto"/>
              </w:rPr>
            </w:pPr>
          </w:p>
        </w:tc>
        <w:tc>
          <w:tcPr>
            <w:tcW w:w="1160" w:type="dxa"/>
            <w:vAlign w:val="bottom"/>
          </w:tcPr>
          <w:p>
            <w:pPr>
              <w:spacing w:after="0"/>
              <w:rPr>
                <w:sz w:val="4"/>
                <w:szCs w:val="4"/>
                <w:color w:val="auto"/>
              </w:rPr>
            </w:pPr>
          </w:p>
        </w:tc>
        <w:tc>
          <w:tcPr>
            <w:tcW w:w="160" w:type="dxa"/>
            <w:vAlign w:val="bottom"/>
            <w:shd w:val="clear" w:color="auto" w:fill="EAEAEA"/>
          </w:tcPr>
          <w:p>
            <w:pPr>
              <w:spacing w:after="0"/>
              <w:rPr>
                <w:sz w:val="4"/>
                <w:szCs w:val="4"/>
                <w:color w:val="auto"/>
              </w:rPr>
            </w:pPr>
          </w:p>
        </w:tc>
        <w:tc>
          <w:tcPr>
            <w:tcW w:w="900" w:type="dxa"/>
            <w:vAlign w:val="bottom"/>
            <w:shd w:val="clear" w:color="auto" w:fill="EAEAEA"/>
          </w:tcPr>
          <w:p>
            <w:pPr>
              <w:spacing w:after="0"/>
              <w:rPr>
                <w:sz w:val="4"/>
                <w:szCs w:val="4"/>
                <w:color w:val="auto"/>
              </w:rPr>
            </w:pPr>
          </w:p>
        </w:tc>
        <w:tc>
          <w:tcPr>
            <w:tcW w:w="100" w:type="dxa"/>
            <w:vAlign w:val="bottom"/>
            <w:shd w:val="clear" w:color="auto" w:fill="EAEAEA"/>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3120" w:type="dxa"/>
            <w:vAlign w:val="bottom"/>
          </w:tcPr>
          <w:p>
            <w:pPr>
              <w:ind w:left="100"/>
              <w:spacing w:after="0"/>
              <w:rPr>
                <w:sz w:val="20"/>
                <w:szCs w:val="20"/>
                <w:color w:val="auto"/>
              </w:rPr>
            </w:pPr>
            <w:r>
              <w:rPr>
                <w:rFonts w:ascii="Arial" w:cs="Arial" w:eastAsia="Arial" w:hAnsi="Arial"/>
                <w:sz w:val="16"/>
                <w:szCs w:val="16"/>
                <w:color w:val="auto"/>
              </w:rPr>
              <w:t>President and Chief</w:t>
            </w:r>
          </w:p>
        </w:tc>
        <w:tc>
          <w:tcPr>
            <w:tcW w:w="140" w:type="dxa"/>
            <w:vAlign w:val="bottom"/>
            <w:tcBorders>
              <w:bottom w:val="single" w:sz="8" w:color="EAEAEA"/>
            </w:tcBorders>
            <w:shd w:val="clear" w:color="auto" w:fill="EAEAEA"/>
          </w:tcPr>
          <w:p>
            <w:pPr>
              <w:spacing w:after="0"/>
              <w:rPr>
                <w:sz w:val="18"/>
                <w:szCs w:val="18"/>
                <w:color w:val="auto"/>
              </w:rPr>
            </w:pPr>
          </w:p>
        </w:tc>
        <w:tc>
          <w:tcPr>
            <w:tcW w:w="440" w:type="dxa"/>
            <w:vAlign w:val="bottom"/>
            <w:tcBorders>
              <w:bottom w:val="single" w:sz="8" w:color="EAEAEA"/>
            </w:tcBorders>
            <w:gridSpan w:val="2"/>
            <w:shd w:val="clear" w:color="auto" w:fill="EAEAEA"/>
          </w:tcPr>
          <w:p>
            <w:pPr>
              <w:ind w:left="40"/>
              <w:spacing w:after="0"/>
              <w:rPr>
                <w:sz w:val="20"/>
                <w:szCs w:val="20"/>
                <w:color w:val="auto"/>
              </w:rPr>
            </w:pPr>
            <w:r>
              <w:rPr>
                <w:rFonts w:ascii="Arial" w:cs="Arial" w:eastAsia="Arial" w:hAnsi="Arial"/>
                <w:sz w:val="16"/>
                <w:szCs w:val="16"/>
                <w:color w:val="auto"/>
              </w:rPr>
              <w:t>2020</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1,050,000</w:t>
            </w:r>
          </w:p>
        </w:tc>
        <w:tc>
          <w:tcPr>
            <w:tcW w:w="140" w:type="dxa"/>
            <w:vAlign w:val="bottom"/>
            <w:tcBorders>
              <w:bottom w:val="single" w:sz="8" w:color="EAEAEA"/>
            </w:tcBorders>
            <w:shd w:val="clear" w:color="auto" w:fill="EAEAEA"/>
          </w:tcPr>
          <w:p>
            <w:pPr>
              <w:spacing w:after="0"/>
              <w:rPr>
                <w:sz w:val="18"/>
                <w:szCs w:val="18"/>
                <w:color w:val="auto"/>
              </w:rPr>
            </w:pPr>
          </w:p>
        </w:tc>
        <w:tc>
          <w:tcPr>
            <w:tcW w:w="600" w:type="dxa"/>
            <w:vAlign w:val="bottom"/>
            <w:tcBorders>
              <w:bottom w:val="single" w:sz="8" w:color="EAEAEA"/>
            </w:tcBorders>
            <w:gridSpan w:val="2"/>
            <w:shd w:val="clear" w:color="auto" w:fill="EAEAEA"/>
          </w:tcPr>
          <w:p>
            <w:pPr>
              <w:ind w:left="36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7,505,999</w:t>
            </w:r>
          </w:p>
        </w:tc>
        <w:tc>
          <w:tcPr>
            <w:tcW w:w="120" w:type="dxa"/>
            <w:vAlign w:val="bottom"/>
            <w:tcBorders>
              <w:bottom w:val="single" w:sz="8" w:color="EAEAEA"/>
            </w:tcBorders>
            <w:shd w:val="clear" w:color="auto" w:fill="EAEAEA"/>
          </w:tcPr>
          <w:p>
            <w:pPr>
              <w:spacing w:after="0"/>
              <w:rPr>
                <w:sz w:val="18"/>
                <w:szCs w:val="18"/>
                <w:color w:val="auto"/>
              </w:rPr>
            </w:pPr>
          </w:p>
        </w:tc>
        <w:tc>
          <w:tcPr>
            <w:tcW w:w="800" w:type="dxa"/>
            <w:vAlign w:val="bottom"/>
            <w:tcBorders>
              <w:bottom w:val="single" w:sz="8" w:color="EAEAEA"/>
            </w:tcBorders>
            <w:gridSpan w:val="2"/>
            <w:shd w:val="clear" w:color="auto" w:fill="EAEAEA"/>
          </w:tcPr>
          <w:p>
            <w:pPr>
              <w:jc w:val="right"/>
              <w:ind w:right="80"/>
              <w:spacing w:after="0"/>
              <w:rPr>
                <w:sz w:val="20"/>
                <w:szCs w:val="20"/>
                <w:color w:val="auto"/>
              </w:rPr>
            </w:pPr>
            <w:r>
              <w:rPr>
                <w:rFonts w:ascii="Arial" w:cs="Arial" w:eastAsia="Arial" w:hAnsi="Arial"/>
                <w:sz w:val="16"/>
                <w:szCs w:val="16"/>
                <w:color w:val="auto"/>
                <w:w w:val="98"/>
              </w:rPr>
              <w:t>2,484,988</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1,229,106</w:t>
            </w:r>
          </w:p>
        </w:tc>
        <w:tc>
          <w:tcPr>
            <w:tcW w:w="160" w:type="dxa"/>
            <w:vAlign w:val="bottom"/>
            <w:tcBorders>
              <w:bottom w:val="single" w:sz="8" w:color="EAEAEA"/>
            </w:tcBorders>
            <w:shd w:val="clear" w:color="auto" w:fill="EAEAEA"/>
          </w:tcPr>
          <w:p>
            <w:pPr>
              <w:spacing w:after="0"/>
              <w:rPr>
                <w:sz w:val="18"/>
                <w:szCs w:val="18"/>
                <w:color w:val="auto"/>
              </w:rPr>
            </w:pPr>
          </w:p>
        </w:tc>
        <w:tc>
          <w:tcPr>
            <w:tcW w:w="1000" w:type="dxa"/>
            <w:vAlign w:val="bottom"/>
            <w:tcBorders>
              <w:bottom w:val="single" w:sz="8" w:color="EAEAEA"/>
            </w:tcBorders>
            <w:gridSpan w:val="2"/>
            <w:shd w:val="clear" w:color="auto" w:fill="EAEAEA"/>
          </w:tcPr>
          <w:p>
            <w:pPr>
              <w:jc w:val="right"/>
              <w:ind w:right="80"/>
              <w:spacing w:after="0"/>
              <w:rPr>
                <w:sz w:val="20"/>
                <w:szCs w:val="20"/>
                <w:color w:val="auto"/>
              </w:rPr>
            </w:pPr>
            <w:r>
              <w:rPr>
                <w:rFonts w:ascii="Arial" w:cs="Arial" w:eastAsia="Arial" w:hAnsi="Arial"/>
                <w:sz w:val="16"/>
                <w:szCs w:val="16"/>
                <w:color w:val="auto"/>
              </w:rPr>
              <w:t>87,825</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12,357,918</w:t>
            </w:r>
          </w:p>
        </w:tc>
        <w:tc>
          <w:tcPr>
            <w:tcW w:w="0" w:type="dxa"/>
            <w:vAlign w:val="bottom"/>
          </w:tcPr>
          <w:p>
            <w:pPr>
              <w:spacing w:after="0"/>
              <w:rPr>
                <w:sz w:val="1"/>
                <w:szCs w:val="1"/>
                <w:color w:val="auto"/>
              </w:rPr>
            </w:pPr>
          </w:p>
        </w:tc>
      </w:tr>
      <w:tr>
        <w:trPr>
          <w:trHeight w:val="156"/>
        </w:trPr>
        <w:tc>
          <w:tcPr>
            <w:tcW w:w="3120" w:type="dxa"/>
            <w:vAlign w:val="bottom"/>
          </w:tcPr>
          <w:p>
            <w:pPr>
              <w:ind w:left="100"/>
              <w:spacing w:after="0" w:line="156" w:lineRule="exact"/>
              <w:rPr>
                <w:sz w:val="20"/>
                <w:szCs w:val="20"/>
                <w:color w:val="auto"/>
              </w:rPr>
            </w:pPr>
            <w:r>
              <w:rPr>
                <w:rFonts w:ascii="Arial" w:cs="Arial" w:eastAsia="Arial" w:hAnsi="Arial"/>
                <w:sz w:val="16"/>
                <w:szCs w:val="16"/>
                <w:color w:val="auto"/>
              </w:rPr>
              <w:t>Executive Officer</w:t>
            </w:r>
          </w:p>
        </w:tc>
        <w:tc>
          <w:tcPr>
            <w:tcW w:w="140" w:type="dxa"/>
            <w:vAlign w:val="bottom"/>
            <w:tcBorders>
              <w:top w:val="single" w:sz="8" w:color="auto"/>
            </w:tcBorders>
            <w:shd w:val="clear" w:color="auto" w:fill="EAEAEA"/>
          </w:tcPr>
          <w:p>
            <w:pPr>
              <w:spacing w:after="0"/>
              <w:rPr>
                <w:sz w:val="13"/>
                <w:szCs w:val="13"/>
                <w:color w:val="auto"/>
              </w:rPr>
            </w:pPr>
          </w:p>
        </w:tc>
        <w:tc>
          <w:tcPr>
            <w:tcW w:w="340" w:type="dxa"/>
            <w:vAlign w:val="bottom"/>
            <w:tcBorders>
              <w:top w:val="single" w:sz="8" w:color="auto"/>
            </w:tcBorders>
            <w:vMerge w:val="restart"/>
            <w:shd w:val="clear" w:color="auto" w:fill="EAEAEA"/>
          </w:tcPr>
          <w:p>
            <w:pPr>
              <w:ind w:left="40"/>
              <w:spacing w:after="0"/>
              <w:rPr>
                <w:sz w:val="20"/>
                <w:szCs w:val="20"/>
                <w:color w:val="auto"/>
              </w:rPr>
            </w:pPr>
            <w:r>
              <w:rPr>
                <w:rFonts w:ascii="Arial" w:cs="Arial" w:eastAsia="Arial" w:hAnsi="Arial"/>
                <w:sz w:val="16"/>
                <w:szCs w:val="16"/>
                <w:color w:val="auto"/>
                <w:w w:val="78"/>
                <w:shd w:val="clear" w:color="auto" w:fill="EAEAEA"/>
              </w:rPr>
              <w:t>2019</w:t>
            </w:r>
          </w:p>
        </w:tc>
        <w:tc>
          <w:tcPr>
            <w:tcW w:w="100" w:type="dxa"/>
            <w:vAlign w:val="bottom"/>
            <w:tcBorders>
              <w:top w:val="single" w:sz="8" w:color="auto"/>
            </w:tcBorders>
            <w:shd w:val="clear" w:color="auto" w:fill="EAEAEA"/>
          </w:tcPr>
          <w:p>
            <w:pPr>
              <w:spacing w:after="0"/>
              <w:rPr>
                <w:sz w:val="13"/>
                <w:szCs w:val="13"/>
                <w:color w:val="auto"/>
              </w:rPr>
            </w:pPr>
          </w:p>
        </w:tc>
        <w:tc>
          <w:tcPr>
            <w:tcW w:w="84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6"/>
                <w:szCs w:val="16"/>
                <w:color w:val="auto"/>
              </w:rPr>
              <w:t>1,030,769</w:t>
            </w:r>
          </w:p>
        </w:tc>
        <w:tc>
          <w:tcPr>
            <w:tcW w:w="140" w:type="dxa"/>
            <w:vAlign w:val="bottom"/>
            <w:tcBorders>
              <w:top w:val="single" w:sz="8" w:color="auto"/>
            </w:tcBorders>
            <w:shd w:val="clear" w:color="auto" w:fill="EAEAEA"/>
          </w:tcPr>
          <w:p>
            <w:pPr>
              <w:spacing w:after="0"/>
              <w:rPr>
                <w:sz w:val="13"/>
                <w:szCs w:val="13"/>
                <w:color w:val="auto"/>
              </w:rPr>
            </w:pPr>
          </w:p>
        </w:tc>
        <w:tc>
          <w:tcPr>
            <w:tcW w:w="500" w:type="dxa"/>
            <w:vAlign w:val="bottom"/>
            <w:tcBorders>
              <w:top w:val="single" w:sz="8" w:color="auto"/>
            </w:tcBorders>
            <w:vMerge w:val="restart"/>
            <w:shd w:val="clear" w:color="auto" w:fill="EAEAEA"/>
          </w:tcPr>
          <w:p>
            <w:pPr>
              <w:ind w:left="3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EAEAEA"/>
          </w:tcPr>
          <w:p>
            <w:pPr>
              <w:spacing w:after="0"/>
              <w:rPr>
                <w:sz w:val="13"/>
                <w:szCs w:val="13"/>
                <w:color w:val="auto"/>
              </w:rPr>
            </w:pPr>
          </w:p>
        </w:tc>
        <w:tc>
          <w:tcPr>
            <w:tcW w:w="84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6"/>
                <w:szCs w:val="16"/>
                <w:color w:val="auto"/>
              </w:rPr>
              <w:t>7,039,560</w:t>
            </w:r>
          </w:p>
        </w:tc>
        <w:tc>
          <w:tcPr>
            <w:tcW w:w="120" w:type="dxa"/>
            <w:vAlign w:val="bottom"/>
            <w:tcBorders>
              <w:top w:val="single" w:sz="8" w:color="auto"/>
            </w:tcBorders>
            <w:shd w:val="clear" w:color="auto" w:fill="EAEAEA"/>
          </w:tcPr>
          <w:p>
            <w:pPr>
              <w:spacing w:after="0"/>
              <w:rPr>
                <w:sz w:val="13"/>
                <w:szCs w:val="13"/>
                <w:color w:val="auto"/>
              </w:rPr>
            </w:pPr>
          </w:p>
        </w:tc>
        <w:tc>
          <w:tcPr>
            <w:tcW w:w="72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w w:val="98"/>
                <w:shd w:val="clear" w:color="auto" w:fill="EAEAEA"/>
              </w:rPr>
              <w:t>2,362,177</w:t>
            </w:r>
          </w:p>
        </w:tc>
        <w:tc>
          <w:tcPr>
            <w:tcW w:w="80" w:type="dxa"/>
            <w:vAlign w:val="bottom"/>
            <w:tcBorders>
              <w:top w:val="single" w:sz="8" w:color="auto"/>
            </w:tcBorders>
            <w:shd w:val="clear" w:color="auto" w:fill="EAEAEA"/>
          </w:tcPr>
          <w:p>
            <w:pPr>
              <w:spacing w:after="0"/>
              <w:rPr>
                <w:sz w:val="13"/>
                <w:szCs w:val="13"/>
                <w:color w:val="auto"/>
              </w:rPr>
            </w:pPr>
          </w:p>
        </w:tc>
        <w:tc>
          <w:tcPr>
            <w:tcW w:w="116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6"/>
                <w:szCs w:val="16"/>
                <w:color w:val="auto"/>
              </w:rPr>
              <w:t>1,430,337</w:t>
            </w:r>
          </w:p>
        </w:tc>
        <w:tc>
          <w:tcPr>
            <w:tcW w:w="160" w:type="dxa"/>
            <w:vAlign w:val="bottom"/>
            <w:tcBorders>
              <w:top w:val="single" w:sz="8" w:color="auto"/>
            </w:tcBorders>
            <w:shd w:val="clear" w:color="auto" w:fill="EAEAEA"/>
          </w:tcPr>
          <w:p>
            <w:pPr>
              <w:spacing w:after="0"/>
              <w:rPr>
                <w:sz w:val="13"/>
                <w:szCs w:val="13"/>
                <w:color w:val="auto"/>
              </w:rPr>
            </w:pPr>
          </w:p>
        </w:tc>
        <w:tc>
          <w:tcPr>
            <w:tcW w:w="90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85,591</w:t>
            </w:r>
          </w:p>
        </w:tc>
        <w:tc>
          <w:tcPr>
            <w:tcW w:w="100" w:type="dxa"/>
            <w:vAlign w:val="bottom"/>
            <w:tcBorders>
              <w:top w:val="single" w:sz="8" w:color="auto"/>
            </w:tcBorders>
            <w:shd w:val="clear" w:color="auto" w:fill="EAEAEA"/>
          </w:tcPr>
          <w:p>
            <w:pPr>
              <w:spacing w:after="0"/>
              <w:rPr>
                <w:sz w:val="13"/>
                <w:szCs w:val="13"/>
                <w:color w:val="auto"/>
              </w:rPr>
            </w:pPr>
          </w:p>
        </w:tc>
        <w:tc>
          <w:tcPr>
            <w:tcW w:w="92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6"/>
                <w:szCs w:val="16"/>
                <w:color w:val="auto"/>
              </w:rPr>
              <w:t>11,948,434</w:t>
            </w:r>
          </w:p>
        </w:tc>
        <w:tc>
          <w:tcPr>
            <w:tcW w:w="0" w:type="dxa"/>
            <w:vAlign w:val="bottom"/>
          </w:tcPr>
          <w:p>
            <w:pPr>
              <w:spacing w:after="0"/>
              <w:rPr>
                <w:sz w:val="1"/>
                <w:szCs w:val="1"/>
                <w:color w:val="auto"/>
              </w:rPr>
            </w:pPr>
          </w:p>
        </w:tc>
      </w:tr>
      <w:tr>
        <w:trPr>
          <w:trHeight w:val="107"/>
        </w:trPr>
        <w:tc>
          <w:tcPr>
            <w:tcW w:w="3120" w:type="dxa"/>
            <w:vAlign w:val="bottom"/>
            <w:tcBorders>
              <w:bottom w:val="single" w:sz="8" w:color="0066BA"/>
            </w:tcBorders>
          </w:tcPr>
          <w:p>
            <w:pPr>
              <w:spacing w:after="0"/>
              <w:rPr>
                <w:sz w:val="9"/>
                <w:szCs w:val="9"/>
                <w:color w:val="auto"/>
              </w:rPr>
            </w:pPr>
          </w:p>
        </w:tc>
        <w:tc>
          <w:tcPr>
            <w:tcW w:w="140" w:type="dxa"/>
            <w:vAlign w:val="bottom"/>
            <w:tcBorders>
              <w:bottom w:val="single" w:sz="8" w:color="0066BA"/>
            </w:tcBorders>
            <w:shd w:val="clear" w:color="auto" w:fill="EAEAEA"/>
          </w:tcPr>
          <w:p>
            <w:pPr>
              <w:spacing w:after="0"/>
              <w:rPr>
                <w:sz w:val="9"/>
                <w:szCs w:val="9"/>
                <w:color w:val="auto"/>
              </w:rPr>
            </w:pPr>
          </w:p>
        </w:tc>
        <w:tc>
          <w:tcPr>
            <w:tcW w:w="340" w:type="dxa"/>
            <w:vAlign w:val="bottom"/>
            <w:tcBorders>
              <w:bottom w:val="single" w:sz="8" w:color="0066BA"/>
            </w:tcBorders>
            <w:vMerge w:val="continue"/>
            <w:shd w:val="clear" w:color="auto" w:fill="EAEAEA"/>
          </w:tcPr>
          <w:p>
            <w:pPr>
              <w:spacing w:after="0"/>
              <w:rPr>
                <w:sz w:val="9"/>
                <w:szCs w:val="9"/>
                <w:color w:val="auto"/>
              </w:rPr>
            </w:pPr>
          </w:p>
        </w:tc>
        <w:tc>
          <w:tcPr>
            <w:tcW w:w="100" w:type="dxa"/>
            <w:vAlign w:val="bottom"/>
            <w:tcBorders>
              <w:bottom w:val="single" w:sz="8" w:color="0066BA"/>
            </w:tcBorders>
            <w:shd w:val="clear" w:color="auto" w:fill="EAEAEA"/>
          </w:tcPr>
          <w:p>
            <w:pPr>
              <w:spacing w:after="0"/>
              <w:rPr>
                <w:sz w:val="9"/>
                <w:szCs w:val="9"/>
                <w:color w:val="auto"/>
              </w:rPr>
            </w:pPr>
          </w:p>
        </w:tc>
        <w:tc>
          <w:tcPr>
            <w:tcW w:w="840" w:type="dxa"/>
            <w:vAlign w:val="bottom"/>
            <w:tcBorders>
              <w:bottom w:val="single" w:sz="8" w:color="0066BA"/>
            </w:tcBorders>
            <w:vMerge w:val="continue"/>
          </w:tcPr>
          <w:p>
            <w:pPr>
              <w:spacing w:after="0"/>
              <w:rPr>
                <w:sz w:val="9"/>
                <w:szCs w:val="9"/>
                <w:color w:val="auto"/>
              </w:rPr>
            </w:pPr>
          </w:p>
        </w:tc>
        <w:tc>
          <w:tcPr>
            <w:tcW w:w="140" w:type="dxa"/>
            <w:vAlign w:val="bottom"/>
            <w:tcBorders>
              <w:bottom w:val="single" w:sz="8" w:color="0066BA"/>
            </w:tcBorders>
            <w:shd w:val="clear" w:color="auto" w:fill="EAEAEA"/>
          </w:tcPr>
          <w:p>
            <w:pPr>
              <w:spacing w:after="0"/>
              <w:rPr>
                <w:sz w:val="9"/>
                <w:szCs w:val="9"/>
                <w:color w:val="auto"/>
              </w:rPr>
            </w:pPr>
          </w:p>
        </w:tc>
        <w:tc>
          <w:tcPr>
            <w:tcW w:w="500" w:type="dxa"/>
            <w:vAlign w:val="bottom"/>
            <w:tcBorders>
              <w:bottom w:val="single" w:sz="8" w:color="0066BA"/>
            </w:tcBorders>
            <w:vMerge w:val="continue"/>
            <w:shd w:val="clear" w:color="auto" w:fill="EAEAEA"/>
          </w:tcPr>
          <w:p>
            <w:pPr>
              <w:spacing w:after="0"/>
              <w:rPr>
                <w:sz w:val="9"/>
                <w:szCs w:val="9"/>
                <w:color w:val="auto"/>
              </w:rPr>
            </w:pPr>
          </w:p>
        </w:tc>
        <w:tc>
          <w:tcPr>
            <w:tcW w:w="100" w:type="dxa"/>
            <w:vAlign w:val="bottom"/>
            <w:tcBorders>
              <w:bottom w:val="single" w:sz="8" w:color="0066BA"/>
            </w:tcBorders>
            <w:shd w:val="clear" w:color="auto" w:fill="EAEAEA"/>
          </w:tcPr>
          <w:p>
            <w:pPr>
              <w:spacing w:after="0"/>
              <w:rPr>
                <w:sz w:val="9"/>
                <w:szCs w:val="9"/>
                <w:color w:val="auto"/>
              </w:rPr>
            </w:pPr>
          </w:p>
        </w:tc>
        <w:tc>
          <w:tcPr>
            <w:tcW w:w="840" w:type="dxa"/>
            <w:vAlign w:val="bottom"/>
            <w:tcBorders>
              <w:bottom w:val="single" w:sz="8" w:color="0066BA"/>
            </w:tcBorders>
            <w:vMerge w:val="continue"/>
          </w:tcPr>
          <w:p>
            <w:pPr>
              <w:spacing w:after="0"/>
              <w:rPr>
                <w:sz w:val="9"/>
                <w:szCs w:val="9"/>
                <w:color w:val="auto"/>
              </w:rPr>
            </w:pPr>
          </w:p>
        </w:tc>
        <w:tc>
          <w:tcPr>
            <w:tcW w:w="120" w:type="dxa"/>
            <w:vAlign w:val="bottom"/>
            <w:tcBorders>
              <w:bottom w:val="single" w:sz="8" w:color="0066BA"/>
            </w:tcBorders>
            <w:shd w:val="clear" w:color="auto" w:fill="EAEAEA"/>
          </w:tcPr>
          <w:p>
            <w:pPr>
              <w:spacing w:after="0"/>
              <w:rPr>
                <w:sz w:val="9"/>
                <w:szCs w:val="9"/>
                <w:color w:val="auto"/>
              </w:rPr>
            </w:pPr>
          </w:p>
        </w:tc>
        <w:tc>
          <w:tcPr>
            <w:tcW w:w="720" w:type="dxa"/>
            <w:vAlign w:val="bottom"/>
            <w:tcBorders>
              <w:bottom w:val="single" w:sz="8" w:color="0066BA"/>
            </w:tcBorders>
            <w:vMerge w:val="continue"/>
            <w:shd w:val="clear" w:color="auto" w:fill="EAEAEA"/>
          </w:tcPr>
          <w:p>
            <w:pPr>
              <w:spacing w:after="0"/>
              <w:rPr>
                <w:sz w:val="9"/>
                <w:szCs w:val="9"/>
                <w:color w:val="auto"/>
              </w:rPr>
            </w:pPr>
          </w:p>
        </w:tc>
        <w:tc>
          <w:tcPr>
            <w:tcW w:w="80" w:type="dxa"/>
            <w:vAlign w:val="bottom"/>
            <w:tcBorders>
              <w:bottom w:val="single" w:sz="8" w:color="0066BA"/>
            </w:tcBorders>
            <w:shd w:val="clear" w:color="auto" w:fill="EAEAEA"/>
          </w:tcPr>
          <w:p>
            <w:pPr>
              <w:spacing w:after="0"/>
              <w:rPr>
                <w:sz w:val="9"/>
                <w:szCs w:val="9"/>
                <w:color w:val="auto"/>
              </w:rPr>
            </w:pPr>
          </w:p>
        </w:tc>
        <w:tc>
          <w:tcPr>
            <w:tcW w:w="1160" w:type="dxa"/>
            <w:vAlign w:val="bottom"/>
            <w:tcBorders>
              <w:bottom w:val="single" w:sz="8" w:color="0066BA"/>
            </w:tcBorders>
            <w:vMerge w:val="continue"/>
          </w:tcPr>
          <w:p>
            <w:pPr>
              <w:spacing w:after="0"/>
              <w:rPr>
                <w:sz w:val="9"/>
                <w:szCs w:val="9"/>
                <w:color w:val="auto"/>
              </w:rPr>
            </w:pPr>
          </w:p>
        </w:tc>
        <w:tc>
          <w:tcPr>
            <w:tcW w:w="160" w:type="dxa"/>
            <w:vAlign w:val="bottom"/>
            <w:tcBorders>
              <w:bottom w:val="single" w:sz="8" w:color="0066BA"/>
            </w:tcBorders>
            <w:shd w:val="clear" w:color="auto" w:fill="EAEAEA"/>
          </w:tcPr>
          <w:p>
            <w:pPr>
              <w:spacing w:after="0"/>
              <w:rPr>
                <w:sz w:val="9"/>
                <w:szCs w:val="9"/>
                <w:color w:val="auto"/>
              </w:rPr>
            </w:pPr>
          </w:p>
        </w:tc>
        <w:tc>
          <w:tcPr>
            <w:tcW w:w="900" w:type="dxa"/>
            <w:vAlign w:val="bottom"/>
            <w:tcBorders>
              <w:bottom w:val="single" w:sz="8" w:color="0066BA"/>
            </w:tcBorders>
            <w:vMerge w:val="continue"/>
            <w:shd w:val="clear" w:color="auto" w:fill="EAEAEA"/>
          </w:tcPr>
          <w:p>
            <w:pPr>
              <w:spacing w:after="0"/>
              <w:rPr>
                <w:sz w:val="9"/>
                <w:szCs w:val="9"/>
                <w:color w:val="auto"/>
              </w:rPr>
            </w:pPr>
          </w:p>
        </w:tc>
        <w:tc>
          <w:tcPr>
            <w:tcW w:w="100" w:type="dxa"/>
            <w:vAlign w:val="bottom"/>
            <w:tcBorders>
              <w:bottom w:val="single" w:sz="8" w:color="0066BA"/>
            </w:tcBorders>
            <w:shd w:val="clear" w:color="auto" w:fill="EAEAEA"/>
          </w:tcPr>
          <w:p>
            <w:pPr>
              <w:spacing w:after="0"/>
              <w:rPr>
                <w:sz w:val="9"/>
                <w:szCs w:val="9"/>
                <w:color w:val="auto"/>
              </w:rPr>
            </w:pPr>
          </w:p>
        </w:tc>
        <w:tc>
          <w:tcPr>
            <w:tcW w:w="920" w:type="dxa"/>
            <w:vAlign w:val="bottom"/>
            <w:tcBorders>
              <w:bottom w:val="single" w:sz="8" w:color="0066BA"/>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9"/>
        </w:trPr>
        <w:tc>
          <w:tcPr>
            <w:tcW w:w="3120" w:type="dxa"/>
            <w:vAlign w:val="bottom"/>
          </w:tcPr>
          <w:p>
            <w:pPr>
              <w:ind w:left="100"/>
              <w:spacing w:after="0"/>
              <w:rPr>
                <w:sz w:val="20"/>
                <w:szCs w:val="20"/>
                <w:color w:val="auto"/>
              </w:rPr>
            </w:pPr>
            <w:r>
              <w:rPr>
                <w:rFonts w:ascii="Arial" w:cs="Arial" w:eastAsia="Arial" w:hAnsi="Arial"/>
                <w:sz w:val="16"/>
                <w:szCs w:val="16"/>
                <w:b w:val="1"/>
                <w:bCs w:val="1"/>
                <w:color w:val="0066BA"/>
              </w:rPr>
              <w:t>Prashanth Mahendra-Rajah</w:t>
            </w:r>
          </w:p>
        </w:tc>
        <w:tc>
          <w:tcPr>
            <w:tcW w:w="140" w:type="dxa"/>
            <w:vAlign w:val="bottom"/>
            <w:tcBorders>
              <w:bottom w:val="single" w:sz="8" w:color="EAEAEA"/>
            </w:tcBorders>
            <w:shd w:val="clear" w:color="auto" w:fill="EAEAEA"/>
          </w:tcPr>
          <w:p>
            <w:pPr>
              <w:spacing w:after="0"/>
              <w:rPr>
                <w:sz w:val="23"/>
                <w:szCs w:val="23"/>
                <w:color w:val="auto"/>
              </w:rPr>
            </w:pPr>
          </w:p>
        </w:tc>
        <w:tc>
          <w:tcPr>
            <w:tcW w:w="340" w:type="dxa"/>
            <w:vAlign w:val="bottom"/>
            <w:tcBorders>
              <w:bottom w:val="single" w:sz="8" w:color="EAEAEA"/>
            </w:tcBorders>
            <w:shd w:val="clear" w:color="auto" w:fill="EAEAEA"/>
          </w:tcPr>
          <w:p>
            <w:pPr>
              <w:ind w:left="40"/>
              <w:spacing w:after="0"/>
              <w:rPr>
                <w:sz w:val="20"/>
                <w:szCs w:val="20"/>
                <w:color w:val="auto"/>
              </w:rPr>
            </w:pPr>
            <w:r>
              <w:rPr>
                <w:rFonts w:ascii="Arial" w:cs="Arial" w:eastAsia="Arial" w:hAnsi="Arial"/>
                <w:sz w:val="16"/>
                <w:szCs w:val="16"/>
                <w:color w:val="auto"/>
                <w:w w:val="78"/>
              </w:rPr>
              <w:t>2021</w:t>
            </w:r>
          </w:p>
        </w:tc>
        <w:tc>
          <w:tcPr>
            <w:tcW w:w="100" w:type="dxa"/>
            <w:vAlign w:val="bottom"/>
            <w:tcBorders>
              <w:bottom w:val="single" w:sz="8" w:color="EAEAEA"/>
            </w:tcBorders>
            <w:shd w:val="clear" w:color="auto" w:fill="EAEAEA"/>
          </w:tcPr>
          <w:p>
            <w:pPr>
              <w:spacing w:after="0"/>
              <w:rPr>
                <w:sz w:val="23"/>
                <w:szCs w:val="23"/>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575,000</w:t>
            </w:r>
          </w:p>
        </w:tc>
        <w:tc>
          <w:tcPr>
            <w:tcW w:w="140" w:type="dxa"/>
            <w:vAlign w:val="bottom"/>
            <w:tcBorders>
              <w:bottom w:val="single" w:sz="8" w:color="EAEAEA"/>
            </w:tcBorders>
            <w:shd w:val="clear" w:color="auto" w:fill="EAEAEA"/>
          </w:tcPr>
          <w:p>
            <w:pPr>
              <w:spacing w:after="0"/>
              <w:rPr>
                <w:sz w:val="23"/>
                <w:szCs w:val="23"/>
                <w:color w:val="auto"/>
              </w:rPr>
            </w:pPr>
          </w:p>
        </w:tc>
        <w:tc>
          <w:tcPr>
            <w:tcW w:w="500" w:type="dxa"/>
            <w:vAlign w:val="bottom"/>
            <w:tcBorders>
              <w:bottom w:val="single" w:sz="8" w:color="EAEAEA"/>
            </w:tcBorders>
            <w:shd w:val="clear" w:color="auto" w:fill="EAEAEA"/>
          </w:tcPr>
          <w:p>
            <w:pPr>
              <w:ind w:left="36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EAEAEA"/>
            </w:tcBorders>
            <w:shd w:val="clear" w:color="auto" w:fill="EAEAEA"/>
          </w:tcPr>
          <w:p>
            <w:pPr>
              <w:spacing w:after="0"/>
              <w:rPr>
                <w:sz w:val="23"/>
                <w:szCs w:val="23"/>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5,024,568</w:t>
            </w:r>
          </w:p>
        </w:tc>
        <w:tc>
          <w:tcPr>
            <w:tcW w:w="120" w:type="dxa"/>
            <w:vAlign w:val="bottom"/>
            <w:tcBorders>
              <w:bottom w:val="single" w:sz="8" w:color="EAEAEA"/>
            </w:tcBorders>
            <w:shd w:val="clear" w:color="auto" w:fill="EAEAEA"/>
          </w:tcPr>
          <w:p>
            <w:pPr>
              <w:spacing w:after="0"/>
              <w:rPr>
                <w:sz w:val="23"/>
                <w:szCs w:val="23"/>
                <w:color w:val="auto"/>
              </w:rPr>
            </w:pPr>
          </w:p>
        </w:tc>
        <w:tc>
          <w:tcPr>
            <w:tcW w:w="72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744,775</w:t>
            </w:r>
          </w:p>
        </w:tc>
        <w:tc>
          <w:tcPr>
            <w:tcW w:w="80" w:type="dxa"/>
            <w:vAlign w:val="bottom"/>
            <w:tcBorders>
              <w:bottom w:val="single" w:sz="8" w:color="EAEAEA"/>
            </w:tcBorders>
            <w:shd w:val="clear" w:color="auto" w:fill="EAEAEA"/>
          </w:tcPr>
          <w:p>
            <w:pPr>
              <w:spacing w:after="0"/>
              <w:rPr>
                <w:sz w:val="23"/>
                <w:szCs w:val="23"/>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1,453,423</w:t>
            </w:r>
          </w:p>
        </w:tc>
        <w:tc>
          <w:tcPr>
            <w:tcW w:w="160" w:type="dxa"/>
            <w:vAlign w:val="bottom"/>
            <w:tcBorders>
              <w:bottom w:val="single" w:sz="8" w:color="EAEAEA"/>
            </w:tcBorders>
            <w:shd w:val="clear" w:color="auto" w:fill="EAEAEA"/>
          </w:tcPr>
          <w:p>
            <w:pPr>
              <w:spacing w:after="0"/>
              <w:rPr>
                <w:sz w:val="23"/>
                <w:szCs w:val="23"/>
                <w:color w:val="auto"/>
              </w:rPr>
            </w:pPr>
          </w:p>
        </w:tc>
        <w:tc>
          <w:tcPr>
            <w:tcW w:w="90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57,200</w:t>
            </w:r>
          </w:p>
        </w:tc>
        <w:tc>
          <w:tcPr>
            <w:tcW w:w="100" w:type="dxa"/>
            <w:vAlign w:val="bottom"/>
            <w:tcBorders>
              <w:bottom w:val="single" w:sz="8" w:color="EAEAEA"/>
            </w:tcBorders>
            <w:shd w:val="clear" w:color="auto" w:fill="EAEAEA"/>
          </w:tcPr>
          <w:p>
            <w:pPr>
              <w:spacing w:after="0"/>
              <w:rPr>
                <w:sz w:val="23"/>
                <w:szCs w:val="23"/>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7,854,966</w:t>
            </w:r>
          </w:p>
        </w:tc>
        <w:tc>
          <w:tcPr>
            <w:tcW w:w="0" w:type="dxa"/>
            <w:vAlign w:val="bottom"/>
          </w:tcPr>
          <w:p>
            <w:pPr>
              <w:spacing w:after="0"/>
              <w:rPr>
                <w:sz w:val="1"/>
                <w:szCs w:val="1"/>
                <w:color w:val="auto"/>
              </w:rPr>
            </w:pPr>
          </w:p>
        </w:tc>
      </w:tr>
      <w:tr>
        <w:trPr>
          <w:trHeight w:val="139"/>
        </w:trPr>
        <w:tc>
          <w:tcPr>
            <w:tcW w:w="3120" w:type="dxa"/>
            <w:vAlign w:val="bottom"/>
          </w:tcPr>
          <w:p>
            <w:pPr>
              <w:ind w:left="100"/>
              <w:spacing w:after="0" w:line="139" w:lineRule="exact"/>
              <w:rPr>
                <w:sz w:val="20"/>
                <w:szCs w:val="20"/>
                <w:color w:val="auto"/>
              </w:rPr>
            </w:pPr>
            <w:r>
              <w:rPr>
                <w:rFonts w:ascii="Arial" w:cs="Arial" w:eastAsia="Arial" w:hAnsi="Arial"/>
                <w:sz w:val="16"/>
                <w:szCs w:val="16"/>
                <w:color w:val="auto"/>
              </w:rPr>
              <w:t>Senior Vice President,</w:t>
            </w:r>
          </w:p>
        </w:tc>
        <w:tc>
          <w:tcPr>
            <w:tcW w:w="140" w:type="dxa"/>
            <w:vAlign w:val="bottom"/>
            <w:tcBorders>
              <w:top w:val="single" w:sz="8" w:color="auto"/>
            </w:tcBorders>
            <w:shd w:val="clear" w:color="auto" w:fill="EAEAEA"/>
          </w:tcPr>
          <w:p>
            <w:pPr>
              <w:spacing w:after="0"/>
              <w:rPr>
                <w:sz w:val="12"/>
                <w:szCs w:val="12"/>
                <w:color w:val="auto"/>
              </w:rPr>
            </w:pPr>
          </w:p>
        </w:tc>
        <w:tc>
          <w:tcPr>
            <w:tcW w:w="340" w:type="dxa"/>
            <w:vAlign w:val="bottom"/>
            <w:tcBorders>
              <w:top w:val="single" w:sz="8" w:color="auto"/>
            </w:tcBorders>
            <w:vMerge w:val="restart"/>
            <w:shd w:val="clear" w:color="auto" w:fill="EAEAEA"/>
          </w:tcPr>
          <w:p>
            <w:pPr>
              <w:ind w:left="40"/>
              <w:spacing w:after="0"/>
              <w:rPr>
                <w:sz w:val="20"/>
                <w:szCs w:val="20"/>
                <w:color w:val="auto"/>
              </w:rPr>
            </w:pPr>
            <w:r>
              <w:rPr>
                <w:rFonts w:ascii="Arial" w:cs="Arial" w:eastAsia="Arial" w:hAnsi="Arial"/>
                <w:sz w:val="16"/>
                <w:szCs w:val="16"/>
                <w:color w:val="auto"/>
                <w:w w:val="78"/>
              </w:rPr>
              <w:t>2020</w:t>
            </w:r>
          </w:p>
        </w:tc>
        <w:tc>
          <w:tcPr>
            <w:tcW w:w="100" w:type="dxa"/>
            <w:vAlign w:val="bottom"/>
            <w:tcBorders>
              <w:top w:val="single" w:sz="8" w:color="auto"/>
            </w:tcBorders>
            <w:shd w:val="clear" w:color="auto" w:fill="EAEAEA"/>
          </w:tcPr>
          <w:p>
            <w:pPr>
              <w:spacing w:after="0"/>
              <w:rPr>
                <w:sz w:val="12"/>
                <w:szCs w:val="12"/>
                <w:color w:val="auto"/>
              </w:rPr>
            </w:pPr>
          </w:p>
        </w:tc>
        <w:tc>
          <w:tcPr>
            <w:tcW w:w="84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6"/>
                <w:szCs w:val="16"/>
                <w:color w:val="auto"/>
              </w:rPr>
              <w:t>575,000</w:t>
            </w:r>
          </w:p>
        </w:tc>
        <w:tc>
          <w:tcPr>
            <w:tcW w:w="140" w:type="dxa"/>
            <w:vAlign w:val="bottom"/>
            <w:tcBorders>
              <w:top w:val="single" w:sz="8" w:color="auto"/>
            </w:tcBorders>
            <w:shd w:val="clear" w:color="auto" w:fill="EAEAEA"/>
          </w:tcPr>
          <w:p>
            <w:pPr>
              <w:spacing w:after="0"/>
              <w:rPr>
                <w:sz w:val="12"/>
                <w:szCs w:val="12"/>
                <w:color w:val="auto"/>
              </w:rPr>
            </w:pPr>
          </w:p>
        </w:tc>
        <w:tc>
          <w:tcPr>
            <w:tcW w:w="500" w:type="dxa"/>
            <w:vAlign w:val="bottom"/>
            <w:tcBorders>
              <w:top w:val="single" w:sz="8" w:color="auto"/>
            </w:tcBorders>
            <w:vMerge w:val="restart"/>
            <w:shd w:val="clear" w:color="auto" w:fill="EAEAEA"/>
          </w:tcPr>
          <w:p>
            <w:pPr>
              <w:ind w:left="3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EAEAEA"/>
          </w:tcPr>
          <w:p>
            <w:pPr>
              <w:spacing w:after="0"/>
              <w:rPr>
                <w:sz w:val="12"/>
                <w:szCs w:val="12"/>
                <w:color w:val="auto"/>
              </w:rPr>
            </w:pPr>
          </w:p>
        </w:tc>
        <w:tc>
          <w:tcPr>
            <w:tcW w:w="84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6"/>
                <w:szCs w:val="16"/>
                <w:color w:val="auto"/>
              </w:rPr>
              <w:t>1,951,648</w:t>
            </w:r>
          </w:p>
        </w:tc>
        <w:tc>
          <w:tcPr>
            <w:tcW w:w="120" w:type="dxa"/>
            <w:vAlign w:val="bottom"/>
            <w:tcBorders>
              <w:top w:val="single" w:sz="8" w:color="auto"/>
            </w:tcBorders>
            <w:shd w:val="clear" w:color="auto" w:fill="EAEAEA"/>
          </w:tcPr>
          <w:p>
            <w:pPr>
              <w:spacing w:after="0"/>
              <w:rPr>
                <w:sz w:val="12"/>
                <w:szCs w:val="12"/>
                <w:color w:val="auto"/>
              </w:rPr>
            </w:pPr>
          </w:p>
        </w:tc>
        <w:tc>
          <w:tcPr>
            <w:tcW w:w="72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646,093</w:t>
            </w:r>
          </w:p>
        </w:tc>
        <w:tc>
          <w:tcPr>
            <w:tcW w:w="80" w:type="dxa"/>
            <w:vAlign w:val="bottom"/>
            <w:tcBorders>
              <w:top w:val="single" w:sz="8" w:color="auto"/>
            </w:tcBorders>
            <w:shd w:val="clear" w:color="auto" w:fill="EAEAEA"/>
          </w:tcPr>
          <w:p>
            <w:pPr>
              <w:spacing w:after="0"/>
              <w:rPr>
                <w:sz w:val="12"/>
                <w:szCs w:val="12"/>
                <w:color w:val="auto"/>
              </w:rPr>
            </w:pPr>
          </w:p>
        </w:tc>
        <w:tc>
          <w:tcPr>
            <w:tcW w:w="116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6"/>
                <w:szCs w:val="16"/>
                <w:color w:val="auto"/>
              </w:rPr>
              <w:t>448,721</w:t>
            </w:r>
          </w:p>
        </w:tc>
        <w:tc>
          <w:tcPr>
            <w:tcW w:w="160" w:type="dxa"/>
            <w:vAlign w:val="bottom"/>
            <w:tcBorders>
              <w:top w:val="single" w:sz="8" w:color="auto"/>
            </w:tcBorders>
            <w:shd w:val="clear" w:color="auto" w:fill="EAEAEA"/>
          </w:tcPr>
          <w:p>
            <w:pPr>
              <w:spacing w:after="0"/>
              <w:rPr>
                <w:sz w:val="12"/>
                <w:szCs w:val="12"/>
                <w:color w:val="auto"/>
              </w:rPr>
            </w:pPr>
          </w:p>
        </w:tc>
        <w:tc>
          <w:tcPr>
            <w:tcW w:w="90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57,200</w:t>
            </w:r>
          </w:p>
        </w:tc>
        <w:tc>
          <w:tcPr>
            <w:tcW w:w="100" w:type="dxa"/>
            <w:vAlign w:val="bottom"/>
            <w:tcBorders>
              <w:top w:val="single" w:sz="8" w:color="auto"/>
            </w:tcBorders>
            <w:shd w:val="clear" w:color="auto" w:fill="EAEAEA"/>
          </w:tcPr>
          <w:p>
            <w:pPr>
              <w:spacing w:after="0"/>
              <w:rPr>
                <w:sz w:val="12"/>
                <w:szCs w:val="12"/>
                <w:color w:val="auto"/>
              </w:rPr>
            </w:pPr>
          </w:p>
        </w:tc>
        <w:tc>
          <w:tcPr>
            <w:tcW w:w="92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6"/>
                <w:szCs w:val="16"/>
                <w:color w:val="auto"/>
              </w:rPr>
              <w:t>3,678,662</w:t>
            </w:r>
          </w:p>
        </w:tc>
        <w:tc>
          <w:tcPr>
            <w:tcW w:w="0" w:type="dxa"/>
            <w:vAlign w:val="bottom"/>
          </w:tcPr>
          <w:p>
            <w:pPr>
              <w:spacing w:after="0"/>
              <w:rPr>
                <w:sz w:val="1"/>
                <w:szCs w:val="1"/>
                <w:color w:val="auto"/>
              </w:rPr>
            </w:pPr>
          </w:p>
        </w:tc>
      </w:tr>
      <w:tr>
        <w:trPr>
          <w:trHeight w:val="124"/>
        </w:trPr>
        <w:tc>
          <w:tcPr>
            <w:tcW w:w="3120" w:type="dxa"/>
            <w:vAlign w:val="bottom"/>
            <w:vMerge w:val="restart"/>
          </w:tcPr>
          <w:p>
            <w:pPr>
              <w:ind w:left="100"/>
              <w:spacing w:after="0"/>
              <w:rPr>
                <w:sz w:val="20"/>
                <w:szCs w:val="20"/>
                <w:color w:val="auto"/>
              </w:rPr>
            </w:pPr>
            <w:r>
              <w:rPr>
                <w:rFonts w:ascii="Arial" w:cs="Arial" w:eastAsia="Arial" w:hAnsi="Arial"/>
                <w:sz w:val="16"/>
                <w:szCs w:val="16"/>
                <w:color w:val="auto"/>
              </w:rPr>
              <w:t>Finance and Chief</w:t>
            </w:r>
          </w:p>
        </w:tc>
        <w:tc>
          <w:tcPr>
            <w:tcW w:w="140" w:type="dxa"/>
            <w:vAlign w:val="bottom"/>
            <w:tcBorders>
              <w:bottom w:val="single" w:sz="8" w:color="auto"/>
            </w:tcBorders>
            <w:shd w:val="clear" w:color="auto" w:fill="EAEAEA"/>
          </w:tcPr>
          <w:p>
            <w:pPr>
              <w:spacing w:after="0"/>
              <w:rPr>
                <w:sz w:val="10"/>
                <w:szCs w:val="10"/>
                <w:color w:val="auto"/>
              </w:rPr>
            </w:pPr>
          </w:p>
        </w:tc>
        <w:tc>
          <w:tcPr>
            <w:tcW w:w="340" w:type="dxa"/>
            <w:vAlign w:val="bottom"/>
            <w:tcBorders>
              <w:bottom w:val="single" w:sz="8" w:color="auto"/>
            </w:tcBorders>
            <w:vMerge w:val="continue"/>
            <w:shd w:val="clear" w:color="auto" w:fill="EAEAEA"/>
          </w:tcPr>
          <w:p>
            <w:pPr>
              <w:spacing w:after="0"/>
              <w:rPr>
                <w:sz w:val="10"/>
                <w:szCs w:val="10"/>
                <w:color w:val="auto"/>
              </w:rPr>
            </w:pPr>
          </w:p>
        </w:tc>
        <w:tc>
          <w:tcPr>
            <w:tcW w:w="100" w:type="dxa"/>
            <w:vAlign w:val="bottom"/>
            <w:tcBorders>
              <w:bottom w:val="single" w:sz="8" w:color="auto"/>
            </w:tcBorders>
            <w:shd w:val="clear" w:color="auto" w:fill="EAEAEA"/>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auto"/>
            </w:tcBorders>
            <w:shd w:val="clear" w:color="auto" w:fill="EAEAEA"/>
          </w:tcPr>
          <w:p>
            <w:pPr>
              <w:spacing w:after="0"/>
              <w:rPr>
                <w:sz w:val="10"/>
                <w:szCs w:val="10"/>
                <w:color w:val="auto"/>
              </w:rPr>
            </w:pPr>
          </w:p>
        </w:tc>
        <w:tc>
          <w:tcPr>
            <w:tcW w:w="500" w:type="dxa"/>
            <w:vAlign w:val="bottom"/>
            <w:tcBorders>
              <w:bottom w:val="single" w:sz="8" w:color="auto"/>
            </w:tcBorders>
            <w:vMerge w:val="continue"/>
            <w:shd w:val="clear" w:color="auto" w:fill="EAEAEA"/>
          </w:tcPr>
          <w:p>
            <w:pPr>
              <w:spacing w:after="0"/>
              <w:rPr>
                <w:sz w:val="10"/>
                <w:szCs w:val="10"/>
                <w:color w:val="auto"/>
              </w:rPr>
            </w:pPr>
          </w:p>
        </w:tc>
        <w:tc>
          <w:tcPr>
            <w:tcW w:w="100" w:type="dxa"/>
            <w:vAlign w:val="bottom"/>
            <w:tcBorders>
              <w:bottom w:val="single" w:sz="8" w:color="auto"/>
            </w:tcBorders>
            <w:shd w:val="clear" w:color="auto" w:fill="EAEAEA"/>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auto"/>
            </w:tcBorders>
            <w:shd w:val="clear" w:color="auto" w:fill="EAEAEA"/>
          </w:tcPr>
          <w:p>
            <w:pPr>
              <w:spacing w:after="0"/>
              <w:rPr>
                <w:sz w:val="10"/>
                <w:szCs w:val="10"/>
                <w:color w:val="auto"/>
              </w:rPr>
            </w:pPr>
          </w:p>
        </w:tc>
        <w:tc>
          <w:tcPr>
            <w:tcW w:w="720" w:type="dxa"/>
            <w:vAlign w:val="bottom"/>
            <w:tcBorders>
              <w:bottom w:val="single" w:sz="8" w:color="auto"/>
            </w:tcBorders>
            <w:vMerge w:val="continue"/>
            <w:shd w:val="clear" w:color="auto" w:fill="EAEAEA"/>
          </w:tcPr>
          <w:p>
            <w:pPr>
              <w:spacing w:after="0"/>
              <w:rPr>
                <w:sz w:val="10"/>
                <w:szCs w:val="10"/>
                <w:color w:val="auto"/>
              </w:rPr>
            </w:pPr>
          </w:p>
        </w:tc>
        <w:tc>
          <w:tcPr>
            <w:tcW w:w="80" w:type="dxa"/>
            <w:vAlign w:val="bottom"/>
            <w:tcBorders>
              <w:bottom w:val="single" w:sz="8" w:color="auto"/>
            </w:tcBorders>
            <w:shd w:val="clear" w:color="auto" w:fill="EAEAEA"/>
          </w:tcPr>
          <w:p>
            <w:pPr>
              <w:spacing w:after="0"/>
              <w:rPr>
                <w:sz w:val="10"/>
                <w:szCs w:val="10"/>
                <w:color w:val="auto"/>
              </w:rPr>
            </w:pPr>
          </w:p>
        </w:tc>
        <w:tc>
          <w:tcPr>
            <w:tcW w:w="1160" w:type="dxa"/>
            <w:vAlign w:val="bottom"/>
            <w:tcBorders>
              <w:bottom w:val="single" w:sz="8" w:color="auto"/>
            </w:tcBorders>
            <w:vMerge w:val="continue"/>
          </w:tcPr>
          <w:p>
            <w:pPr>
              <w:spacing w:after="0"/>
              <w:rPr>
                <w:sz w:val="10"/>
                <w:szCs w:val="10"/>
                <w:color w:val="auto"/>
              </w:rPr>
            </w:pPr>
          </w:p>
        </w:tc>
        <w:tc>
          <w:tcPr>
            <w:tcW w:w="160" w:type="dxa"/>
            <w:vAlign w:val="bottom"/>
            <w:tcBorders>
              <w:bottom w:val="single" w:sz="8" w:color="auto"/>
            </w:tcBorders>
            <w:shd w:val="clear" w:color="auto" w:fill="EAEAEA"/>
          </w:tcPr>
          <w:p>
            <w:pPr>
              <w:spacing w:after="0"/>
              <w:rPr>
                <w:sz w:val="10"/>
                <w:szCs w:val="10"/>
                <w:color w:val="auto"/>
              </w:rPr>
            </w:pPr>
          </w:p>
        </w:tc>
        <w:tc>
          <w:tcPr>
            <w:tcW w:w="900" w:type="dxa"/>
            <w:vAlign w:val="bottom"/>
            <w:tcBorders>
              <w:bottom w:val="single" w:sz="8" w:color="auto"/>
            </w:tcBorders>
            <w:vMerge w:val="continue"/>
            <w:shd w:val="clear" w:color="auto" w:fill="EAEAEA"/>
          </w:tcPr>
          <w:p>
            <w:pPr>
              <w:spacing w:after="0"/>
              <w:rPr>
                <w:sz w:val="10"/>
                <w:szCs w:val="10"/>
                <w:color w:val="auto"/>
              </w:rPr>
            </w:pPr>
          </w:p>
        </w:tc>
        <w:tc>
          <w:tcPr>
            <w:tcW w:w="100" w:type="dxa"/>
            <w:vAlign w:val="bottom"/>
            <w:tcBorders>
              <w:bottom w:val="single" w:sz="8" w:color="auto"/>
            </w:tcBorders>
            <w:shd w:val="clear" w:color="auto" w:fill="EAEAEA"/>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3120" w:type="dxa"/>
            <w:vAlign w:val="bottom"/>
            <w:vMerge w:val="continue"/>
          </w:tcPr>
          <w:p>
            <w:pPr>
              <w:spacing w:after="0"/>
              <w:rPr>
                <w:sz w:val="4"/>
                <w:szCs w:val="4"/>
                <w:color w:val="auto"/>
              </w:rPr>
            </w:pPr>
          </w:p>
        </w:tc>
        <w:tc>
          <w:tcPr>
            <w:tcW w:w="140" w:type="dxa"/>
            <w:vAlign w:val="bottom"/>
            <w:shd w:val="clear" w:color="auto" w:fill="EAEAEA"/>
          </w:tcPr>
          <w:p>
            <w:pPr>
              <w:spacing w:after="0"/>
              <w:rPr>
                <w:sz w:val="4"/>
                <w:szCs w:val="4"/>
                <w:color w:val="auto"/>
              </w:rPr>
            </w:pPr>
          </w:p>
        </w:tc>
        <w:tc>
          <w:tcPr>
            <w:tcW w:w="340" w:type="dxa"/>
            <w:vAlign w:val="bottom"/>
            <w:shd w:val="clear" w:color="auto" w:fill="EAEAEA"/>
          </w:tcPr>
          <w:p>
            <w:pPr>
              <w:spacing w:after="0"/>
              <w:rPr>
                <w:sz w:val="4"/>
                <w:szCs w:val="4"/>
                <w:color w:val="auto"/>
              </w:rPr>
            </w:pPr>
          </w:p>
        </w:tc>
        <w:tc>
          <w:tcPr>
            <w:tcW w:w="100" w:type="dxa"/>
            <w:vAlign w:val="bottom"/>
            <w:shd w:val="clear" w:color="auto" w:fill="EAEAEA"/>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shd w:val="clear" w:color="auto" w:fill="EAEAEA"/>
          </w:tcPr>
          <w:p>
            <w:pPr>
              <w:spacing w:after="0"/>
              <w:rPr>
                <w:sz w:val="4"/>
                <w:szCs w:val="4"/>
                <w:color w:val="auto"/>
              </w:rPr>
            </w:pPr>
          </w:p>
        </w:tc>
        <w:tc>
          <w:tcPr>
            <w:tcW w:w="500" w:type="dxa"/>
            <w:vAlign w:val="bottom"/>
            <w:shd w:val="clear" w:color="auto" w:fill="EAEAEA"/>
          </w:tcPr>
          <w:p>
            <w:pPr>
              <w:spacing w:after="0"/>
              <w:rPr>
                <w:sz w:val="4"/>
                <w:szCs w:val="4"/>
                <w:color w:val="auto"/>
              </w:rPr>
            </w:pPr>
          </w:p>
        </w:tc>
        <w:tc>
          <w:tcPr>
            <w:tcW w:w="100" w:type="dxa"/>
            <w:vAlign w:val="bottom"/>
            <w:shd w:val="clear" w:color="auto" w:fill="EAEAEA"/>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shd w:val="clear" w:color="auto" w:fill="EAEAEA"/>
          </w:tcPr>
          <w:p>
            <w:pPr>
              <w:spacing w:after="0"/>
              <w:rPr>
                <w:sz w:val="4"/>
                <w:szCs w:val="4"/>
                <w:color w:val="auto"/>
              </w:rPr>
            </w:pPr>
          </w:p>
        </w:tc>
        <w:tc>
          <w:tcPr>
            <w:tcW w:w="720" w:type="dxa"/>
            <w:vAlign w:val="bottom"/>
            <w:shd w:val="clear" w:color="auto" w:fill="EAEAEA"/>
          </w:tcPr>
          <w:p>
            <w:pPr>
              <w:spacing w:after="0"/>
              <w:rPr>
                <w:sz w:val="4"/>
                <w:szCs w:val="4"/>
                <w:color w:val="auto"/>
              </w:rPr>
            </w:pPr>
          </w:p>
        </w:tc>
        <w:tc>
          <w:tcPr>
            <w:tcW w:w="80" w:type="dxa"/>
            <w:vAlign w:val="bottom"/>
            <w:shd w:val="clear" w:color="auto" w:fill="EAEAEA"/>
          </w:tcPr>
          <w:p>
            <w:pPr>
              <w:spacing w:after="0"/>
              <w:rPr>
                <w:sz w:val="4"/>
                <w:szCs w:val="4"/>
                <w:color w:val="auto"/>
              </w:rPr>
            </w:pPr>
          </w:p>
        </w:tc>
        <w:tc>
          <w:tcPr>
            <w:tcW w:w="1160" w:type="dxa"/>
            <w:vAlign w:val="bottom"/>
          </w:tcPr>
          <w:p>
            <w:pPr>
              <w:spacing w:after="0"/>
              <w:rPr>
                <w:sz w:val="4"/>
                <w:szCs w:val="4"/>
                <w:color w:val="auto"/>
              </w:rPr>
            </w:pPr>
          </w:p>
        </w:tc>
        <w:tc>
          <w:tcPr>
            <w:tcW w:w="160" w:type="dxa"/>
            <w:vAlign w:val="bottom"/>
            <w:shd w:val="clear" w:color="auto" w:fill="EAEAEA"/>
          </w:tcPr>
          <w:p>
            <w:pPr>
              <w:spacing w:after="0"/>
              <w:rPr>
                <w:sz w:val="4"/>
                <w:szCs w:val="4"/>
                <w:color w:val="auto"/>
              </w:rPr>
            </w:pPr>
          </w:p>
        </w:tc>
        <w:tc>
          <w:tcPr>
            <w:tcW w:w="900" w:type="dxa"/>
            <w:vAlign w:val="bottom"/>
            <w:shd w:val="clear" w:color="auto" w:fill="EAEAEA"/>
          </w:tcPr>
          <w:p>
            <w:pPr>
              <w:spacing w:after="0"/>
              <w:rPr>
                <w:sz w:val="4"/>
                <w:szCs w:val="4"/>
                <w:color w:val="auto"/>
              </w:rPr>
            </w:pPr>
          </w:p>
        </w:tc>
        <w:tc>
          <w:tcPr>
            <w:tcW w:w="100" w:type="dxa"/>
            <w:vAlign w:val="bottom"/>
            <w:shd w:val="clear" w:color="auto" w:fill="EAEAEA"/>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3120" w:type="dxa"/>
            <w:vAlign w:val="bottom"/>
            <w:tcBorders>
              <w:bottom w:val="single" w:sz="8" w:color="0066BA"/>
            </w:tcBorders>
          </w:tcPr>
          <w:p>
            <w:pPr>
              <w:ind w:left="100"/>
              <w:spacing w:after="0"/>
              <w:rPr>
                <w:sz w:val="20"/>
                <w:szCs w:val="20"/>
                <w:color w:val="auto"/>
              </w:rPr>
            </w:pPr>
            <w:r>
              <w:rPr>
                <w:rFonts w:ascii="Arial" w:cs="Arial" w:eastAsia="Arial" w:hAnsi="Arial"/>
                <w:sz w:val="16"/>
                <w:szCs w:val="16"/>
                <w:color w:val="auto"/>
              </w:rPr>
              <w:t>Financial Officer</w:t>
            </w:r>
          </w:p>
        </w:tc>
        <w:tc>
          <w:tcPr>
            <w:tcW w:w="140" w:type="dxa"/>
            <w:vAlign w:val="bottom"/>
            <w:tcBorders>
              <w:bottom w:val="single" w:sz="8" w:color="0066BA"/>
            </w:tcBorders>
            <w:shd w:val="clear" w:color="auto" w:fill="EAEAEA"/>
          </w:tcPr>
          <w:p>
            <w:pPr>
              <w:spacing w:after="0"/>
              <w:rPr>
                <w:sz w:val="18"/>
                <w:szCs w:val="18"/>
                <w:color w:val="auto"/>
              </w:rPr>
            </w:pPr>
          </w:p>
        </w:tc>
        <w:tc>
          <w:tcPr>
            <w:tcW w:w="340" w:type="dxa"/>
            <w:vAlign w:val="bottom"/>
            <w:tcBorders>
              <w:bottom w:val="single" w:sz="8" w:color="0066BA"/>
            </w:tcBorders>
            <w:shd w:val="clear" w:color="auto" w:fill="EAEAEA"/>
          </w:tcPr>
          <w:p>
            <w:pPr>
              <w:ind w:left="40"/>
              <w:spacing w:after="0"/>
              <w:rPr>
                <w:sz w:val="20"/>
                <w:szCs w:val="20"/>
                <w:color w:val="auto"/>
              </w:rPr>
            </w:pPr>
            <w:r>
              <w:rPr>
                <w:rFonts w:ascii="Arial" w:cs="Arial" w:eastAsia="Arial" w:hAnsi="Arial"/>
                <w:sz w:val="16"/>
                <w:szCs w:val="16"/>
                <w:color w:val="auto"/>
                <w:w w:val="78"/>
              </w:rPr>
              <w:t>2019</w:t>
            </w:r>
          </w:p>
        </w:tc>
        <w:tc>
          <w:tcPr>
            <w:tcW w:w="100" w:type="dxa"/>
            <w:vAlign w:val="bottom"/>
            <w:tcBorders>
              <w:bottom w:val="single" w:sz="8" w:color="0066BA"/>
            </w:tcBorders>
            <w:shd w:val="clear" w:color="auto" w:fill="EAEAEA"/>
          </w:tcPr>
          <w:p>
            <w:pPr>
              <w:spacing w:after="0"/>
              <w:rPr>
                <w:sz w:val="18"/>
                <w:szCs w:val="18"/>
                <w:color w:val="auto"/>
              </w:rPr>
            </w:pPr>
          </w:p>
        </w:tc>
        <w:tc>
          <w:tcPr>
            <w:tcW w:w="840" w:type="dxa"/>
            <w:vAlign w:val="bottom"/>
            <w:tcBorders>
              <w:bottom w:val="single" w:sz="8" w:color="0066BA"/>
            </w:tcBorders>
          </w:tcPr>
          <w:p>
            <w:pPr>
              <w:jc w:val="right"/>
              <w:ind w:right="2"/>
              <w:spacing w:after="0"/>
              <w:rPr>
                <w:sz w:val="20"/>
                <w:szCs w:val="20"/>
                <w:color w:val="auto"/>
              </w:rPr>
            </w:pPr>
            <w:r>
              <w:rPr>
                <w:rFonts w:ascii="Arial" w:cs="Arial" w:eastAsia="Arial" w:hAnsi="Arial"/>
                <w:sz w:val="16"/>
                <w:szCs w:val="16"/>
                <w:color w:val="auto"/>
              </w:rPr>
              <w:t>565,385</w:t>
            </w:r>
          </w:p>
        </w:tc>
        <w:tc>
          <w:tcPr>
            <w:tcW w:w="140" w:type="dxa"/>
            <w:vAlign w:val="bottom"/>
            <w:tcBorders>
              <w:bottom w:val="single" w:sz="8" w:color="0066BA"/>
            </w:tcBorders>
            <w:shd w:val="clear" w:color="auto" w:fill="EAEAEA"/>
          </w:tcPr>
          <w:p>
            <w:pPr>
              <w:spacing w:after="0"/>
              <w:rPr>
                <w:sz w:val="18"/>
                <w:szCs w:val="18"/>
                <w:color w:val="auto"/>
              </w:rPr>
            </w:pPr>
          </w:p>
        </w:tc>
        <w:tc>
          <w:tcPr>
            <w:tcW w:w="500" w:type="dxa"/>
            <w:vAlign w:val="bottom"/>
            <w:tcBorders>
              <w:bottom w:val="single" w:sz="8" w:color="0066BA"/>
            </w:tcBorders>
            <w:shd w:val="clear" w:color="auto" w:fill="EAEAEA"/>
          </w:tcPr>
          <w:p>
            <w:pPr>
              <w:ind w:left="36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0066BA"/>
            </w:tcBorders>
            <w:shd w:val="clear" w:color="auto" w:fill="EAEAEA"/>
          </w:tcPr>
          <w:p>
            <w:pPr>
              <w:spacing w:after="0"/>
              <w:rPr>
                <w:sz w:val="18"/>
                <w:szCs w:val="18"/>
                <w:color w:val="auto"/>
              </w:rPr>
            </w:pPr>
          </w:p>
        </w:tc>
        <w:tc>
          <w:tcPr>
            <w:tcW w:w="840" w:type="dxa"/>
            <w:vAlign w:val="bottom"/>
            <w:tcBorders>
              <w:bottom w:val="single" w:sz="8" w:color="0066BA"/>
            </w:tcBorders>
          </w:tcPr>
          <w:p>
            <w:pPr>
              <w:jc w:val="right"/>
              <w:ind w:right="2"/>
              <w:spacing w:after="0"/>
              <w:rPr>
                <w:sz w:val="20"/>
                <w:szCs w:val="20"/>
                <w:color w:val="auto"/>
              </w:rPr>
            </w:pPr>
            <w:r>
              <w:rPr>
                <w:rFonts w:ascii="Arial" w:cs="Arial" w:eastAsia="Arial" w:hAnsi="Arial"/>
                <w:sz w:val="16"/>
                <w:szCs w:val="16"/>
                <w:color w:val="auto"/>
              </w:rPr>
              <w:t>1,851,447</w:t>
            </w:r>
          </w:p>
        </w:tc>
        <w:tc>
          <w:tcPr>
            <w:tcW w:w="120" w:type="dxa"/>
            <w:vAlign w:val="bottom"/>
            <w:tcBorders>
              <w:bottom w:val="single" w:sz="8" w:color="0066BA"/>
            </w:tcBorders>
            <w:shd w:val="clear" w:color="auto" w:fill="EAEAEA"/>
          </w:tcPr>
          <w:p>
            <w:pPr>
              <w:spacing w:after="0"/>
              <w:rPr>
                <w:sz w:val="18"/>
                <w:szCs w:val="18"/>
                <w:color w:val="auto"/>
              </w:rPr>
            </w:pPr>
          </w:p>
        </w:tc>
        <w:tc>
          <w:tcPr>
            <w:tcW w:w="72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621,295</w:t>
            </w:r>
          </w:p>
        </w:tc>
        <w:tc>
          <w:tcPr>
            <w:tcW w:w="80" w:type="dxa"/>
            <w:vAlign w:val="bottom"/>
            <w:tcBorders>
              <w:bottom w:val="single" w:sz="8" w:color="0066BA"/>
            </w:tcBorders>
            <w:shd w:val="clear" w:color="auto" w:fill="EAEAEA"/>
          </w:tcPr>
          <w:p>
            <w:pPr>
              <w:spacing w:after="0"/>
              <w:rPr>
                <w:sz w:val="18"/>
                <w:szCs w:val="18"/>
                <w:color w:val="auto"/>
              </w:rPr>
            </w:pPr>
          </w:p>
        </w:tc>
        <w:tc>
          <w:tcPr>
            <w:tcW w:w="1160" w:type="dxa"/>
            <w:vAlign w:val="bottom"/>
            <w:tcBorders>
              <w:bottom w:val="single" w:sz="8" w:color="0066BA"/>
            </w:tcBorders>
          </w:tcPr>
          <w:p>
            <w:pPr>
              <w:jc w:val="right"/>
              <w:ind w:right="2"/>
              <w:spacing w:after="0"/>
              <w:rPr>
                <w:sz w:val="20"/>
                <w:szCs w:val="20"/>
                <w:color w:val="auto"/>
              </w:rPr>
            </w:pPr>
            <w:r>
              <w:rPr>
                <w:rFonts w:ascii="Arial" w:cs="Arial" w:eastAsia="Arial" w:hAnsi="Arial"/>
                <w:sz w:val="16"/>
                <w:szCs w:val="16"/>
                <w:color w:val="auto"/>
              </w:rPr>
              <w:t>523,413</w:t>
            </w:r>
          </w:p>
        </w:tc>
        <w:tc>
          <w:tcPr>
            <w:tcW w:w="160" w:type="dxa"/>
            <w:vAlign w:val="bottom"/>
            <w:tcBorders>
              <w:bottom w:val="single" w:sz="8" w:color="0066BA"/>
            </w:tcBorders>
            <w:shd w:val="clear" w:color="auto" w:fill="EAEAEA"/>
          </w:tcPr>
          <w:p>
            <w:pPr>
              <w:spacing w:after="0"/>
              <w:rPr>
                <w:sz w:val="18"/>
                <w:szCs w:val="18"/>
                <w:color w:val="auto"/>
              </w:rPr>
            </w:pPr>
          </w:p>
        </w:tc>
        <w:tc>
          <w:tcPr>
            <w:tcW w:w="90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153,136</w:t>
            </w:r>
          </w:p>
        </w:tc>
        <w:tc>
          <w:tcPr>
            <w:tcW w:w="100" w:type="dxa"/>
            <w:vAlign w:val="bottom"/>
            <w:tcBorders>
              <w:bottom w:val="single" w:sz="8" w:color="0066BA"/>
            </w:tcBorders>
            <w:shd w:val="clear" w:color="auto" w:fill="EAEAEA"/>
          </w:tcPr>
          <w:p>
            <w:pPr>
              <w:spacing w:after="0"/>
              <w:rPr>
                <w:sz w:val="18"/>
                <w:szCs w:val="18"/>
                <w:color w:val="auto"/>
              </w:rPr>
            </w:pPr>
          </w:p>
        </w:tc>
        <w:tc>
          <w:tcPr>
            <w:tcW w:w="920" w:type="dxa"/>
            <w:vAlign w:val="bottom"/>
            <w:tcBorders>
              <w:bottom w:val="single" w:sz="8" w:color="0066BA"/>
            </w:tcBorders>
          </w:tcPr>
          <w:p>
            <w:pPr>
              <w:jc w:val="right"/>
              <w:ind w:right="2"/>
              <w:spacing w:after="0"/>
              <w:rPr>
                <w:sz w:val="20"/>
                <w:szCs w:val="20"/>
                <w:color w:val="auto"/>
              </w:rPr>
            </w:pPr>
            <w:r>
              <w:rPr>
                <w:rFonts w:ascii="Arial" w:cs="Arial" w:eastAsia="Arial" w:hAnsi="Arial"/>
                <w:sz w:val="16"/>
                <w:szCs w:val="16"/>
                <w:color w:val="auto"/>
              </w:rPr>
              <w:t>3,714,676</w:t>
            </w:r>
          </w:p>
        </w:tc>
        <w:tc>
          <w:tcPr>
            <w:tcW w:w="0" w:type="dxa"/>
            <w:vAlign w:val="bottom"/>
          </w:tcPr>
          <w:p>
            <w:pPr>
              <w:spacing w:after="0"/>
              <w:rPr>
                <w:sz w:val="1"/>
                <w:szCs w:val="1"/>
                <w:color w:val="auto"/>
              </w:rPr>
            </w:pPr>
          </w:p>
        </w:tc>
      </w:tr>
      <w:tr>
        <w:trPr>
          <w:trHeight w:val="269"/>
        </w:trPr>
        <w:tc>
          <w:tcPr>
            <w:tcW w:w="3120" w:type="dxa"/>
            <w:vAlign w:val="bottom"/>
          </w:tcPr>
          <w:p>
            <w:pPr>
              <w:ind w:left="100"/>
              <w:spacing w:after="0"/>
              <w:rPr>
                <w:sz w:val="20"/>
                <w:szCs w:val="20"/>
                <w:color w:val="auto"/>
              </w:rPr>
            </w:pPr>
            <w:r>
              <w:rPr>
                <w:rFonts w:ascii="Arial" w:cs="Arial" w:eastAsia="Arial" w:hAnsi="Arial"/>
                <w:sz w:val="16"/>
                <w:szCs w:val="16"/>
                <w:b w:val="1"/>
                <w:bCs w:val="1"/>
                <w:color w:val="0066BA"/>
              </w:rPr>
              <w:t>Martin Cotter</w:t>
            </w:r>
          </w:p>
        </w:tc>
        <w:tc>
          <w:tcPr>
            <w:tcW w:w="140" w:type="dxa"/>
            <w:vAlign w:val="bottom"/>
            <w:tcBorders>
              <w:bottom w:val="single" w:sz="8" w:color="EAEAEA"/>
            </w:tcBorders>
            <w:shd w:val="clear" w:color="auto" w:fill="EAEAEA"/>
          </w:tcPr>
          <w:p>
            <w:pPr>
              <w:spacing w:after="0"/>
              <w:rPr>
                <w:sz w:val="23"/>
                <w:szCs w:val="23"/>
                <w:color w:val="auto"/>
              </w:rPr>
            </w:pPr>
          </w:p>
        </w:tc>
        <w:tc>
          <w:tcPr>
            <w:tcW w:w="340" w:type="dxa"/>
            <w:vAlign w:val="bottom"/>
            <w:tcBorders>
              <w:bottom w:val="single" w:sz="8" w:color="EAEAEA"/>
            </w:tcBorders>
            <w:shd w:val="clear" w:color="auto" w:fill="EAEAEA"/>
          </w:tcPr>
          <w:p>
            <w:pPr>
              <w:ind w:left="40"/>
              <w:spacing w:after="0"/>
              <w:rPr>
                <w:sz w:val="20"/>
                <w:szCs w:val="20"/>
                <w:color w:val="auto"/>
              </w:rPr>
            </w:pPr>
            <w:r>
              <w:rPr>
                <w:rFonts w:ascii="Arial" w:cs="Arial" w:eastAsia="Arial" w:hAnsi="Arial"/>
                <w:sz w:val="16"/>
                <w:szCs w:val="16"/>
                <w:color w:val="auto"/>
                <w:w w:val="78"/>
              </w:rPr>
              <w:t>2021</w:t>
            </w:r>
          </w:p>
        </w:tc>
        <w:tc>
          <w:tcPr>
            <w:tcW w:w="100" w:type="dxa"/>
            <w:vAlign w:val="bottom"/>
            <w:tcBorders>
              <w:bottom w:val="single" w:sz="8" w:color="EAEAEA"/>
            </w:tcBorders>
            <w:shd w:val="clear" w:color="auto" w:fill="EAEAEA"/>
          </w:tcPr>
          <w:p>
            <w:pPr>
              <w:spacing w:after="0"/>
              <w:rPr>
                <w:sz w:val="23"/>
                <w:szCs w:val="23"/>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460,000</w:t>
            </w:r>
          </w:p>
        </w:tc>
        <w:tc>
          <w:tcPr>
            <w:tcW w:w="140" w:type="dxa"/>
            <w:vAlign w:val="bottom"/>
            <w:tcBorders>
              <w:bottom w:val="single" w:sz="8" w:color="EAEAEA"/>
            </w:tcBorders>
            <w:shd w:val="clear" w:color="auto" w:fill="EAEAEA"/>
          </w:tcPr>
          <w:p>
            <w:pPr>
              <w:spacing w:after="0"/>
              <w:rPr>
                <w:sz w:val="23"/>
                <w:szCs w:val="23"/>
                <w:color w:val="auto"/>
              </w:rPr>
            </w:pPr>
          </w:p>
        </w:tc>
        <w:tc>
          <w:tcPr>
            <w:tcW w:w="500" w:type="dxa"/>
            <w:vAlign w:val="bottom"/>
            <w:tcBorders>
              <w:bottom w:val="single" w:sz="8" w:color="EAEAEA"/>
            </w:tcBorders>
            <w:shd w:val="clear" w:color="auto" w:fill="EAEAEA"/>
          </w:tcPr>
          <w:p>
            <w:pPr>
              <w:ind w:left="36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EAEAEA"/>
            </w:tcBorders>
            <w:shd w:val="clear" w:color="auto" w:fill="EAEAEA"/>
          </w:tcPr>
          <w:p>
            <w:pPr>
              <w:spacing w:after="0"/>
              <w:rPr>
                <w:sz w:val="23"/>
                <w:szCs w:val="23"/>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3,574,729</w:t>
            </w:r>
          </w:p>
        </w:tc>
        <w:tc>
          <w:tcPr>
            <w:tcW w:w="120" w:type="dxa"/>
            <w:vAlign w:val="bottom"/>
            <w:tcBorders>
              <w:bottom w:val="single" w:sz="8" w:color="EAEAEA"/>
            </w:tcBorders>
            <w:shd w:val="clear" w:color="auto" w:fill="EAEAEA"/>
          </w:tcPr>
          <w:p>
            <w:pPr>
              <w:spacing w:after="0"/>
              <w:rPr>
                <w:sz w:val="23"/>
                <w:szCs w:val="23"/>
                <w:color w:val="auto"/>
              </w:rPr>
            </w:pPr>
          </w:p>
        </w:tc>
        <w:tc>
          <w:tcPr>
            <w:tcW w:w="72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546,179</w:t>
            </w:r>
          </w:p>
        </w:tc>
        <w:tc>
          <w:tcPr>
            <w:tcW w:w="80" w:type="dxa"/>
            <w:vAlign w:val="bottom"/>
            <w:tcBorders>
              <w:bottom w:val="single" w:sz="8" w:color="EAEAEA"/>
            </w:tcBorders>
            <w:shd w:val="clear" w:color="auto" w:fill="EAEAEA"/>
          </w:tcPr>
          <w:p>
            <w:pPr>
              <w:spacing w:after="0"/>
              <w:rPr>
                <w:sz w:val="23"/>
                <w:szCs w:val="23"/>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1,162,738</w:t>
            </w:r>
          </w:p>
        </w:tc>
        <w:tc>
          <w:tcPr>
            <w:tcW w:w="160" w:type="dxa"/>
            <w:vAlign w:val="bottom"/>
            <w:tcBorders>
              <w:bottom w:val="single" w:sz="8" w:color="EAEAEA"/>
            </w:tcBorders>
            <w:shd w:val="clear" w:color="auto" w:fill="EAEAEA"/>
          </w:tcPr>
          <w:p>
            <w:pPr>
              <w:spacing w:after="0"/>
              <w:rPr>
                <w:sz w:val="23"/>
                <w:szCs w:val="23"/>
                <w:color w:val="auto"/>
              </w:rPr>
            </w:pPr>
          </w:p>
        </w:tc>
        <w:tc>
          <w:tcPr>
            <w:tcW w:w="900" w:type="dxa"/>
            <w:vAlign w:val="bottom"/>
            <w:tcBorders>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37,676</w:t>
            </w:r>
          </w:p>
        </w:tc>
        <w:tc>
          <w:tcPr>
            <w:tcW w:w="100" w:type="dxa"/>
            <w:vAlign w:val="bottom"/>
            <w:tcBorders>
              <w:bottom w:val="single" w:sz="8" w:color="EAEAEA"/>
            </w:tcBorders>
            <w:shd w:val="clear" w:color="auto" w:fill="EAEAEA"/>
          </w:tcPr>
          <w:p>
            <w:pPr>
              <w:spacing w:after="0"/>
              <w:rPr>
                <w:sz w:val="23"/>
                <w:szCs w:val="23"/>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5,781,322</w:t>
            </w:r>
          </w:p>
        </w:tc>
        <w:tc>
          <w:tcPr>
            <w:tcW w:w="0" w:type="dxa"/>
            <w:vAlign w:val="bottom"/>
          </w:tcPr>
          <w:p>
            <w:pPr>
              <w:spacing w:after="0"/>
              <w:rPr>
                <w:sz w:val="1"/>
                <w:szCs w:val="1"/>
                <w:color w:val="auto"/>
              </w:rPr>
            </w:pPr>
          </w:p>
        </w:tc>
      </w:tr>
      <w:tr>
        <w:trPr>
          <w:trHeight w:val="152"/>
        </w:trPr>
        <w:tc>
          <w:tcPr>
            <w:tcW w:w="3120" w:type="dxa"/>
            <w:vAlign w:val="bottom"/>
          </w:tcPr>
          <w:p>
            <w:pPr>
              <w:ind w:left="100"/>
              <w:spacing w:after="0" w:line="152" w:lineRule="exact"/>
              <w:rPr>
                <w:sz w:val="20"/>
                <w:szCs w:val="20"/>
                <w:color w:val="auto"/>
              </w:rPr>
            </w:pPr>
            <w:r>
              <w:rPr>
                <w:rFonts w:ascii="Arial" w:cs="Arial" w:eastAsia="Arial" w:hAnsi="Arial"/>
                <w:sz w:val="16"/>
                <w:szCs w:val="16"/>
                <w:color w:val="auto"/>
              </w:rPr>
              <w:t>Senior Vice President,</w:t>
            </w:r>
          </w:p>
        </w:tc>
        <w:tc>
          <w:tcPr>
            <w:tcW w:w="140" w:type="dxa"/>
            <w:vAlign w:val="bottom"/>
            <w:tcBorders>
              <w:top w:val="single" w:sz="8" w:color="auto"/>
            </w:tcBorders>
            <w:shd w:val="clear" w:color="auto" w:fill="EAEAEA"/>
          </w:tcPr>
          <w:p>
            <w:pPr>
              <w:spacing w:after="0"/>
              <w:rPr>
                <w:sz w:val="13"/>
                <w:szCs w:val="13"/>
                <w:color w:val="auto"/>
              </w:rPr>
            </w:pPr>
          </w:p>
        </w:tc>
        <w:tc>
          <w:tcPr>
            <w:tcW w:w="340" w:type="dxa"/>
            <w:vAlign w:val="bottom"/>
            <w:tcBorders>
              <w:top w:val="single" w:sz="8" w:color="auto"/>
            </w:tcBorders>
            <w:vMerge w:val="restart"/>
            <w:shd w:val="clear" w:color="auto" w:fill="EAEAEA"/>
          </w:tcPr>
          <w:p>
            <w:pPr>
              <w:ind w:left="40"/>
              <w:spacing w:after="0"/>
              <w:rPr>
                <w:sz w:val="20"/>
                <w:szCs w:val="20"/>
                <w:color w:val="auto"/>
              </w:rPr>
            </w:pPr>
            <w:r>
              <w:rPr>
                <w:rFonts w:ascii="Arial" w:cs="Arial" w:eastAsia="Arial" w:hAnsi="Arial"/>
                <w:sz w:val="16"/>
                <w:szCs w:val="16"/>
                <w:color w:val="auto"/>
                <w:w w:val="78"/>
              </w:rPr>
              <w:t>2020</w:t>
            </w:r>
          </w:p>
        </w:tc>
        <w:tc>
          <w:tcPr>
            <w:tcW w:w="100" w:type="dxa"/>
            <w:vAlign w:val="bottom"/>
            <w:tcBorders>
              <w:top w:val="single" w:sz="8" w:color="auto"/>
            </w:tcBorders>
            <w:shd w:val="clear" w:color="auto" w:fill="EAEAEA"/>
          </w:tcPr>
          <w:p>
            <w:pPr>
              <w:spacing w:after="0"/>
              <w:rPr>
                <w:sz w:val="13"/>
                <w:szCs w:val="13"/>
                <w:color w:val="auto"/>
              </w:rPr>
            </w:pPr>
          </w:p>
        </w:tc>
        <w:tc>
          <w:tcPr>
            <w:tcW w:w="84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6"/>
                <w:szCs w:val="16"/>
                <w:color w:val="auto"/>
              </w:rPr>
              <w:t>460,000</w:t>
            </w:r>
          </w:p>
        </w:tc>
        <w:tc>
          <w:tcPr>
            <w:tcW w:w="140" w:type="dxa"/>
            <w:vAlign w:val="bottom"/>
            <w:tcBorders>
              <w:top w:val="single" w:sz="8" w:color="auto"/>
            </w:tcBorders>
            <w:shd w:val="clear" w:color="auto" w:fill="EAEAEA"/>
          </w:tcPr>
          <w:p>
            <w:pPr>
              <w:spacing w:after="0"/>
              <w:rPr>
                <w:sz w:val="13"/>
                <w:szCs w:val="13"/>
                <w:color w:val="auto"/>
              </w:rPr>
            </w:pPr>
          </w:p>
        </w:tc>
        <w:tc>
          <w:tcPr>
            <w:tcW w:w="500" w:type="dxa"/>
            <w:vAlign w:val="bottom"/>
            <w:tcBorders>
              <w:top w:val="single" w:sz="8" w:color="auto"/>
            </w:tcBorders>
            <w:vMerge w:val="restart"/>
            <w:shd w:val="clear" w:color="auto" w:fill="EAEAEA"/>
          </w:tcPr>
          <w:p>
            <w:pPr>
              <w:ind w:left="3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EAEAEA"/>
          </w:tcPr>
          <w:p>
            <w:pPr>
              <w:spacing w:after="0"/>
              <w:rPr>
                <w:sz w:val="13"/>
                <w:szCs w:val="13"/>
                <w:color w:val="auto"/>
              </w:rPr>
            </w:pPr>
          </w:p>
        </w:tc>
        <w:tc>
          <w:tcPr>
            <w:tcW w:w="84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6"/>
                <w:szCs w:val="16"/>
                <w:color w:val="auto"/>
              </w:rPr>
              <w:t>1,351,289</w:t>
            </w:r>
          </w:p>
        </w:tc>
        <w:tc>
          <w:tcPr>
            <w:tcW w:w="120" w:type="dxa"/>
            <w:vAlign w:val="bottom"/>
            <w:tcBorders>
              <w:top w:val="single" w:sz="8" w:color="auto"/>
            </w:tcBorders>
            <w:shd w:val="clear" w:color="auto" w:fill="EAEAEA"/>
          </w:tcPr>
          <w:p>
            <w:pPr>
              <w:spacing w:after="0"/>
              <w:rPr>
                <w:sz w:val="13"/>
                <w:szCs w:val="13"/>
                <w:color w:val="auto"/>
              </w:rPr>
            </w:pPr>
          </w:p>
        </w:tc>
        <w:tc>
          <w:tcPr>
            <w:tcW w:w="72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447,305</w:t>
            </w:r>
          </w:p>
        </w:tc>
        <w:tc>
          <w:tcPr>
            <w:tcW w:w="80" w:type="dxa"/>
            <w:vAlign w:val="bottom"/>
            <w:tcBorders>
              <w:top w:val="single" w:sz="8" w:color="auto"/>
            </w:tcBorders>
            <w:shd w:val="clear" w:color="auto" w:fill="EAEAEA"/>
          </w:tcPr>
          <w:p>
            <w:pPr>
              <w:spacing w:after="0"/>
              <w:rPr>
                <w:sz w:val="13"/>
                <w:szCs w:val="13"/>
                <w:color w:val="auto"/>
              </w:rPr>
            </w:pPr>
          </w:p>
        </w:tc>
        <w:tc>
          <w:tcPr>
            <w:tcW w:w="116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6"/>
                <w:szCs w:val="16"/>
                <w:color w:val="auto"/>
              </w:rPr>
              <w:t>358,977</w:t>
            </w:r>
          </w:p>
        </w:tc>
        <w:tc>
          <w:tcPr>
            <w:tcW w:w="160" w:type="dxa"/>
            <w:vAlign w:val="bottom"/>
            <w:tcBorders>
              <w:top w:val="single" w:sz="8" w:color="auto"/>
            </w:tcBorders>
            <w:shd w:val="clear" w:color="auto" w:fill="EAEAEA"/>
          </w:tcPr>
          <w:p>
            <w:pPr>
              <w:spacing w:after="0"/>
              <w:rPr>
                <w:sz w:val="13"/>
                <w:szCs w:val="13"/>
                <w:color w:val="auto"/>
              </w:rPr>
            </w:pPr>
          </w:p>
        </w:tc>
        <w:tc>
          <w:tcPr>
            <w:tcW w:w="90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36,800</w:t>
            </w:r>
          </w:p>
        </w:tc>
        <w:tc>
          <w:tcPr>
            <w:tcW w:w="100" w:type="dxa"/>
            <w:vAlign w:val="bottom"/>
            <w:tcBorders>
              <w:top w:val="single" w:sz="8" w:color="auto"/>
            </w:tcBorders>
            <w:shd w:val="clear" w:color="auto" w:fill="EAEAEA"/>
          </w:tcPr>
          <w:p>
            <w:pPr>
              <w:spacing w:after="0"/>
              <w:rPr>
                <w:sz w:val="13"/>
                <w:szCs w:val="13"/>
                <w:color w:val="auto"/>
              </w:rPr>
            </w:pPr>
          </w:p>
        </w:tc>
        <w:tc>
          <w:tcPr>
            <w:tcW w:w="92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6"/>
                <w:szCs w:val="16"/>
                <w:color w:val="auto"/>
              </w:rPr>
              <w:t>2,654,371</w:t>
            </w:r>
          </w:p>
        </w:tc>
        <w:tc>
          <w:tcPr>
            <w:tcW w:w="0" w:type="dxa"/>
            <w:vAlign w:val="bottom"/>
          </w:tcPr>
          <w:p>
            <w:pPr>
              <w:spacing w:after="0"/>
              <w:rPr>
                <w:sz w:val="1"/>
                <w:szCs w:val="1"/>
                <w:color w:val="auto"/>
              </w:rPr>
            </w:pPr>
          </w:p>
        </w:tc>
      </w:tr>
      <w:tr>
        <w:trPr>
          <w:trHeight w:val="111"/>
        </w:trPr>
        <w:tc>
          <w:tcPr>
            <w:tcW w:w="3120" w:type="dxa"/>
            <w:vAlign w:val="bottom"/>
            <w:vMerge w:val="restart"/>
          </w:tcPr>
          <w:p>
            <w:pPr>
              <w:ind w:left="100"/>
              <w:spacing w:after="0"/>
              <w:rPr>
                <w:sz w:val="20"/>
                <w:szCs w:val="20"/>
                <w:color w:val="auto"/>
              </w:rPr>
            </w:pPr>
            <w:r>
              <w:rPr>
                <w:rFonts w:ascii="Arial" w:cs="Arial" w:eastAsia="Arial" w:hAnsi="Arial"/>
                <w:sz w:val="16"/>
                <w:szCs w:val="16"/>
                <w:color w:val="auto"/>
              </w:rPr>
              <w:t>Industrial and Multi-Markets</w:t>
            </w:r>
          </w:p>
        </w:tc>
        <w:tc>
          <w:tcPr>
            <w:tcW w:w="140" w:type="dxa"/>
            <w:vAlign w:val="bottom"/>
            <w:tcBorders>
              <w:bottom w:val="single" w:sz="8" w:color="auto"/>
            </w:tcBorders>
            <w:shd w:val="clear" w:color="auto" w:fill="EAEAEA"/>
          </w:tcPr>
          <w:p>
            <w:pPr>
              <w:spacing w:after="0"/>
              <w:rPr>
                <w:sz w:val="9"/>
                <w:szCs w:val="9"/>
                <w:color w:val="auto"/>
              </w:rPr>
            </w:pPr>
          </w:p>
        </w:tc>
        <w:tc>
          <w:tcPr>
            <w:tcW w:w="340" w:type="dxa"/>
            <w:vAlign w:val="bottom"/>
            <w:tcBorders>
              <w:bottom w:val="single" w:sz="8" w:color="auto"/>
            </w:tcBorders>
            <w:vMerge w:val="continue"/>
            <w:shd w:val="clear" w:color="auto" w:fill="EAEAEA"/>
          </w:tcPr>
          <w:p>
            <w:pPr>
              <w:spacing w:after="0"/>
              <w:rPr>
                <w:sz w:val="9"/>
                <w:szCs w:val="9"/>
                <w:color w:val="auto"/>
              </w:rPr>
            </w:pPr>
          </w:p>
        </w:tc>
        <w:tc>
          <w:tcPr>
            <w:tcW w:w="100" w:type="dxa"/>
            <w:vAlign w:val="bottom"/>
            <w:tcBorders>
              <w:bottom w:val="single" w:sz="8" w:color="auto"/>
            </w:tcBorders>
            <w:shd w:val="clear" w:color="auto" w:fill="EAEAEA"/>
          </w:tcPr>
          <w:p>
            <w:pPr>
              <w:spacing w:after="0"/>
              <w:rPr>
                <w:sz w:val="9"/>
                <w:szCs w:val="9"/>
                <w:color w:val="auto"/>
              </w:rPr>
            </w:pPr>
          </w:p>
        </w:tc>
        <w:tc>
          <w:tcPr>
            <w:tcW w:w="840" w:type="dxa"/>
            <w:vAlign w:val="bottom"/>
            <w:tcBorders>
              <w:bottom w:val="single" w:sz="8" w:color="auto"/>
            </w:tcBorders>
            <w:vMerge w:val="continue"/>
          </w:tcPr>
          <w:p>
            <w:pPr>
              <w:spacing w:after="0"/>
              <w:rPr>
                <w:sz w:val="9"/>
                <w:szCs w:val="9"/>
                <w:color w:val="auto"/>
              </w:rPr>
            </w:pPr>
          </w:p>
        </w:tc>
        <w:tc>
          <w:tcPr>
            <w:tcW w:w="140" w:type="dxa"/>
            <w:vAlign w:val="bottom"/>
            <w:tcBorders>
              <w:bottom w:val="single" w:sz="8" w:color="auto"/>
            </w:tcBorders>
            <w:shd w:val="clear" w:color="auto" w:fill="EAEAEA"/>
          </w:tcPr>
          <w:p>
            <w:pPr>
              <w:spacing w:after="0"/>
              <w:rPr>
                <w:sz w:val="9"/>
                <w:szCs w:val="9"/>
                <w:color w:val="auto"/>
              </w:rPr>
            </w:pPr>
          </w:p>
        </w:tc>
        <w:tc>
          <w:tcPr>
            <w:tcW w:w="500" w:type="dxa"/>
            <w:vAlign w:val="bottom"/>
            <w:tcBorders>
              <w:bottom w:val="single" w:sz="8" w:color="auto"/>
            </w:tcBorders>
            <w:vMerge w:val="continue"/>
            <w:shd w:val="clear" w:color="auto" w:fill="EAEAEA"/>
          </w:tcPr>
          <w:p>
            <w:pPr>
              <w:spacing w:after="0"/>
              <w:rPr>
                <w:sz w:val="9"/>
                <w:szCs w:val="9"/>
                <w:color w:val="auto"/>
              </w:rPr>
            </w:pPr>
          </w:p>
        </w:tc>
        <w:tc>
          <w:tcPr>
            <w:tcW w:w="100" w:type="dxa"/>
            <w:vAlign w:val="bottom"/>
            <w:tcBorders>
              <w:bottom w:val="single" w:sz="8" w:color="auto"/>
            </w:tcBorders>
            <w:shd w:val="clear" w:color="auto" w:fill="EAEAEA"/>
          </w:tcPr>
          <w:p>
            <w:pPr>
              <w:spacing w:after="0"/>
              <w:rPr>
                <w:sz w:val="9"/>
                <w:szCs w:val="9"/>
                <w:color w:val="auto"/>
              </w:rPr>
            </w:pPr>
          </w:p>
        </w:tc>
        <w:tc>
          <w:tcPr>
            <w:tcW w:w="84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auto"/>
            </w:tcBorders>
            <w:shd w:val="clear" w:color="auto" w:fill="EAEAEA"/>
          </w:tcPr>
          <w:p>
            <w:pPr>
              <w:spacing w:after="0"/>
              <w:rPr>
                <w:sz w:val="9"/>
                <w:szCs w:val="9"/>
                <w:color w:val="auto"/>
              </w:rPr>
            </w:pPr>
          </w:p>
        </w:tc>
        <w:tc>
          <w:tcPr>
            <w:tcW w:w="720" w:type="dxa"/>
            <w:vAlign w:val="bottom"/>
            <w:tcBorders>
              <w:bottom w:val="single" w:sz="8" w:color="auto"/>
            </w:tcBorders>
            <w:vMerge w:val="continue"/>
            <w:shd w:val="clear" w:color="auto" w:fill="EAEAEA"/>
          </w:tcPr>
          <w:p>
            <w:pPr>
              <w:spacing w:after="0"/>
              <w:rPr>
                <w:sz w:val="9"/>
                <w:szCs w:val="9"/>
                <w:color w:val="auto"/>
              </w:rPr>
            </w:pPr>
          </w:p>
        </w:tc>
        <w:tc>
          <w:tcPr>
            <w:tcW w:w="80" w:type="dxa"/>
            <w:vAlign w:val="bottom"/>
            <w:tcBorders>
              <w:bottom w:val="single" w:sz="8" w:color="auto"/>
            </w:tcBorders>
            <w:shd w:val="clear" w:color="auto" w:fill="EAEAEA"/>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160" w:type="dxa"/>
            <w:vAlign w:val="bottom"/>
            <w:tcBorders>
              <w:bottom w:val="single" w:sz="8" w:color="auto"/>
            </w:tcBorders>
            <w:shd w:val="clear" w:color="auto" w:fill="EAEAEA"/>
          </w:tcPr>
          <w:p>
            <w:pPr>
              <w:spacing w:after="0"/>
              <w:rPr>
                <w:sz w:val="9"/>
                <w:szCs w:val="9"/>
                <w:color w:val="auto"/>
              </w:rPr>
            </w:pPr>
          </w:p>
        </w:tc>
        <w:tc>
          <w:tcPr>
            <w:tcW w:w="900" w:type="dxa"/>
            <w:vAlign w:val="bottom"/>
            <w:tcBorders>
              <w:bottom w:val="single" w:sz="8" w:color="auto"/>
            </w:tcBorders>
            <w:vMerge w:val="continue"/>
            <w:shd w:val="clear" w:color="auto" w:fill="EAEAEA"/>
          </w:tcPr>
          <w:p>
            <w:pPr>
              <w:spacing w:after="0"/>
              <w:rPr>
                <w:sz w:val="9"/>
                <w:szCs w:val="9"/>
                <w:color w:val="auto"/>
              </w:rPr>
            </w:pPr>
          </w:p>
        </w:tc>
        <w:tc>
          <w:tcPr>
            <w:tcW w:w="100" w:type="dxa"/>
            <w:vAlign w:val="bottom"/>
            <w:tcBorders>
              <w:bottom w:val="single" w:sz="8" w:color="auto"/>
            </w:tcBorders>
            <w:shd w:val="clear" w:color="auto" w:fill="EAEAEA"/>
          </w:tcPr>
          <w:p>
            <w:pPr>
              <w:spacing w:after="0"/>
              <w:rPr>
                <w:sz w:val="9"/>
                <w:szCs w:val="9"/>
                <w:color w:val="auto"/>
              </w:rPr>
            </w:pPr>
          </w:p>
        </w:tc>
        <w:tc>
          <w:tcPr>
            <w:tcW w:w="9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120" w:type="dxa"/>
            <w:vAlign w:val="bottom"/>
            <w:vMerge w:val="continue"/>
          </w:tcPr>
          <w:p>
            <w:pPr>
              <w:spacing w:after="0"/>
              <w:rPr>
                <w:sz w:val="5"/>
                <w:szCs w:val="5"/>
                <w:color w:val="auto"/>
              </w:rPr>
            </w:pPr>
          </w:p>
        </w:tc>
        <w:tc>
          <w:tcPr>
            <w:tcW w:w="140" w:type="dxa"/>
            <w:vAlign w:val="bottom"/>
            <w:shd w:val="clear" w:color="auto" w:fill="EAEAEA"/>
          </w:tcPr>
          <w:p>
            <w:pPr>
              <w:spacing w:after="0"/>
              <w:rPr>
                <w:sz w:val="5"/>
                <w:szCs w:val="5"/>
                <w:color w:val="auto"/>
              </w:rPr>
            </w:pPr>
          </w:p>
        </w:tc>
        <w:tc>
          <w:tcPr>
            <w:tcW w:w="340" w:type="dxa"/>
            <w:vAlign w:val="bottom"/>
            <w:vMerge w:val="restart"/>
            <w:shd w:val="clear" w:color="auto" w:fill="EAEAEA"/>
          </w:tcPr>
          <w:p>
            <w:pPr>
              <w:ind w:left="40"/>
              <w:spacing w:after="0"/>
              <w:rPr>
                <w:sz w:val="20"/>
                <w:szCs w:val="20"/>
                <w:color w:val="auto"/>
              </w:rPr>
            </w:pPr>
            <w:r>
              <w:rPr>
                <w:rFonts w:ascii="Arial" w:cs="Arial" w:eastAsia="Arial" w:hAnsi="Arial"/>
                <w:sz w:val="16"/>
                <w:szCs w:val="16"/>
                <w:color w:val="auto"/>
                <w:w w:val="78"/>
              </w:rPr>
              <w:t>2019</w:t>
            </w:r>
          </w:p>
        </w:tc>
        <w:tc>
          <w:tcPr>
            <w:tcW w:w="100" w:type="dxa"/>
            <w:vAlign w:val="bottom"/>
            <w:shd w:val="clear" w:color="auto" w:fill="EAEAEA"/>
          </w:tcPr>
          <w:p>
            <w:pPr>
              <w:spacing w:after="0"/>
              <w:rPr>
                <w:sz w:val="5"/>
                <w:szCs w:val="5"/>
                <w:color w:val="auto"/>
              </w:rPr>
            </w:pPr>
          </w:p>
        </w:tc>
        <w:tc>
          <w:tcPr>
            <w:tcW w:w="840" w:type="dxa"/>
            <w:vAlign w:val="bottom"/>
            <w:vMerge w:val="restart"/>
          </w:tcPr>
          <w:p>
            <w:pPr>
              <w:jc w:val="right"/>
              <w:ind w:right="2"/>
              <w:spacing w:after="0"/>
              <w:rPr>
                <w:sz w:val="20"/>
                <w:szCs w:val="20"/>
                <w:color w:val="auto"/>
              </w:rPr>
            </w:pPr>
            <w:r>
              <w:rPr>
                <w:rFonts w:ascii="Arial" w:cs="Arial" w:eastAsia="Arial" w:hAnsi="Arial"/>
                <w:sz w:val="16"/>
                <w:szCs w:val="16"/>
                <w:color w:val="auto"/>
              </w:rPr>
              <w:t>456,154</w:t>
            </w:r>
          </w:p>
        </w:tc>
        <w:tc>
          <w:tcPr>
            <w:tcW w:w="140" w:type="dxa"/>
            <w:vAlign w:val="bottom"/>
            <w:shd w:val="clear" w:color="auto" w:fill="EAEAEA"/>
          </w:tcPr>
          <w:p>
            <w:pPr>
              <w:spacing w:after="0"/>
              <w:rPr>
                <w:sz w:val="5"/>
                <w:szCs w:val="5"/>
                <w:color w:val="auto"/>
              </w:rPr>
            </w:pPr>
          </w:p>
        </w:tc>
        <w:tc>
          <w:tcPr>
            <w:tcW w:w="500" w:type="dxa"/>
            <w:vAlign w:val="bottom"/>
            <w:vMerge w:val="restart"/>
            <w:shd w:val="clear" w:color="auto" w:fill="EAEAEA"/>
          </w:tcPr>
          <w:p>
            <w:pPr>
              <w:ind w:left="36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EAEAEA"/>
          </w:tcPr>
          <w:p>
            <w:pPr>
              <w:spacing w:after="0"/>
              <w:rPr>
                <w:sz w:val="5"/>
                <w:szCs w:val="5"/>
                <w:color w:val="auto"/>
              </w:rPr>
            </w:pPr>
          </w:p>
        </w:tc>
        <w:tc>
          <w:tcPr>
            <w:tcW w:w="840" w:type="dxa"/>
            <w:vAlign w:val="bottom"/>
            <w:vMerge w:val="restart"/>
          </w:tcPr>
          <w:p>
            <w:pPr>
              <w:jc w:val="right"/>
              <w:ind w:right="2"/>
              <w:spacing w:after="0"/>
              <w:rPr>
                <w:sz w:val="20"/>
                <w:szCs w:val="20"/>
                <w:color w:val="auto"/>
              </w:rPr>
            </w:pPr>
            <w:r>
              <w:rPr>
                <w:rFonts w:ascii="Arial" w:cs="Arial" w:eastAsia="Arial" w:hAnsi="Arial"/>
                <w:sz w:val="16"/>
                <w:szCs w:val="16"/>
                <w:color w:val="auto"/>
              </w:rPr>
              <w:t>1,178,980</w:t>
            </w:r>
          </w:p>
        </w:tc>
        <w:tc>
          <w:tcPr>
            <w:tcW w:w="120" w:type="dxa"/>
            <w:vAlign w:val="bottom"/>
            <w:shd w:val="clear" w:color="auto" w:fill="EAEAEA"/>
          </w:tcPr>
          <w:p>
            <w:pPr>
              <w:spacing w:after="0"/>
              <w:rPr>
                <w:sz w:val="5"/>
                <w:szCs w:val="5"/>
                <w:color w:val="auto"/>
              </w:rPr>
            </w:pPr>
          </w:p>
        </w:tc>
        <w:tc>
          <w:tcPr>
            <w:tcW w:w="72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408,592</w:t>
            </w:r>
          </w:p>
        </w:tc>
        <w:tc>
          <w:tcPr>
            <w:tcW w:w="80" w:type="dxa"/>
            <w:vAlign w:val="bottom"/>
            <w:shd w:val="clear" w:color="auto" w:fill="EAEAEA"/>
          </w:tcPr>
          <w:p>
            <w:pPr>
              <w:spacing w:after="0"/>
              <w:rPr>
                <w:sz w:val="5"/>
                <w:szCs w:val="5"/>
                <w:color w:val="auto"/>
              </w:rPr>
            </w:pPr>
          </w:p>
        </w:tc>
        <w:tc>
          <w:tcPr>
            <w:tcW w:w="1160" w:type="dxa"/>
            <w:vAlign w:val="bottom"/>
            <w:vMerge w:val="restart"/>
          </w:tcPr>
          <w:p>
            <w:pPr>
              <w:jc w:val="right"/>
              <w:ind w:right="2"/>
              <w:spacing w:after="0"/>
              <w:rPr>
                <w:sz w:val="20"/>
                <w:szCs w:val="20"/>
                <w:color w:val="auto"/>
              </w:rPr>
            </w:pPr>
            <w:r>
              <w:rPr>
                <w:rFonts w:ascii="Arial" w:cs="Arial" w:eastAsia="Arial" w:hAnsi="Arial"/>
                <w:sz w:val="16"/>
                <w:szCs w:val="16"/>
                <w:color w:val="auto"/>
              </w:rPr>
              <w:t>395,809</w:t>
            </w:r>
          </w:p>
        </w:tc>
        <w:tc>
          <w:tcPr>
            <w:tcW w:w="160" w:type="dxa"/>
            <w:vAlign w:val="bottom"/>
            <w:shd w:val="clear" w:color="auto" w:fill="EAEAEA"/>
          </w:tcPr>
          <w:p>
            <w:pPr>
              <w:spacing w:after="0"/>
              <w:rPr>
                <w:sz w:val="5"/>
                <w:szCs w:val="5"/>
                <w:color w:val="auto"/>
              </w:rPr>
            </w:pPr>
          </w:p>
        </w:tc>
        <w:tc>
          <w:tcPr>
            <w:tcW w:w="90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103,098</w:t>
            </w:r>
          </w:p>
        </w:tc>
        <w:tc>
          <w:tcPr>
            <w:tcW w:w="100" w:type="dxa"/>
            <w:vAlign w:val="bottom"/>
            <w:shd w:val="clear" w:color="auto" w:fill="EAEAEA"/>
          </w:tcPr>
          <w:p>
            <w:pPr>
              <w:spacing w:after="0"/>
              <w:rPr>
                <w:sz w:val="5"/>
                <w:szCs w:val="5"/>
                <w:color w:val="auto"/>
              </w:rPr>
            </w:pPr>
          </w:p>
        </w:tc>
        <w:tc>
          <w:tcPr>
            <w:tcW w:w="920" w:type="dxa"/>
            <w:vAlign w:val="bottom"/>
            <w:vMerge w:val="restart"/>
          </w:tcPr>
          <w:p>
            <w:pPr>
              <w:jc w:val="right"/>
              <w:ind w:right="2"/>
              <w:spacing w:after="0"/>
              <w:rPr>
                <w:sz w:val="20"/>
                <w:szCs w:val="20"/>
                <w:color w:val="auto"/>
              </w:rPr>
            </w:pPr>
            <w:r>
              <w:rPr>
                <w:rFonts w:ascii="Arial" w:cs="Arial" w:eastAsia="Arial" w:hAnsi="Arial"/>
                <w:sz w:val="16"/>
                <w:szCs w:val="16"/>
                <w:color w:val="auto"/>
              </w:rPr>
              <w:t>2,542,633</w:t>
            </w:r>
          </w:p>
        </w:tc>
        <w:tc>
          <w:tcPr>
            <w:tcW w:w="0" w:type="dxa"/>
            <w:vAlign w:val="bottom"/>
          </w:tcPr>
          <w:p>
            <w:pPr>
              <w:spacing w:after="0"/>
              <w:rPr>
                <w:sz w:val="1"/>
                <w:szCs w:val="1"/>
                <w:color w:val="auto"/>
              </w:rPr>
            </w:pPr>
          </w:p>
        </w:tc>
      </w:tr>
      <w:tr>
        <w:trPr>
          <w:trHeight w:val="198"/>
        </w:trPr>
        <w:tc>
          <w:tcPr>
            <w:tcW w:w="3120" w:type="dxa"/>
            <w:vAlign w:val="bottom"/>
            <w:tcBorders>
              <w:bottom w:val="single" w:sz="8" w:color="0066BA"/>
            </w:tcBorders>
          </w:tcPr>
          <w:p>
            <w:pPr>
              <w:spacing w:after="0"/>
              <w:rPr>
                <w:sz w:val="17"/>
                <w:szCs w:val="17"/>
                <w:color w:val="auto"/>
              </w:rPr>
            </w:pPr>
          </w:p>
        </w:tc>
        <w:tc>
          <w:tcPr>
            <w:tcW w:w="140" w:type="dxa"/>
            <w:vAlign w:val="bottom"/>
            <w:tcBorders>
              <w:bottom w:val="single" w:sz="8" w:color="0066BA"/>
            </w:tcBorders>
            <w:shd w:val="clear" w:color="auto" w:fill="EAEAEA"/>
          </w:tcPr>
          <w:p>
            <w:pPr>
              <w:spacing w:after="0"/>
              <w:rPr>
                <w:sz w:val="17"/>
                <w:szCs w:val="17"/>
                <w:color w:val="auto"/>
              </w:rPr>
            </w:pPr>
          </w:p>
        </w:tc>
        <w:tc>
          <w:tcPr>
            <w:tcW w:w="340" w:type="dxa"/>
            <w:vAlign w:val="bottom"/>
            <w:tcBorders>
              <w:bottom w:val="single" w:sz="8" w:color="0066BA"/>
            </w:tcBorders>
            <w:vMerge w:val="continue"/>
            <w:shd w:val="clear" w:color="auto" w:fill="EAEAEA"/>
          </w:tcPr>
          <w:p>
            <w:pPr>
              <w:spacing w:after="0"/>
              <w:rPr>
                <w:sz w:val="17"/>
                <w:szCs w:val="17"/>
                <w:color w:val="auto"/>
              </w:rPr>
            </w:pPr>
          </w:p>
        </w:tc>
        <w:tc>
          <w:tcPr>
            <w:tcW w:w="100" w:type="dxa"/>
            <w:vAlign w:val="bottom"/>
            <w:tcBorders>
              <w:bottom w:val="single" w:sz="8" w:color="0066BA"/>
            </w:tcBorders>
            <w:shd w:val="clear" w:color="auto" w:fill="EAEAEA"/>
          </w:tcPr>
          <w:p>
            <w:pPr>
              <w:spacing w:after="0"/>
              <w:rPr>
                <w:sz w:val="17"/>
                <w:szCs w:val="17"/>
                <w:color w:val="auto"/>
              </w:rPr>
            </w:pPr>
          </w:p>
        </w:tc>
        <w:tc>
          <w:tcPr>
            <w:tcW w:w="840" w:type="dxa"/>
            <w:vAlign w:val="bottom"/>
            <w:tcBorders>
              <w:bottom w:val="single" w:sz="8" w:color="0066BA"/>
            </w:tcBorders>
            <w:vMerge w:val="continue"/>
          </w:tcPr>
          <w:p>
            <w:pPr>
              <w:spacing w:after="0"/>
              <w:rPr>
                <w:sz w:val="17"/>
                <w:szCs w:val="17"/>
                <w:color w:val="auto"/>
              </w:rPr>
            </w:pPr>
          </w:p>
        </w:tc>
        <w:tc>
          <w:tcPr>
            <w:tcW w:w="140" w:type="dxa"/>
            <w:vAlign w:val="bottom"/>
            <w:tcBorders>
              <w:bottom w:val="single" w:sz="8" w:color="0066BA"/>
            </w:tcBorders>
            <w:shd w:val="clear" w:color="auto" w:fill="EAEAEA"/>
          </w:tcPr>
          <w:p>
            <w:pPr>
              <w:spacing w:after="0"/>
              <w:rPr>
                <w:sz w:val="17"/>
                <w:szCs w:val="17"/>
                <w:color w:val="auto"/>
              </w:rPr>
            </w:pPr>
          </w:p>
        </w:tc>
        <w:tc>
          <w:tcPr>
            <w:tcW w:w="500" w:type="dxa"/>
            <w:vAlign w:val="bottom"/>
            <w:tcBorders>
              <w:bottom w:val="single" w:sz="8" w:color="0066BA"/>
            </w:tcBorders>
            <w:vMerge w:val="continue"/>
            <w:shd w:val="clear" w:color="auto" w:fill="EAEAEA"/>
          </w:tcPr>
          <w:p>
            <w:pPr>
              <w:spacing w:after="0"/>
              <w:rPr>
                <w:sz w:val="17"/>
                <w:szCs w:val="17"/>
                <w:color w:val="auto"/>
              </w:rPr>
            </w:pPr>
          </w:p>
        </w:tc>
        <w:tc>
          <w:tcPr>
            <w:tcW w:w="100" w:type="dxa"/>
            <w:vAlign w:val="bottom"/>
            <w:tcBorders>
              <w:bottom w:val="single" w:sz="8" w:color="0066BA"/>
            </w:tcBorders>
            <w:shd w:val="clear" w:color="auto" w:fill="EAEAEA"/>
          </w:tcPr>
          <w:p>
            <w:pPr>
              <w:spacing w:after="0"/>
              <w:rPr>
                <w:sz w:val="17"/>
                <w:szCs w:val="17"/>
                <w:color w:val="auto"/>
              </w:rPr>
            </w:pPr>
          </w:p>
        </w:tc>
        <w:tc>
          <w:tcPr>
            <w:tcW w:w="840" w:type="dxa"/>
            <w:vAlign w:val="bottom"/>
            <w:tcBorders>
              <w:bottom w:val="single" w:sz="8" w:color="0066BA"/>
            </w:tcBorders>
            <w:vMerge w:val="continue"/>
          </w:tcPr>
          <w:p>
            <w:pPr>
              <w:spacing w:after="0"/>
              <w:rPr>
                <w:sz w:val="17"/>
                <w:szCs w:val="17"/>
                <w:color w:val="auto"/>
              </w:rPr>
            </w:pPr>
          </w:p>
        </w:tc>
        <w:tc>
          <w:tcPr>
            <w:tcW w:w="120" w:type="dxa"/>
            <w:vAlign w:val="bottom"/>
            <w:tcBorders>
              <w:bottom w:val="single" w:sz="8" w:color="0066BA"/>
            </w:tcBorders>
            <w:shd w:val="clear" w:color="auto" w:fill="EAEAEA"/>
          </w:tcPr>
          <w:p>
            <w:pPr>
              <w:spacing w:after="0"/>
              <w:rPr>
                <w:sz w:val="17"/>
                <w:szCs w:val="17"/>
                <w:color w:val="auto"/>
              </w:rPr>
            </w:pPr>
          </w:p>
        </w:tc>
        <w:tc>
          <w:tcPr>
            <w:tcW w:w="720" w:type="dxa"/>
            <w:vAlign w:val="bottom"/>
            <w:tcBorders>
              <w:bottom w:val="single" w:sz="8" w:color="0066BA"/>
            </w:tcBorders>
            <w:vMerge w:val="continue"/>
            <w:shd w:val="clear" w:color="auto" w:fill="EAEAEA"/>
          </w:tcPr>
          <w:p>
            <w:pPr>
              <w:spacing w:after="0"/>
              <w:rPr>
                <w:sz w:val="17"/>
                <w:szCs w:val="17"/>
                <w:color w:val="auto"/>
              </w:rPr>
            </w:pPr>
          </w:p>
        </w:tc>
        <w:tc>
          <w:tcPr>
            <w:tcW w:w="80" w:type="dxa"/>
            <w:vAlign w:val="bottom"/>
            <w:tcBorders>
              <w:bottom w:val="single" w:sz="8" w:color="0066BA"/>
            </w:tcBorders>
            <w:shd w:val="clear" w:color="auto" w:fill="EAEAEA"/>
          </w:tcPr>
          <w:p>
            <w:pPr>
              <w:spacing w:after="0"/>
              <w:rPr>
                <w:sz w:val="17"/>
                <w:szCs w:val="17"/>
                <w:color w:val="auto"/>
              </w:rPr>
            </w:pPr>
          </w:p>
        </w:tc>
        <w:tc>
          <w:tcPr>
            <w:tcW w:w="1160" w:type="dxa"/>
            <w:vAlign w:val="bottom"/>
            <w:tcBorders>
              <w:bottom w:val="single" w:sz="8" w:color="0066BA"/>
            </w:tcBorders>
            <w:vMerge w:val="continue"/>
          </w:tcPr>
          <w:p>
            <w:pPr>
              <w:spacing w:after="0"/>
              <w:rPr>
                <w:sz w:val="17"/>
                <w:szCs w:val="17"/>
                <w:color w:val="auto"/>
              </w:rPr>
            </w:pPr>
          </w:p>
        </w:tc>
        <w:tc>
          <w:tcPr>
            <w:tcW w:w="160" w:type="dxa"/>
            <w:vAlign w:val="bottom"/>
            <w:tcBorders>
              <w:bottom w:val="single" w:sz="8" w:color="0066BA"/>
            </w:tcBorders>
            <w:shd w:val="clear" w:color="auto" w:fill="EAEAEA"/>
          </w:tcPr>
          <w:p>
            <w:pPr>
              <w:spacing w:after="0"/>
              <w:rPr>
                <w:sz w:val="17"/>
                <w:szCs w:val="17"/>
                <w:color w:val="auto"/>
              </w:rPr>
            </w:pPr>
          </w:p>
        </w:tc>
        <w:tc>
          <w:tcPr>
            <w:tcW w:w="900" w:type="dxa"/>
            <w:vAlign w:val="bottom"/>
            <w:tcBorders>
              <w:bottom w:val="single" w:sz="8" w:color="0066BA"/>
            </w:tcBorders>
            <w:vMerge w:val="continue"/>
            <w:shd w:val="clear" w:color="auto" w:fill="EAEAEA"/>
          </w:tcPr>
          <w:p>
            <w:pPr>
              <w:spacing w:after="0"/>
              <w:rPr>
                <w:sz w:val="17"/>
                <w:szCs w:val="17"/>
                <w:color w:val="auto"/>
              </w:rPr>
            </w:pPr>
          </w:p>
        </w:tc>
        <w:tc>
          <w:tcPr>
            <w:tcW w:w="100" w:type="dxa"/>
            <w:vAlign w:val="bottom"/>
            <w:tcBorders>
              <w:bottom w:val="single" w:sz="8" w:color="0066BA"/>
            </w:tcBorders>
            <w:shd w:val="clear" w:color="auto" w:fill="EAEAEA"/>
          </w:tcPr>
          <w:p>
            <w:pPr>
              <w:spacing w:after="0"/>
              <w:rPr>
                <w:sz w:val="17"/>
                <w:szCs w:val="17"/>
                <w:color w:val="auto"/>
              </w:rPr>
            </w:pPr>
          </w:p>
        </w:tc>
        <w:tc>
          <w:tcPr>
            <w:tcW w:w="920" w:type="dxa"/>
            <w:vAlign w:val="bottom"/>
            <w:tcBorders>
              <w:bottom w:val="single" w:sz="8" w:color="0066BA"/>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120" w:type="dxa"/>
            <w:vAlign w:val="bottom"/>
          </w:tcPr>
          <w:p>
            <w:pPr>
              <w:ind w:left="100"/>
              <w:spacing w:after="0" w:line="181" w:lineRule="exact"/>
              <w:rPr>
                <w:sz w:val="20"/>
                <w:szCs w:val="20"/>
                <w:color w:val="auto"/>
              </w:rPr>
            </w:pPr>
            <w:r>
              <w:rPr>
                <w:rFonts w:ascii="Arial" w:cs="Arial" w:eastAsia="Arial" w:hAnsi="Arial"/>
                <w:sz w:val="16"/>
                <w:szCs w:val="16"/>
                <w:b w:val="1"/>
                <w:bCs w:val="1"/>
                <w:color w:val="0066BA"/>
              </w:rPr>
              <w:t>John Hassett</w:t>
            </w:r>
          </w:p>
        </w:tc>
        <w:tc>
          <w:tcPr>
            <w:tcW w:w="140" w:type="dxa"/>
            <w:vAlign w:val="bottom"/>
            <w:shd w:val="clear" w:color="auto" w:fill="EAEAEA"/>
          </w:tcPr>
          <w:p>
            <w:pPr>
              <w:spacing w:after="0"/>
              <w:rPr>
                <w:sz w:val="15"/>
                <w:szCs w:val="15"/>
                <w:color w:val="auto"/>
              </w:rPr>
            </w:pPr>
          </w:p>
        </w:tc>
        <w:tc>
          <w:tcPr>
            <w:tcW w:w="340" w:type="dxa"/>
            <w:vAlign w:val="bottom"/>
            <w:vMerge w:val="restart"/>
            <w:shd w:val="clear" w:color="auto" w:fill="EAEAEA"/>
          </w:tcPr>
          <w:p>
            <w:pPr>
              <w:ind w:left="40"/>
              <w:spacing w:after="0"/>
              <w:rPr>
                <w:sz w:val="20"/>
                <w:szCs w:val="20"/>
                <w:color w:val="auto"/>
              </w:rPr>
            </w:pPr>
            <w:r>
              <w:rPr>
                <w:rFonts w:ascii="Arial" w:cs="Arial" w:eastAsia="Arial" w:hAnsi="Arial"/>
                <w:sz w:val="16"/>
                <w:szCs w:val="16"/>
                <w:color w:val="auto"/>
                <w:w w:val="78"/>
              </w:rPr>
              <w:t>2021</w:t>
            </w:r>
          </w:p>
        </w:tc>
        <w:tc>
          <w:tcPr>
            <w:tcW w:w="100" w:type="dxa"/>
            <w:vAlign w:val="bottom"/>
            <w:shd w:val="clear" w:color="auto" w:fill="EAEAEA"/>
          </w:tcPr>
          <w:p>
            <w:pPr>
              <w:spacing w:after="0"/>
              <w:rPr>
                <w:sz w:val="15"/>
                <w:szCs w:val="15"/>
                <w:color w:val="auto"/>
              </w:rPr>
            </w:pPr>
          </w:p>
        </w:tc>
        <w:tc>
          <w:tcPr>
            <w:tcW w:w="840" w:type="dxa"/>
            <w:vAlign w:val="bottom"/>
            <w:vMerge w:val="restart"/>
          </w:tcPr>
          <w:p>
            <w:pPr>
              <w:jc w:val="right"/>
              <w:ind w:right="2"/>
              <w:spacing w:after="0"/>
              <w:rPr>
                <w:sz w:val="20"/>
                <w:szCs w:val="20"/>
                <w:color w:val="auto"/>
              </w:rPr>
            </w:pPr>
            <w:r>
              <w:rPr>
                <w:rFonts w:ascii="Arial" w:cs="Arial" w:eastAsia="Arial" w:hAnsi="Arial"/>
                <w:sz w:val="16"/>
                <w:szCs w:val="16"/>
                <w:color w:val="auto"/>
              </w:rPr>
              <w:t>475,000</w:t>
            </w:r>
          </w:p>
        </w:tc>
        <w:tc>
          <w:tcPr>
            <w:tcW w:w="140" w:type="dxa"/>
            <w:vAlign w:val="bottom"/>
            <w:shd w:val="clear" w:color="auto" w:fill="EAEAEA"/>
          </w:tcPr>
          <w:p>
            <w:pPr>
              <w:spacing w:after="0"/>
              <w:rPr>
                <w:sz w:val="15"/>
                <w:szCs w:val="15"/>
                <w:color w:val="auto"/>
              </w:rPr>
            </w:pPr>
          </w:p>
        </w:tc>
        <w:tc>
          <w:tcPr>
            <w:tcW w:w="500" w:type="dxa"/>
            <w:vAlign w:val="bottom"/>
            <w:vMerge w:val="restart"/>
            <w:shd w:val="clear" w:color="auto" w:fill="EAEAEA"/>
          </w:tcPr>
          <w:p>
            <w:pPr>
              <w:ind w:left="36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EAEAEA"/>
          </w:tcPr>
          <w:p>
            <w:pPr>
              <w:spacing w:after="0"/>
              <w:rPr>
                <w:sz w:val="15"/>
                <w:szCs w:val="15"/>
                <w:color w:val="auto"/>
              </w:rPr>
            </w:pPr>
          </w:p>
        </w:tc>
        <w:tc>
          <w:tcPr>
            <w:tcW w:w="840" w:type="dxa"/>
            <w:vAlign w:val="bottom"/>
            <w:vMerge w:val="restart"/>
          </w:tcPr>
          <w:p>
            <w:pPr>
              <w:jc w:val="right"/>
              <w:ind w:right="2"/>
              <w:spacing w:after="0"/>
              <w:rPr>
                <w:sz w:val="20"/>
                <w:szCs w:val="20"/>
                <w:color w:val="auto"/>
              </w:rPr>
            </w:pPr>
            <w:r>
              <w:rPr>
                <w:rFonts w:ascii="Arial" w:cs="Arial" w:eastAsia="Arial" w:hAnsi="Arial"/>
                <w:sz w:val="16"/>
                <w:szCs w:val="16"/>
                <w:color w:val="auto"/>
              </w:rPr>
              <w:t>3,574,729</w:t>
            </w:r>
          </w:p>
        </w:tc>
        <w:tc>
          <w:tcPr>
            <w:tcW w:w="120" w:type="dxa"/>
            <w:vAlign w:val="bottom"/>
            <w:shd w:val="clear" w:color="auto" w:fill="EAEAEA"/>
          </w:tcPr>
          <w:p>
            <w:pPr>
              <w:spacing w:after="0"/>
              <w:rPr>
                <w:sz w:val="15"/>
                <w:szCs w:val="15"/>
                <w:color w:val="auto"/>
              </w:rPr>
            </w:pPr>
          </w:p>
        </w:tc>
        <w:tc>
          <w:tcPr>
            <w:tcW w:w="72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546,179</w:t>
            </w:r>
          </w:p>
        </w:tc>
        <w:tc>
          <w:tcPr>
            <w:tcW w:w="80" w:type="dxa"/>
            <w:vAlign w:val="bottom"/>
            <w:shd w:val="clear" w:color="auto" w:fill="EAEAEA"/>
          </w:tcPr>
          <w:p>
            <w:pPr>
              <w:spacing w:after="0"/>
              <w:rPr>
                <w:sz w:val="15"/>
                <w:szCs w:val="15"/>
                <w:color w:val="auto"/>
              </w:rPr>
            </w:pPr>
          </w:p>
        </w:tc>
        <w:tc>
          <w:tcPr>
            <w:tcW w:w="1160" w:type="dxa"/>
            <w:vAlign w:val="bottom"/>
            <w:vMerge w:val="restart"/>
          </w:tcPr>
          <w:p>
            <w:pPr>
              <w:jc w:val="right"/>
              <w:ind w:right="2"/>
              <w:spacing w:after="0"/>
              <w:rPr>
                <w:sz w:val="20"/>
                <w:szCs w:val="20"/>
                <w:color w:val="auto"/>
              </w:rPr>
            </w:pPr>
            <w:r>
              <w:rPr>
                <w:rFonts w:ascii="Arial" w:cs="Arial" w:eastAsia="Arial" w:hAnsi="Arial"/>
                <w:sz w:val="16"/>
                <w:szCs w:val="16"/>
                <w:color w:val="auto"/>
              </w:rPr>
              <w:t>1,200,654</w:t>
            </w:r>
          </w:p>
        </w:tc>
        <w:tc>
          <w:tcPr>
            <w:tcW w:w="160" w:type="dxa"/>
            <w:vAlign w:val="bottom"/>
            <w:shd w:val="clear" w:color="auto" w:fill="EAEAEA"/>
          </w:tcPr>
          <w:p>
            <w:pPr>
              <w:spacing w:after="0"/>
              <w:rPr>
                <w:sz w:val="15"/>
                <w:szCs w:val="15"/>
                <w:color w:val="auto"/>
              </w:rPr>
            </w:pPr>
          </w:p>
        </w:tc>
        <w:tc>
          <w:tcPr>
            <w:tcW w:w="90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53,963</w:t>
            </w:r>
          </w:p>
        </w:tc>
        <w:tc>
          <w:tcPr>
            <w:tcW w:w="100" w:type="dxa"/>
            <w:vAlign w:val="bottom"/>
            <w:shd w:val="clear" w:color="auto" w:fill="EAEAEA"/>
          </w:tcPr>
          <w:p>
            <w:pPr>
              <w:spacing w:after="0"/>
              <w:rPr>
                <w:sz w:val="15"/>
                <w:szCs w:val="15"/>
                <w:color w:val="auto"/>
              </w:rPr>
            </w:pPr>
          </w:p>
        </w:tc>
        <w:tc>
          <w:tcPr>
            <w:tcW w:w="920" w:type="dxa"/>
            <w:vAlign w:val="bottom"/>
            <w:vMerge w:val="restart"/>
          </w:tcPr>
          <w:p>
            <w:pPr>
              <w:jc w:val="right"/>
              <w:ind w:right="2"/>
              <w:spacing w:after="0"/>
              <w:rPr>
                <w:sz w:val="20"/>
                <w:szCs w:val="20"/>
                <w:color w:val="auto"/>
              </w:rPr>
            </w:pPr>
            <w:r>
              <w:rPr>
                <w:rFonts w:ascii="Arial" w:cs="Arial" w:eastAsia="Arial" w:hAnsi="Arial"/>
                <w:sz w:val="16"/>
                <w:szCs w:val="16"/>
                <w:color w:val="auto"/>
              </w:rPr>
              <w:t>5,850,525</w:t>
            </w:r>
          </w:p>
        </w:tc>
        <w:tc>
          <w:tcPr>
            <w:tcW w:w="0" w:type="dxa"/>
            <w:vAlign w:val="bottom"/>
          </w:tcPr>
          <w:p>
            <w:pPr>
              <w:spacing w:after="0"/>
              <w:rPr>
                <w:sz w:val="1"/>
                <w:szCs w:val="1"/>
                <w:color w:val="auto"/>
              </w:rPr>
            </w:pPr>
          </w:p>
        </w:tc>
      </w:tr>
      <w:tr>
        <w:trPr>
          <w:trHeight w:val="85"/>
        </w:trPr>
        <w:tc>
          <w:tcPr>
            <w:tcW w:w="3120" w:type="dxa"/>
            <w:vAlign w:val="bottom"/>
            <w:vMerge w:val="restart"/>
          </w:tcPr>
          <w:p>
            <w:pPr>
              <w:ind w:left="100"/>
              <w:spacing w:after="0"/>
              <w:rPr>
                <w:sz w:val="20"/>
                <w:szCs w:val="20"/>
                <w:color w:val="auto"/>
              </w:rPr>
            </w:pPr>
            <w:r>
              <w:rPr>
                <w:rFonts w:ascii="Arial" w:cs="Arial" w:eastAsia="Arial" w:hAnsi="Arial"/>
                <w:sz w:val="16"/>
                <w:szCs w:val="16"/>
                <w:color w:val="auto"/>
              </w:rPr>
              <w:t>Senior Vice President,</w:t>
            </w:r>
          </w:p>
        </w:tc>
        <w:tc>
          <w:tcPr>
            <w:tcW w:w="140" w:type="dxa"/>
            <w:vAlign w:val="bottom"/>
            <w:tcBorders>
              <w:bottom w:val="single" w:sz="8" w:color="auto"/>
            </w:tcBorders>
            <w:shd w:val="clear" w:color="auto" w:fill="EAEAEA"/>
          </w:tcPr>
          <w:p>
            <w:pPr>
              <w:spacing w:after="0"/>
              <w:rPr>
                <w:sz w:val="7"/>
                <w:szCs w:val="7"/>
                <w:color w:val="auto"/>
              </w:rPr>
            </w:pPr>
          </w:p>
        </w:tc>
        <w:tc>
          <w:tcPr>
            <w:tcW w:w="340" w:type="dxa"/>
            <w:vAlign w:val="bottom"/>
            <w:tcBorders>
              <w:bottom w:val="single" w:sz="8" w:color="auto"/>
            </w:tcBorders>
            <w:vMerge w:val="continue"/>
            <w:shd w:val="clear" w:color="auto" w:fill="EAEAEA"/>
          </w:tcPr>
          <w:p>
            <w:pPr>
              <w:spacing w:after="0"/>
              <w:rPr>
                <w:sz w:val="7"/>
                <w:szCs w:val="7"/>
                <w:color w:val="auto"/>
              </w:rPr>
            </w:pPr>
          </w:p>
        </w:tc>
        <w:tc>
          <w:tcPr>
            <w:tcW w:w="100" w:type="dxa"/>
            <w:vAlign w:val="bottom"/>
            <w:tcBorders>
              <w:bottom w:val="single" w:sz="8" w:color="auto"/>
            </w:tcBorders>
            <w:shd w:val="clear" w:color="auto" w:fill="EAEAEA"/>
          </w:tcPr>
          <w:p>
            <w:pPr>
              <w:spacing w:after="0"/>
              <w:rPr>
                <w:sz w:val="7"/>
                <w:szCs w:val="7"/>
                <w:color w:val="auto"/>
              </w:rPr>
            </w:pPr>
          </w:p>
        </w:tc>
        <w:tc>
          <w:tcPr>
            <w:tcW w:w="840" w:type="dxa"/>
            <w:vAlign w:val="bottom"/>
            <w:tcBorders>
              <w:bottom w:val="single" w:sz="8" w:color="auto"/>
            </w:tcBorders>
            <w:vMerge w:val="continue"/>
          </w:tcPr>
          <w:p>
            <w:pPr>
              <w:spacing w:after="0"/>
              <w:rPr>
                <w:sz w:val="7"/>
                <w:szCs w:val="7"/>
                <w:color w:val="auto"/>
              </w:rPr>
            </w:pPr>
          </w:p>
        </w:tc>
        <w:tc>
          <w:tcPr>
            <w:tcW w:w="140" w:type="dxa"/>
            <w:vAlign w:val="bottom"/>
            <w:tcBorders>
              <w:bottom w:val="single" w:sz="8" w:color="auto"/>
            </w:tcBorders>
            <w:shd w:val="clear" w:color="auto" w:fill="EAEAEA"/>
          </w:tcPr>
          <w:p>
            <w:pPr>
              <w:spacing w:after="0"/>
              <w:rPr>
                <w:sz w:val="7"/>
                <w:szCs w:val="7"/>
                <w:color w:val="auto"/>
              </w:rPr>
            </w:pPr>
          </w:p>
        </w:tc>
        <w:tc>
          <w:tcPr>
            <w:tcW w:w="500" w:type="dxa"/>
            <w:vAlign w:val="bottom"/>
            <w:tcBorders>
              <w:bottom w:val="single" w:sz="8" w:color="auto"/>
            </w:tcBorders>
            <w:vMerge w:val="continue"/>
            <w:shd w:val="clear" w:color="auto" w:fill="EAEAEA"/>
          </w:tcPr>
          <w:p>
            <w:pPr>
              <w:spacing w:after="0"/>
              <w:rPr>
                <w:sz w:val="7"/>
                <w:szCs w:val="7"/>
                <w:color w:val="auto"/>
              </w:rPr>
            </w:pPr>
          </w:p>
        </w:tc>
        <w:tc>
          <w:tcPr>
            <w:tcW w:w="100" w:type="dxa"/>
            <w:vAlign w:val="bottom"/>
            <w:tcBorders>
              <w:bottom w:val="single" w:sz="8" w:color="auto"/>
            </w:tcBorders>
            <w:shd w:val="clear" w:color="auto" w:fill="EAEAEA"/>
          </w:tcPr>
          <w:p>
            <w:pPr>
              <w:spacing w:after="0"/>
              <w:rPr>
                <w:sz w:val="7"/>
                <w:szCs w:val="7"/>
                <w:color w:val="auto"/>
              </w:rPr>
            </w:pPr>
          </w:p>
        </w:tc>
        <w:tc>
          <w:tcPr>
            <w:tcW w:w="84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shd w:val="clear" w:color="auto" w:fill="EAEAEA"/>
          </w:tcPr>
          <w:p>
            <w:pPr>
              <w:spacing w:after="0"/>
              <w:rPr>
                <w:sz w:val="7"/>
                <w:szCs w:val="7"/>
                <w:color w:val="auto"/>
              </w:rPr>
            </w:pPr>
          </w:p>
        </w:tc>
        <w:tc>
          <w:tcPr>
            <w:tcW w:w="720" w:type="dxa"/>
            <w:vAlign w:val="bottom"/>
            <w:tcBorders>
              <w:bottom w:val="single" w:sz="8" w:color="auto"/>
            </w:tcBorders>
            <w:vMerge w:val="continue"/>
            <w:shd w:val="clear" w:color="auto" w:fill="EAEAEA"/>
          </w:tcPr>
          <w:p>
            <w:pPr>
              <w:spacing w:after="0"/>
              <w:rPr>
                <w:sz w:val="7"/>
                <w:szCs w:val="7"/>
                <w:color w:val="auto"/>
              </w:rPr>
            </w:pPr>
          </w:p>
        </w:tc>
        <w:tc>
          <w:tcPr>
            <w:tcW w:w="80" w:type="dxa"/>
            <w:vAlign w:val="bottom"/>
            <w:tcBorders>
              <w:bottom w:val="single" w:sz="8" w:color="auto"/>
            </w:tcBorders>
            <w:shd w:val="clear" w:color="auto" w:fill="EAEAEA"/>
          </w:tcPr>
          <w:p>
            <w:pPr>
              <w:spacing w:after="0"/>
              <w:rPr>
                <w:sz w:val="7"/>
                <w:szCs w:val="7"/>
                <w:color w:val="auto"/>
              </w:rPr>
            </w:pPr>
          </w:p>
        </w:tc>
        <w:tc>
          <w:tcPr>
            <w:tcW w:w="1160" w:type="dxa"/>
            <w:vAlign w:val="bottom"/>
            <w:tcBorders>
              <w:bottom w:val="single" w:sz="8" w:color="auto"/>
            </w:tcBorders>
            <w:vMerge w:val="continue"/>
          </w:tcPr>
          <w:p>
            <w:pPr>
              <w:spacing w:after="0"/>
              <w:rPr>
                <w:sz w:val="7"/>
                <w:szCs w:val="7"/>
                <w:color w:val="auto"/>
              </w:rPr>
            </w:pPr>
          </w:p>
        </w:tc>
        <w:tc>
          <w:tcPr>
            <w:tcW w:w="160" w:type="dxa"/>
            <w:vAlign w:val="bottom"/>
            <w:tcBorders>
              <w:bottom w:val="single" w:sz="8" w:color="auto"/>
            </w:tcBorders>
            <w:shd w:val="clear" w:color="auto" w:fill="EAEAEA"/>
          </w:tcPr>
          <w:p>
            <w:pPr>
              <w:spacing w:after="0"/>
              <w:rPr>
                <w:sz w:val="7"/>
                <w:szCs w:val="7"/>
                <w:color w:val="auto"/>
              </w:rPr>
            </w:pPr>
          </w:p>
        </w:tc>
        <w:tc>
          <w:tcPr>
            <w:tcW w:w="900" w:type="dxa"/>
            <w:vAlign w:val="bottom"/>
            <w:tcBorders>
              <w:bottom w:val="single" w:sz="8" w:color="auto"/>
            </w:tcBorders>
            <w:vMerge w:val="continue"/>
            <w:shd w:val="clear" w:color="auto" w:fill="EAEAEA"/>
          </w:tcPr>
          <w:p>
            <w:pPr>
              <w:spacing w:after="0"/>
              <w:rPr>
                <w:sz w:val="7"/>
                <w:szCs w:val="7"/>
                <w:color w:val="auto"/>
              </w:rPr>
            </w:pPr>
          </w:p>
        </w:tc>
        <w:tc>
          <w:tcPr>
            <w:tcW w:w="100" w:type="dxa"/>
            <w:vAlign w:val="bottom"/>
            <w:tcBorders>
              <w:bottom w:val="single" w:sz="8" w:color="auto"/>
            </w:tcBorders>
            <w:shd w:val="clear" w:color="auto" w:fill="EAEAEA"/>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120" w:type="dxa"/>
            <w:vAlign w:val="bottom"/>
            <w:vMerge w:val="continue"/>
          </w:tcPr>
          <w:p>
            <w:pPr>
              <w:spacing w:after="0"/>
              <w:rPr>
                <w:sz w:val="7"/>
                <w:szCs w:val="7"/>
                <w:color w:val="auto"/>
              </w:rPr>
            </w:pPr>
          </w:p>
        </w:tc>
        <w:tc>
          <w:tcPr>
            <w:tcW w:w="140" w:type="dxa"/>
            <w:vAlign w:val="bottom"/>
            <w:shd w:val="clear" w:color="auto" w:fill="EAEAEA"/>
          </w:tcPr>
          <w:p>
            <w:pPr>
              <w:spacing w:after="0"/>
              <w:rPr>
                <w:sz w:val="7"/>
                <w:szCs w:val="7"/>
                <w:color w:val="auto"/>
              </w:rPr>
            </w:pPr>
          </w:p>
        </w:tc>
        <w:tc>
          <w:tcPr>
            <w:tcW w:w="340" w:type="dxa"/>
            <w:vAlign w:val="bottom"/>
            <w:vMerge w:val="restart"/>
            <w:shd w:val="clear" w:color="auto" w:fill="EAEAEA"/>
          </w:tcPr>
          <w:p>
            <w:pPr>
              <w:ind w:left="40"/>
              <w:spacing w:after="0"/>
              <w:rPr>
                <w:sz w:val="20"/>
                <w:szCs w:val="20"/>
                <w:color w:val="auto"/>
              </w:rPr>
            </w:pPr>
            <w:r>
              <w:rPr>
                <w:rFonts w:ascii="Arial" w:cs="Arial" w:eastAsia="Arial" w:hAnsi="Arial"/>
                <w:sz w:val="16"/>
                <w:szCs w:val="16"/>
                <w:color w:val="auto"/>
                <w:w w:val="78"/>
              </w:rPr>
              <w:t>2020</w:t>
            </w:r>
          </w:p>
        </w:tc>
        <w:tc>
          <w:tcPr>
            <w:tcW w:w="100" w:type="dxa"/>
            <w:vAlign w:val="bottom"/>
            <w:shd w:val="clear" w:color="auto" w:fill="EAEAEA"/>
          </w:tcPr>
          <w:p>
            <w:pPr>
              <w:spacing w:after="0"/>
              <w:rPr>
                <w:sz w:val="7"/>
                <w:szCs w:val="7"/>
                <w:color w:val="auto"/>
              </w:rPr>
            </w:pPr>
          </w:p>
        </w:tc>
        <w:tc>
          <w:tcPr>
            <w:tcW w:w="840" w:type="dxa"/>
            <w:vAlign w:val="bottom"/>
            <w:vMerge w:val="restart"/>
          </w:tcPr>
          <w:p>
            <w:pPr>
              <w:jc w:val="right"/>
              <w:ind w:right="2"/>
              <w:spacing w:after="0"/>
              <w:rPr>
                <w:sz w:val="20"/>
                <w:szCs w:val="20"/>
                <w:color w:val="auto"/>
              </w:rPr>
            </w:pPr>
            <w:r>
              <w:rPr>
                <w:rFonts w:ascii="Arial" w:cs="Arial" w:eastAsia="Arial" w:hAnsi="Arial"/>
                <w:sz w:val="16"/>
                <w:szCs w:val="16"/>
                <w:color w:val="auto"/>
              </w:rPr>
              <w:t>475,000</w:t>
            </w:r>
          </w:p>
        </w:tc>
        <w:tc>
          <w:tcPr>
            <w:tcW w:w="140" w:type="dxa"/>
            <w:vAlign w:val="bottom"/>
            <w:shd w:val="clear" w:color="auto" w:fill="EAEAEA"/>
          </w:tcPr>
          <w:p>
            <w:pPr>
              <w:spacing w:after="0"/>
              <w:rPr>
                <w:sz w:val="7"/>
                <w:szCs w:val="7"/>
                <w:color w:val="auto"/>
              </w:rPr>
            </w:pPr>
          </w:p>
        </w:tc>
        <w:tc>
          <w:tcPr>
            <w:tcW w:w="500" w:type="dxa"/>
            <w:vAlign w:val="bottom"/>
            <w:vMerge w:val="restart"/>
            <w:shd w:val="clear" w:color="auto" w:fill="EAEAEA"/>
          </w:tcPr>
          <w:p>
            <w:pPr>
              <w:ind w:left="36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EAEAEA"/>
          </w:tcPr>
          <w:p>
            <w:pPr>
              <w:spacing w:after="0"/>
              <w:rPr>
                <w:sz w:val="7"/>
                <w:szCs w:val="7"/>
                <w:color w:val="auto"/>
              </w:rPr>
            </w:pPr>
          </w:p>
        </w:tc>
        <w:tc>
          <w:tcPr>
            <w:tcW w:w="840" w:type="dxa"/>
            <w:vAlign w:val="bottom"/>
            <w:vMerge w:val="restart"/>
          </w:tcPr>
          <w:p>
            <w:pPr>
              <w:jc w:val="right"/>
              <w:ind w:right="2"/>
              <w:spacing w:after="0"/>
              <w:rPr>
                <w:sz w:val="20"/>
                <w:szCs w:val="20"/>
                <w:color w:val="auto"/>
              </w:rPr>
            </w:pPr>
            <w:r>
              <w:rPr>
                <w:rFonts w:ascii="Arial" w:cs="Arial" w:eastAsia="Arial" w:hAnsi="Arial"/>
                <w:sz w:val="16"/>
                <w:szCs w:val="16"/>
                <w:color w:val="auto"/>
              </w:rPr>
              <w:t>1,351,289</w:t>
            </w:r>
          </w:p>
        </w:tc>
        <w:tc>
          <w:tcPr>
            <w:tcW w:w="120" w:type="dxa"/>
            <w:vAlign w:val="bottom"/>
            <w:shd w:val="clear" w:color="auto" w:fill="EAEAEA"/>
          </w:tcPr>
          <w:p>
            <w:pPr>
              <w:spacing w:after="0"/>
              <w:rPr>
                <w:sz w:val="7"/>
                <w:szCs w:val="7"/>
                <w:color w:val="auto"/>
              </w:rPr>
            </w:pPr>
          </w:p>
        </w:tc>
        <w:tc>
          <w:tcPr>
            <w:tcW w:w="72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447,305</w:t>
            </w:r>
          </w:p>
        </w:tc>
        <w:tc>
          <w:tcPr>
            <w:tcW w:w="80" w:type="dxa"/>
            <w:vAlign w:val="bottom"/>
            <w:shd w:val="clear" w:color="auto" w:fill="EAEAEA"/>
          </w:tcPr>
          <w:p>
            <w:pPr>
              <w:spacing w:after="0"/>
              <w:rPr>
                <w:sz w:val="7"/>
                <w:szCs w:val="7"/>
                <w:color w:val="auto"/>
              </w:rPr>
            </w:pPr>
          </w:p>
        </w:tc>
        <w:tc>
          <w:tcPr>
            <w:tcW w:w="1160" w:type="dxa"/>
            <w:vAlign w:val="bottom"/>
            <w:vMerge w:val="restart"/>
          </w:tcPr>
          <w:p>
            <w:pPr>
              <w:jc w:val="right"/>
              <w:ind w:right="2"/>
              <w:spacing w:after="0"/>
              <w:rPr>
                <w:sz w:val="20"/>
                <w:szCs w:val="20"/>
                <w:color w:val="auto"/>
              </w:rPr>
            </w:pPr>
            <w:r>
              <w:rPr>
                <w:rFonts w:ascii="Arial" w:cs="Arial" w:eastAsia="Arial" w:hAnsi="Arial"/>
                <w:sz w:val="16"/>
                <w:szCs w:val="16"/>
                <w:color w:val="auto"/>
              </w:rPr>
              <w:t>370,683</w:t>
            </w:r>
          </w:p>
        </w:tc>
        <w:tc>
          <w:tcPr>
            <w:tcW w:w="160" w:type="dxa"/>
            <w:vAlign w:val="bottom"/>
            <w:shd w:val="clear" w:color="auto" w:fill="EAEAEA"/>
          </w:tcPr>
          <w:p>
            <w:pPr>
              <w:spacing w:after="0"/>
              <w:rPr>
                <w:sz w:val="7"/>
                <w:szCs w:val="7"/>
                <w:color w:val="auto"/>
              </w:rPr>
            </w:pPr>
          </w:p>
        </w:tc>
        <w:tc>
          <w:tcPr>
            <w:tcW w:w="90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51,767</w:t>
            </w:r>
          </w:p>
        </w:tc>
        <w:tc>
          <w:tcPr>
            <w:tcW w:w="100" w:type="dxa"/>
            <w:vAlign w:val="bottom"/>
            <w:shd w:val="clear" w:color="auto" w:fill="EAEAEA"/>
          </w:tcPr>
          <w:p>
            <w:pPr>
              <w:spacing w:after="0"/>
              <w:rPr>
                <w:sz w:val="7"/>
                <w:szCs w:val="7"/>
                <w:color w:val="auto"/>
              </w:rPr>
            </w:pPr>
          </w:p>
        </w:tc>
        <w:tc>
          <w:tcPr>
            <w:tcW w:w="920" w:type="dxa"/>
            <w:vAlign w:val="bottom"/>
            <w:vMerge w:val="restart"/>
          </w:tcPr>
          <w:p>
            <w:pPr>
              <w:jc w:val="right"/>
              <w:ind w:right="2"/>
              <w:spacing w:after="0"/>
              <w:rPr>
                <w:sz w:val="20"/>
                <w:szCs w:val="20"/>
                <w:color w:val="auto"/>
              </w:rPr>
            </w:pPr>
            <w:r>
              <w:rPr>
                <w:rFonts w:ascii="Arial" w:cs="Arial" w:eastAsia="Arial" w:hAnsi="Arial"/>
                <w:sz w:val="16"/>
                <w:szCs w:val="16"/>
                <w:color w:val="auto"/>
              </w:rPr>
              <w:t>2,696,044</w:t>
            </w:r>
          </w:p>
        </w:tc>
        <w:tc>
          <w:tcPr>
            <w:tcW w:w="0" w:type="dxa"/>
            <w:vAlign w:val="bottom"/>
          </w:tcPr>
          <w:p>
            <w:pPr>
              <w:spacing w:after="0"/>
              <w:rPr>
                <w:sz w:val="1"/>
                <w:szCs w:val="1"/>
                <w:color w:val="auto"/>
              </w:rPr>
            </w:pPr>
          </w:p>
        </w:tc>
      </w:tr>
      <w:tr>
        <w:trPr>
          <w:trHeight w:val="192"/>
        </w:trPr>
        <w:tc>
          <w:tcPr>
            <w:tcW w:w="3120" w:type="dxa"/>
            <w:vAlign w:val="bottom"/>
          </w:tcPr>
          <w:p>
            <w:pPr>
              <w:ind w:left="100"/>
              <w:spacing w:after="0"/>
              <w:rPr>
                <w:sz w:val="20"/>
                <w:szCs w:val="20"/>
                <w:color w:val="auto"/>
              </w:rPr>
            </w:pPr>
            <w:r>
              <w:rPr>
                <w:rFonts w:ascii="Arial" w:cs="Arial" w:eastAsia="Arial" w:hAnsi="Arial"/>
                <w:sz w:val="16"/>
                <w:szCs w:val="16"/>
                <w:color w:val="auto"/>
              </w:rPr>
              <w:t>and Chief Operating Officer</w:t>
            </w:r>
          </w:p>
        </w:tc>
        <w:tc>
          <w:tcPr>
            <w:tcW w:w="140" w:type="dxa"/>
            <w:vAlign w:val="bottom"/>
            <w:tcBorders>
              <w:bottom w:val="single" w:sz="8" w:color="auto"/>
            </w:tcBorders>
            <w:shd w:val="clear" w:color="auto" w:fill="EAEAEA"/>
          </w:tcPr>
          <w:p>
            <w:pPr>
              <w:spacing w:after="0"/>
              <w:rPr>
                <w:sz w:val="16"/>
                <w:szCs w:val="16"/>
                <w:color w:val="auto"/>
              </w:rPr>
            </w:pPr>
          </w:p>
        </w:tc>
        <w:tc>
          <w:tcPr>
            <w:tcW w:w="340" w:type="dxa"/>
            <w:vAlign w:val="bottom"/>
            <w:tcBorders>
              <w:bottom w:val="single" w:sz="8" w:color="auto"/>
            </w:tcBorders>
            <w:vMerge w:val="continue"/>
            <w:shd w:val="clear" w:color="auto" w:fill="EAEAEA"/>
          </w:tcPr>
          <w:p>
            <w:pPr>
              <w:spacing w:after="0"/>
              <w:rPr>
                <w:sz w:val="16"/>
                <w:szCs w:val="16"/>
                <w:color w:val="auto"/>
              </w:rPr>
            </w:pPr>
          </w:p>
        </w:tc>
        <w:tc>
          <w:tcPr>
            <w:tcW w:w="100" w:type="dxa"/>
            <w:vAlign w:val="bottom"/>
            <w:tcBorders>
              <w:bottom w:val="single" w:sz="8" w:color="auto"/>
            </w:tcBorders>
            <w:shd w:val="clear" w:color="auto" w:fill="EAEAEA"/>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vMerge w:val="continue"/>
            <w:shd w:val="clear" w:color="auto" w:fill="EAEAEA"/>
          </w:tcPr>
          <w:p>
            <w:pPr>
              <w:spacing w:after="0"/>
              <w:rPr>
                <w:sz w:val="16"/>
                <w:szCs w:val="16"/>
                <w:color w:val="auto"/>
              </w:rPr>
            </w:pPr>
          </w:p>
        </w:tc>
        <w:tc>
          <w:tcPr>
            <w:tcW w:w="100" w:type="dxa"/>
            <w:vAlign w:val="bottom"/>
            <w:tcBorders>
              <w:bottom w:val="single" w:sz="8" w:color="auto"/>
            </w:tcBorders>
            <w:shd w:val="clear" w:color="auto" w:fill="EAEAEA"/>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vMerge w:val="continue"/>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shd w:val="clear" w:color="auto" w:fill="EAEAEA"/>
          </w:tcPr>
          <w:p>
            <w:pPr>
              <w:spacing w:after="0"/>
              <w:rPr>
                <w:sz w:val="16"/>
                <w:szCs w:val="16"/>
                <w:color w:val="auto"/>
              </w:rPr>
            </w:pPr>
          </w:p>
        </w:tc>
        <w:tc>
          <w:tcPr>
            <w:tcW w:w="900" w:type="dxa"/>
            <w:vAlign w:val="bottom"/>
            <w:tcBorders>
              <w:bottom w:val="single" w:sz="8" w:color="auto"/>
            </w:tcBorders>
            <w:vMerge w:val="continue"/>
            <w:shd w:val="clear" w:color="auto" w:fill="EAEAEA"/>
          </w:tcPr>
          <w:p>
            <w:pPr>
              <w:spacing w:after="0"/>
              <w:rPr>
                <w:sz w:val="16"/>
                <w:szCs w:val="16"/>
                <w:color w:val="auto"/>
              </w:rPr>
            </w:pPr>
          </w:p>
        </w:tc>
        <w:tc>
          <w:tcPr>
            <w:tcW w:w="100" w:type="dxa"/>
            <w:vAlign w:val="bottom"/>
            <w:tcBorders>
              <w:bottom w:val="single" w:sz="8" w:color="auto"/>
            </w:tcBorders>
            <w:shd w:val="clear" w:color="auto" w:fill="EAEAEA"/>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120" w:type="dxa"/>
            <w:vAlign w:val="bottom"/>
          </w:tcPr>
          <w:p>
            <w:pPr>
              <w:ind w:left="100"/>
              <w:spacing w:after="0" w:line="178" w:lineRule="exact"/>
              <w:rPr>
                <w:sz w:val="20"/>
                <w:szCs w:val="20"/>
                <w:color w:val="auto"/>
              </w:rPr>
            </w:pPr>
            <w:r>
              <w:rPr>
                <w:rFonts w:ascii="Arial" w:cs="Arial" w:eastAsia="Arial" w:hAnsi="Arial"/>
                <w:sz w:val="16"/>
                <w:szCs w:val="16"/>
                <w:color w:val="auto"/>
              </w:rPr>
              <w:t>of the Maxim Integrated</w:t>
            </w:r>
          </w:p>
        </w:tc>
        <w:tc>
          <w:tcPr>
            <w:tcW w:w="140" w:type="dxa"/>
            <w:vAlign w:val="bottom"/>
            <w:shd w:val="clear" w:color="auto" w:fill="EAEAEA"/>
          </w:tcPr>
          <w:p>
            <w:pPr>
              <w:spacing w:after="0"/>
              <w:rPr>
                <w:sz w:val="15"/>
                <w:szCs w:val="15"/>
                <w:color w:val="auto"/>
              </w:rPr>
            </w:pPr>
          </w:p>
        </w:tc>
        <w:tc>
          <w:tcPr>
            <w:tcW w:w="340" w:type="dxa"/>
            <w:vAlign w:val="bottom"/>
            <w:shd w:val="clear" w:color="auto" w:fill="EAEAEA"/>
          </w:tcPr>
          <w:p>
            <w:pPr>
              <w:spacing w:after="0"/>
              <w:rPr>
                <w:sz w:val="15"/>
                <w:szCs w:val="15"/>
                <w:color w:val="auto"/>
              </w:rPr>
            </w:pPr>
          </w:p>
        </w:tc>
        <w:tc>
          <w:tcPr>
            <w:tcW w:w="100" w:type="dxa"/>
            <w:vAlign w:val="bottom"/>
            <w:shd w:val="clear" w:color="auto" w:fill="EAEAEA"/>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shd w:val="clear" w:color="auto" w:fill="EAEAEA"/>
          </w:tcPr>
          <w:p>
            <w:pPr>
              <w:spacing w:after="0"/>
              <w:rPr>
                <w:sz w:val="15"/>
                <w:szCs w:val="15"/>
                <w:color w:val="auto"/>
              </w:rPr>
            </w:pPr>
          </w:p>
        </w:tc>
        <w:tc>
          <w:tcPr>
            <w:tcW w:w="500" w:type="dxa"/>
            <w:vAlign w:val="bottom"/>
            <w:shd w:val="clear" w:color="auto" w:fill="EAEAEA"/>
          </w:tcPr>
          <w:p>
            <w:pPr>
              <w:spacing w:after="0"/>
              <w:rPr>
                <w:sz w:val="15"/>
                <w:szCs w:val="15"/>
                <w:color w:val="auto"/>
              </w:rPr>
            </w:pPr>
          </w:p>
        </w:tc>
        <w:tc>
          <w:tcPr>
            <w:tcW w:w="100" w:type="dxa"/>
            <w:vAlign w:val="bottom"/>
            <w:shd w:val="clear" w:color="auto" w:fill="EAEAEA"/>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shd w:val="clear" w:color="auto" w:fill="EAEAEA"/>
          </w:tcPr>
          <w:p>
            <w:pPr>
              <w:spacing w:after="0"/>
              <w:rPr>
                <w:sz w:val="15"/>
                <w:szCs w:val="15"/>
                <w:color w:val="auto"/>
              </w:rPr>
            </w:pPr>
          </w:p>
        </w:tc>
        <w:tc>
          <w:tcPr>
            <w:tcW w:w="720" w:type="dxa"/>
            <w:vAlign w:val="bottom"/>
            <w:shd w:val="clear" w:color="auto" w:fill="EAEAEA"/>
          </w:tcPr>
          <w:p>
            <w:pPr>
              <w:spacing w:after="0"/>
              <w:rPr>
                <w:sz w:val="15"/>
                <w:szCs w:val="15"/>
                <w:color w:val="auto"/>
              </w:rPr>
            </w:pPr>
          </w:p>
        </w:tc>
        <w:tc>
          <w:tcPr>
            <w:tcW w:w="80" w:type="dxa"/>
            <w:vAlign w:val="bottom"/>
            <w:shd w:val="clear" w:color="auto" w:fill="EAEAEA"/>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shd w:val="clear" w:color="auto" w:fill="EAEAEA"/>
          </w:tcPr>
          <w:p>
            <w:pPr>
              <w:spacing w:after="0"/>
              <w:rPr>
                <w:sz w:val="15"/>
                <w:szCs w:val="15"/>
                <w:color w:val="auto"/>
              </w:rPr>
            </w:pPr>
          </w:p>
        </w:tc>
        <w:tc>
          <w:tcPr>
            <w:tcW w:w="900" w:type="dxa"/>
            <w:vAlign w:val="bottom"/>
            <w:shd w:val="clear" w:color="auto" w:fill="EAEAEA"/>
          </w:tcPr>
          <w:p>
            <w:pPr>
              <w:spacing w:after="0"/>
              <w:rPr>
                <w:sz w:val="15"/>
                <w:szCs w:val="15"/>
                <w:color w:val="auto"/>
              </w:rPr>
            </w:pPr>
          </w:p>
        </w:tc>
        <w:tc>
          <w:tcPr>
            <w:tcW w:w="100" w:type="dxa"/>
            <w:vAlign w:val="bottom"/>
            <w:shd w:val="clear" w:color="auto" w:fill="EAEAEA"/>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120" w:type="dxa"/>
            <w:vAlign w:val="bottom"/>
            <w:tcBorders>
              <w:bottom w:val="single" w:sz="8" w:color="0066BA"/>
            </w:tcBorders>
          </w:tcPr>
          <w:p>
            <w:pPr>
              <w:ind w:left="100"/>
              <w:spacing w:after="0"/>
              <w:rPr>
                <w:sz w:val="20"/>
                <w:szCs w:val="20"/>
                <w:color w:val="auto"/>
              </w:rPr>
            </w:pPr>
            <w:r>
              <w:rPr>
                <w:rFonts w:ascii="Arial" w:cs="Arial" w:eastAsia="Arial" w:hAnsi="Arial"/>
                <w:sz w:val="16"/>
                <w:szCs w:val="16"/>
                <w:color w:val="auto"/>
              </w:rPr>
              <w:t>Business (5)</w:t>
            </w:r>
          </w:p>
        </w:tc>
        <w:tc>
          <w:tcPr>
            <w:tcW w:w="140" w:type="dxa"/>
            <w:vAlign w:val="bottom"/>
            <w:tcBorders>
              <w:bottom w:val="single" w:sz="8" w:color="0066BA"/>
            </w:tcBorders>
            <w:shd w:val="clear" w:color="auto" w:fill="EAEAEA"/>
          </w:tcPr>
          <w:p>
            <w:pPr>
              <w:spacing w:after="0"/>
              <w:rPr>
                <w:sz w:val="18"/>
                <w:szCs w:val="18"/>
                <w:color w:val="auto"/>
              </w:rPr>
            </w:pPr>
          </w:p>
        </w:tc>
        <w:tc>
          <w:tcPr>
            <w:tcW w:w="340" w:type="dxa"/>
            <w:vAlign w:val="bottom"/>
            <w:tcBorders>
              <w:bottom w:val="single" w:sz="8" w:color="0066BA"/>
            </w:tcBorders>
            <w:shd w:val="clear" w:color="auto" w:fill="EAEAEA"/>
          </w:tcPr>
          <w:p>
            <w:pPr>
              <w:ind w:left="40"/>
              <w:spacing w:after="0"/>
              <w:rPr>
                <w:sz w:val="20"/>
                <w:szCs w:val="20"/>
                <w:color w:val="auto"/>
              </w:rPr>
            </w:pPr>
            <w:r>
              <w:rPr>
                <w:rFonts w:ascii="Arial" w:cs="Arial" w:eastAsia="Arial" w:hAnsi="Arial"/>
                <w:sz w:val="16"/>
                <w:szCs w:val="16"/>
                <w:color w:val="auto"/>
                <w:w w:val="78"/>
              </w:rPr>
              <w:t>2019</w:t>
            </w:r>
          </w:p>
        </w:tc>
        <w:tc>
          <w:tcPr>
            <w:tcW w:w="100" w:type="dxa"/>
            <w:vAlign w:val="bottom"/>
            <w:tcBorders>
              <w:bottom w:val="single" w:sz="8" w:color="0066BA"/>
            </w:tcBorders>
            <w:shd w:val="clear" w:color="auto" w:fill="EAEAEA"/>
          </w:tcPr>
          <w:p>
            <w:pPr>
              <w:spacing w:after="0"/>
              <w:rPr>
                <w:sz w:val="18"/>
                <w:szCs w:val="18"/>
                <w:color w:val="auto"/>
              </w:rPr>
            </w:pPr>
          </w:p>
        </w:tc>
        <w:tc>
          <w:tcPr>
            <w:tcW w:w="840" w:type="dxa"/>
            <w:vAlign w:val="bottom"/>
            <w:tcBorders>
              <w:bottom w:val="single" w:sz="8" w:color="0066BA"/>
            </w:tcBorders>
          </w:tcPr>
          <w:p>
            <w:pPr>
              <w:jc w:val="right"/>
              <w:ind w:right="2"/>
              <w:spacing w:after="0"/>
              <w:rPr>
                <w:sz w:val="20"/>
                <w:szCs w:val="20"/>
                <w:color w:val="auto"/>
              </w:rPr>
            </w:pPr>
            <w:r>
              <w:rPr>
                <w:rFonts w:ascii="Arial" w:cs="Arial" w:eastAsia="Arial" w:hAnsi="Arial"/>
                <w:sz w:val="16"/>
                <w:szCs w:val="16"/>
                <w:color w:val="auto"/>
              </w:rPr>
              <w:t>471,154</w:t>
            </w:r>
          </w:p>
        </w:tc>
        <w:tc>
          <w:tcPr>
            <w:tcW w:w="140" w:type="dxa"/>
            <w:vAlign w:val="bottom"/>
            <w:tcBorders>
              <w:bottom w:val="single" w:sz="8" w:color="0066BA"/>
            </w:tcBorders>
            <w:shd w:val="clear" w:color="auto" w:fill="EAEAEA"/>
          </w:tcPr>
          <w:p>
            <w:pPr>
              <w:spacing w:after="0"/>
              <w:rPr>
                <w:sz w:val="18"/>
                <w:szCs w:val="18"/>
                <w:color w:val="auto"/>
              </w:rPr>
            </w:pPr>
          </w:p>
        </w:tc>
        <w:tc>
          <w:tcPr>
            <w:tcW w:w="500" w:type="dxa"/>
            <w:vAlign w:val="bottom"/>
            <w:tcBorders>
              <w:bottom w:val="single" w:sz="8" w:color="0066BA"/>
            </w:tcBorders>
            <w:shd w:val="clear" w:color="auto" w:fill="EAEAEA"/>
          </w:tcPr>
          <w:p>
            <w:pPr>
              <w:ind w:left="36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0066BA"/>
            </w:tcBorders>
            <w:shd w:val="clear" w:color="auto" w:fill="EAEAEA"/>
          </w:tcPr>
          <w:p>
            <w:pPr>
              <w:spacing w:after="0"/>
              <w:rPr>
                <w:sz w:val="18"/>
                <w:szCs w:val="18"/>
                <w:color w:val="auto"/>
              </w:rPr>
            </w:pPr>
          </w:p>
        </w:tc>
        <w:tc>
          <w:tcPr>
            <w:tcW w:w="840" w:type="dxa"/>
            <w:vAlign w:val="bottom"/>
            <w:tcBorders>
              <w:bottom w:val="single" w:sz="8" w:color="0066BA"/>
            </w:tcBorders>
          </w:tcPr>
          <w:p>
            <w:pPr>
              <w:jc w:val="right"/>
              <w:ind w:right="2"/>
              <w:spacing w:after="0"/>
              <w:rPr>
                <w:sz w:val="20"/>
                <w:szCs w:val="20"/>
                <w:color w:val="auto"/>
              </w:rPr>
            </w:pPr>
            <w:r>
              <w:rPr>
                <w:rFonts w:ascii="Arial" w:cs="Arial" w:eastAsia="Arial" w:hAnsi="Arial"/>
                <w:sz w:val="16"/>
                <w:szCs w:val="16"/>
                <w:color w:val="auto"/>
              </w:rPr>
              <w:t>1,234,544</w:t>
            </w:r>
          </w:p>
        </w:tc>
        <w:tc>
          <w:tcPr>
            <w:tcW w:w="120" w:type="dxa"/>
            <w:vAlign w:val="bottom"/>
            <w:tcBorders>
              <w:bottom w:val="single" w:sz="8" w:color="0066BA"/>
            </w:tcBorders>
            <w:shd w:val="clear" w:color="auto" w:fill="EAEAEA"/>
          </w:tcPr>
          <w:p>
            <w:pPr>
              <w:spacing w:after="0"/>
              <w:rPr>
                <w:sz w:val="18"/>
                <w:szCs w:val="18"/>
                <w:color w:val="auto"/>
              </w:rPr>
            </w:pPr>
          </w:p>
        </w:tc>
        <w:tc>
          <w:tcPr>
            <w:tcW w:w="72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414,212</w:t>
            </w:r>
          </w:p>
        </w:tc>
        <w:tc>
          <w:tcPr>
            <w:tcW w:w="80" w:type="dxa"/>
            <w:vAlign w:val="bottom"/>
            <w:tcBorders>
              <w:bottom w:val="single" w:sz="8" w:color="0066BA"/>
            </w:tcBorders>
            <w:shd w:val="clear" w:color="auto" w:fill="EAEAEA"/>
          </w:tcPr>
          <w:p>
            <w:pPr>
              <w:spacing w:after="0"/>
              <w:rPr>
                <w:sz w:val="18"/>
                <w:szCs w:val="18"/>
                <w:color w:val="auto"/>
              </w:rPr>
            </w:pPr>
          </w:p>
        </w:tc>
        <w:tc>
          <w:tcPr>
            <w:tcW w:w="1160" w:type="dxa"/>
            <w:vAlign w:val="bottom"/>
            <w:tcBorders>
              <w:bottom w:val="single" w:sz="8" w:color="0066BA"/>
            </w:tcBorders>
          </w:tcPr>
          <w:p>
            <w:pPr>
              <w:jc w:val="right"/>
              <w:ind w:right="2"/>
              <w:spacing w:after="0"/>
              <w:rPr>
                <w:sz w:val="20"/>
                <w:szCs w:val="20"/>
                <w:color w:val="auto"/>
              </w:rPr>
            </w:pPr>
            <w:r>
              <w:rPr>
                <w:rFonts w:ascii="Arial" w:cs="Arial" w:eastAsia="Arial" w:hAnsi="Arial"/>
                <w:sz w:val="16"/>
                <w:szCs w:val="16"/>
                <w:color w:val="auto"/>
              </w:rPr>
              <w:t>437,875</w:t>
            </w:r>
          </w:p>
        </w:tc>
        <w:tc>
          <w:tcPr>
            <w:tcW w:w="160" w:type="dxa"/>
            <w:vAlign w:val="bottom"/>
            <w:tcBorders>
              <w:bottom w:val="single" w:sz="8" w:color="0066BA"/>
            </w:tcBorders>
            <w:shd w:val="clear" w:color="auto" w:fill="EAEAEA"/>
          </w:tcPr>
          <w:p>
            <w:pPr>
              <w:spacing w:after="0"/>
              <w:rPr>
                <w:sz w:val="18"/>
                <w:szCs w:val="18"/>
                <w:color w:val="auto"/>
              </w:rPr>
            </w:pPr>
          </w:p>
        </w:tc>
        <w:tc>
          <w:tcPr>
            <w:tcW w:w="90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45,899</w:t>
            </w:r>
          </w:p>
        </w:tc>
        <w:tc>
          <w:tcPr>
            <w:tcW w:w="100" w:type="dxa"/>
            <w:vAlign w:val="bottom"/>
            <w:tcBorders>
              <w:bottom w:val="single" w:sz="8" w:color="0066BA"/>
            </w:tcBorders>
            <w:shd w:val="clear" w:color="auto" w:fill="EAEAEA"/>
          </w:tcPr>
          <w:p>
            <w:pPr>
              <w:spacing w:after="0"/>
              <w:rPr>
                <w:sz w:val="18"/>
                <w:szCs w:val="18"/>
                <w:color w:val="auto"/>
              </w:rPr>
            </w:pPr>
          </w:p>
        </w:tc>
        <w:tc>
          <w:tcPr>
            <w:tcW w:w="920" w:type="dxa"/>
            <w:vAlign w:val="bottom"/>
            <w:tcBorders>
              <w:bottom w:val="single" w:sz="8" w:color="0066BA"/>
            </w:tcBorders>
          </w:tcPr>
          <w:p>
            <w:pPr>
              <w:jc w:val="right"/>
              <w:ind w:right="2"/>
              <w:spacing w:after="0"/>
              <w:rPr>
                <w:sz w:val="20"/>
                <w:szCs w:val="20"/>
                <w:color w:val="auto"/>
              </w:rPr>
            </w:pPr>
            <w:r>
              <w:rPr>
                <w:rFonts w:ascii="Arial" w:cs="Arial" w:eastAsia="Arial" w:hAnsi="Arial"/>
                <w:sz w:val="16"/>
                <w:szCs w:val="16"/>
                <w:color w:val="auto"/>
              </w:rPr>
              <w:t>2,603,684</w:t>
            </w:r>
          </w:p>
        </w:tc>
        <w:tc>
          <w:tcPr>
            <w:tcW w:w="0" w:type="dxa"/>
            <w:vAlign w:val="bottom"/>
          </w:tcPr>
          <w:p>
            <w:pPr>
              <w:spacing w:after="0"/>
              <w:rPr>
                <w:sz w:val="1"/>
                <w:szCs w:val="1"/>
                <w:color w:val="auto"/>
              </w:rPr>
            </w:pPr>
          </w:p>
        </w:tc>
      </w:tr>
      <w:tr>
        <w:trPr>
          <w:trHeight w:val="181"/>
        </w:trPr>
        <w:tc>
          <w:tcPr>
            <w:tcW w:w="3120" w:type="dxa"/>
            <w:vAlign w:val="bottom"/>
          </w:tcPr>
          <w:p>
            <w:pPr>
              <w:ind w:left="100"/>
              <w:spacing w:after="0" w:line="181" w:lineRule="exact"/>
              <w:rPr>
                <w:sz w:val="20"/>
                <w:szCs w:val="20"/>
                <w:color w:val="auto"/>
              </w:rPr>
            </w:pPr>
            <w:r>
              <w:rPr>
                <w:rFonts w:ascii="Arial" w:cs="Arial" w:eastAsia="Arial" w:hAnsi="Arial"/>
                <w:sz w:val="16"/>
                <w:szCs w:val="16"/>
                <w:b w:val="1"/>
                <w:bCs w:val="1"/>
                <w:color w:val="0066BA"/>
              </w:rPr>
              <w:t>Greg Henderson</w:t>
            </w:r>
          </w:p>
        </w:tc>
        <w:tc>
          <w:tcPr>
            <w:tcW w:w="140" w:type="dxa"/>
            <w:vAlign w:val="bottom"/>
            <w:shd w:val="clear" w:color="auto" w:fill="EAEAEA"/>
          </w:tcPr>
          <w:p>
            <w:pPr>
              <w:spacing w:after="0"/>
              <w:rPr>
                <w:sz w:val="15"/>
                <w:szCs w:val="15"/>
                <w:color w:val="auto"/>
              </w:rPr>
            </w:pPr>
          </w:p>
        </w:tc>
        <w:tc>
          <w:tcPr>
            <w:tcW w:w="340" w:type="dxa"/>
            <w:vAlign w:val="bottom"/>
            <w:shd w:val="clear" w:color="auto" w:fill="EAEAEA"/>
          </w:tcPr>
          <w:p>
            <w:pPr>
              <w:spacing w:after="0"/>
              <w:rPr>
                <w:sz w:val="15"/>
                <w:szCs w:val="15"/>
                <w:color w:val="auto"/>
              </w:rPr>
            </w:pPr>
          </w:p>
        </w:tc>
        <w:tc>
          <w:tcPr>
            <w:tcW w:w="100" w:type="dxa"/>
            <w:vAlign w:val="bottom"/>
            <w:shd w:val="clear" w:color="auto" w:fill="EAEAEA"/>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shd w:val="clear" w:color="auto" w:fill="EAEAEA"/>
          </w:tcPr>
          <w:p>
            <w:pPr>
              <w:spacing w:after="0"/>
              <w:rPr>
                <w:sz w:val="15"/>
                <w:szCs w:val="15"/>
                <w:color w:val="auto"/>
              </w:rPr>
            </w:pPr>
          </w:p>
        </w:tc>
        <w:tc>
          <w:tcPr>
            <w:tcW w:w="500" w:type="dxa"/>
            <w:vAlign w:val="bottom"/>
            <w:shd w:val="clear" w:color="auto" w:fill="EAEAEA"/>
          </w:tcPr>
          <w:p>
            <w:pPr>
              <w:spacing w:after="0"/>
              <w:rPr>
                <w:sz w:val="15"/>
                <w:szCs w:val="15"/>
                <w:color w:val="auto"/>
              </w:rPr>
            </w:pPr>
          </w:p>
        </w:tc>
        <w:tc>
          <w:tcPr>
            <w:tcW w:w="100" w:type="dxa"/>
            <w:vAlign w:val="bottom"/>
            <w:shd w:val="clear" w:color="auto" w:fill="EAEAEA"/>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shd w:val="clear" w:color="auto" w:fill="EAEAEA"/>
          </w:tcPr>
          <w:p>
            <w:pPr>
              <w:spacing w:after="0"/>
              <w:rPr>
                <w:sz w:val="15"/>
                <w:szCs w:val="15"/>
                <w:color w:val="auto"/>
              </w:rPr>
            </w:pPr>
          </w:p>
        </w:tc>
        <w:tc>
          <w:tcPr>
            <w:tcW w:w="720" w:type="dxa"/>
            <w:vAlign w:val="bottom"/>
            <w:shd w:val="clear" w:color="auto" w:fill="EAEAEA"/>
          </w:tcPr>
          <w:p>
            <w:pPr>
              <w:spacing w:after="0"/>
              <w:rPr>
                <w:sz w:val="15"/>
                <w:szCs w:val="15"/>
                <w:color w:val="auto"/>
              </w:rPr>
            </w:pPr>
          </w:p>
        </w:tc>
        <w:tc>
          <w:tcPr>
            <w:tcW w:w="80" w:type="dxa"/>
            <w:vAlign w:val="bottom"/>
            <w:shd w:val="clear" w:color="auto" w:fill="EAEAEA"/>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shd w:val="clear" w:color="auto" w:fill="EAEAEA"/>
          </w:tcPr>
          <w:p>
            <w:pPr>
              <w:spacing w:after="0"/>
              <w:rPr>
                <w:sz w:val="15"/>
                <w:szCs w:val="15"/>
                <w:color w:val="auto"/>
              </w:rPr>
            </w:pPr>
          </w:p>
        </w:tc>
        <w:tc>
          <w:tcPr>
            <w:tcW w:w="900" w:type="dxa"/>
            <w:vAlign w:val="bottom"/>
            <w:shd w:val="clear" w:color="auto" w:fill="EAEAEA"/>
          </w:tcPr>
          <w:p>
            <w:pPr>
              <w:spacing w:after="0"/>
              <w:rPr>
                <w:sz w:val="15"/>
                <w:szCs w:val="15"/>
                <w:color w:val="auto"/>
              </w:rPr>
            </w:pPr>
          </w:p>
        </w:tc>
        <w:tc>
          <w:tcPr>
            <w:tcW w:w="100" w:type="dxa"/>
            <w:vAlign w:val="bottom"/>
            <w:shd w:val="clear" w:color="auto" w:fill="EAEAEA"/>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Arial" w:cs="Arial" w:eastAsia="Arial" w:hAnsi="Arial"/>
                <w:sz w:val="16"/>
                <w:szCs w:val="16"/>
                <w:color w:val="auto"/>
              </w:rPr>
              <w:t>Senior Vice President,</w:t>
            </w:r>
          </w:p>
        </w:tc>
        <w:tc>
          <w:tcPr>
            <w:tcW w:w="140" w:type="dxa"/>
            <w:vAlign w:val="bottom"/>
            <w:shd w:val="clear" w:color="auto" w:fill="EAEAEA"/>
          </w:tcPr>
          <w:p>
            <w:pPr>
              <w:spacing w:after="0"/>
              <w:rPr>
                <w:sz w:val="16"/>
                <w:szCs w:val="16"/>
                <w:color w:val="auto"/>
              </w:rPr>
            </w:pPr>
          </w:p>
        </w:tc>
        <w:tc>
          <w:tcPr>
            <w:tcW w:w="34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shd w:val="clear" w:color="auto" w:fill="EAEAEA"/>
          </w:tcPr>
          <w:p>
            <w:pPr>
              <w:spacing w:after="0"/>
              <w:rPr>
                <w:sz w:val="16"/>
                <w:szCs w:val="16"/>
                <w:color w:val="auto"/>
              </w:rPr>
            </w:pPr>
          </w:p>
        </w:tc>
        <w:tc>
          <w:tcPr>
            <w:tcW w:w="50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2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shd w:val="clear" w:color="auto" w:fill="EAEAEA"/>
          </w:tcPr>
          <w:p>
            <w:pPr>
              <w:spacing w:after="0"/>
              <w:rPr>
                <w:sz w:val="16"/>
                <w:szCs w:val="16"/>
                <w:color w:val="auto"/>
              </w:rPr>
            </w:pPr>
          </w:p>
        </w:tc>
        <w:tc>
          <w:tcPr>
            <w:tcW w:w="90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Arial" w:cs="Arial" w:eastAsia="Arial" w:hAnsi="Arial"/>
                <w:sz w:val="16"/>
                <w:szCs w:val="16"/>
                <w:color w:val="auto"/>
              </w:rPr>
              <w:t>Automotive &amp; Energy,</w:t>
            </w:r>
          </w:p>
        </w:tc>
        <w:tc>
          <w:tcPr>
            <w:tcW w:w="140" w:type="dxa"/>
            <w:vAlign w:val="bottom"/>
            <w:shd w:val="clear" w:color="auto" w:fill="EAEAEA"/>
          </w:tcPr>
          <w:p>
            <w:pPr>
              <w:spacing w:after="0"/>
              <w:rPr>
                <w:sz w:val="16"/>
                <w:szCs w:val="16"/>
                <w:color w:val="auto"/>
              </w:rPr>
            </w:pPr>
          </w:p>
        </w:tc>
        <w:tc>
          <w:tcPr>
            <w:tcW w:w="340" w:type="dxa"/>
            <w:vAlign w:val="bottom"/>
            <w:shd w:val="clear" w:color="auto" w:fill="EAEAEA"/>
          </w:tcPr>
          <w:p>
            <w:pPr>
              <w:ind w:left="40"/>
              <w:spacing w:after="0"/>
              <w:rPr>
                <w:sz w:val="20"/>
                <w:szCs w:val="20"/>
                <w:color w:val="auto"/>
              </w:rPr>
            </w:pPr>
            <w:r>
              <w:rPr>
                <w:rFonts w:ascii="Arial" w:cs="Arial" w:eastAsia="Arial" w:hAnsi="Arial"/>
                <w:sz w:val="16"/>
                <w:szCs w:val="16"/>
                <w:color w:val="auto"/>
                <w:w w:val="78"/>
              </w:rPr>
              <w:t>2021</w:t>
            </w:r>
          </w:p>
        </w:tc>
        <w:tc>
          <w:tcPr>
            <w:tcW w:w="100" w:type="dxa"/>
            <w:vAlign w:val="bottom"/>
            <w:shd w:val="clear" w:color="auto" w:fill="EAEAEA"/>
          </w:tcPr>
          <w:p>
            <w:pPr>
              <w:spacing w:after="0"/>
              <w:rPr>
                <w:sz w:val="16"/>
                <w:szCs w:val="16"/>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456,154</w:t>
            </w:r>
          </w:p>
        </w:tc>
        <w:tc>
          <w:tcPr>
            <w:tcW w:w="140" w:type="dxa"/>
            <w:vAlign w:val="bottom"/>
            <w:shd w:val="clear" w:color="auto" w:fill="EAEAEA"/>
          </w:tcPr>
          <w:p>
            <w:pPr>
              <w:spacing w:after="0"/>
              <w:rPr>
                <w:sz w:val="16"/>
                <w:szCs w:val="16"/>
                <w:color w:val="auto"/>
              </w:rPr>
            </w:pPr>
          </w:p>
        </w:tc>
        <w:tc>
          <w:tcPr>
            <w:tcW w:w="500" w:type="dxa"/>
            <w:vAlign w:val="bottom"/>
            <w:shd w:val="clear" w:color="auto" w:fill="EAEAEA"/>
          </w:tcPr>
          <w:p>
            <w:pPr>
              <w:ind w:left="36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EAEAEA"/>
          </w:tcPr>
          <w:p>
            <w:pPr>
              <w:spacing w:after="0"/>
              <w:rPr>
                <w:sz w:val="16"/>
                <w:szCs w:val="16"/>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3,574,729</w:t>
            </w:r>
          </w:p>
        </w:tc>
        <w:tc>
          <w:tcPr>
            <w:tcW w:w="120" w:type="dxa"/>
            <w:vAlign w:val="bottom"/>
            <w:shd w:val="clear" w:color="auto" w:fill="EAEAEA"/>
          </w:tcPr>
          <w:p>
            <w:pPr>
              <w:spacing w:after="0"/>
              <w:rPr>
                <w:sz w:val="16"/>
                <w:szCs w:val="16"/>
                <w:color w:val="auto"/>
              </w:rPr>
            </w:pPr>
          </w:p>
        </w:tc>
        <w:tc>
          <w:tcPr>
            <w:tcW w:w="7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546,179</w:t>
            </w:r>
          </w:p>
        </w:tc>
        <w:tc>
          <w:tcPr>
            <w:tcW w:w="80" w:type="dxa"/>
            <w:vAlign w:val="bottom"/>
            <w:shd w:val="clear" w:color="auto" w:fill="EAEAEA"/>
          </w:tcPr>
          <w:p>
            <w:pPr>
              <w:spacing w:after="0"/>
              <w:rPr>
                <w:sz w:val="16"/>
                <w:szCs w:val="16"/>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1,153,669</w:t>
            </w:r>
          </w:p>
        </w:tc>
        <w:tc>
          <w:tcPr>
            <w:tcW w:w="160" w:type="dxa"/>
            <w:vAlign w:val="bottom"/>
            <w:shd w:val="clear" w:color="auto" w:fill="EAEAEA"/>
          </w:tcPr>
          <w:p>
            <w:pPr>
              <w:spacing w:after="0"/>
              <w:rPr>
                <w:sz w:val="16"/>
                <w:szCs w:val="16"/>
                <w:color w:val="auto"/>
              </w:rPr>
            </w:pPr>
          </w:p>
        </w:tc>
        <w:tc>
          <w:tcPr>
            <w:tcW w:w="9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42,142</w:t>
            </w:r>
          </w:p>
        </w:tc>
        <w:tc>
          <w:tcPr>
            <w:tcW w:w="100" w:type="dxa"/>
            <w:vAlign w:val="bottom"/>
            <w:shd w:val="clear" w:color="auto" w:fill="EAEAEA"/>
          </w:tcPr>
          <w:p>
            <w:pPr>
              <w:spacing w:after="0"/>
              <w:rPr>
                <w:sz w:val="16"/>
                <w:szCs w:val="16"/>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5,772,873</w:t>
            </w: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Arial" w:cs="Arial" w:eastAsia="Arial" w:hAnsi="Arial"/>
                <w:sz w:val="16"/>
                <w:szCs w:val="16"/>
                <w:color w:val="auto"/>
              </w:rPr>
              <w:t>Communications and</w:t>
            </w:r>
          </w:p>
        </w:tc>
        <w:tc>
          <w:tcPr>
            <w:tcW w:w="140" w:type="dxa"/>
            <w:vAlign w:val="bottom"/>
            <w:shd w:val="clear" w:color="auto" w:fill="EAEAEA"/>
          </w:tcPr>
          <w:p>
            <w:pPr>
              <w:spacing w:after="0"/>
              <w:rPr>
                <w:sz w:val="16"/>
                <w:szCs w:val="16"/>
                <w:color w:val="auto"/>
              </w:rPr>
            </w:pPr>
          </w:p>
        </w:tc>
        <w:tc>
          <w:tcPr>
            <w:tcW w:w="34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shd w:val="clear" w:color="auto" w:fill="EAEAEA"/>
          </w:tcPr>
          <w:p>
            <w:pPr>
              <w:spacing w:after="0"/>
              <w:rPr>
                <w:sz w:val="16"/>
                <w:szCs w:val="16"/>
                <w:color w:val="auto"/>
              </w:rPr>
            </w:pPr>
          </w:p>
        </w:tc>
        <w:tc>
          <w:tcPr>
            <w:tcW w:w="50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2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shd w:val="clear" w:color="auto" w:fill="EAEAEA"/>
          </w:tcPr>
          <w:p>
            <w:pPr>
              <w:spacing w:after="0"/>
              <w:rPr>
                <w:sz w:val="16"/>
                <w:szCs w:val="16"/>
                <w:color w:val="auto"/>
              </w:rPr>
            </w:pPr>
          </w:p>
        </w:tc>
        <w:tc>
          <w:tcPr>
            <w:tcW w:w="90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120" w:type="dxa"/>
            <w:vAlign w:val="bottom"/>
            <w:tcBorders>
              <w:bottom w:val="single" w:sz="8" w:color="0066BA"/>
            </w:tcBorders>
          </w:tcPr>
          <w:p>
            <w:pPr>
              <w:ind w:left="100"/>
              <w:spacing w:after="0"/>
              <w:rPr>
                <w:sz w:val="20"/>
                <w:szCs w:val="20"/>
                <w:color w:val="auto"/>
              </w:rPr>
            </w:pPr>
            <w:r>
              <w:rPr>
                <w:rFonts w:ascii="Arial" w:cs="Arial" w:eastAsia="Arial" w:hAnsi="Arial"/>
                <w:sz w:val="16"/>
                <w:szCs w:val="16"/>
                <w:color w:val="auto"/>
              </w:rPr>
              <w:t>Aerospace Group</w:t>
            </w:r>
          </w:p>
        </w:tc>
        <w:tc>
          <w:tcPr>
            <w:tcW w:w="140" w:type="dxa"/>
            <w:vAlign w:val="bottom"/>
            <w:tcBorders>
              <w:bottom w:val="single" w:sz="8" w:color="0066BA"/>
            </w:tcBorders>
            <w:shd w:val="clear" w:color="auto" w:fill="EAEAEA"/>
          </w:tcPr>
          <w:p>
            <w:pPr>
              <w:spacing w:after="0"/>
              <w:rPr>
                <w:sz w:val="18"/>
                <w:szCs w:val="18"/>
                <w:color w:val="auto"/>
              </w:rPr>
            </w:pPr>
          </w:p>
        </w:tc>
        <w:tc>
          <w:tcPr>
            <w:tcW w:w="340" w:type="dxa"/>
            <w:vAlign w:val="bottom"/>
            <w:tcBorders>
              <w:bottom w:val="single" w:sz="8" w:color="0066BA"/>
            </w:tcBorders>
            <w:shd w:val="clear" w:color="auto" w:fill="EAEAEA"/>
          </w:tcPr>
          <w:p>
            <w:pPr>
              <w:spacing w:after="0"/>
              <w:rPr>
                <w:sz w:val="18"/>
                <w:szCs w:val="18"/>
                <w:color w:val="auto"/>
              </w:rPr>
            </w:pPr>
          </w:p>
        </w:tc>
        <w:tc>
          <w:tcPr>
            <w:tcW w:w="100" w:type="dxa"/>
            <w:vAlign w:val="bottom"/>
            <w:tcBorders>
              <w:bottom w:val="single" w:sz="8" w:color="0066BA"/>
            </w:tcBorders>
            <w:shd w:val="clear" w:color="auto" w:fill="EAEAEA"/>
          </w:tcPr>
          <w:p>
            <w:pPr>
              <w:spacing w:after="0"/>
              <w:rPr>
                <w:sz w:val="18"/>
                <w:szCs w:val="18"/>
                <w:color w:val="auto"/>
              </w:rPr>
            </w:pPr>
          </w:p>
        </w:tc>
        <w:tc>
          <w:tcPr>
            <w:tcW w:w="840" w:type="dxa"/>
            <w:vAlign w:val="bottom"/>
            <w:tcBorders>
              <w:bottom w:val="single" w:sz="8" w:color="0066BA"/>
            </w:tcBorders>
          </w:tcPr>
          <w:p>
            <w:pPr>
              <w:spacing w:after="0"/>
              <w:rPr>
                <w:sz w:val="18"/>
                <w:szCs w:val="18"/>
                <w:color w:val="auto"/>
              </w:rPr>
            </w:pPr>
          </w:p>
        </w:tc>
        <w:tc>
          <w:tcPr>
            <w:tcW w:w="140" w:type="dxa"/>
            <w:vAlign w:val="bottom"/>
            <w:tcBorders>
              <w:bottom w:val="single" w:sz="8" w:color="0066BA"/>
            </w:tcBorders>
            <w:shd w:val="clear" w:color="auto" w:fill="EAEAEA"/>
          </w:tcPr>
          <w:p>
            <w:pPr>
              <w:spacing w:after="0"/>
              <w:rPr>
                <w:sz w:val="18"/>
                <w:szCs w:val="18"/>
                <w:color w:val="auto"/>
              </w:rPr>
            </w:pPr>
          </w:p>
        </w:tc>
        <w:tc>
          <w:tcPr>
            <w:tcW w:w="500" w:type="dxa"/>
            <w:vAlign w:val="bottom"/>
            <w:tcBorders>
              <w:bottom w:val="single" w:sz="8" w:color="0066BA"/>
            </w:tcBorders>
            <w:shd w:val="clear" w:color="auto" w:fill="EAEAEA"/>
          </w:tcPr>
          <w:p>
            <w:pPr>
              <w:spacing w:after="0"/>
              <w:rPr>
                <w:sz w:val="18"/>
                <w:szCs w:val="18"/>
                <w:color w:val="auto"/>
              </w:rPr>
            </w:pPr>
          </w:p>
        </w:tc>
        <w:tc>
          <w:tcPr>
            <w:tcW w:w="100" w:type="dxa"/>
            <w:vAlign w:val="bottom"/>
            <w:tcBorders>
              <w:bottom w:val="single" w:sz="8" w:color="0066BA"/>
            </w:tcBorders>
            <w:shd w:val="clear" w:color="auto" w:fill="EAEAEA"/>
          </w:tcPr>
          <w:p>
            <w:pPr>
              <w:spacing w:after="0"/>
              <w:rPr>
                <w:sz w:val="18"/>
                <w:szCs w:val="18"/>
                <w:color w:val="auto"/>
              </w:rPr>
            </w:pPr>
          </w:p>
        </w:tc>
        <w:tc>
          <w:tcPr>
            <w:tcW w:w="840" w:type="dxa"/>
            <w:vAlign w:val="bottom"/>
            <w:tcBorders>
              <w:bottom w:val="single" w:sz="8" w:color="0066BA"/>
            </w:tcBorders>
          </w:tcPr>
          <w:p>
            <w:pPr>
              <w:spacing w:after="0"/>
              <w:rPr>
                <w:sz w:val="18"/>
                <w:szCs w:val="18"/>
                <w:color w:val="auto"/>
              </w:rPr>
            </w:pPr>
          </w:p>
        </w:tc>
        <w:tc>
          <w:tcPr>
            <w:tcW w:w="120" w:type="dxa"/>
            <w:vAlign w:val="bottom"/>
            <w:tcBorders>
              <w:bottom w:val="single" w:sz="8" w:color="0066BA"/>
            </w:tcBorders>
            <w:shd w:val="clear" w:color="auto" w:fill="EAEAEA"/>
          </w:tcPr>
          <w:p>
            <w:pPr>
              <w:spacing w:after="0"/>
              <w:rPr>
                <w:sz w:val="18"/>
                <w:szCs w:val="18"/>
                <w:color w:val="auto"/>
              </w:rPr>
            </w:pPr>
          </w:p>
        </w:tc>
        <w:tc>
          <w:tcPr>
            <w:tcW w:w="720" w:type="dxa"/>
            <w:vAlign w:val="bottom"/>
            <w:tcBorders>
              <w:bottom w:val="single" w:sz="8" w:color="0066BA"/>
            </w:tcBorders>
            <w:shd w:val="clear" w:color="auto" w:fill="EAEAEA"/>
          </w:tcPr>
          <w:p>
            <w:pPr>
              <w:spacing w:after="0"/>
              <w:rPr>
                <w:sz w:val="18"/>
                <w:szCs w:val="18"/>
                <w:color w:val="auto"/>
              </w:rPr>
            </w:pPr>
          </w:p>
        </w:tc>
        <w:tc>
          <w:tcPr>
            <w:tcW w:w="80" w:type="dxa"/>
            <w:vAlign w:val="bottom"/>
            <w:tcBorders>
              <w:bottom w:val="single" w:sz="8" w:color="0066BA"/>
            </w:tcBorders>
            <w:shd w:val="clear" w:color="auto" w:fill="EAEAEA"/>
          </w:tcPr>
          <w:p>
            <w:pPr>
              <w:spacing w:after="0"/>
              <w:rPr>
                <w:sz w:val="18"/>
                <w:szCs w:val="18"/>
                <w:color w:val="auto"/>
              </w:rPr>
            </w:pPr>
          </w:p>
        </w:tc>
        <w:tc>
          <w:tcPr>
            <w:tcW w:w="1160" w:type="dxa"/>
            <w:vAlign w:val="bottom"/>
            <w:tcBorders>
              <w:bottom w:val="single" w:sz="8" w:color="0066BA"/>
            </w:tcBorders>
          </w:tcPr>
          <w:p>
            <w:pPr>
              <w:spacing w:after="0"/>
              <w:rPr>
                <w:sz w:val="18"/>
                <w:szCs w:val="18"/>
                <w:color w:val="auto"/>
              </w:rPr>
            </w:pPr>
          </w:p>
        </w:tc>
        <w:tc>
          <w:tcPr>
            <w:tcW w:w="160" w:type="dxa"/>
            <w:vAlign w:val="bottom"/>
            <w:tcBorders>
              <w:bottom w:val="single" w:sz="8" w:color="0066BA"/>
            </w:tcBorders>
            <w:shd w:val="clear" w:color="auto" w:fill="EAEAEA"/>
          </w:tcPr>
          <w:p>
            <w:pPr>
              <w:spacing w:after="0"/>
              <w:rPr>
                <w:sz w:val="18"/>
                <w:szCs w:val="18"/>
                <w:color w:val="auto"/>
              </w:rPr>
            </w:pPr>
          </w:p>
        </w:tc>
        <w:tc>
          <w:tcPr>
            <w:tcW w:w="900" w:type="dxa"/>
            <w:vAlign w:val="bottom"/>
            <w:tcBorders>
              <w:bottom w:val="single" w:sz="8" w:color="0066BA"/>
            </w:tcBorders>
            <w:shd w:val="clear" w:color="auto" w:fill="EAEAEA"/>
          </w:tcPr>
          <w:p>
            <w:pPr>
              <w:spacing w:after="0"/>
              <w:rPr>
                <w:sz w:val="18"/>
                <w:szCs w:val="18"/>
                <w:color w:val="auto"/>
              </w:rPr>
            </w:pPr>
          </w:p>
        </w:tc>
        <w:tc>
          <w:tcPr>
            <w:tcW w:w="100" w:type="dxa"/>
            <w:vAlign w:val="bottom"/>
            <w:tcBorders>
              <w:bottom w:val="single" w:sz="8" w:color="0066BA"/>
            </w:tcBorders>
            <w:shd w:val="clear" w:color="auto" w:fill="EAEAEA"/>
          </w:tcPr>
          <w:p>
            <w:pPr>
              <w:spacing w:after="0"/>
              <w:rPr>
                <w:sz w:val="18"/>
                <w:szCs w:val="18"/>
                <w:color w:val="auto"/>
              </w:rPr>
            </w:pPr>
          </w:p>
        </w:tc>
        <w:tc>
          <w:tcPr>
            <w:tcW w:w="920" w:type="dxa"/>
            <w:vAlign w:val="bottom"/>
            <w:tcBorders>
              <w:bottom w:val="single" w:sz="8" w:color="0066BA"/>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120" w:type="dxa"/>
            <w:vAlign w:val="bottom"/>
          </w:tcPr>
          <w:p>
            <w:pPr>
              <w:ind w:left="100"/>
              <w:spacing w:after="0"/>
              <w:rPr>
                <w:sz w:val="20"/>
                <w:szCs w:val="20"/>
                <w:color w:val="auto"/>
              </w:rPr>
            </w:pPr>
            <w:r>
              <w:rPr>
                <w:rFonts w:ascii="Arial" w:cs="Arial" w:eastAsia="Arial" w:hAnsi="Arial"/>
                <w:sz w:val="16"/>
                <w:szCs w:val="16"/>
                <w:b w:val="1"/>
                <w:bCs w:val="1"/>
                <w:color w:val="0066BA"/>
              </w:rPr>
              <w:t>Anelise Sacks</w:t>
            </w:r>
          </w:p>
        </w:tc>
        <w:tc>
          <w:tcPr>
            <w:tcW w:w="140" w:type="dxa"/>
            <w:vAlign w:val="bottom"/>
            <w:shd w:val="clear" w:color="auto" w:fill="EAEAEA"/>
          </w:tcPr>
          <w:p>
            <w:pPr>
              <w:spacing w:after="0"/>
              <w:rPr>
                <w:sz w:val="16"/>
                <w:szCs w:val="16"/>
                <w:color w:val="auto"/>
              </w:rPr>
            </w:pPr>
          </w:p>
        </w:tc>
        <w:tc>
          <w:tcPr>
            <w:tcW w:w="34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shd w:val="clear" w:color="auto" w:fill="EAEAEA"/>
          </w:tcPr>
          <w:p>
            <w:pPr>
              <w:spacing w:after="0"/>
              <w:rPr>
                <w:sz w:val="16"/>
                <w:szCs w:val="16"/>
                <w:color w:val="auto"/>
              </w:rPr>
            </w:pPr>
          </w:p>
        </w:tc>
        <w:tc>
          <w:tcPr>
            <w:tcW w:w="50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shd w:val="clear" w:color="auto" w:fill="EAEAEA"/>
          </w:tcPr>
          <w:p>
            <w:pPr>
              <w:spacing w:after="0"/>
              <w:rPr>
                <w:sz w:val="16"/>
                <w:szCs w:val="16"/>
                <w:color w:val="auto"/>
              </w:rPr>
            </w:pPr>
          </w:p>
        </w:tc>
        <w:tc>
          <w:tcPr>
            <w:tcW w:w="720" w:type="dxa"/>
            <w:vAlign w:val="bottom"/>
            <w:shd w:val="clear" w:color="auto" w:fill="EAEAEA"/>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shd w:val="clear" w:color="auto" w:fill="EAEAEA"/>
          </w:tcPr>
          <w:p>
            <w:pPr>
              <w:spacing w:after="0"/>
              <w:rPr>
                <w:sz w:val="16"/>
                <w:szCs w:val="16"/>
                <w:color w:val="auto"/>
              </w:rPr>
            </w:pPr>
          </w:p>
        </w:tc>
        <w:tc>
          <w:tcPr>
            <w:tcW w:w="900" w:type="dxa"/>
            <w:vAlign w:val="bottom"/>
            <w:shd w:val="clear" w:color="auto" w:fill="EAEAEA"/>
          </w:tcPr>
          <w:p>
            <w:pPr>
              <w:spacing w:after="0"/>
              <w:rPr>
                <w:sz w:val="16"/>
                <w:szCs w:val="16"/>
                <w:color w:val="auto"/>
              </w:rPr>
            </w:pPr>
          </w:p>
        </w:tc>
        <w:tc>
          <w:tcPr>
            <w:tcW w:w="100" w:type="dxa"/>
            <w:vAlign w:val="bottom"/>
            <w:shd w:val="clear" w:color="auto" w:fill="EAEAEA"/>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ind w:left="100"/>
              <w:spacing w:after="0"/>
              <w:rPr>
                <w:sz w:val="20"/>
                <w:szCs w:val="20"/>
                <w:color w:val="auto"/>
              </w:rPr>
            </w:pPr>
            <w:r>
              <w:rPr>
                <w:rFonts w:ascii="Arial" w:cs="Arial" w:eastAsia="Arial" w:hAnsi="Arial"/>
                <w:sz w:val="16"/>
                <w:szCs w:val="16"/>
                <w:color w:val="auto"/>
              </w:rPr>
              <w:t>Senior Vice President and</w:t>
            </w:r>
          </w:p>
        </w:tc>
        <w:tc>
          <w:tcPr>
            <w:tcW w:w="140" w:type="dxa"/>
            <w:vAlign w:val="bottom"/>
            <w:shd w:val="clear" w:color="auto" w:fill="EAEAEA"/>
          </w:tcPr>
          <w:p>
            <w:pPr>
              <w:spacing w:after="0"/>
              <w:rPr>
                <w:sz w:val="16"/>
                <w:szCs w:val="16"/>
                <w:color w:val="auto"/>
              </w:rPr>
            </w:pPr>
          </w:p>
        </w:tc>
        <w:tc>
          <w:tcPr>
            <w:tcW w:w="340" w:type="dxa"/>
            <w:vAlign w:val="bottom"/>
            <w:shd w:val="clear" w:color="auto" w:fill="EAEAEA"/>
          </w:tcPr>
          <w:p>
            <w:pPr>
              <w:ind w:left="40"/>
              <w:spacing w:after="0"/>
              <w:rPr>
                <w:sz w:val="20"/>
                <w:szCs w:val="20"/>
                <w:color w:val="auto"/>
              </w:rPr>
            </w:pPr>
            <w:r>
              <w:rPr>
                <w:rFonts w:ascii="Arial" w:cs="Arial" w:eastAsia="Arial" w:hAnsi="Arial"/>
                <w:sz w:val="16"/>
                <w:szCs w:val="16"/>
                <w:color w:val="auto"/>
                <w:w w:val="78"/>
              </w:rPr>
              <w:t>2021</w:t>
            </w:r>
          </w:p>
        </w:tc>
        <w:tc>
          <w:tcPr>
            <w:tcW w:w="100" w:type="dxa"/>
            <w:vAlign w:val="bottom"/>
            <w:shd w:val="clear" w:color="auto" w:fill="EAEAEA"/>
          </w:tcPr>
          <w:p>
            <w:pPr>
              <w:spacing w:after="0"/>
              <w:rPr>
                <w:sz w:val="16"/>
                <w:szCs w:val="16"/>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294,231</w:t>
            </w:r>
          </w:p>
        </w:tc>
        <w:tc>
          <w:tcPr>
            <w:tcW w:w="140" w:type="dxa"/>
            <w:vAlign w:val="bottom"/>
            <w:shd w:val="clear" w:color="auto" w:fill="EAEAEA"/>
          </w:tcPr>
          <w:p>
            <w:pPr>
              <w:spacing w:after="0"/>
              <w:rPr>
                <w:sz w:val="16"/>
                <w:szCs w:val="16"/>
                <w:color w:val="auto"/>
              </w:rPr>
            </w:pPr>
          </w:p>
        </w:tc>
        <w:tc>
          <w:tcPr>
            <w:tcW w:w="500" w:type="dxa"/>
            <w:vAlign w:val="bottom"/>
            <w:shd w:val="clear" w:color="auto" w:fill="EAEAEA"/>
          </w:tcPr>
          <w:p>
            <w:pPr>
              <w:jc w:val="right"/>
              <w:spacing w:after="0"/>
              <w:rPr>
                <w:sz w:val="20"/>
                <w:szCs w:val="20"/>
                <w:color w:val="auto"/>
              </w:rPr>
            </w:pPr>
            <w:r>
              <w:rPr>
                <w:rFonts w:ascii="Arial" w:cs="Arial" w:eastAsia="Arial" w:hAnsi="Arial"/>
                <w:sz w:val="16"/>
                <w:szCs w:val="16"/>
                <w:color w:val="auto"/>
                <w:w w:val="82"/>
              </w:rPr>
              <w:t>400,000</w:t>
            </w:r>
          </w:p>
        </w:tc>
        <w:tc>
          <w:tcPr>
            <w:tcW w:w="100" w:type="dxa"/>
            <w:vAlign w:val="bottom"/>
            <w:shd w:val="clear" w:color="auto" w:fill="EAEAEA"/>
          </w:tcPr>
          <w:p>
            <w:pPr>
              <w:spacing w:after="0"/>
              <w:rPr>
                <w:sz w:val="16"/>
                <w:szCs w:val="16"/>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2,673,979</w:t>
            </w:r>
          </w:p>
        </w:tc>
        <w:tc>
          <w:tcPr>
            <w:tcW w:w="120" w:type="dxa"/>
            <w:vAlign w:val="bottom"/>
            <w:shd w:val="clear" w:color="auto" w:fill="EAEAEA"/>
          </w:tcPr>
          <w:p>
            <w:pPr>
              <w:spacing w:after="0"/>
              <w:rPr>
                <w:sz w:val="16"/>
                <w:szCs w:val="16"/>
                <w:color w:val="auto"/>
              </w:rPr>
            </w:pPr>
          </w:p>
        </w:tc>
        <w:tc>
          <w:tcPr>
            <w:tcW w:w="72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333,805</w:t>
            </w:r>
          </w:p>
        </w:tc>
        <w:tc>
          <w:tcPr>
            <w:tcW w:w="80" w:type="dxa"/>
            <w:vAlign w:val="bottom"/>
            <w:shd w:val="clear" w:color="auto" w:fill="EAEAEA"/>
          </w:tcPr>
          <w:p>
            <w:pPr>
              <w:spacing w:after="0"/>
              <w:rPr>
                <w:sz w:val="16"/>
                <w:szCs w:val="16"/>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769,250</w:t>
            </w:r>
          </w:p>
        </w:tc>
        <w:tc>
          <w:tcPr>
            <w:tcW w:w="160" w:type="dxa"/>
            <w:vAlign w:val="bottom"/>
            <w:shd w:val="clear" w:color="auto" w:fill="EAEAEA"/>
          </w:tcPr>
          <w:p>
            <w:pPr>
              <w:spacing w:after="0"/>
              <w:rPr>
                <w:sz w:val="16"/>
                <w:szCs w:val="16"/>
                <w:color w:val="auto"/>
              </w:rPr>
            </w:pPr>
          </w:p>
        </w:tc>
        <w:tc>
          <w:tcPr>
            <w:tcW w:w="900" w:type="dxa"/>
            <w:vAlign w:val="bottom"/>
            <w:shd w:val="clear" w:color="auto" w:fill="EAEAEA"/>
          </w:tcPr>
          <w:p>
            <w:pPr>
              <w:jc w:val="right"/>
              <w:spacing w:after="0"/>
              <w:rPr>
                <w:sz w:val="20"/>
                <w:szCs w:val="20"/>
                <w:color w:val="auto"/>
              </w:rPr>
            </w:pPr>
            <w:r>
              <w:rPr>
                <w:rFonts w:ascii="Arial" w:cs="Arial" w:eastAsia="Arial" w:hAnsi="Arial"/>
                <w:sz w:val="16"/>
                <w:szCs w:val="16"/>
                <w:color w:val="auto"/>
              </w:rPr>
              <w:t>323,619</w:t>
            </w:r>
          </w:p>
        </w:tc>
        <w:tc>
          <w:tcPr>
            <w:tcW w:w="100" w:type="dxa"/>
            <w:vAlign w:val="bottom"/>
            <w:shd w:val="clear" w:color="auto" w:fill="EAEAEA"/>
          </w:tcPr>
          <w:p>
            <w:pPr>
              <w:spacing w:after="0"/>
              <w:rPr>
                <w:sz w:val="16"/>
                <w:szCs w:val="16"/>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4,794,884</w:t>
            </w:r>
          </w:p>
        </w:tc>
        <w:tc>
          <w:tcPr>
            <w:tcW w:w="0" w:type="dxa"/>
            <w:vAlign w:val="bottom"/>
          </w:tcPr>
          <w:p>
            <w:pPr>
              <w:spacing w:after="0"/>
              <w:rPr>
                <w:sz w:val="1"/>
                <w:szCs w:val="1"/>
                <w:color w:val="auto"/>
              </w:rPr>
            </w:pPr>
          </w:p>
        </w:tc>
      </w:tr>
      <w:tr>
        <w:trPr>
          <w:trHeight w:val="211"/>
        </w:trPr>
        <w:tc>
          <w:tcPr>
            <w:tcW w:w="3120" w:type="dxa"/>
            <w:vAlign w:val="bottom"/>
            <w:tcBorders>
              <w:bottom w:val="single" w:sz="8" w:color="0066BA"/>
            </w:tcBorders>
          </w:tcPr>
          <w:p>
            <w:pPr>
              <w:ind w:left="100"/>
              <w:spacing w:after="0"/>
              <w:rPr>
                <w:sz w:val="20"/>
                <w:szCs w:val="20"/>
                <w:color w:val="auto"/>
              </w:rPr>
            </w:pPr>
            <w:r>
              <w:rPr>
                <w:rFonts w:ascii="Arial" w:cs="Arial" w:eastAsia="Arial" w:hAnsi="Arial"/>
                <w:sz w:val="16"/>
                <w:szCs w:val="16"/>
                <w:color w:val="auto"/>
              </w:rPr>
              <w:t>Chief Customer Officer (6)</w:t>
            </w:r>
          </w:p>
        </w:tc>
        <w:tc>
          <w:tcPr>
            <w:tcW w:w="140" w:type="dxa"/>
            <w:vAlign w:val="bottom"/>
            <w:tcBorders>
              <w:bottom w:val="single" w:sz="8" w:color="0066BA"/>
            </w:tcBorders>
            <w:shd w:val="clear" w:color="auto" w:fill="EAEAEA"/>
          </w:tcPr>
          <w:p>
            <w:pPr>
              <w:spacing w:after="0"/>
              <w:rPr>
                <w:sz w:val="18"/>
                <w:szCs w:val="18"/>
                <w:color w:val="auto"/>
              </w:rPr>
            </w:pPr>
          </w:p>
        </w:tc>
        <w:tc>
          <w:tcPr>
            <w:tcW w:w="340" w:type="dxa"/>
            <w:vAlign w:val="bottom"/>
            <w:tcBorders>
              <w:bottom w:val="single" w:sz="8" w:color="0066BA"/>
            </w:tcBorders>
            <w:shd w:val="clear" w:color="auto" w:fill="EAEAEA"/>
          </w:tcPr>
          <w:p>
            <w:pPr>
              <w:spacing w:after="0"/>
              <w:rPr>
                <w:sz w:val="18"/>
                <w:szCs w:val="18"/>
                <w:color w:val="auto"/>
              </w:rPr>
            </w:pPr>
          </w:p>
        </w:tc>
        <w:tc>
          <w:tcPr>
            <w:tcW w:w="100" w:type="dxa"/>
            <w:vAlign w:val="bottom"/>
            <w:tcBorders>
              <w:bottom w:val="single" w:sz="8" w:color="0066BA"/>
            </w:tcBorders>
            <w:shd w:val="clear" w:color="auto" w:fill="EAEAEA"/>
          </w:tcPr>
          <w:p>
            <w:pPr>
              <w:spacing w:after="0"/>
              <w:rPr>
                <w:sz w:val="18"/>
                <w:szCs w:val="18"/>
                <w:color w:val="auto"/>
              </w:rPr>
            </w:pPr>
          </w:p>
        </w:tc>
        <w:tc>
          <w:tcPr>
            <w:tcW w:w="840" w:type="dxa"/>
            <w:vAlign w:val="bottom"/>
            <w:tcBorders>
              <w:bottom w:val="single" w:sz="8" w:color="0066BA"/>
            </w:tcBorders>
          </w:tcPr>
          <w:p>
            <w:pPr>
              <w:spacing w:after="0"/>
              <w:rPr>
                <w:sz w:val="18"/>
                <w:szCs w:val="18"/>
                <w:color w:val="auto"/>
              </w:rPr>
            </w:pPr>
          </w:p>
        </w:tc>
        <w:tc>
          <w:tcPr>
            <w:tcW w:w="140" w:type="dxa"/>
            <w:vAlign w:val="bottom"/>
            <w:tcBorders>
              <w:bottom w:val="single" w:sz="8" w:color="0066BA"/>
            </w:tcBorders>
            <w:shd w:val="clear" w:color="auto" w:fill="EAEAEA"/>
          </w:tcPr>
          <w:p>
            <w:pPr>
              <w:spacing w:after="0"/>
              <w:rPr>
                <w:sz w:val="18"/>
                <w:szCs w:val="18"/>
                <w:color w:val="auto"/>
              </w:rPr>
            </w:pPr>
          </w:p>
        </w:tc>
        <w:tc>
          <w:tcPr>
            <w:tcW w:w="500" w:type="dxa"/>
            <w:vAlign w:val="bottom"/>
            <w:tcBorders>
              <w:bottom w:val="single" w:sz="8" w:color="0066BA"/>
            </w:tcBorders>
            <w:shd w:val="clear" w:color="auto" w:fill="EAEAEA"/>
          </w:tcPr>
          <w:p>
            <w:pPr>
              <w:spacing w:after="0"/>
              <w:rPr>
                <w:sz w:val="18"/>
                <w:szCs w:val="18"/>
                <w:color w:val="auto"/>
              </w:rPr>
            </w:pPr>
          </w:p>
        </w:tc>
        <w:tc>
          <w:tcPr>
            <w:tcW w:w="100" w:type="dxa"/>
            <w:vAlign w:val="bottom"/>
            <w:tcBorders>
              <w:bottom w:val="single" w:sz="8" w:color="0066BA"/>
            </w:tcBorders>
            <w:shd w:val="clear" w:color="auto" w:fill="EAEAEA"/>
          </w:tcPr>
          <w:p>
            <w:pPr>
              <w:spacing w:after="0"/>
              <w:rPr>
                <w:sz w:val="18"/>
                <w:szCs w:val="18"/>
                <w:color w:val="auto"/>
              </w:rPr>
            </w:pPr>
          </w:p>
        </w:tc>
        <w:tc>
          <w:tcPr>
            <w:tcW w:w="840" w:type="dxa"/>
            <w:vAlign w:val="bottom"/>
            <w:tcBorders>
              <w:bottom w:val="single" w:sz="8" w:color="0066BA"/>
            </w:tcBorders>
          </w:tcPr>
          <w:p>
            <w:pPr>
              <w:spacing w:after="0"/>
              <w:rPr>
                <w:sz w:val="18"/>
                <w:szCs w:val="18"/>
                <w:color w:val="auto"/>
              </w:rPr>
            </w:pPr>
          </w:p>
        </w:tc>
        <w:tc>
          <w:tcPr>
            <w:tcW w:w="120" w:type="dxa"/>
            <w:vAlign w:val="bottom"/>
            <w:tcBorders>
              <w:bottom w:val="single" w:sz="8" w:color="0066BA"/>
            </w:tcBorders>
            <w:shd w:val="clear" w:color="auto" w:fill="EAEAEA"/>
          </w:tcPr>
          <w:p>
            <w:pPr>
              <w:spacing w:after="0"/>
              <w:rPr>
                <w:sz w:val="18"/>
                <w:szCs w:val="18"/>
                <w:color w:val="auto"/>
              </w:rPr>
            </w:pPr>
          </w:p>
        </w:tc>
        <w:tc>
          <w:tcPr>
            <w:tcW w:w="720" w:type="dxa"/>
            <w:vAlign w:val="bottom"/>
            <w:tcBorders>
              <w:bottom w:val="single" w:sz="8" w:color="0066BA"/>
            </w:tcBorders>
            <w:shd w:val="clear" w:color="auto" w:fill="EAEAEA"/>
          </w:tcPr>
          <w:p>
            <w:pPr>
              <w:spacing w:after="0"/>
              <w:rPr>
                <w:sz w:val="18"/>
                <w:szCs w:val="18"/>
                <w:color w:val="auto"/>
              </w:rPr>
            </w:pPr>
          </w:p>
        </w:tc>
        <w:tc>
          <w:tcPr>
            <w:tcW w:w="80" w:type="dxa"/>
            <w:vAlign w:val="bottom"/>
            <w:tcBorders>
              <w:bottom w:val="single" w:sz="8" w:color="0066BA"/>
            </w:tcBorders>
            <w:shd w:val="clear" w:color="auto" w:fill="EAEAEA"/>
          </w:tcPr>
          <w:p>
            <w:pPr>
              <w:spacing w:after="0"/>
              <w:rPr>
                <w:sz w:val="18"/>
                <w:szCs w:val="18"/>
                <w:color w:val="auto"/>
              </w:rPr>
            </w:pPr>
          </w:p>
        </w:tc>
        <w:tc>
          <w:tcPr>
            <w:tcW w:w="1160" w:type="dxa"/>
            <w:vAlign w:val="bottom"/>
            <w:tcBorders>
              <w:bottom w:val="single" w:sz="8" w:color="0066BA"/>
            </w:tcBorders>
          </w:tcPr>
          <w:p>
            <w:pPr>
              <w:spacing w:after="0"/>
              <w:rPr>
                <w:sz w:val="18"/>
                <w:szCs w:val="18"/>
                <w:color w:val="auto"/>
              </w:rPr>
            </w:pPr>
          </w:p>
        </w:tc>
        <w:tc>
          <w:tcPr>
            <w:tcW w:w="160" w:type="dxa"/>
            <w:vAlign w:val="bottom"/>
            <w:tcBorders>
              <w:bottom w:val="single" w:sz="8" w:color="0066BA"/>
            </w:tcBorders>
            <w:shd w:val="clear" w:color="auto" w:fill="EAEAEA"/>
          </w:tcPr>
          <w:p>
            <w:pPr>
              <w:spacing w:after="0"/>
              <w:rPr>
                <w:sz w:val="18"/>
                <w:szCs w:val="18"/>
                <w:color w:val="auto"/>
              </w:rPr>
            </w:pPr>
          </w:p>
        </w:tc>
        <w:tc>
          <w:tcPr>
            <w:tcW w:w="900" w:type="dxa"/>
            <w:vAlign w:val="bottom"/>
            <w:tcBorders>
              <w:bottom w:val="single" w:sz="8" w:color="0066BA"/>
            </w:tcBorders>
            <w:shd w:val="clear" w:color="auto" w:fill="EAEAEA"/>
          </w:tcPr>
          <w:p>
            <w:pPr>
              <w:spacing w:after="0"/>
              <w:rPr>
                <w:sz w:val="18"/>
                <w:szCs w:val="18"/>
                <w:color w:val="auto"/>
              </w:rPr>
            </w:pPr>
          </w:p>
        </w:tc>
        <w:tc>
          <w:tcPr>
            <w:tcW w:w="100" w:type="dxa"/>
            <w:vAlign w:val="bottom"/>
            <w:tcBorders>
              <w:bottom w:val="single" w:sz="8" w:color="0066BA"/>
            </w:tcBorders>
            <w:shd w:val="clear" w:color="auto" w:fill="EAEAEA"/>
          </w:tcPr>
          <w:p>
            <w:pPr>
              <w:spacing w:after="0"/>
              <w:rPr>
                <w:sz w:val="18"/>
                <w:szCs w:val="18"/>
                <w:color w:val="auto"/>
              </w:rPr>
            </w:pPr>
          </w:p>
        </w:tc>
        <w:tc>
          <w:tcPr>
            <w:tcW w:w="920" w:type="dxa"/>
            <w:vAlign w:val="bottom"/>
            <w:tcBorders>
              <w:bottom w:val="single" w:sz="8" w:color="0066B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880" w:hanging="405"/>
        <w:spacing w:after="0"/>
        <w:tabs>
          <w:tab w:leader="none" w:pos="8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Represents a cash sign-on bonus paid in connection with commencement of employment.</w:t>
      </w:r>
    </w:p>
    <w:p>
      <w:pPr>
        <w:spacing w:after="0" w:line="25" w:lineRule="exact"/>
        <w:rPr>
          <w:rFonts w:ascii="Arial" w:cs="Arial" w:eastAsia="Arial" w:hAnsi="Arial"/>
          <w:sz w:val="17"/>
          <w:szCs w:val="17"/>
          <w:color w:val="auto"/>
        </w:rPr>
      </w:pPr>
    </w:p>
    <w:p>
      <w:pPr>
        <w:ind w:left="880" w:hanging="405"/>
        <w:spacing w:after="0"/>
        <w:tabs>
          <w:tab w:leader="none" w:pos="8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w:t>
      </w:r>
      <w:r>
        <w:rPr>
          <w:rFonts w:ascii="Arial" w:cs="Arial" w:eastAsia="Arial" w:hAnsi="Arial"/>
          <w:sz w:val="15"/>
          <w:szCs w:val="15"/>
          <w:color w:val="auto"/>
        </w:rPr>
        <w:t>Amounts represent the aggregate grant date fair value of time-based RSUs and PRSUs granted in fiscal 2021, 2020 and 2019.</w:t>
      </w:r>
    </w:p>
    <w:p>
      <w:pPr>
        <w:spacing w:after="0" w:line="13" w:lineRule="exact"/>
        <w:rPr>
          <w:rFonts w:ascii="Arial" w:cs="Arial" w:eastAsia="Arial" w:hAnsi="Arial"/>
          <w:sz w:val="17"/>
          <w:szCs w:val="17"/>
          <w:color w:val="auto"/>
        </w:rPr>
      </w:pPr>
    </w:p>
    <w:p>
      <w:pPr>
        <w:ind w:left="1380" w:right="280" w:hanging="501"/>
        <w:spacing w:after="0" w:line="286" w:lineRule="auto"/>
        <w:tabs>
          <w:tab w:leader="none" w:pos="1380" w:val="left"/>
        </w:tabs>
        <w:numPr>
          <w:ilvl w:val="1"/>
          <w:numId w:val="59"/>
        </w:numPr>
        <w:rPr>
          <w:rFonts w:ascii="Arial" w:cs="Arial" w:eastAsia="Arial" w:hAnsi="Arial"/>
          <w:sz w:val="17"/>
          <w:szCs w:val="17"/>
          <w:color w:val="auto"/>
        </w:rPr>
      </w:pPr>
      <w:r>
        <w:rPr>
          <w:rFonts w:ascii="Arial" w:cs="Arial" w:eastAsia="Arial" w:hAnsi="Arial"/>
          <w:sz w:val="17"/>
          <w:szCs w:val="17"/>
          <w:color w:val="auto"/>
        </w:rPr>
        <w:t>Amounts represent the aggregate grant date fair value of stock options and performance-based stock options granted in fiscal 2021, 2020 and 2019.</w:t>
      </w:r>
    </w:p>
    <w:p>
      <w:pPr>
        <w:spacing w:after="0" w:line="54" w:lineRule="exact"/>
        <w:rPr>
          <w:sz w:val="20"/>
          <w:szCs w:val="20"/>
          <w:color w:val="auto"/>
        </w:rPr>
      </w:pPr>
    </w:p>
    <w:p>
      <w:pPr>
        <w:ind w:left="480" w:right="20"/>
        <w:spacing w:after="0" w:line="270" w:lineRule="auto"/>
        <w:rPr>
          <w:sz w:val="20"/>
          <w:szCs w:val="20"/>
          <w:color w:val="auto"/>
        </w:rPr>
      </w:pPr>
      <w:r>
        <w:rPr>
          <w:rFonts w:ascii="Arial" w:cs="Arial" w:eastAsia="Arial" w:hAnsi="Arial"/>
          <w:sz w:val="17"/>
          <w:szCs w:val="17"/>
          <w:color w:val="auto"/>
        </w:rPr>
        <w:t>These amounts do not represent the actual amounts paid to or realized by the NEO for these awards during the respective fiscal years. We recognize the value as of the grant date for stock options and time-based RSUs and PRSUs over the number of days of service required for the grant to become vested.</w:t>
      </w:r>
    </w:p>
    <w:p>
      <w:pPr>
        <w:spacing w:after="0" w:line="200" w:lineRule="exact"/>
        <w:rPr>
          <w:sz w:val="20"/>
          <w:szCs w:val="20"/>
          <w:color w:val="auto"/>
        </w:rPr>
      </w:pPr>
    </w:p>
    <w:p>
      <w:pPr>
        <w:spacing w:after="0" w:line="23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0760"/>
          </w:cols>
          <w:pgMar w:left="320" w:top="447" w:right="81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jc w:val="both"/>
        <w:ind w:left="480" w:right="180"/>
        <w:spacing w:after="0" w:line="270" w:lineRule="auto"/>
        <w:rPr>
          <w:sz w:val="20"/>
          <w:szCs w:val="20"/>
          <w:color w:val="auto"/>
        </w:rPr>
      </w:pPr>
      <w:r>
        <w:rPr>
          <w:rFonts w:ascii="Arial" w:cs="Arial" w:eastAsia="Arial" w:hAnsi="Arial"/>
          <w:sz w:val="17"/>
          <w:szCs w:val="17"/>
          <w:color w:val="auto"/>
        </w:rPr>
        <w:t>The following table includes the assumptions, rounded to the nearest hundredth, that we used to calculate the grant date fair value reported for fiscal years 2021, 2020 and 2019 on a grant-by-grant basis and the grant date fair value of relative TSR PRSUs and financial metric PRSUs, assuming the achievement of the maximum level of performance conditions.</w:t>
      </w:r>
    </w:p>
    <w:p>
      <w:pPr>
        <w:spacing w:after="0" w:line="211" w:lineRule="exact"/>
        <w:rPr>
          <w:sz w:val="20"/>
          <w:szCs w:val="20"/>
          <w:color w:val="auto"/>
        </w:rPr>
      </w:pPr>
    </w:p>
    <w:tbl>
      <w:tblPr>
        <w:tblLayout w:type="fixed"/>
        <w:tblInd w:w="480" w:type="dxa"/>
        <w:tblCellMar>
          <w:top w:w="0" w:type="dxa"/>
          <w:left w:w="0" w:type="dxa"/>
          <w:bottom w:w="0" w:type="dxa"/>
          <w:right w:w="0" w:type="dxa"/>
        </w:tblCellMar>
      </w:tblPr>
      <w:tr>
        <w:trPr>
          <w:trHeight w:val="138"/>
        </w:trPr>
        <w:tc>
          <w:tcPr>
            <w:tcW w:w="2460" w:type="dxa"/>
            <w:vAlign w:val="bottom"/>
            <w:shd w:val="clear" w:color="auto" w:fill="0066BA"/>
          </w:tcPr>
          <w:p>
            <w:pPr>
              <w:spacing w:after="0"/>
              <w:rPr>
                <w:sz w:val="12"/>
                <w:szCs w:val="12"/>
                <w:color w:val="auto"/>
              </w:rPr>
            </w:pPr>
          </w:p>
        </w:tc>
        <w:tc>
          <w:tcPr>
            <w:tcW w:w="120" w:type="dxa"/>
            <w:vAlign w:val="bottom"/>
            <w:shd w:val="clear" w:color="auto" w:fill="0066BA"/>
          </w:tcPr>
          <w:p>
            <w:pPr>
              <w:spacing w:after="0"/>
              <w:rPr>
                <w:sz w:val="12"/>
                <w:szCs w:val="12"/>
                <w:color w:val="auto"/>
              </w:rPr>
            </w:pPr>
          </w:p>
        </w:tc>
        <w:tc>
          <w:tcPr>
            <w:tcW w:w="800" w:type="dxa"/>
            <w:vAlign w:val="bottom"/>
            <w:shd w:val="clear" w:color="auto" w:fill="0066BA"/>
          </w:tcPr>
          <w:p>
            <w:pPr>
              <w:spacing w:after="0"/>
              <w:rPr>
                <w:sz w:val="12"/>
                <w:szCs w:val="12"/>
                <w:color w:val="auto"/>
              </w:rPr>
            </w:pPr>
          </w:p>
        </w:tc>
        <w:tc>
          <w:tcPr>
            <w:tcW w:w="100" w:type="dxa"/>
            <w:vAlign w:val="bottom"/>
            <w:shd w:val="clear" w:color="auto" w:fill="0066BA"/>
          </w:tcPr>
          <w:p>
            <w:pPr>
              <w:spacing w:after="0"/>
              <w:rPr>
                <w:sz w:val="12"/>
                <w:szCs w:val="12"/>
                <w:color w:val="auto"/>
              </w:rPr>
            </w:pPr>
          </w:p>
        </w:tc>
        <w:tc>
          <w:tcPr>
            <w:tcW w:w="1160" w:type="dxa"/>
            <w:vAlign w:val="bottom"/>
            <w:shd w:val="clear" w:color="auto" w:fill="0066BA"/>
          </w:tcPr>
          <w:p>
            <w:pPr>
              <w:spacing w:after="0"/>
              <w:rPr>
                <w:sz w:val="12"/>
                <w:szCs w:val="12"/>
                <w:color w:val="auto"/>
              </w:rPr>
            </w:pPr>
          </w:p>
        </w:tc>
        <w:tc>
          <w:tcPr>
            <w:tcW w:w="120" w:type="dxa"/>
            <w:vAlign w:val="bottom"/>
            <w:shd w:val="clear" w:color="auto" w:fill="0066BA"/>
          </w:tcPr>
          <w:p>
            <w:pPr>
              <w:spacing w:after="0"/>
              <w:rPr>
                <w:sz w:val="12"/>
                <w:szCs w:val="12"/>
                <w:color w:val="auto"/>
              </w:rPr>
            </w:pPr>
          </w:p>
        </w:tc>
        <w:tc>
          <w:tcPr>
            <w:tcW w:w="480" w:type="dxa"/>
            <w:vAlign w:val="bottom"/>
            <w:shd w:val="clear" w:color="auto" w:fill="0066BA"/>
          </w:tcPr>
          <w:p>
            <w:pPr>
              <w:spacing w:after="0"/>
              <w:rPr>
                <w:sz w:val="12"/>
                <w:szCs w:val="12"/>
                <w:color w:val="auto"/>
              </w:rPr>
            </w:pPr>
          </w:p>
        </w:tc>
        <w:tc>
          <w:tcPr>
            <w:tcW w:w="100" w:type="dxa"/>
            <w:vAlign w:val="bottom"/>
            <w:shd w:val="clear" w:color="auto" w:fill="0066BA"/>
          </w:tcPr>
          <w:p>
            <w:pPr>
              <w:spacing w:after="0"/>
              <w:rPr>
                <w:sz w:val="12"/>
                <w:szCs w:val="12"/>
                <w:color w:val="auto"/>
              </w:rPr>
            </w:pPr>
          </w:p>
        </w:tc>
        <w:tc>
          <w:tcPr>
            <w:tcW w:w="720" w:type="dxa"/>
            <w:vAlign w:val="bottom"/>
            <w:shd w:val="clear" w:color="auto" w:fill="0066BA"/>
          </w:tcPr>
          <w:p>
            <w:pPr>
              <w:spacing w:after="0"/>
              <w:rPr>
                <w:sz w:val="12"/>
                <w:szCs w:val="12"/>
                <w:color w:val="auto"/>
              </w:rPr>
            </w:pPr>
          </w:p>
        </w:tc>
        <w:tc>
          <w:tcPr>
            <w:tcW w:w="180" w:type="dxa"/>
            <w:vAlign w:val="bottom"/>
            <w:shd w:val="clear" w:color="auto" w:fill="0066BA"/>
          </w:tcPr>
          <w:p>
            <w:pPr>
              <w:spacing w:after="0"/>
              <w:rPr>
                <w:sz w:val="12"/>
                <w:szCs w:val="12"/>
                <w:color w:val="auto"/>
              </w:rPr>
            </w:pPr>
          </w:p>
        </w:tc>
        <w:tc>
          <w:tcPr>
            <w:tcW w:w="460" w:type="dxa"/>
            <w:vAlign w:val="bottom"/>
            <w:shd w:val="clear" w:color="auto" w:fill="0066BA"/>
          </w:tcPr>
          <w:p>
            <w:pPr>
              <w:spacing w:after="0"/>
              <w:rPr>
                <w:sz w:val="12"/>
                <w:szCs w:val="12"/>
                <w:color w:val="auto"/>
              </w:rPr>
            </w:pPr>
          </w:p>
        </w:tc>
        <w:tc>
          <w:tcPr>
            <w:tcW w:w="80" w:type="dxa"/>
            <w:vAlign w:val="bottom"/>
            <w:shd w:val="clear" w:color="auto" w:fill="0066BA"/>
          </w:tcPr>
          <w:p>
            <w:pPr>
              <w:spacing w:after="0"/>
              <w:rPr>
                <w:sz w:val="12"/>
                <w:szCs w:val="12"/>
                <w:color w:val="auto"/>
              </w:rPr>
            </w:pPr>
          </w:p>
        </w:tc>
        <w:tc>
          <w:tcPr>
            <w:tcW w:w="740" w:type="dxa"/>
            <w:vAlign w:val="bottom"/>
            <w:shd w:val="clear" w:color="auto" w:fill="0066BA"/>
          </w:tcPr>
          <w:p>
            <w:pPr>
              <w:spacing w:after="0"/>
              <w:rPr>
                <w:sz w:val="12"/>
                <w:szCs w:val="12"/>
                <w:color w:val="auto"/>
              </w:rPr>
            </w:pPr>
          </w:p>
        </w:tc>
        <w:tc>
          <w:tcPr>
            <w:tcW w:w="140" w:type="dxa"/>
            <w:vAlign w:val="bottom"/>
            <w:shd w:val="clear" w:color="auto" w:fill="0066BA"/>
          </w:tcPr>
          <w:p>
            <w:pPr>
              <w:spacing w:after="0"/>
              <w:rPr>
                <w:sz w:val="12"/>
                <w:szCs w:val="12"/>
                <w:color w:val="auto"/>
              </w:rPr>
            </w:pPr>
          </w:p>
        </w:tc>
        <w:tc>
          <w:tcPr>
            <w:tcW w:w="520" w:type="dxa"/>
            <w:vAlign w:val="bottom"/>
            <w:shd w:val="clear" w:color="auto" w:fill="0066BA"/>
          </w:tcPr>
          <w:p>
            <w:pPr>
              <w:spacing w:after="0"/>
              <w:rPr>
                <w:sz w:val="12"/>
                <w:szCs w:val="12"/>
                <w:color w:val="auto"/>
              </w:rPr>
            </w:pPr>
          </w:p>
        </w:tc>
        <w:tc>
          <w:tcPr>
            <w:tcW w:w="80" w:type="dxa"/>
            <w:vAlign w:val="bottom"/>
            <w:shd w:val="clear" w:color="auto" w:fill="0066BA"/>
          </w:tcPr>
          <w:p>
            <w:pPr>
              <w:spacing w:after="0"/>
              <w:rPr>
                <w:sz w:val="12"/>
                <w:szCs w:val="12"/>
                <w:color w:val="auto"/>
              </w:rPr>
            </w:pPr>
          </w:p>
        </w:tc>
        <w:tc>
          <w:tcPr>
            <w:tcW w:w="880" w:type="dxa"/>
            <w:vAlign w:val="bottom"/>
            <w:shd w:val="clear" w:color="auto" w:fill="0066BA"/>
          </w:tcPr>
          <w:p>
            <w:pPr>
              <w:spacing w:after="0"/>
              <w:rPr>
                <w:sz w:val="12"/>
                <w:szCs w:val="12"/>
                <w:color w:val="auto"/>
              </w:rPr>
            </w:pPr>
          </w:p>
        </w:tc>
        <w:tc>
          <w:tcPr>
            <w:tcW w:w="120" w:type="dxa"/>
            <w:vAlign w:val="bottom"/>
            <w:shd w:val="clear" w:color="auto" w:fill="0066BA"/>
          </w:tcPr>
          <w:p>
            <w:pPr>
              <w:spacing w:after="0"/>
              <w:rPr>
                <w:sz w:val="12"/>
                <w:szCs w:val="12"/>
                <w:color w:val="auto"/>
              </w:rPr>
            </w:pPr>
          </w:p>
        </w:tc>
        <w:tc>
          <w:tcPr>
            <w:tcW w:w="1020" w:type="dxa"/>
            <w:vAlign w:val="bottom"/>
            <w:gridSpan w:val="2"/>
            <w:shd w:val="clear" w:color="auto" w:fill="0066BA"/>
          </w:tcPr>
          <w:p>
            <w:pPr>
              <w:jc w:val="right"/>
              <w:ind w:right="80"/>
              <w:spacing w:after="0"/>
              <w:rPr>
                <w:sz w:val="20"/>
                <w:szCs w:val="20"/>
                <w:color w:val="auto"/>
              </w:rPr>
            </w:pPr>
            <w:r>
              <w:rPr>
                <w:rFonts w:ascii="Arial" w:cs="Arial" w:eastAsia="Arial" w:hAnsi="Arial"/>
                <w:sz w:val="12"/>
                <w:szCs w:val="12"/>
                <w:b w:val="1"/>
                <w:bCs w:val="1"/>
                <w:color w:val="FFFFFF"/>
              </w:rPr>
              <w:t>Grant Date</w:t>
            </w:r>
          </w:p>
        </w:tc>
        <w:tc>
          <w:tcPr>
            <w:tcW w:w="0" w:type="dxa"/>
            <w:vAlign w:val="bottom"/>
          </w:tcPr>
          <w:p>
            <w:pPr>
              <w:spacing w:after="0"/>
              <w:rPr>
                <w:sz w:val="1"/>
                <w:szCs w:val="1"/>
                <w:color w:val="auto"/>
              </w:rPr>
            </w:pPr>
          </w:p>
        </w:tc>
      </w:tr>
      <w:tr>
        <w:trPr>
          <w:trHeight w:val="130"/>
        </w:trPr>
        <w:tc>
          <w:tcPr>
            <w:tcW w:w="2460" w:type="dxa"/>
            <w:vAlign w:val="bottom"/>
            <w:shd w:val="clear" w:color="auto" w:fill="0066BA"/>
          </w:tcPr>
          <w:p>
            <w:pPr>
              <w:spacing w:after="0"/>
              <w:rPr>
                <w:sz w:val="11"/>
                <w:szCs w:val="11"/>
                <w:color w:val="auto"/>
              </w:rPr>
            </w:pPr>
          </w:p>
        </w:tc>
        <w:tc>
          <w:tcPr>
            <w:tcW w:w="120" w:type="dxa"/>
            <w:vAlign w:val="bottom"/>
            <w:shd w:val="clear" w:color="auto" w:fill="0066BA"/>
          </w:tcPr>
          <w:p>
            <w:pPr>
              <w:spacing w:after="0"/>
              <w:rPr>
                <w:sz w:val="11"/>
                <w:szCs w:val="11"/>
                <w:color w:val="auto"/>
              </w:rPr>
            </w:pPr>
          </w:p>
        </w:tc>
        <w:tc>
          <w:tcPr>
            <w:tcW w:w="80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1160" w:type="dxa"/>
            <w:vAlign w:val="bottom"/>
            <w:shd w:val="clear" w:color="auto" w:fill="0066BA"/>
          </w:tcPr>
          <w:p>
            <w:pPr>
              <w:spacing w:after="0"/>
              <w:rPr>
                <w:sz w:val="11"/>
                <w:szCs w:val="11"/>
                <w:color w:val="auto"/>
              </w:rPr>
            </w:pPr>
          </w:p>
        </w:tc>
        <w:tc>
          <w:tcPr>
            <w:tcW w:w="120" w:type="dxa"/>
            <w:vAlign w:val="bottom"/>
            <w:shd w:val="clear" w:color="auto" w:fill="0066BA"/>
          </w:tcPr>
          <w:p>
            <w:pPr>
              <w:spacing w:after="0"/>
              <w:rPr>
                <w:sz w:val="11"/>
                <w:szCs w:val="11"/>
                <w:color w:val="auto"/>
              </w:rPr>
            </w:pPr>
          </w:p>
        </w:tc>
        <w:tc>
          <w:tcPr>
            <w:tcW w:w="48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720" w:type="dxa"/>
            <w:vAlign w:val="bottom"/>
            <w:shd w:val="clear" w:color="auto" w:fill="0066BA"/>
          </w:tcPr>
          <w:p>
            <w:pPr>
              <w:spacing w:after="0"/>
              <w:rPr>
                <w:sz w:val="11"/>
                <w:szCs w:val="11"/>
                <w:color w:val="auto"/>
              </w:rPr>
            </w:pPr>
          </w:p>
        </w:tc>
        <w:tc>
          <w:tcPr>
            <w:tcW w:w="180" w:type="dxa"/>
            <w:vAlign w:val="bottom"/>
            <w:shd w:val="clear" w:color="auto" w:fill="0066BA"/>
          </w:tcPr>
          <w:p>
            <w:pPr>
              <w:spacing w:after="0"/>
              <w:rPr>
                <w:sz w:val="11"/>
                <w:szCs w:val="11"/>
                <w:color w:val="auto"/>
              </w:rPr>
            </w:pPr>
          </w:p>
        </w:tc>
        <w:tc>
          <w:tcPr>
            <w:tcW w:w="46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740" w:type="dxa"/>
            <w:vAlign w:val="bottom"/>
            <w:shd w:val="clear" w:color="auto" w:fill="0066BA"/>
          </w:tcPr>
          <w:p>
            <w:pPr>
              <w:spacing w:after="0"/>
              <w:rPr>
                <w:sz w:val="11"/>
                <w:szCs w:val="11"/>
                <w:color w:val="auto"/>
              </w:rPr>
            </w:pPr>
          </w:p>
        </w:tc>
        <w:tc>
          <w:tcPr>
            <w:tcW w:w="140" w:type="dxa"/>
            <w:vAlign w:val="bottom"/>
            <w:shd w:val="clear" w:color="auto" w:fill="0066BA"/>
          </w:tcPr>
          <w:p>
            <w:pPr>
              <w:spacing w:after="0"/>
              <w:rPr>
                <w:sz w:val="11"/>
                <w:szCs w:val="11"/>
                <w:color w:val="auto"/>
              </w:rPr>
            </w:pPr>
          </w:p>
        </w:tc>
        <w:tc>
          <w:tcPr>
            <w:tcW w:w="52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880" w:type="dxa"/>
            <w:vAlign w:val="bottom"/>
            <w:shd w:val="clear" w:color="auto" w:fill="0066BA"/>
          </w:tcPr>
          <w:p>
            <w:pPr>
              <w:spacing w:after="0"/>
              <w:rPr>
                <w:sz w:val="11"/>
                <w:szCs w:val="11"/>
                <w:color w:val="auto"/>
              </w:rPr>
            </w:pPr>
          </w:p>
        </w:tc>
        <w:tc>
          <w:tcPr>
            <w:tcW w:w="120" w:type="dxa"/>
            <w:vAlign w:val="bottom"/>
            <w:shd w:val="clear" w:color="auto" w:fill="0066BA"/>
          </w:tcPr>
          <w:p>
            <w:pPr>
              <w:spacing w:after="0"/>
              <w:rPr>
                <w:sz w:val="11"/>
                <w:szCs w:val="11"/>
                <w:color w:val="auto"/>
              </w:rPr>
            </w:pPr>
          </w:p>
        </w:tc>
        <w:tc>
          <w:tcPr>
            <w:tcW w:w="1020" w:type="dxa"/>
            <w:vAlign w:val="bottom"/>
            <w:gridSpan w:val="2"/>
            <w:shd w:val="clear" w:color="auto" w:fill="0066BA"/>
          </w:tcPr>
          <w:p>
            <w:pPr>
              <w:jc w:val="right"/>
              <w:ind w:right="80"/>
              <w:spacing w:after="0" w:line="130" w:lineRule="exact"/>
              <w:rPr>
                <w:sz w:val="20"/>
                <w:szCs w:val="20"/>
                <w:color w:val="auto"/>
              </w:rPr>
            </w:pPr>
            <w:r>
              <w:rPr>
                <w:rFonts w:ascii="Arial" w:cs="Arial" w:eastAsia="Arial" w:hAnsi="Arial"/>
                <w:sz w:val="12"/>
                <w:szCs w:val="12"/>
                <w:b w:val="1"/>
                <w:bCs w:val="1"/>
                <w:color w:val="FFFFFF"/>
              </w:rPr>
              <w:t>Fair Value at</w:t>
            </w:r>
          </w:p>
        </w:tc>
        <w:tc>
          <w:tcPr>
            <w:tcW w:w="0" w:type="dxa"/>
            <w:vAlign w:val="bottom"/>
          </w:tcPr>
          <w:p>
            <w:pPr>
              <w:spacing w:after="0"/>
              <w:rPr>
                <w:sz w:val="1"/>
                <w:szCs w:val="1"/>
                <w:color w:val="auto"/>
              </w:rPr>
            </w:pPr>
          </w:p>
        </w:tc>
      </w:tr>
      <w:tr>
        <w:trPr>
          <w:trHeight w:val="130"/>
        </w:trPr>
        <w:tc>
          <w:tcPr>
            <w:tcW w:w="2460" w:type="dxa"/>
            <w:vAlign w:val="bottom"/>
            <w:shd w:val="clear" w:color="auto" w:fill="0066BA"/>
          </w:tcPr>
          <w:p>
            <w:pPr>
              <w:spacing w:after="0"/>
              <w:rPr>
                <w:sz w:val="11"/>
                <w:szCs w:val="11"/>
                <w:color w:val="auto"/>
              </w:rPr>
            </w:pPr>
          </w:p>
        </w:tc>
        <w:tc>
          <w:tcPr>
            <w:tcW w:w="120" w:type="dxa"/>
            <w:vAlign w:val="bottom"/>
            <w:shd w:val="clear" w:color="auto" w:fill="0066BA"/>
          </w:tcPr>
          <w:p>
            <w:pPr>
              <w:spacing w:after="0"/>
              <w:rPr>
                <w:sz w:val="11"/>
                <w:szCs w:val="11"/>
                <w:color w:val="auto"/>
              </w:rPr>
            </w:pPr>
          </w:p>
        </w:tc>
        <w:tc>
          <w:tcPr>
            <w:tcW w:w="80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1160" w:type="dxa"/>
            <w:vAlign w:val="bottom"/>
            <w:shd w:val="clear" w:color="auto" w:fill="0066BA"/>
          </w:tcPr>
          <w:p>
            <w:pPr>
              <w:spacing w:after="0"/>
              <w:rPr>
                <w:sz w:val="11"/>
                <w:szCs w:val="11"/>
                <w:color w:val="auto"/>
              </w:rPr>
            </w:pPr>
          </w:p>
        </w:tc>
        <w:tc>
          <w:tcPr>
            <w:tcW w:w="120" w:type="dxa"/>
            <w:vAlign w:val="bottom"/>
            <w:shd w:val="clear" w:color="auto" w:fill="0066BA"/>
          </w:tcPr>
          <w:p>
            <w:pPr>
              <w:spacing w:after="0"/>
              <w:rPr>
                <w:sz w:val="11"/>
                <w:szCs w:val="11"/>
                <w:color w:val="auto"/>
              </w:rPr>
            </w:pPr>
          </w:p>
        </w:tc>
        <w:tc>
          <w:tcPr>
            <w:tcW w:w="48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720" w:type="dxa"/>
            <w:vAlign w:val="bottom"/>
            <w:shd w:val="clear" w:color="auto" w:fill="0066BA"/>
          </w:tcPr>
          <w:p>
            <w:pPr>
              <w:spacing w:after="0"/>
              <w:rPr>
                <w:sz w:val="11"/>
                <w:szCs w:val="11"/>
                <w:color w:val="auto"/>
              </w:rPr>
            </w:pPr>
          </w:p>
        </w:tc>
        <w:tc>
          <w:tcPr>
            <w:tcW w:w="180" w:type="dxa"/>
            <w:vAlign w:val="bottom"/>
            <w:shd w:val="clear" w:color="auto" w:fill="0066BA"/>
          </w:tcPr>
          <w:p>
            <w:pPr>
              <w:spacing w:after="0"/>
              <w:rPr>
                <w:sz w:val="11"/>
                <w:szCs w:val="11"/>
                <w:color w:val="auto"/>
              </w:rPr>
            </w:pPr>
          </w:p>
        </w:tc>
        <w:tc>
          <w:tcPr>
            <w:tcW w:w="46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740" w:type="dxa"/>
            <w:vAlign w:val="bottom"/>
            <w:shd w:val="clear" w:color="auto" w:fill="0066BA"/>
          </w:tcPr>
          <w:p>
            <w:pPr>
              <w:spacing w:after="0"/>
              <w:rPr>
                <w:sz w:val="11"/>
                <w:szCs w:val="11"/>
                <w:color w:val="auto"/>
              </w:rPr>
            </w:pPr>
          </w:p>
        </w:tc>
        <w:tc>
          <w:tcPr>
            <w:tcW w:w="140" w:type="dxa"/>
            <w:vAlign w:val="bottom"/>
            <w:shd w:val="clear" w:color="auto" w:fill="0066BA"/>
          </w:tcPr>
          <w:p>
            <w:pPr>
              <w:spacing w:after="0"/>
              <w:rPr>
                <w:sz w:val="11"/>
                <w:szCs w:val="11"/>
                <w:color w:val="auto"/>
              </w:rPr>
            </w:pPr>
          </w:p>
        </w:tc>
        <w:tc>
          <w:tcPr>
            <w:tcW w:w="52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880" w:type="dxa"/>
            <w:vAlign w:val="bottom"/>
            <w:shd w:val="clear" w:color="auto" w:fill="0066BA"/>
          </w:tcPr>
          <w:p>
            <w:pPr>
              <w:spacing w:after="0"/>
              <w:rPr>
                <w:sz w:val="11"/>
                <w:szCs w:val="11"/>
                <w:color w:val="auto"/>
              </w:rPr>
            </w:pPr>
          </w:p>
        </w:tc>
        <w:tc>
          <w:tcPr>
            <w:tcW w:w="120" w:type="dxa"/>
            <w:vAlign w:val="bottom"/>
            <w:shd w:val="clear" w:color="auto" w:fill="0066BA"/>
          </w:tcPr>
          <w:p>
            <w:pPr>
              <w:spacing w:after="0"/>
              <w:rPr>
                <w:sz w:val="11"/>
                <w:szCs w:val="11"/>
                <w:color w:val="auto"/>
              </w:rPr>
            </w:pPr>
          </w:p>
        </w:tc>
        <w:tc>
          <w:tcPr>
            <w:tcW w:w="1020" w:type="dxa"/>
            <w:vAlign w:val="bottom"/>
            <w:gridSpan w:val="2"/>
            <w:shd w:val="clear" w:color="auto" w:fill="0066BA"/>
          </w:tcPr>
          <w:p>
            <w:pPr>
              <w:jc w:val="right"/>
              <w:ind w:right="80"/>
              <w:spacing w:after="0" w:line="130" w:lineRule="exact"/>
              <w:rPr>
                <w:sz w:val="20"/>
                <w:szCs w:val="20"/>
                <w:color w:val="auto"/>
              </w:rPr>
            </w:pPr>
            <w:r>
              <w:rPr>
                <w:rFonts w:ascii="Arial" w:cs="Arial" w:eastAsia="Arial" w:hAnsi="Arial"/>
                <w:sz w:val="12"/>
                <w:szCs w:val="12"/>
                <w:b w:val="1"/>
                <w:bCs w:val="1"/>
                <w:color w:val="FFFFFF"/>
              </w:rPr>
              <w:t>Maximum</w:t>
            </w:r>
          </w:p>
        </w:tc>
        <w:tc>
          <w:tcPr>
            <w:tcW w:w="0" w:type="dxa"/>
            <w:vAlign w:val="bottom"/>
          </w:tcPr>
          <w:p>
            <w:pPr>
              <w:spacing w:after="0"/>
              <w:rPr>
                <w:sz w:val="1"/>
                <w:szCs w:val="1"/>
                <w:color w:val="auto"/>
              </w:rPr>
            </w:pPr>
          </w:p>
        </w:tc>
      </w:tr>
      <w:tr>
        <w:trPr>
          <w:trHeight w:val="130"/>
        </w:trPr>
        <w:tc>
          <w:tcPr>
            <w:tcW w:w="2460" w:type="dxa"/>
            <w:vAlign w:val="bottom"/>
            <w:shd w:val="clear" w:color="auto" w:fill="0066BA"/>
          </w:tcPr>
          <w:p>
            <w:pPr>
              <w:spacing w:after="0"/>
              <w:rPr>
                <w:sz w:val="11"/>
                <w:szCs w:val="11"/>
                <w:color w:val="auto"/>
              </w:rPr>
            </w:pPr>
          </w:p>
        </w:tc>
        <w:tc>
          <w:tcPr>
            <w:tcW w:w="120" w:type="dxa"/>
            <w:vAlign w:val="bottom"/>
            <w:shd w:val="clear" w:color="auto" w:fill="0066BA"/>
          </w:tcPr>
          <w:p>
            <w:pPr>
              <w:spacing w:after="0"/>
              <w:rPr>
                <w:sz w:val="11"/>
                <w:szCs w:val="11"/>
                <w:color w:val="auto"/>
              </w:rPr>
            </w:pPr>
          </w:p>
        </w:tc>
        <w:tc>
          <w:tcPr>
            <w:tcW w:w="80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1160" w:type="dxa"/>
            <w:vAlign w:val="bottom"/>
            <w:shd w:val="clear" w:color="auto" w:fill="0066BA"/>
          </w:tcPr>
          <w:p>
            <w:pPr>
              <w:jc w:val="right"/>
              <w:ind w:right="344"/>
              <w:spacing w:after="0" w:line="130" w:lineRule="exact"/>
              <w:rPr>
                <w:sz w:val="20"/>
                <w:szCs w:val="20"/>
                <w:color w:val="auto"/>
              </w:rPr>
            </w:pPr>
            <w:r>
              <w:rPr>
                <w:rFonts w:ascii="Arial" w:cs="Arial" w:eastAsia="Arial" w:hAnsi="Arial"/>
                <w:sz w:val="12"/>
                <w:szCs w:val="12"/>
                <w:b w:val="1"/>
                <w:bCs w:val="1"/>
                <w:color w:val="FFFFFF"/>
              </w:rPr>
              <w:t>Options/</w:t>
            </w:r>
          </w:p>
        </w:tc>
        <w:tc>
          <w:tcPr>
            <w:tcW w:w="120" w:type="dxa"/>
            <w:vAlign w:val="bottom"/>
            <w:shd w:val="clear" w:color="auto" w:fill="0066BA"/>
          </w:tcPr>
          <w:p>
            <w:pPr>
              <w:spacing w:after="0"/>
              <w:rPr>
                <w:sz w:val="11"/>
                <w:szCs w:val="11"/>
                <w:color w:val="auto"/>
              </w:rPr>
            </w:pPr>
          </w:p>
        </w:tc>
        <w:tc>
          <w:tcPr>
            <w:tcW w:w="48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720" w:type="dxa"/>
            <w:vAlign w:val="bottom"/>
            <w:shd w:val="clear" w:color="auto" w:fill="0066BA"/>
          </w:tcPr>
          <w:p>
            <w:pPr>
              <w:spacing w:after="0"/>
              <w:rPr>
                <w:sz w:val="11"/>
                <w:szCs w:val="11"/>
                <w:color w:val="auto"/>
              </w:rPr>
            </w:pPr>
          </w:p>
        </w:tc>
        <w:tc>
          <w:tcPr>
            <w:tcW w:w="180" w:type="dxa"/>
            <w:vAlign w:val="bottom"/>
            <w:shd w:val="clear" w:color="auto" w:fill="0066BA"/>
          </w:tcPr>
          <w:p>
            <w:pPr>
              <w:spacing w:after="0"/>
              <w:rPr>
                <w:sz w:val="11"/>
                <w:szCs w:val="11"/>
                <w:color w:val="auto"/>
              </w:rPr>
            </w:pPr>
          </w:p>
        </w:tc>
        <w:tc>
          <w:tcPr>
            <w:tcW w:w="46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740" w:type="dxa"/>
            <w:vAlign w:val="bottom"/>
            <w:shd w:val="clear" w:color="auto" w:fill="0066BA"/>
          </w:tcPr>
          <w:p>
            <w:pPr>
              <w:jc w:val="right"/>
              <w:ind w:right="24"/>
              <w:spacing w:after="0" w:line="130" w:lineRule="exact"/>
              <w:rPr>
                <w:sz w:val="20"/>
                <w:szCs w:val="20"/>
                <w:color w:val="auto"/>
              </w:rPr>
            </w:pPr>
            <w:r>
              <w:rPr>
                <w:rFonts w:ascii="Arial" w:cs="Arial" w:eastAsia="Arial" w:hAnsi="Arial"/>
                <w:sz w:val="12"/>
                <w:szCs w:val="12"/>
                <w:b w:val="1"/>
                <w:bCs w:val="1"/>
                <w:color w:val="FFFFFF"/>
              </w:rPr>
              <w:t>Risk-</w:t>
            </w:r>
          </w:p>
        </w:tc>
        <w:tc>
          <w:tcPr>
            <w:tcW w:w="140" w:type="dxa"/>
            <w:vAlign w:val="bottom"/>
            <w:shd w:val="clear" w:color="auto" w:fill="0066BA"/>
          </w:tcPr>
          <w:p>
            <w:pPr>
              <w:spacing w:after="0"/>
              <w:rPr>
                <w:sz w:val="11"/>
                <w:szCs w:val="11"/>
                <w:color w:val="auto"/>
              </w:rPr>
            </w:pPr>
          </w:p>
        </w:tc>
        <w:tc>
          <w:tcPr>
            <w:tcW w:w="52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880" w:type="dxa"/>
            <w:vAlign w:val="bottom"/>
            <w:shd w:val="clear" w:color="auto" w:fill="0066BA"/>
          </w:tcPr>
          <w:p>
            <w:pPr>
              <w:jc w:val="right"/>
              <w:ind w:right="4"/>
              <w:spacing w:after="0" w:line="130" w:lineRule="exact"/>
              <w:rPr>
                <w:sz w:val="20"/>
                <w:szCs w:val="20"/>
                <w:color w:val="auto"/>
              </w:rPr>
            </w:pPr>
            <w:r>
              <w:rPr>
                <w:rFonts w:ascii="Arial" w:cs="Arial" w:eastAsia="Arial" w:hAnsi="Arial"/>
                <w:sz w:val="12"/>
                <w:szCs w:val="12"/>
                <w:b w:val="1"/>
                <w:bCs w:val="1"/>
                <w:color w:val="FFFFFF"/>
              </w:rPr>
              <w:t>Grant Date</w:t>
            </w:r>
          </w:p>
        </w:tc>
        <w:tc>
          <w:tcPr>
            <w:tcW w:w="120" w:type="dxa"/>
            <w:vAlign w:val="bottom"/>
            <w:shd w:val="clear" w:color="auto" w:fill="0066BA"/>
          </w:tcPr>
          <w:p>
            <w:pPr>
              <w:spacing w:after="0"/>
              <w:rPr>
                <w:sz w:val="11"/>
                <w:szCs w:val="11"/>
                <w:color w:val="auto"/>
              </w:rPr>
            </w:pPr>
          </w:p>
        </w:tc>
        <w:tc>
          <w:tcPr>
            <w:tcW w:w="1020" w:type="dxa"/>
            <w:vAlign w:val="bottom"/>
            <w:gridSpan w:val="2"/>
            <w:shd w:val="clear" w:color="auto" w:fill="0066BA"/>
          </w:tcPr>
          <w:p>
            <w:pPr>
              <w:jc w:val="right"/>
              <w:ind w:right="80"/>
              <w:spacing w:after="0" w:line="130" w:lineRule="exact"/>
              <w:rPr>
                <w:sz w:val="20"/>
                <w:szCs w:val="20"/>
                <w:color w:val="auto"/>
              </w:rPr>
            </w:pPr>
            <w:r>
              <w:rPr>
                <w:rFonts w:ascii="Arial" w:cs="Arial" w:eastAsia="Arial" w:hAnsi="Arial"/>
                <w:sz w:val="12"/>
                <w:szCs w:val="12"/>
                <w:b w:val="1"/>
                <w:bCs w:val="1"/>
                <w:color w:val="FFFFFF"/>
              </w:rPr>
              <w:t>Achievement</w:t>
            </w:r>
          </w:p>
        </w:tc>
        <w:tc>
          <w:tcPr>
            <w:tcW w:w="0" w:type="dxa"/>
            <w:vAlign w:val="bottom"/>
          </w:tcPr>
          <w:p>
            <w:pPr>
              <w:spacing w:after="0"/>
              <w:rPr>
                <w:sz w:val="1"/>
                <w:szCs w:val="1"/>
                <w:color w:val="auto"/>
              </w:rPr>
            </w:pPr>
          </w:p>
        </w:tc>
      </w:tr>
      <w:tr>
        <w:trPr>
          <w:trHeight w:val="130"/>
        </w:trPr>
        <w:tc>
          <w:tcPr>
            <w:tcW w:w="2460" w:type="dxa"/>
            <w:vAlign w:val="bottom"/>
            <w:shd w:val="clear" w:color="auto" w:fill="0066BA"/>
          </w:tcPr>
          <w:p>
            <w:pPr>
              <w:spacing w:after="0"/>
              <w:rPr>
                <w:sz w:val="11"/>
                <w:szCs w:val="11"/>
                <w:color w:val="auto"/>
              </w:rPr>
            </w:pPr>
          </w:p>
        </w:tc>
        <w:tc>
          <w:tcPr>
            <w:tcW w:w="120" w:type="dxa"/>
            <w:vAlign w:val="bottom"/>
            <w:shd w:val="clear" w:color="auto" w:fill="0066BA"/>
          </w:tcPr>
          <w:p>
            <w:pPr>
              <w:spacing w:after="0"/>
              <w:rPr>
                <w:sz w:val="11"/>
                <w:szCs w:val="11"/>
                <w:color w:val="auto"/>
              </w:rPr>
            </w:pPr>
          </w:p>
        </w:tc>
        <w:tc>
          <w:tcPr>
            <w:tcW w:w="80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1160" w:type="dxa"/>
            <w:vAlign w:val="bottom"/>
            <w:shd w:val="clear" w:color="auto" w:fill="0066BA"/>
          </w:tcPr>
          <w:p>
            <w:pPr>
              <w:jc w:val="right"/>
              <w:ind w:right="344"/>
              <w:spacing w:after="0" w:line="130" w:lineRule="exact"/>
              <w:rPr>
                <w:sz w:val="20"/>
                <w:szCs w:val="20"/>
                <w:color w:val="auto"/>
              </w:rPr>
            </w:pPr>
            <w:r>
              <w:rPr>
                <w:rFonts w:ascii="Arial" w:cs="Arial" w:eastAsia="Arial" w:hAnsi="Arial"/>
                <w:sz w:val="12"/>
                <w:szCs w:val="12"/>
                <w:b w:val="1"/>
                <w:bCs w:val="1"/>
                <w:color w:val="FFFFFF"/>
              </w:rPr>
              <w:t>Restricted</w:t>
            </w:r>
          </w:p>
        </w:tc>
        <w:tc>
          <w:tcPr>
            <w:tcW w:w="120" w:type="dxa"/>
            <w:vAlign w:val="bottom"/>
            <w:shd w:val="clear" w:color="auto" w:fill="0066BA"/>
          </w:tcPr>
          <w:p>
            <w:pPr>
              <w:spacing w:after="0"/>
              <w:rPr>
                <w:sz w:val="11"/>
                <w:szCs w:val="11"/>
                <w:color w:val="auto"/>
              </w:rPr>
            </w:pPr>
          </w:p>
        </w:tc>
        <w:tc>
          <w:tcPr>
            <w:tcW w:w="48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720" w:type="dxa"/>
            <w:vAlign w:val="bottom"/>
            <w:shd w:val="clear" w:color="auto" w:fill="0066BA"/>
          </w:tcPr>
          <w:p>
            <w:pPr>
              <w:spacing w:after="0"/>
              <w:rPr>
                <w:sz w:val="11"/>
                <w:szCs w:val="11"/>
                <w:color w:val="auto"/>
              </w:rPr>
            </w:pPr>
          </w:p>
        </w:tc>
        <w:tc>
          <w:tcPr>
            <w:tcW w:w="720" w:type="dxa"/>
            <w:vAlign w:val="bottom"/>
            <w:gridSpan w:val="3"/>
            <w:shd w:val="clear" w:color="auto" w:fill="0066BA"/>
          </w:tcPr>
          <w:p>
            <w:pPr>
              <w:jc w:val="right"/>
              <w:ind w:right="80"/>
              <w:spacing w:after="0" w:line="130" w:lineRule="exact"/>
              <w:rPr>
                <w:sz w:val="20"/>
                <w:szCs w:val="20"/>
                <w:color w:val="auto"/>
              </w:rPr>
            </w:pPr>
            <w:r>
              <w:rPr>
                <w:rFonts w:ascii="Arial" w:cs="Arial" w:eastAsia="Arial" w:hAnsi="Arial"/>
                <w:sz w:val="12"/>
                <w:szCs w:val="12"/>
                <w:b w:val="1"/>
                <w:bCs w:val="1"/>
                <w:color w:val="FFFFFF"/>
              </w:rPr>
              <w:t>Expected</w:t>
            </w:r>
          </w:p>
        </w:tc>
        <w:tc>
          <w:tcPr>
            <w:tcW w:w="740" w:type="dxa"/>
            <w:vAlign w:val="bottom"/>
            <w:shd w:val="clear" w:color="auto" w:fill="0066BA"/>
          </w:tcPr>
          <w:p>
            <w:pPr>
              <w:jc w:val="right"/>
              <w:ind w:right="24"/>
              <w:spacing w:after="0" w:line="130" w:lineRule="exact"/>
              <w:rPr>
                <w:sz w:val="20"/>
                <w:szCs w:val="20"/>
                <w:color w:val="auto"/>
              </w:rPr>
            </w:pPr>
            <w:r>
              <w:rPr>
                <w:rFonts w:ascii="Arial" w:cs="Arial" w:eastAsia="Arial" w:hAnsi="Arial"/>
                <w:sz w:val="12"/>
                <w:szCs w:val="12"/>
                <w:b w:val="1"/>
                <w:bCs w:val="1"/>
                <w:color w:val="FFFFFF"/>
              </w:rPr>
              <w:t>Free</w:t>
            </w:r>
          </w:p>
        </w:tc>
        <w:tc>
          <w:tcPr>
            <w:tcW w:w="140" w:type="dxa"/>
            <w:vAlign w:val="bottom"/>
            <w:shd w:val="clear" w:color="auto" w:fill="0066BA"/>
          </w:tcPr>
          <w:p>
            <w:pPr>
              <w:spacing w:after="0"/>
              <w:rPr>
                <w:sz w:val="11"/>
                <w:szCs w:val="11"/>
                <w:color w:val="auto"/>
              </w:rPr>
            </w:pPr>
          </w:p>
        </w:tc>
        <w:tc>
          <w:tcPr>
            <w:tcW w:w="52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880" w:type="dxa"/>
            <w:vAlign w:val="bottom"/>
            <w:shd w:val="clear" w:color="auto" w:fill="0066BA"/>
          </w:tcPr>
          <w:p>
            <w:pPr>
              <w:jc w:val="right"/>
              <w:ind w:right="4"/>
              <w:spacing w:after="0" w:line="130" w:lineRule="exact"/>
              <w:rPr>
                <w:sz w:val="20"/>
                <w:szCs w:val="20"/>
                <w:color w:val="auto"/>
              </w:rPr>
            </w:pPr>
            <w:r>
              <w:rPr>
                <w:rFonts w:ascii="Arial" w:cs="Arial" w:eastAsia="Arial" w:hAnsi="Arial"/>
                <w:sz w:val="12"/>
                <w:szCs w:val="12"/>
                <w:b w:val="1"/>
                <w:bCs w:val="1"/>
                <w:color w:val="FFFFFF"/>
              </w:rPr>
              <w:t>Fair Value</w:t>
            </w:r>
          </w:p>
        </w:tc>
        <w:tc>
          <w:tcPr>
            <w:tcW w:w="120" w:type="dxa"/>
            <w:vAlign w:val="bottom"/>
            <w:shd w:val="clear" w:color="auto" w:fill="0066BA"/>
          </w:tcPr>
          <w:p>
            <w:pPr>
              <w:spacing w:after="0"/>
              <w:rPr>
                <w:sz w:val="11"/>
                <w:szCs w:val="11"/>
                <w:color w:val="auto"/>
              </w:rPr>
            </w:pPr>
          </w:p>
        </w:tc>
        <w:tc>
          <w:tcPr>
            <w:tcW w:w="1020" w:type="dxa"/>
            <w:vAlign w:val="bottom"/>
            <w:gridSpan w:val="2"/>
            <w:shd w:val="clear" w:color="auto" w:fill="0066BA"/>
          </w:tcPr>
          <w:p>
            <w:pPr>
              <w:jc w:val="right"/>
              <w:ind w:right="80"/>
              <w:spacing w:after="0" w:line="130" w:lineRule="exact"/>
              <w:rPr>
                <w:sz w:val="20"/>
                <w:szCs w:val="20"/>
                <w:color w:val="auto"/>
              </w:rPr>
            </w:pPr>
            <w:r>
              <w:rPr>
                <w:rFonts w:ascii="Arial" w:cs="Arial" w:eastAsia="Arial" w:hAnsi="Arial"/>
                <w:sz w:val="12"/>
                <w:szCs w:val="12"/>
                <w:b w:val="1"/>
                <w:bCs w:val="1"/>
                <w:color w:val="FFFFFF"/>
              </w:rPr>
              <w:t>Level for</w:t>
            </w:r>
          </w:p>
        </w:tc>
        <w:tc>
          <w:tcPr>
            <w:tcW w:w="0" w:type="dxa"/>
            <w:vAlign w:val="bottom"/>
          </w:tcPr>
          <w:p>
            <w:pPr>
              <w:spacing w:after="0"/>
              <w:rPr>
                <w:sz w:val="1"/>
                <w:szCs w:val="1"/>
                <w:color w:val="auto"/>
              </w:rPr>
            </w:pPr>
          </w:p>
        </w:tc>
      </w:tr>
      <w:tr>
        <w:trPr>
          <w:trHeight w:val="130"/>
        </w:trPr>
        <w:tc>
          <w:tcPr>
            <w:tcW w:w="2460" w:type="dxa"/>
            <w:vAlign w:val="bottom"/>
            <w:shd w:val="clear" w:color="auto" w:fill="0066BA"/>
          </w:tcPr>
          <w:p>
            <w:pPr>
              <w:spacing w:after="0"/>
              <w:rPr>
                <w:sz w:val="11"/>
                <w:szCs w:val="11"/>
                <w:color w:val="auto"/>
              </w:rPr>
            </w:pPr>
          </w:p>
        </w:tc>
        <w:tc>
          <w:tcPr>
            <w:tcW w:w="120" w:type="dxa"/>
            <w:vAlign w:val="bottom"/>
            <w:shd w:val="clear" w:color="auto" w:fill="0066BA"/>
          </w:tcPr>
          <w:p>
            <w:pPr>
              <w:spacing w:after="0"/>
              <w:rPr>
                <w:sz w:val="11"/>
                <w:szCs w:val="11"/>
                <w:color w:val="auto"/>
              </w:rPr>
            </w:pPr>
          </w:p>
        </w:tc>
        <w:tc>
          <w:tcPr>
            <w:tcW w:w="80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1160" w:type="dxa"/>
            <w:vAlign w:val="bottom"/>
            <w:shd w:val="clear" w:color="auto" w:fill="0066BA"/>
          </w:tcPr>
          <w:p>
            <w:pPr>
              <w:jc w:val="right"/>
              <w:ind w:right="344"/>
              <w:spacing w:after="0" w:line="130" w:lineRule="exact"/>
              <w:rPr>
                <w:sz w:val="20"/>
                <w:szCs w:val="20"/>
                <w:color w:val="auto"/>
              </w:rPr>
            </w:pPr>
            <w:r>
              <w:rPr>
                <w:rFonts w:ascii="Arial" w:cs="Arial" w:eastAsia="Arial" w:hAnsi="Arial"/>
                <w:sz w:val="12"/>
                <w:szCs w:val="12"/>
                <w:b w:val="1"/>
                <w:bCs w:val="1"/>
                <w:color w:val="FFFFFF"/>
              </w:rPr>
              <w:t>Stock Units</w:t>
            </w:r>
          </w:p>
        </w:tc>
        <w:tc>
          <w:tcPr>
            <w:tcW w:w="120" w:type="dxa"/>
            <w:vAlign w:val="bottom"/>
            <w:shd w:val="clear" w:color="auto" w:fill="0066BA"/>
          </w:tcPr>
          <w:p>
            <w:pPr>
              <w:spacing w:after="0"/>
              <w:rPr>
                <w:sz w:val="11"/>
                <w:szCs w:val="11"/>
                <w:color w:val="auto"/>
              </w:rPr>
            </w:pPr>
          </w:p>
        </w:tc>
        <w:tc>
          <w:tcPr>
            <w:tcW w:w="580" w:type="dxa"/>
            <w:vAlign w:val="bottom"/>
            <w:gridSpan w:val="2"/>
            <w:shd w:val="clear" w:color="auto" w:fill="0066BA"/>
          </w:tcPr>
          <w:p>
            <w:pPr>
              <w:jc w:val="right"/>
              <w:ind w:right="80"/>
              <w:spacing w:after="0" w:line="130" w:lineRule="exact"/>
              <w:rPr>
                <w:sz w:val="20"/>
                <w:szCs w:val="20"/>
                <w:color w:val="auto"/>
              </w:rPr>
            </w:pPr>
            <w:r>
              <w:rPr>
                <w:rFonts w:ascii="Arial" w:cs="Arial" w:eastAsia="Arial" w:hAnsi="Arial"/>
                <w:sz w:val="12"/>
                <w:szCs w:val="12"/>
                <w:b w:val="1"/>
                <w:bCs w:val="1"/>
                <w:color w:val="FFFFFF"/>
                <w:w w:val="97"/>
              </w:rPr>
              <w:t>Exercise</w:t>
            </w:r>
          </w:p>
        </w:tc>
        <w:tc>
          <w:tcPr>
            <w:tcW w:w="720" w:type="dxa"/>
            <w:vAlign w:val="bottom"/>
            <w:shd w:val="clear" w:color="auto" w:fill="0066BA"/>
          </w:tcPr>
          <w:p>
            <w:pPr>
              <w:jc w:val="right"/>
              <w:ind w:right="3"/>
              <w:spacing w:after="0" w:line="130" w:lineRule="exact"/>
              <w:rPr>
                <w:sz w:val="20"/>
                <w:szCs w:val="20"/>
                <w:color w:val="auto"/>
              </w:rPr>
            </w:pPr>
            <w:r>
              <w:rPr>
                <w:rFonts w:ascii="Arial" w:cs="Arial" w:eastAsia="Arial" w:hAnsi="Arial"/>
                <w:sz w:val="12"/>
                <w:szCs w:val="12"/>
                <w:b w:val="1"/>
                <w:bCs w:val="1"/>
                <w:color w:val="FFFFFF"/>
              </w:rPr>
              <w:t>Volatility</w:t>
            </w:r>
          </w:p>
        </w:tc>
        <w:tc>
          <w:tcPr>
            <w:tcW w:w="180" w:type="dxa"/>
            <w:vAlign w:val="bottom"/>
            <w:shd w:val="clear" w:color="auto" w:fill="0066BA"/>
          </w:tcPr>
          <w:p>
            <w:pPr>
              <w:spacing w:after="0"/>
              <w:rPr>
                <w:sz w:val="11"/>
                <w:szCs w:val="11"/>
                <w:color w:val="auto"/>
              </w:rPr>
            </w:pPr>
          </w:p>
        </w:tc>
        <w:tc>
          <w:tcPr>
            <w:tcW w:w="540" w:type="dxa"/>
            <w:vAlign w:val="bottom"/>
            <w:gridSpan w:val="2"/>
            <w:shd w:val="clear" w:color="auto" w:fill="0066BA"/>
          </w:tcPr>
          <w:p>
            <w:pPr>
              <w:jc w:val="right"/>
              <w:ind w:right="80"/>
              <w:spacing w:after="0" w:line="130" w:lineRule="exact"/>
              <w:rPr>
                <w:sz w:val="20"/>
                <w:szCs w:val="20"/>
                <w:color w:val="auto"/>
              </w:rPr>
            </w:pPr>
            <w:r>
              <w:rPr>
                <w:rFonts w:ascii="Arial" w:cs="Arial" w:eastAsia="Arial" w:hAnsi="Arial"/>
                <w:sz w:val="12"/>
                <w:szCs w:val="12"/>
                <w:b w:val="1"/>
                <w:bCs w:val="1"/>
                <w:color w:val="FFFFFF"/>
              </w:rPr>
              <w:t>Life</w:t>
            </w:r>
          </w:p>
        </w:tc>
        <w:tc>
          <w:tcPr>
            <w:tcW w:w="740" w:type="dxa"/>
            <w:vAlign w:val="bottom"/>
            <w:shd w:val="clear" w:color="auto" w:fill="0066BA"/>
          </w:tcPr>
          <w:p>
            <w:pPr>
              <w:jc w:val="right"/>
              <w:ind w:right="24"/>
              <w:spacing w:after="0" w:line="130" w:lineRule="exact"/>
              <w:rPr>
                <w:sz w:val="20"/>
                <w:szCs w:val="20"/>
                <w:color w:val="auto"/>
              </w:rPr>
            </w:pPr>
            <w:r>
              <w:rPr>
                <w:rFonts w:ascii="Arial" w:cs="Arial" w:eastAsia="Arial" w:hAnsi="Arial"/>
                <w:sz w:val="12"/>
                <w:szCs w:val="12"/>
                <w:b w:val="1"/>
                <w:bCs w:val="1"/>
                <w:color w:val="FFFFFF"/>
              </w:rPr>
              <w:t>Interest</w:t>
            </w:r>
          </w:p>
        </w:tc>
        <w:tc>
          <w:tcPr>
            <w:tcW w:w="140" w:type="dxa"/>
            <w:vAlign w:val="bottom"/>
            <w:shd w:val="clear" w:color="auto" w:fill="0066BA"/>
          </w:tcPr>
          <w:p>
            <w:pPr>
              <w:spacing w:after="0"/>
              <w:rPr>
                <w:sz w:val="11"/>
                <w:szCs w:val="11"/>
                <w:color w:val="auto"/>
              </w:rPr>
            </w:pPr>
          </w:p>
        </w:tc>
        <w:tc>
          <w:tcPr>
            <w:tcW w:w="600" w:type="dxa"/>
            <w:vAlign w:val="bottom"/>
            <w:gridSpan w:val="2"/>
            <w:shd w:val="clear" w:color="auto" w:fill="0066BA"/>
          </w:tcPr>
          <w:p>
            <w:pPr>
              <w:jc w:val="right"/>
              <w:ind w:right="80"/>
              <w:spacing w:after="0" w:line="130" w:lineRule="exact"/>
              <w:rPr>
                <w:sz w:val="20"/>
                <w:szCs w:val="20"/>
                <w:color w:val="auto"/>
              </w:rPr>
            </w:pPr>
            <w:r>
              <w:rPr>
                <w:rFonts w:ascii="Arial" w:cs="Arial" w:eastAsia="Arial" w:hAnsi="Arial"/>
                <w:sz w:val="12"/>
                <w:szCs w:val="12"/>
                <w:b w:val="1"/>
                <w:bCs w:val="1"/>
                <w:color w:val="FFFFFF"/>
                <w:w w:val="98"/>
              </w:rPr>
              <w:t>Dividend</w:t>
            </w:r>
          </w:p>
        </w:tc>
        <w:tc>
          <w:tcPr>
            <w:tcW w:w="880" w:type="dxa"/>
            <w:vAlign w:val="bottom"/>
            <w:shd w:val="clear" w:color="auto" w:fill="0066BA"/>
          </w:tcPr>
          <w:p>
            <w:pPr>
              <w:jc w:val="right"/>
              <w:ind w:right="4"/>
              <w:spacing w:after="0" w:line="130" w:lineRule="exact"/>
              <w:rPr>
                <w:sz w:val="20"/>
                <w:szCs w:val="20"/>
                <w:color w:val="auto"/>
              </w:rPr>
            </w:pPr>
            <w:r>
              <w:rPr>
                <w:rFonts w:ascii="Arial" w:cs="Arial" w:eastAsia="Arial" w:hAnsi="Arial"/>
                <w:sz w:val="12"/>
                <w:szCs w:val="12"/>
                <w:b w:val="1"/>
                <w:bCs w:val="1"/>
                <w:color w:val="FFFFFF"/>
              </w:rPr>
              <w:t>($) Per</w:t>
            </w:r>
          </w:p>
        </w:tc>
        <w:tc>
          <w:tcPr>
            <w:tcW w:w="120" w:type="dxa"/>
            <w:vAlign w:val="bottom"/>
            <w:shd w:val="clear" w:color="auto" w:fill="0066BA"/>
          </w:tcPr>
          <w:p>
            <w:pPr>
              <w:spacing w:after="0"/>
              <w:rPr>
                <w:sz w:val="11"/>
                <w:szCs w:val="11"/>
                <w:color w:val="auto"/>
              </w:rPr>
            </w:pPr>
          </w:p>
        </w:tc>
        <w:tc>
          <w:tcPr>
            <w:tcW w:w="1020" w:type="dxa"/>
            <w:vAlign w:val="bottom"/>
            <w:gridSpan w:val="2"/>
            <w:shd w:val="clear" w:color="auto" w:fill="0066BA"/>
          </w:tcPr>
          <w:p>
            <w:pPr>
              <w:jc w:val="right"/>
              <w:ind w:right="80"/>
              <w:spacing w:after="0" w:line="130" w:lineRule="exact"/>
              <w:rPr>
                <w:sz w:val="20"/>
                <w:szCs w:val="20"/>
                <w:color w:val="auto"/>
              </w:rPr>
            </w:pPr>
            <w:r>
              <w:rPr>
                <w:rFonts w:ascii="Arial" w:cs="Arial" w:eastAsia="Arial" w:hAnsi="Arial"/>
                <w:sz w:val="12"/>
                <w:szCs w:val="12"/>
                <w:b w:val="1"/>
                <w:bCs w:val="1"/>
                <w:color w:val="FFFFFF"/>
              </w:rPr>
              <w:t>Performance</w:t>
            </w:r>
          </w:p>
        </w:tc>
        <w:tc>
          <w:tcPr>
            <w:tcW w:w="0" w:type="dxa"/>
            <w:vAlign w:val="bottom"/>
          </w:tcPr>
          <w:p>
            <w:pPr>
              <w:spacing w:after="0"/>
              <w:rPr>
                <w:sz w:val="1"/>
                <w:szCs w:val="1"/>
                <w:color w:val="auto"/>
              </w:rPr>
            </w:pPr>
          </w:p>
        </w:tc>
      </w:tr>
      <w:tr>
        <w:trPr>
          <w:trHeight w:val="171"/>
        </w:trPr>
        <w:tc>
          <w:tcPr>
            <w:tcW w:w="2460" w:type="dxa"/>
            <w:vAlign w:val="bottom"/>
            <w:shd w:val="clear" w:color="auto" w:fill="0066BA"/>
          </w:tcPr>
          <w:p>
            <w:pPr>
              <w:ind w:left="60"/>
              <w:spacing w:after="0"/>
              <w:rPr>
                <w:sz w:val="20"/>
                <w:szCs w:val="20"/>
                <w:color w:val="auto"/>
              </w:rPr>
            </w:pPr>
            <w:r>
              <w:rPr>
                <w:rFonts w:ascii="Arial" w:cs="Arial" w:eastAsia="Arial" w:hAnsi="Arial"/>
                <w:sz w:val="12"/>
                <w:szCs w:val="12"/>
                <w:b w:val="1"/>
                <w:bCs w:val="1"/>
                <w:color w:val="FFFFFF"/>
              </w:rPr>
              <w:t>Name</w:t>
            </w:r>
          </w:p>
        </w:tc>
        <w:tc>
          <w:tcPr>
            <w:tcW w:w="120" w:type="dxa"/>
            <w:vAlign w:val="bottom"/>
            <w:shd w:val="clear" w:color="auto" w:fill="0066BA"/>
          </w:tcPr>
          <w:p>
            <w:pPr>
              <w:spacing w:after="0"/>
              <w:rPr>
                <w:sz w:val="14"/>
                <w:szCs w:val="14"/>
                <w:color w:val="auto"/>
              </w:rPr>
            </w:pPr>
          </w:p>
        </w:tc>
        <w:tc>
          <w:tcPr>
            <w:tcW w:w="900" w:type="dxa"/>
            <w:vAlign w:val="bottom"/>
            <w:gridSpan w:val="2"/>
            <w:shd w:val="clear" w:color="auto" w:fill="0066BA"/>
          </w:tcPr>
          <w:p>
            <w:pPr>
              <w:jc w:val="right"/>
              <w:ind w:right="80"/>
              <w:spacing w:after="0"/>
              <w:rPr>
                <w:sz w:val="20"/>
                <w:szCs w:val="20"/>
                <w:color w:val="auto"/>
              </w:rPr>
            </w:pPr>
            <w:r>
              <w:rPr>
                <w:rFonts w:ascii="Arial" w:cs="Arial" w:eastAsia="Arial" w:hAnsi="Arial"/>
                <w:sz w:val="12"/>
                <w:szCs w:val="12"/>
                <w:b w:val="1"/>
                <w:bCs w:val="1"/>
                <w:color w:val="FFFFFF"/>
              </w:rPr>
              <w:t>Grant Date</w:t>
            </w:r>
          </w:p>
        </w:tc>
        <w:tc>
          <w:tcPr>
            <w:tcW w:w="1160" w:type="dxa"/>
            <w:vAlign w:val="bottom"/>
            <w:shd w:val="clear" w:color="auto" w:fill="0066BA"/>
          </w:tcPr>
          <w:p>
            <w:pPr>
              <w:jc w:val="right"/>
              <w:ind w:right="344"/>
              <w:spacing w:after="0"/>
              <w:rPr>
                <w:sz w:val="20"/>
                <w:szCs w:val="20"/>
                <w:color w:val="auto"/>
              </w:rPr>
            </w:pPr>
            <w:r>
              <w:rPr>
                <w:rFonts w:ascii="Arial" w:cs="Arial" w:eastAsia="Arial" w:hAnsi="Arial"/>
                <w:sz w:val="12"/>
                <w:szCs w:val="12"/>
                <w:b w:val="1"/>
                <w:bCs w:val="1"/>
                <w:color w:val="FFFFFF"/>
              </w:rPr>
              <w:t>Granted (#)</w:t>
            </w:r>
          </w:p>
        </w:tc>
        <w:tc>
          <w:tcPr>
            <w:tcW w:w="120" w:type="dxa"/>
            <w:vAlign w:val="bottom"/>
            <w:shd w:val="clear" w:color="auto" w:fill="0066BA"/>
          </w:tcPr>
          <w:p>
            <w:pPr>
              <w:spacing w:after="0"/>
              <w:rPr>
                <w:sz w:val="14"/>
                <w:szCs w:val="14"/>
                <w:color w:val="auto"/>
              </w:rPr>
            </w:pPr>
          </w:p>
        </w:tc>
        <w:tc>
          <w:tcPr>
            <w:tcW w:w="580" w:type="dxa"/>
            <w:vAlign w:val="bottom"/>
            <w:gridSpan w:val="2"/>
            <w:shd w:val="clear" w:color="auto" w:fill="0066BA"/>
          </w:tcPr>
          <w:p>
            <w:pPr>
              <w:jc w:val="right"/>
              <w:ind w:right="80"/>
              <w:spacing w:after="0"/>
              <w:rPr>
                <w:sz w:val="20"/>
                <w:szCs w:val="20"/>
                <w:color w:val="auto"/>
              </w:rPr>
            </w:pPr>
            <w:r>
              <w:rPr>
                <w:rFonts w:ascii="Arial" w:cs="Arial" w:eastAsia="Arial" w:hAnsi="Arial"/>
                <w:sz w:val="12"/>
                <w:szCs w:val="12"/>
                <w:b w:val="1"/>
                <w:bCs w:val="1"/>
                <w:color w:val="FFFFFF"/>
              </w:rPr>
              <w:t>Price ($)</w:t>
            </w:r>
          </w:p>
        </w:tc>
        <w:tc>
          <w:tcPr>
            <w:tcW w:w="720" w:type="dxa"/>
            <w:vAlign w:val="bottom"/>
            <w:shd w:val="clear" w:color="auto" w:fill="0066BA"/>
          </w:tcPr>
          <w:p>
            <w:pPr>
              <w:jc w:val="right"/>
              <w:ind w:right="3"/>
              <w:spacing w:after="0"/>
              <w:rPr>
                <w:sz w:val="20"/>
                <w:szCs w:val="20"/>
                <w:color w:val="auto"/>
              </w:rPr>
            </w:pPr>
            <w:r>
              <w:rPr>
                <w:rFonts w:ascii="Arial" w:cs="Arial" w:eastAsia="Arial" w:hAnsi="Arial"/>
                <w:sz w:val="12"/>
                <w:szCs w:val="12"/>
                <w:b w:val="1"/>
                <w:bCs w:val="1"/>
                <w:color w:val="FFFFFF"/>
              </w:rPr>
              <w:t>(%)</w:t>
            </w:r>
          </w:p>
        </w:tc>
        <w:tc>
          <w:tcPr>
            <w:tcW w:w="180" w:type="dxa"/>
            <w:vAlign w:val="bottom"/>
            <w:shd w:val="clear" w:color="auto" w:fill="0066BA"/>
          </w:tcPr>
          <w:p>
            <w:pPr>
              <w:spacing w:after="0"/>
              <w:rPr>
                <w:sz w:val="14"/>
                <w:szCs w:val="14"/>
                <w:color w:val="auto"/>
              </w:rPr>
            </w:pPr>
          </w:p>
        </w:tc>
        <w:tc>
          <w:tcPr>
            <w:tcW w:w="540" w:type="dxa"/>
            <w:vAlign w:val="bottom"/>
            <w:gridSpan w:val="2"/>
            <w:shd w:val="clear" w:color="auto" w:fill="0066BA"/>
          </w:tcPr>
          <w:p>
            <w:pPr>
              <w:jc w:val="right"/>
              <w:ind w:right="80"/>
              <w:spacing w:after="0"/>
              <w:rPr>
                <w:sz w:val="20"/>
                <w:szCs w:val="20"/>
                <w:color w:val="auto"/>
              </w:rPr>
            </w:pPr>
            <w:r>
              <w:rPr>
                <w:rFonts w:ascii="Arial" w:cs="Arial" w:eastAsia="Arial" w:hAnsi="Arial"/>
                <w:sz w:val="12"/>
                <w:szCs w:val="12"/>
                <w:b w:val="1"/>
                <w:bCs w:val="1"/>
                <w:color w:val="FFFFFF"/>
              </w:rPr>
              <w:t>(Years)</w:t>
            </w:r>
          </w:p>
        </w:tc>
        <w:tc>
          <w:tcPr>
            <w:tcW w:w="740" w:type="dxa"/>
            <w:vAlign w:val="bottom"/>
            <w:shd w:val="clear" w:color="auto" w:fill="0066BA"/>
          </w:tcPr>
          <w:p>
            <w:pPr>
              <w:jc w:val="right"/>
              <w:ind w:right="24"/>
              <w:spacing w:after="0"/>
              <w:rPr>
                <w:sz w:val="20"/>
                <w:szCs w:val="20"/>
                <w:color w:val="auto"/>
              </w:rPr>
            </w:pPr>
            <w:r>
              <w:rPr>
                <w:rFonts w:ascii="Arial" w:cs="Arial" w:eastAsia="Arial" w:hAnsi="Arial"/>
                <w:sz w:val="12"/>
                <w:szCs w:val="12"/>
                <w:b w:val="1"/>
                <w:bCs w:val="1"/>
                <w:color w:val="FFFFFF"/>
              </w:rPr>
              <w:t>Rate (%)</w:t>
            </w:r>
          </w:p>
        </w:tc>
        <w:tc>
          <w:tcPr>
            <w:tcW w:w="140" w:type="dxa"/>
            <w:vAlign w:val="bottom"/>
            <w:shd w:val="clear" w:color="auto" w:fill="0066BA"/>
          </w:tcPr>
          <w:p>
            <w:pPr>
              <w:spacing w:after="0"/>
              <w:rPr>
                <w:sz w:val="14"/>
                <w:szCs w:val="14"/>
                <w:color w:val="auto"/>
              </w:rPr>
            </w:pPr>
          </w:p>
        </w:tc>
        <w:tc>
          <w:tcPr>
            <w:tcW w:w="600" w:type="dxa"/>
            <w:vAlign w:val="bottom"/>
            <w:gridSpan w:val="2"/>
            <w:shd w:val="clear" w:color="auto" w:fill="0066BA"/>
          </w:tcPr>
          <w:p>
            <w:pPr>
              <w:jc w:val="right"/>
              <w:ind w:right="80"/>
              <w:spacing w:after="0"/>
              <w:rPr>
                <w:sz w:val="20"/>
                <w:szCs w:val="20"/>
                <w:color w:val="auto"/>
              </w:rPr>
            </w:pPr>
            <w:r>
              <w:rPr>
                <w:rFonts w:ascii="Arial" w:cs="Arial" w:eastAsia="Arial" w:hAnsi="Arial"/>
                <w:sz w:val="12"/>
                <w:szCs w:val="12"/>
                <w:b w:val="1"/>
                <w:bCs w:val="1"/>
                <w:color w:val="FFFFFF"/>
                <w:w w:val="98"/>
              </w:rPr>
              <w:t>Yield (%)</w:t>
            </w:r>
          </w:p>
        </w:tc>
        <w:tc>
          <w:tcPr>
            <w:tcW w:w="880" w:type="dxa"/>
            <w:vAlign w:val="bottom"/>
            <w:shd w:val="clear" w:color="auto" w:fill="0066BA"/>
          </w:tcPr>
          <w:p>
            <w:pPr>
              <w:jc w:val="right"/>
              <w:ind w:right="4"/>
              <w:spacing w:after="0"/>
              <w:rPr>
                <w:sz w:val="20"/>
                <w:szCs w:val="20"/>
                <w:color w:val="auto"/>
              </w:rPr>
            </w:pPr>
            <w:r>
              <w:rPr>
                <w:rFonts w:ascii="Arial" w:cs="Arial" w:eastAsia="Arial" w:hAnsi="Arial"/>
                <w:sz w:val="12"/>
                <w:szCs w:val="12"/>
                <w:b w:val="1"/>
                <w:bCs w:val="1"/>
                <w:color w:val="FFFFFF"/>
              </w:rPr>
              <w:t>Share</w:t>
            </w:r>
          </w:p>
        </w:tc>
        <w:tc>
          <w:tcPr>
            <w:tcW w:w="120" w:type="dxa"/>
            <w:vAlign w:val="bottom"/>
            <w:shd w:val="clear" w:color="auto" w:fill="0066BA"/>
          </w:tcPr>
          <w:p>
            <w:pPr>
              <w:spacing w:after="0"/>
              <w:rPr>
                <w:sz w:val="14"/>
                <w:szCs w:val="14"/>
                <w:color w:val="auto"/>
              </w:rPr>
            </w:pPr>
          </w:p>
        </w:tc>
        <w:tc>
          <w:tcPr>
            <w:tcW w:w="1020" w:type="dxa"/>
            <w:vAlign w:val="bottom"/>
            <w:gridSpan w:val="2"/>
            <w:shd w:val="clear" w:color="auto" w:fill="0066BA"/>
          </w:tcPr>
          <w:p>
            <w:pPr>
              <w:jc w:val="right"/>
              <w:ind w:right="80"/>
              <w:spacing w:after="0"/>
              <w:rPr>
                <w:sz w:val="20"/>
                <w:szCs w:val="20"/>
                <w:color w:val="auto"/>
              </w:rPr>
            </w:pPr>
            <w:r>
              <w:rPr>
                <w:rFonts w:ascii="Arial" w:cs="Arial" w:eastAsia="Arial" w:hAnsi="Arial"/>
                <w:sz w:val="12"/>
                <w:szCs w:val="12"/>
                <w:b w:val="1"/>
                <w:bCs w:val="1"/>
                <w:color w:val="FFFFFF"/>
              </w:rPr>
              <w:t>Based RSUs ($)</w:t>
            </w:r>
          </w:p>
        </w:tc>
        <w:tc>
          <w:tcPr>
            <w:tcW w:w="0" w:type="dxa"/>
            <w:vAlign w:val="bottom"/>
          </w:tcPr>
          <w:p>
            <w:pPr>
              <w:spacing w:after="0"/>
              <w:rPr>
                <w:sz w:val="1"/>
                <w:szCs w:val="1"/>
                <w:color w:val="auto"/>
              </w:rPr>
            </w:pPr>
          </w:p>
        </w:tc>
      </w:tr>
      <w:tr>
        <w:trPr>
          <w:trHeight w:val="94"/>
        </w:trPr>
        <w:tc>
          <w:tcPr>
            <w:tcW w:w="2460" w:type="dxa"/>
            <w:vAlign w:val="bottom"/>
            <w:shd w:val="clear" w:color="auto" w:fill="0066BA"/>
          </w:tcPr>
          <w:p>
            <w:pPr>
              <w:spacing w:after="0"/>
              <w:rPr>
                <w:sz w:val="8"/>
                <w:szCs w:val="8"/>
                <w:color w:val="auto"/>
              </w:rPr>
            </w:pPr>
          </w:p>
        </w:tc>
        <w:tc>
          <w:tcPr>
            <w:tcW w:w="120" w:type="dxa"/>
            <w:vAlign w:val="bottom"/>
            <w:shd w:val="clear" w:color="auto" w:fill="0066BA"/>
          </w:tcPr>
          <w:p>
            <w:pPr>
              <w:spacing w:after="0"/>
              <w:rPr>
                <w:sz w:val="8"/>
                <w:szCs w:val="8"/>
                <w:color w:val="auto"/>
              </w:rPr>
            </w:pPr>
          </w:p>
        </w:tc>
        <w:tc>
          <w:tcPr>
            <w:tcW w:w="800" w:type="dxa"/>
            <w:vAlign w:val="bottom"/>
            <w:shd w:val="clear" w:color="auto" w:fill="0066BA"/>
          </w:tcPr>
          <w:p>
            <w:pPr>
              <w:spacing w:after="0"/>
              <w:rPr>
                <w:sz w:val="8"/>
                <w:szCs w:val="8"/>
                <w:color w:val="auto"/>
              </w:rPr>
            </w:pPr>
          </w:p>
        </w:tc>
        <w:tc>
          <w:tcPr>
            <w:tcW w:w="100" w:type="dxa"/>
            <w:vAlign w:val="bottom"/>
            <w:shd w:val="clear" w:color="auto" w:fill="0066BA"/>
          </w:tcPr>
          <w:p>
            <w:pPr>
              <w:spacing w:after="0"/>
              <w:rPr>
                <w:sz w:val="8"/>
                <w:szCs w:val="8"/>
                <w:color w:val="auto"/>
              </w:rPr>
            </w:pPr>
          </w:p>
        </w:tc>
        <w:tc>
          <w:tcPr>
            <w:tcW w:w="1160" w:type="dxa"/>
            <w:vAlign w:val="bottom"/>
            <w:shd w:val="clear" w:color="auto" w:fill="0066BA"/>
          </w:tcPr>
          <w:p>
            <w:pPr>
              <w:spacing w:after="0"/>
              <w:rPr>
                <w:sz w:val="8"/>
                <w:szCs w:val="8"/>
                <w:color w:val="auto"/>
              </w:rPr>
            </w:pPr>
          </w:p>
        </w:tc>
        <w:tc>
          <w:tcPr>
            <w:tcW w:w="120" w:type="dxa"/>
            <w:vAlign w:val="bottom"/>
            <w:shd w:val="clear" w:color="auto" w:fill="0066BA"/>
          </w:tcPr>
          <w:p>
            <w:pPr>
              <w:spacing w:after="0"/>
              <w:rPr>
                <w:sz w:val="8"/>
                <w:szCs w:val="8"/>
                <w:color w:val="auto"/>
              </w:rPr>
            </w:pPr>
          </w:p>
        </w:tc>
        <w:tc>
          <w:tcPr>
            <w:tcW w:w="480" w:type="dxa"/>
            <w:vAlign w:val="bottom"/>
            <w:shd w:val="clear" w:color="auto" w:fill="0066BA"/>
          </w:tcPr>
          <w:p>
            <w:pPr>
              <w:spacing w:after="0"/>
              <w:rPr>
                <w:sz w:val="8"/>
                <w:szCs w:val="8"/>
                <w:color w:val="auto"/>
              </w:rPr>
            </w:pPr>
          </w:p>
        </w:tc>
        <w:tc>
          <w:tcPr>
            <w:tcW w:w="100" w:type="dxa"/>
            <w:vAlign w:val="bottom"/>
            <w:shd w:val="clear" w:color="auto" w:fill="0066BA"/>
          </w:tcPr>
          <w:p>
            <w:pPr>
              <w:spacing w:after="0"/>
              <w:rPr>
                <w:sz w:val="8"/>
                <w:szCs w:val="8"/>
                <w:color w:val="auto"/>
              </w:rPr>
            </w:pPr>
          </w:p>
        </w:tc>
        <w:tc>
          <w:tcPr>
            <w:tcW w:w="720" w:type="dxa"/>
            <w:vAlign w:val="bottom"/>
            <w:shd w:val="clear" w:color="auto" w:fill="0066BA"/>
          </w:tcPr>
          <w:p>
            <w:pPr>
              <w:spacing w:after="0"/>
              <w:rPr>
                <w:sz w:val="8"/>
                <w:szCs w:val="8"/>
                <w:color w:val="auto"/>
              </w:rPr>
            </w:pPr>
          </w:p>
        </w:tc>
        <w:tc>
          <w:tcPr>
            <w:tcW w:w="180" w:type="dxa"/>
            <w:vAlign w:val="bottom"/>
            <w:shd w:val="clear" w:color="auto" w:fill="0066BA"/>
          </w:tcPr>
          <w:p>
            <w:pPr>
              <w:spacing w:after="0"/>
              <w:rPr>
                <w:sz w:val="8"/>
                <w:szCs w:val="8"/>
                <w:color w:val="auto"/>
              </w:rPr>
            </w:pPr>
          </w:p>
        </w:tc>
        <w:tc>
          <w:tcPr>
            <w:tcW w:w="460" w:type="dxa"/>
            <w:vAlign w:val="bottom"/>
            <w:shd w:val="clear" w:color="auto" w:fill="0066BA"/>
          </w:tcPr>
          <w:p>
            <w:pPr>
              <w:spacing w:after="0"/>
              <w:rPr>
                <w:sz w:val="8"/>
                <w:szCs w:val="8"/>
                <w:color w:val="auto"/>
              </w:rPr>
            </w:pPr>
          </w:p>
        </w:tc>
        <w:tc>
          <w:tcPr>
            <w:tcW w:w="80" w:type="dxa"/>
            <w:vAlign w:val="bottom"/>
            <w:shd w:val="clear" w:color="auto" w:fill="0066BA"/>
          </w:tcPr>
          <w:p>
            <w:pPr>
              <w:spacing w:after="0"/>
              <w:rPr>
                <w:sz w:val="8"/>
                <w:szCs w:val="8"/>
                <w:color w:val="auto"/>
              </w:rPr>
            </w:pPr>
          </w:p>
        </w:tc>
        <w:tc>
          <w:tcPr>
            <w:tcW w:w="740" w:type="dxa"/>
            <w:vAlign w:val="bottom"/>
            <w:shd w:val="clear" w:color="auto" w:fill="0066BA"/>
          </w:tcPr>
          <w:p>
            <w:pPr>
              <w:spacing w:after="0"/>
              <w:rPr>
                <w:sz w:val="8"/>
                <w:szCs w:val="8"/>
                <w:color w:val="auto"/>
              </w:rPr>
            </w:pPr>
          </w:p>
        </w:tc>
        <w:tc>
          <w:tcPr>
            <w:tcW w:w="140" w:type="dxa"/>
            <w:vAlign w:val="bottom"/>
            <w:shd w:val="clear" w:color="auto" w:fill="0066BA"/>
          </w:tcPr>
          <w:p>
            <w:pPr>
              <w:spacing w:after="0"/>
              <w:rPr>
                <w:sz w:val="8"/>
                <w:szCs w:val="8"/>
                <w:color w:val="auto"/>
              </w:rPr>
            </w:pPr>
          </w:p>
        </w:tc>
        <w:tc>
          <w:tcPr>
            <w:tcW w:w="520" w:type="dxa"/>
            <w:vAlign w:val="bottom"/>
            <w:shd w:val="clear" w:color="auto" w:fill="0066BA"/>
          </w:tcPr>
          <w:p>
            <w:pPr>
              <w:spacing w:after="0"/>
              <w:rPr>
                <w:sz w:val="8"/>
                <w:szCs w:val="8"/>
                <w:color w:val="auto"/>
              </w:rPr>
            </w:pPr>
          </w:p>
        </w:tc>
        <w:tc>
          <w:tcPr>
            <w:tcW w:w="80" w:type="dxa"/>
            <w:vAlign w:val="bottom"/>
            <w:shd w:val="clear" w:color="auto" w:fill="0066BA"/>
          </w:tcPr>
          <w:p>
            <w:pPr>
              <w:spacing w:after="0"/>
              <w:rPr>
                <w:sz w:val="8"/>
                <w:szCs w:val="8"/>
                <w:color w:val="auto"/>
              </w:rPr>
            </w:pPr>
          </w:p>
        </w:tc>
        <w:tc>
          <w:tcPr>
            <w:tcW w:w="880" w:type="dxa"/>
            <w:vAlign w:val="bottom"/>
            <w:shd w:val="clear" w:color="auto" w:fill="0066BA"/>
          </w:tcPr>
          <w:p>
            <w:pPr>
              <w:spacing w:after="0"/>
              <w:rPr>
                <w:sz w:val="8"/>
                <w:szCs w:val="8"/>
                <w:color w:val="auto"/>
              </w:rPr>
            </w:pPr>
          </w:p>
        </w:tc>
        <w:tc>
          <w:tcPr>
            <w:tcW w:w="120" w:type="dxa"/>
            <w:vAlign w:val="bottom"/>
            <w:shd w:val="clear" w:color="auto" w:fill="0066BA"/>
          </w:tcPr>
          <w:p>
            <w:pPr>
              <w:spacing w:after="0"/>
              <w:rPr>
                <w:sz w:val="8"/>
                <w:szCs w:val="8"/>
                <w:color w:val="auto"/>
              </w:rPr>
            </w:pPr>
          </w:p>
        </w:tc>
        <w:tc>
          <w:tcPr>
            <w:tcW w:w="940" w:type="dxa"/>
            <w:vAlign w:val="bottom"/>
            <w:shd w:val="clear" w:color="auto" w:fill="0066BA"/>
          </w:tcPr>
          <w:p>
            <w:pPr>
              <w:spacing w:after="0"/>
              <w:rPr>
                <w:sz w:val="8"/>
                <w:szCs w:val="8"/>
                <w:color w:val="auto"/>
              </w:rPr>
            </w:pPr>
          </w:p>
        </w:tc>
        <w:tc>
          <w:tcPr>
            <w:tcW w:w="80" w:type="dxa"/>
            <w:vAlign w:val="bottom"/>
            <w:shd w:val="clear" w:color="auto" w:fill="0066BA"/>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460" w:type="dxa"/>
            <w:vAlign w:val="bottom"/>
          </w:tcPr>
          <w:p>
            <w:pPr>
              <w:spacing w:after="0"/>
              <w:rPr>
                <w:sz w:val="16"/>
                <w:szCs w:val="16"/>
                <w:color w:val="auto"/>
              </w:rPr>
            </w:pPr>
          </w:p>
        </w:tc>
        <w:tc>
          <w:tcPr>
            <w:tcW w:w="1020" w:type="dxa"/>
            <w:vAlign w:val="bottom"/>
            <w:tcBorders>
              <w:bottom w:val="single" w:sz="8" w:color="auto"/>
            </w:tcBorders>
            <w:gridSpan w:val="3"/>
            <w:shd w:val="clear" w:color="auto" w:fill="EAEAEA"/>
          </w:tcPr>
          <w:p>
            <w:pPr>
              <w:jc w:val="right"/>
              <w:ind w:right="80"/>
              <w:spacing w:after="0"/>
              <w:rPr>
                <w:sz w:val="20"/>
                <w:szCs w:val="20"/>
                <w:color w:val="auto"/>
              </w:rPr>
            </w:pPr>
            <w:r>
              <w:rPr>
                <w:rFonts w:ascii="Arial" w:cs="Arial" w:eastAsia="Arial" w:hAnsi="Arial"/>
                <w:sz w:val="16"/>
                <w:szCs w:val="16"/>
                <w:color w:val="auto"/>
              </w:rPr>
              <w:t>3/29/2018</w:t>
            </w:r>
          </w:p>
        </w:tc>
        <w:tc>
          <w:tcPr>
            <w:tcW w:w="1160" w:type="dxa"/>
            <w:vAlign w:val="bottom"/>
            <w:tcBorders>
              <w:bottom w:val="single" w:sz="8" w:color="auto"/>
            </w:tcBorders>
          </w:tcPr>
          <w:p>
            <w:pPr>
              <w:jc w:val="right"/>
              <w:ind w:right="344"/>
              <w:spacing w:after="0"/>
              <w:rPr>
                <w:sz w:val="20"/>
                <w:szCs w:val="20"/>
                <w:color w:val="auto"/>
              </w:rPr>
            </w:pPr>
            <w:r>
              <w:rPr>
                <w:rFonts w:ascii="Arial" w:cs="Arial" w:eastAsia="Arial" w:hAnsi="Arial"/>
                <w:sz w:val="16"/>
                <w:szCs w:val="16"/>
                <w:color w:val="auto"/>
              </w:rPr>
              <w:t>26,366</w:t>
            </w:r>
          </w:p>
        </w:tc>
        <w:tc>
          <w:tcPr>
            <w:tcW w:w="120" w:type="dxa"/>
            <w:vAlign w:val="bottom"/>
            <w:tcBorders>
              <w:bottom w:val="single" w:sz="8" w:color="auto"/>
            </w:tcBorders>
            <w:shd w:val="clear" w:color="auto" w:fill="EAEAEA"/>
          </w:tcPr>
          <w:p>
            <w:pPr>
              <w:spacing w:after="0"/>
              <w:rPr>
                <w:sz w:val="16"/>
                <w:szCs w:val="16"/>
                <w:color w:val="auto"/>
              </w:rPr>
            </w:pPr>
          </w:p>
        </w:tc>
        <w:tc>
          <w:tcPr>
            <w:tcW w:w="580" w:type="dxa"/>
            <w:vAlign w:val="bottom"/>
            <w:tcBorders>
              <w:bottom w:val="single" w:sz="8" w:color="auto"/>
            </w:tcBorders>
            <w:gridSpan w:val="2"/>
            <w:shd w:val="clear" w:color="auto" w:fill="EAEAEA"/>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AEAEA"/>
          </w:tcPr>
          <w:p>
            <w:pPr>
              <w:spacing w:after="0"/>
              <w:rPr>
                <w:sz w:val="16"/>
                <w:szCs w:val="16"/>
                <w:color w:val="auto"/>
              </w:rPr>
            </w:pPr>
          </w:p>
        </w:tc>
        <w:tc>
          <w:tcPr>
            <w:tcW w:w="540" w:type="dxa"/>
            <w:vAlign w:val="bottom"/>
            <w:tcBorders>
              <w:bottom w:val="single" w:sz="8" w:color="auto"/>
            </w:tcBorders>
            <w:gridSpan w:val="2"/>
            <w:shd w:val="clear" w:color="auto" w:fill="EAEAEA"/>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2.54</w:t>
            </w:r>
          </w:p>
        </w:tc>
        <w:tc>
          <w:tcPr>
            <w:tcW w:w="740" w:type="dxa"/>
            <w:vAlign w:val="bottom"/>
            <w:tcBorders>
              <w:bottom w:val="single" w:sz="8" w:color="auto"/>
            </w:tcBorders>
            <w:gridSpan w:val="3"/>
            <w:shd w:val="clear" w:color="auto" w:fill="EAEAEA"/>
          </w:tcPr>
          <w:p>
            <w:pPr>
              <w:jc w:val="right"/>
              <w:ind w:right="80"/>
              <w:spacing w:after="0"/>
              <w:rPr>
                <w:sz w:val="20"/>
                <w:szCs w:val="20"/>
                <w:color w:val="auto"/>
              </w:rPr>
            </w:pPr>
            <w:r>
              <w:rPr>
                <w:rFonts w:ascii="Arial" w:cs="Arial" w:eastAsia="Arial" w:hAnsi="Arial"/>
                <w:sz w:val="16"/>
                <w:szCs w:val="16"/>
                <w:color w:val="auto"/>
              </w:rPr>
              <w:t>2.11</w:t>
            </w: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86.51</w:t>
            </w:r>
          </w:p>
        </w:tc>
        <w:tc>
          <w:tcPr>
            <w:tcW w:w="120" w:type="dxa"/>
            <w:vAlign w:val="bottom"/>
            <w:tcBorders>
              <w:bottom w:val="single" w:sz="8" w:color="auto"/>
            </w:tcBorders>
            <w:shd w:val="clear" w:color="auto" w:fill="EAEAEA"/>
          </w:tcPr>
          <w:p>
            <w:pPr>
              <w:spacing w:after="0"/>
              <w:rPr>
                <w:sz w:val="16"/>
                <w:szCs w:val="16"/>
                <w:color w:val="auto"/>
              </w:rPr>
            </w:pPr>
          </w:p>
        </w:tc>
        <w:tc>
          <w:tcPr>
            <w:tcW w:w="94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900" w:type="dxa"/>
            <w:vAlign w:val="bottom"/>
            <w:tcBorders>
              <w:bottom w:val="single" w:sz="8" w:color="auto"/>
            </w:tcBorders>
            <w:gridSpan w:val="2"/>
            <w:shd w:val="clear" w:color="auto" w:fill="EAEAEA"/>
          </w:tcPr>
          <w:p>
            <w:pPr>
              <w:jc w:val="right"/>
              <w:ind w:right="80"/>
              <w:spacing w:after="0"/>
              <w:rPr>
                <w:sz w:val="20"/>
                <w:szCs w:val="20"/>
                <w:color w:val="auto"/>
              </w:rPr>
            </w:pPr>
            <w:r>
              <w:rPr>
                <w:rFonts w:ascii="Arial" w:cs="Arial" w:eastAsia="Arial" w:hAnsi="Arial"/>
                <w:sz w:val="16"/>
                <w:szCs w:val="16"/>
                <w:color w:val="auto"/>
              </w:rPr>
              <w:t>3/29/2018</w:t>
            </w:r>
          </w:p>
        </w:tc>
        <w:tc>
          <w:tcPr>
            <w:tcW w:w="116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color w:val="auto"/>
              </w:rPr>
              <w:t>26,366**</w:t>
            </w:r>
          </w:p>
        </w:tc>
        <w:tc>
          <w:tcPr>
            <w:tcW w:w="120" w:type="dxa"/>
            <w:vAlign w:val="bottom"/>
            <w:tcBorders>
              <w:bottom w:val="single" w:sz="8" w:color="auto"/>
            </w:tcBorders>
            <w:shd w:val="clear" w:color="auto" w:fill="EAEAEA"/>
          </w:tcPr>
          <w:p>
            <w:pPr>
              <w:spacing w:after="0"/>
              <w:rPr>
                <w:sz w:val="16"/>
                <w:szCs w:val="16"/>
                <w:color w:val="auto"/>
              </w:rPr>
            </w:pPr>
          </w:p>
        </w:tc>
        <w:tc>
          <w:tcPr>
            <w:tcW w:w="580" w:type="dxa"/>
            <w:vAlign w:val="bottom"/>
            <w:tcBorders>
              <w:bottom w:val="single" w:sz="8" w:color="auto"/>
            </w:tcBorders>
            <w:gridSpan w:val="2"/>
            <w:shd w:val="clear" w:color="auto" w:fill="EAEAEA"/>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25.63</w:t>
            </w:r>
          </w:p>
        </w:tc>
        <w:tc>
          <w:tcPr>
            <w:tcW w:w="180" w:type="dxa"/>
            <w:vAlign w:val="bottom"/>
            <w:tcBorders>
              <w:bottom w:val="single" w:sz="8" w:color="auto"/>
            </w:tcBorders>
            <w:shd w:val="clear" w:color="auto" w:fill="EAEAEA"/>
          </w:tcPr>
          <w:p>
            <w:pPr>
              <w:spacing w:after="0"/>
              <w:rPr>
                <w:sz w:val="16"/>
                <w:szCs w:val="16"/>
                <w:color w:val="auto"/>
              </w:rPr>
            </w:pPr>
          </w:p>
        </w:tc>
        <w:tc>
          <w:tcPr>
            <w:tcW w:w="540" w:type="dxa"/>
            <w:vAlign w:val="bottom"/>
            <w:tcBorders>
              <w:bottom w:val="single" w:sz="8" w:color="auto"/>
            </w:tcBorders>
            <w:gridSpan w:val="2"/>
            <w:shd w:val="clear" w:color="auto" w:fill="EAEAEA"/>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2.37</w:t>
            </w:r>
          </w:p>
        </w:tc>
        <w:tc>
          <w:tcPr>
            <w:tcW w:w="140" w:type="dxa"/>
            <w:vAlign w:val="bottom"/>
            <w:tcBorders>
              <w:bottom w:val="single" w:sz="8" w:color="auto"/>
            </w:tcBorders>
            <w:shd w:val="clear" w:color="auto" w:fill="EAEAEA"/>
          </w:tcPr>
          <w:p>
            <w:pPr>
              <w:spacing w:after="0"/>
              <w:rPr>
                <w:sz w:val="16"/>
                <w:szCs w:val="16"/>
                <w:color w:val="auto"/>
              </w:rPr>
            </w:pPr>
          </w:p>
        </w:tc>
        <w:tc>
          <w:tcPr>
            <w:tcW w:w="600" w:type="dxa"/>
            <w:vAlign w:val="bottom"/>
            <w:tcBorders>
              <w:bottom w:val="single" w:sz="8" w:color="auto"/>
            </w:tcBorders>
            <w:gridSpan w:val="2"/>
            <w:shd w:val="clear" w:color="auto" w:fill="EAEAEA"/>
          </w:tcPr>
          <w:p>
            <w:pPr>
              <w:jc w:val="right"/>
              <w:ind w:right="80"/>
              <w:spacing w:after="0"/>
              <w:rPr>
                <w:sz w:val="20"/>
                <w:szCs w:val="20"/>
                <w:color w:val="auto"/>
              </w:rPr>
            </w:pPr>
            <w:r>
              <w:rPr>
                <w:rFonts w:ascii="Arial" w:cs="Arial" w:eastAsia="Arial" w:hAnsi="Arial"/>
                <w:sz w:val="16"/>
                <w:szCs w:val="16"/>
                <w:color w:val="auto"/>
              </w:rPr>
              <w:t>2.08</w:t>
            </w: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101.23</w:t>
            </w:r>
          </w:p>
        </w:tc>
        <w:tc>
          <w:tcPr>
            <w:tcW w:w="120" w:type="dxa"/>
            <w:vAlign w:val="bottom"/>
            <w:tcBorders>
              <w:bottom w:val="single" w:sz="8" w:color="auto"/>
            </w:tcBorders>
            <w:shd w:val="clear" w:color="auto" w:fill="EAEAEA"/>
          </w:tcPr>
          <w:p>
            <w:pPr>
              <w:spacing w:after="0"/>
              <w:rPr>
                <w:sz w:val="16"/>
                <w:szCs w:val="16"/>
                <w:color w:val="auto"/>
              </w:rPr>
            </w:pPr>
          </w:p>
        </w:tc>
        <w:tc>
          <w:tcPr>
            <w:tcW w:w="1020" w:type="dxa"/>
            <w:vAlign w:val="bottom"/>
            <w:tcBorders>
              <w:bottom w:val="single" w:sz="8" w:color="auto"/>
            </w:tcBorders>
            <w:gridSpan w:val="2"/>
            <w:shd w:val="clear" w:color="auto" w:fill="EAEAEA"/>
          </w:tcPr>
          <w:p>
            <w:pPr>
              <w:jc w:val="right"/>
              <w:ind w:right="80"/>
              <w:spacing w:after="0"/>
              <w:rPr>
                <w:sz w:val="20"/>
                <w:szCs w:val="20"/>
                <w:color w:val="auto"/>
              </w:rPr>
            </w:pPr>
            <w:r>
              <w:rPr>
                <w:rFonts w:ascii="Arial" w:cs="Arial" w:eastAsia="Arial" w:hAnsi="Arial"/>
                <w:sz w:val="16"/>
                <w:szCs w:val="16"/>
                <w:color w:val="auto"/>
              </w:rPr>
              <w:t>5,338,060</w:t>
            </w: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3/29/2018</w:t>
            </w:r>
          </w:p>
        </w:tc>
        <w:tc>
          <w:tcPr>
            <w:tcW w:w="100" w:type="dxa"/>
            <w:vAlign w:val="bottom"/>
            <w:tcBorders>
              <w:bottom w:val="single" w:sz="8" w:color="auto"/>
            </w:tcBorders>
            <w:shd w:val="clear" w:color="auto" w:fill="EAEAEA"/>
          </w:tcPr>
          <w:p>
            <w:pPr>
              <w:spacing w:after="0"/>
              <w:rPr>
                <w:sz w:val="16"/>
                <w:szCs w:val="16"/>
                <w:color w:val="auto"/>
              </w:rPr>
            </w:pPr>
          </w:p>
        </w:tc>
        <w:tc>
          <w:tcPr>
            <w:tcW w:w="1160" w:type="dxa"/>
            <w:vAlign w:val="bottom"/>
            <w:tcBorders>
              <w:bottom w:val="single" w:sz="8" w:color="auto"/>
            </w:tcBorders>
          </w:tcPr>
          <w:p>
            <w:pPr>
              <w:jc w:val="right"/>
              <w:ind w:right="344"/>
              <w:spacing w:after="0"/>
              <w:rPr>
                <w:sz w:val="20"/>
                <w:szCs w:val="20"/>
                <w:color w:val="auto"/>
              </w:rPr>
            </w:pPr>
            <w:r>
              <w:rPr>
                <w:rFonts w:ascii="Arial" w:cs="Arial" w:eastAsia="Arial" w:hAnsi="Arial"/>
                <w:sz w:val="16"/>
                <w:szCs w:val="16"/>
                <w:color w:val="auto"/>
              </w:rPr>
              <w:t>110,661</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91.13</w:t>
            </w:r>
          </w:p>
        </w:tc>
        <w:tc>
          <w:tcPr>
            <w:tcW w:w="10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27.77</w:t>
            </w:r>
          </w:p>
        </w:tc>
        <w:tc>
          <w:tcPr>
            <w:tcW w:w="180" w:type="dxa"/>
            <w:vAlign w:val="bottom"/>
            <w:tcBorders>
              <w:bottom w:val="single" w:sz="8" w:color="auto"/>
            </w:tcBorders>
            <w:shd w:val="clear" w:color="auto" w:fill="EAEAEA"/>
          </w:tcPr>
          <w:p>
            <w:pPr>
              <w:spacing w:after="0"/>
              <w:rPr>
                <w:sz w:val="16"/>
                <w:szCs w:val="16"/>
                <w:color w:val="auto"/>
              </w:rPr>
            </w:pPr>
          </w:p>
        </w:tc>
        <w:tc>
          <w:tcPr>
            <w:tcW w:w="4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5.0</w:t>
            </w:r>
          </w:p>
        </w:tc>
        <w:tc>
          <w:tcPr>
            <w:tcW w:w="80" w:type="dxa"/>
            <w:vAlign w:val="bottom"/>
            <w:tcBorders>
              <w:bottom w:val="single" w:sz="8" w:color="auto"/>
            </w:tcBorders>
            <w:shd w:val="clear" w:color="auto" w:fill="EAEAEA"/>
          </w:tcPr>
          <w:p>
            <w:pPr>
              <w:spacing w:after="0"/>
              <w:rPr>
                <w:sz w:val="16"/>
                <w:szCs w:val="16"/>
                <w:color w:val="auto"/>
              </w:rPr>
            </w:pP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2.64</w:t>
            </w:r>
          </w:p>
        </w:tc>
        <w:tc>
          <w:tcPr>
            <w:tcW w:w="140" w:type="dxa"/>
            <w:vAlign w:val="bottom"/>
            <w:tcBorders>
              <w:bottom w:val="single" w:sz="8" w:color="auto"/>
            </w:tcBorders>
            <w:shd w:val="clear" w:color="auto" w:fill="EAEAEA"/>
          </w:tcPr>
          <w:p>
            <w:pPr>
              <w:spacing w:after="0"/>
              <w:rPr>
                <w:sz w:val="16"/>
                <w:szCs w:val="16"/>
                <w:color w:val="auto"/>
              </w:rPr>
            </w:pPr>
          </w:p>
        </w:tc>
        <w:tc>
          <w:tcPr>
            <w:tcW w:w="5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2.11</w:t>
            </w:r>
          </w:p>
        </w:tc>
        <w:tc>
          <w:tcPr>
            <w:tcW w:w="80" w:type="dxa"/>
            <w:vAlign w:val="bottom"/>
            <w:tcBorders>
              <w:bottom w:val="single" w:sz="8" w:color="auto"/>
            </w:tcBorders>
            <w:shd w:val="clear" w:color="auto" w:fill="EAEAEA"/>
          </w:tcPr>
          <w:p>
            <w:pPr>
              <w:spacing w:after="0"/>
              <w:rPr>
                <w:sz w:val="16"/>
                <w:szCs w:val="16"/>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20.83</w:t>
            </w:r>
          </w:p>
        </w:tc>
        <w:tc>
          <w:tcPr>
            <w:tcW w:w="120" w:type="dxa"/>
            <w:vAlign w:val="bottom"/>
            <w:tcBorders>
              <w:bottom w:val="single" w:sz="8" w:color="auto"/>
            </w:tcBorders>
            <w:shd w:val="clear" w:color="auto" w:fill="EAEAEA"/>
          </w:tcPr>
          <w:p>
            <w:pPr>
              <w:spacing w:after="0"/>
              <w:rPr>
                <w:sz w:val="16"/>
                <w:szCs w:val="16"/>
                <w:color w:val="auto"/>
              </w:rPr>
            </w:pPr>
          </w:p>
        </w:tc>
        <w:tc>
          <w:tcPr>
            <w:tcW w:w="94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3/13/2019</w:t>
            </w:r>
          </w:p>
        </w:tc>
        <w:tc>
          <w:tcPr>
            <w:tcW w:w="100" w:type="dxa"/>
            <w:vAlign w:val="bottom"/>
            <w:tcBorders>
              <w:bottom w:val="single" w:sz="8" w:color="auto"/>
            </w:tcBorders>
            <w:shd w:val="clear" w:color="auto" w:fill="EAEAEA"/>
          </w:tcPr>
          <w:p>
            <w:pPr>
              <w:spacing w:after="0"/>
              <w:rPr>
                <w:sz w:val="16"/>
                <w:szCs w:val="16"/>
                <w:color w:val="auto"/>
              </w:rPr>
            </w:pPr>
          </w:p>
        </w:tc>
        <w:tc>
          <w:tcPr>
            <w:tcW w:w="1160" w:type="dxa"/>
            <w:vAlign w:val="bottom"/>
            <w:tcBorders>
              <w:bottom w:val="single" w:sz="8" w:color="auto"/>
            </w:tcBorders>
          </w:tcPr>
          <w:p>
            <w:pPr>
              <w:jc w:val="right"/>
              <w:ind w:right="264"/>
              <w:spacing w:after="0"/>
              <w:rPr>
                <w:sz w:val="20"/>
                <w:szCs w:val="20"/>
                <w:color w:val="auto"/>
              </w:rPr>
            </w:pPr>
            <w:r>
              <w:rPr>
                <w:rFonts w:ascii="Arial" w:cs="Arial" w:eastAsia="Arial" w:hAnsi="Arial"/>
                <w:sz w:val="16"/>
                <w:szCs w:val="16"/>
                <w:color w:val="auto"/>
              </w:rPr>
              <w:t>22,763*</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AEAEA"/>
          </w:tcPr>
          <w:p>
            <w:pPr>
              <w:spacing w:after="0"/>
              <w:rPr>
                <w:sz w:val="16"/>
                <w:szCs w:val="16"/>
                <w:color w:val="auto"/>
              </w:rPr>
            </w:pPr>
          </w:p>
        </w:tc>
        <w:tc>
          <w:tcPr>
            <w:tcW w:w="4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2.42</w:t>
            </w:r>
          </w:p>
        </w:tc>
        <w:tc>
          <w:tcPr>
            <w:tcW w:w="140" w:type="dxa"/>
            <w:vAlign w:val="bottom"/>
            <w:tcBorders>
              <w:bottom w:val="single" w:sz="8" w:color="auto"/>
            </w:tcBorders>
            <w:shd w:val="clear" w:color="auto" w:fill="EAEAEA"/>
          </w:tcPr>
          <w:p>
            <w:pPr>
              <w:spacing w:after="0"/>
              <w:rPr>
                <w:sz w:val="16"/>
                <w:szCs w:val="16"/>
                <w:color w:val="auto"/>
              </w:rPr>
            </w:pPr>
          </w:p>
        </w:tc>
        <w:tc>
          <w:tcPr>
            <w:tcW w:w="5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2.00</w:t>
            </w:r>
          </w:p>
        </w:tc>
        <w:tc>
          <w:tcPr>
            <w:tcW w:w="80" w:type="dxa"/>
            <w:vAlign w:val="bottom"/>
            <w:tcBorders>
              <w:bottom w:val="single" w:sz="8" w:color="auto"/>
            </w:tcBorders>
            <w:shd w:val="clear" w:color="auto" w:fill="EAEAEA"/>
          </w:tcPr>
          <w:p>
            <w:pPr>
              <w:spacing w:after="0"/>
              <w:rPr>
                <w:sz w:val="16"/>
                <w:szCs w:val="16"/>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102.89</w:t>
            </w:r>
          </w:p>
        </w:tc>
        <w:tc>
          <w:tcPr>
            <w:tcW w:w="120" w:type="dxa"/>
            <w:vAlign w:val="bottom"/>
            <w:tcBorders>
              <w:bottom w:val="single" w:sz="8" w:color="auto"/>
            </w:tcBorders>
            <w:shd w:val="clear" w:color="auto" w:fill="EAEAEA"/>
          </w:tcPr>
          <w:p>
            <w:pPr>
              <w:spacing w:after="0"/>
              <w:rPr>
                <w:sz w:val="16"/>
                <w:szCs w:val="16"/>
                <w:color w:val="auto"/>
              </w:rPr>
            </w:pPr>
          </w:p>
        </w:tc>
        <w:tc>
          <w:tcPr>
            <w:tcW w:w="94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3/13/2019</w:t>
            </w:r>
          </w:p>
        </w:tc>
        <w:tc>
          <w:tcPr>
            <w:tcW w:w="100" w:type="dxa"/>
            <w:vAlign w:val="bottom"/>
            <w:tcBorders>
              <w:bottom w:val="single" w:sz="8" w:color="auto"/>
            </w:tcBorders>
            <w:shd w:val="clear" w:color="auto" w:fill="EAEAEA"/>
          </w:tcPr>
          <w:p>
            <w:pPr>
              <w:spacing w:after="0"/>
              <w:rPr>
                <w:sz w:val="16"/>
                <w:szCs w:val="16"/>
                <w:color w:val="auto"/>
              </w:rPr>
            </w:pPr>
          </w:p>
        </w:tc>
        <w:tc>
          <w:tcPr>
            <w:tcW w:w="116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color w:val="auto"/>
              </w:rPr>
              <w:t>22,763**</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24.07</w:t>
            </w:r>
          </w:p>
        </w:tc>
        <w:tc>
          <w:tcPr>
            <w:tcW w:w="180" w:type="dxa"/>
            <w:vAlign w:val="bottom"/>
            <w:tcBorders>
              <w:bottom w:val="single" w:sz="8" w:color="auto"/>
            </w:tcBorders>
            <w:shd w:val="clear" w:color="auto" w:fill="EAEAEA"/>
          </w:tcPr>
          <w:p>
            <w:pPr>
              <w:spacing w:after="0"/>
              <w:rPr>
                <w:sz w:val="16"/>
                <w:szCs w:val="16"/>
                <w:color w:val="auto"/>
              </w:rPr>
            </w:pPr>
          </w:p>
        </w:tc>
        <w:tc>
          <w:tcPr>
            <w:tcW w:w="4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2.38</w:t>
            </w:r>
          </w:p>
        </w:tc>
        <w:tc>
          <w:tcPr>
            <w:tcW w:w="140" w:type="dxa"/>
            <w:vAlign w:val="bottom"/>
            <w:tcBorders>
              <w:bottom w:val="single" w:sz="8" w:color="auto"/>
            </w:tcBorders>
            <w:shd w:val="clear" w:color="auto" w:fill="EAEAEA"/>
          </w:tcPr>
          <w:p>
            <w:pPr>
              <w:spacing w:after="0"/>
              <w:rPr>
                <w:sz w:val="16"/>
                <w:szCs w:val="16"/>
                <w:color w:val="auto"/>
              </w:rPr>
            </w:pPr>
          </w:p>
        </w:tc>
        <w:tc>
          <w:tcPr>
            <w:tcW w:w="5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2.00</w:t>
            </w:r>
          </w:p>
        </w:tc>
        <w:tc>
          <w:tcPr>
            <w:tcW w:w="80" w:type="dxa"/>
            <w:vAlign w:val="bottom"/>
            <w:tcBorders>
              <w:bottom w:val="single" w:sz="8" w:color="auto"/>
            </w:tcBorders>
            <w:shd w:val="clear" w:color="auto" w:fill="EAEAEA"/>
          </w:tcPr>
          <w:p>
            <w:pPr>
              <w:spacing w:after="0"/>
              <w:rPr>
                <w:sz w:val="16"/>
                <w:szCs w:val="16"/>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114.36</w:t>
            </w:r>
          </w:p>
        </w:tc>
        <w:tc>
          <w:tcPr>
            <w:tcW w:w="120" w:type="dxa"/>
            <w:vAlign w:val="bottom"/>
            <w:tcBorders>
              <w:bottom w:val="single" w:sz="8" w:color="auto"/>
            </w:tcBorders>
            <w:shd w:val="clear" w:color="auto" w:fill="EAEAEA"/>
          </w:tcPr>
          <w:p>
            <w:pPr>
              <w:spacing w:after="0"/>
              <w:rPr>
                <w:sz w:val="16"/>
                <w:szCs w:val="16"/>
                <w:color w:val="auto"/>
              </w:rPr>
            </w:pPr>
          </w:p>
        </w:tc>
        <w:tc>
          <w:tcPr>
            <w:tcW w:w="9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5,206,353</w:t>
            </w: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3/13/2019</w:t>
            </w:r>
          </w:p>
        </w:tc>
        <w:tc>
          <w:tcPr>
            <w:tcW w:w="100" w:type="dxa"/>
            <w:vAlign w:val="bottom"/>
            <w:tcBorders>
              <w:bottom w:val="single" w:sz="8" w:color="auto"/>
            </w:tcBorders>
            <w:shd w:val="clear" w:color="auto" w:fill="EAEAEA"/>
          </w:tcPr>
          <w:p>
            <w:pPr>
              <w:spacing w:after="0"/>
              <w:rPr>
                <w:sz w:val="16"/>
                <w:szCs w:val="16"/>
                <w:color w:val="auto"/>
              </w:rPr>
            </w:pPr>
          </w:p>
        </w:tc>
        <w:tc>
          <w:tcPr>
            <w:tcW w:w="116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22,763***</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AEAEA"/>
          </w:tcPr>
          <w:p>
            <w:pPr>
              <w:spacing w:after="0"/>
              <w:rPr>
                <w:sz w:val="16"/>
                <w:szCs w:val="16"/>
                <w:color w:val="auto"/>
              </w:rPr>
            </w:pPr>
          </w:p>
        </w:tc>
        <w:tc>
          <w:tcPr>
            <w:tcW w:w="4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2.42</w:t>
            </w:r>
          </w:p>
        </w:tc>
        <w:tc>
          <w:tcPr>
            <w:tcW w:w="140" w:type="dxa"/>
            <w:vAlign w:val="bottom"/>
            <w:tcBorders>
              <w:bottom w:val="single" w:sz="8" w:color="auto"/>
            </w:tcBorders>
            <w:shd w:val="clear" w:color="auto" w:fill="EAEAEA"/>
          </w:tcPr>
          <w:p>
            <w:pPr>
              <w:spacing w:after="0"/>
              <w:rPr>
                <w:sz w:val="16"/>
                <w:szCs w:val="16"/>
                <w:color w:val="auto"/>
              </w:rPr>
            </w:pPr>
          </w:p>
        </w:tc>
        <w:tc>
          <w:tcPr>
            <w:tcW w:w="5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2.00</w:t>
            </w:r>
          </w:p>
        </w:tc>
        <w:tc>
          <w:tcPr>
            <w:tcW w:w="80" w:type="dxa"/>
            <w:vAlign w:val="bottom"/>
            <w:tcBorders>
              <w:bottom w:val="single" w:sz="8" w:color="auto"/>
            </w:tcBorders>
            <w:shd w:val="clear" w:color="auto" w:fill="EAEAEA"/>
          </w:tcPr>
          <w:p>
            <w:pPr>
              <w:spacing w:after="0"/>
              <w:rPr>
                <w:sz w:val="16"/>
                <w:szCs w:val="16"/>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92.00</w:t>
            </w:r>
          </w:p>
        </w:tc>
        <w:tc>
          <w:tcPr>
            <w:tcW w:w="120" w:type="dxa"/>
            <w:vAlign w:val="bottom"/>
            <w:tcBorders>
              <w:bottom w:val="single" w:sz="8" w:color="auto"/>
            </w:tcBorders>
            <w:shd w:val="clear" w:color="auto" w:fill="EAEAEA"/>
          </w:tcPr>
          <w:p>
            <w:pPr>
              <w:spacing w:after="0"/>
              <w:rPr>
                <w:sz w:val="16"/>
                <w:szCs w:val="16"/>
                <w:color w:val="auto"/>
              </w:rPr>
            </w:pPr>
          </w:p>
        </w:tc>
        <w:tc>
          <w:tcPr>
            <w:tcW w:w="9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4,636,823</w:t>
            </w: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3/13/2019</w:t>
            </w:r>
          </w:p>
        </w:tc>
        <w:tc>
          <w:tcPr>
            <w:tcW w:w="100" w:type="dxa"/>
            <w:vAlign w:val="bottom"/>
            <w:tcBorders>
              <w:bottom w:val="single" w:sz="8" w:color="auto"/>
            </w:tcBorders>
            <w:shd w:val="clear" w:color="auto" w:fill="EAEAEA"/>
          </w:tcPr>
          <w:p>
            <w:pPr>
              <w:spacing w:after="0"/>
              <w:rPr>
                <w:sz w:val="16"/>
                <w:szCs w:val="16"/>
                <w:color w:val="auto"/>
              </w:rPr>
            </w:pPr>
          </w:p>
        </w:tc>
        <w:tc>
          <w:tcPr>
            <w:tcW w:w="1160" w:type="dxa"/>
            <w:vAlign w:val="bottom"/>
            <w:tcBorders>
              <w:bottom w:val="single" w:sz="8" w:color="auto"/>
            </w:tcBorders>
          </w:tcPr>
          <w:p>
            <w:pPr>
              <w:jc w:val="right"/>
              <w:ind w:right="344"/>
              <w:spacing w:after="0"/>
              <w:rPr>
                <w:sz w:val="20"/>
                <w:szCs w:val="20"/>
                <w:color w:val="auto"/>
              </w:rPr>
            </w:pPr>
            <w:r>
              <w:rPr>
                <w:rFonts w:ascii="Arial" w:cs="Arial" w:eastAsia="Arial" w:hAnsi="Arial"/>
                <w:sz w:val="16"/>
                <w:szCs w:val="16"/>
                <w:color w:val="auto"/>
              </w:rPr>
              <w:t>100,803</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3"/>
              </w:rPr>
              <w:t>108.08</w:t>
            </w:r>
          </w:p>
        </w:tc>
        <w:tc>
          <w:tcPr>
            <w:tcW w:w="10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26.32</w:t>
            </w:r>
          </w:p>
        </w:tc>
        <w:tc>
          <w:tcPr>
            <w:tcW w:w="180" w:type="dxa"/>
            <w:vAlign w:val="bottom"/>
            <w:tcBorders>
              <w:bottom w:val="single" w:sz="8" w:color="auto"/>
            </w:tcBorders>
            <w:shd w:val="clear" w:color="auto" w:fill="EAEAEA"/>
          </w:tcPr>
          <w:p>
            <w:pPr>
              <w:spacing w:after="0"/>
              <w:rPr>
                <w:sz w:val="16"/>
                <w:szCs w:val="16"/>
                <w:color w:val="auto"/>
              </w:rPr>
            </w:pPr>
          </w:p>
        </w:tc>
        <w:tc>
          <w:tcPr>
            <w:tcW w:w="4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5.0</w:t>
            </w:r>
          </w:p>
        </w:tc>
        <w:tc>
          <w:tcPr>
            <w:tcW w:w="80" w:type="dxa"/>
            <w:vAlign w:val="bottom"/>
            <w:tcBorders>
              <w:bottom w:val="single" w:sz="8" w:color="auto"/>
            </w:tcBorders>
            <w:shd w:val="clear" w:color="auto" w:fill="EAEAEA"/>
          </w:tcPr>
          <w:p>
            <w:pPr>
              <w:spacing w:after="0"/>
              <w:rPr>
                <w:sz w:val="16"/>
                <w:szCs w:val="16"/>
                <w:color w:val="auto"/>
              </w:rPr>
            </w:pP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2.42</w:t>
            </w:r>
          </w:p>
        </w:tc>
        <w:tc>
          <w:tcPr>
            <w:tcW w:w="140" w:type="dxa"/>
            <w:vAlign w:val="bottom"/>
            <w:tcBorders>
              <w:bottom w:val="single" w:sz="8" w:color="auto"/>
            </w:tcBorders>
            <w:shd w:val="clear" w:color="auto" w:fill="EAEAEA"/>
          </w:tcPr>
          <w:p>
            <w:pPr>
              <w:spacing w:after="0"/>
              <w:rPr>
                <w:sz w:val="16"/>
                <w:szCs w:val="16"/>
                <w:color w:val="auto"/>
              </w:rPr>
            </w:pPr>
          </w:p>
        </w:tc>
        <w:tc>
          <w:tcPr>
            <w:tcW w:w="5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2.00</w:t>
            </w:r>
          </w:p>
        </w:tc>
        <w:tc>
          <w:tcPr>
            <w:tcW w:w="80" w:type="dxa"/>
            <w:vAlign w:val="bottom"/>
            <w:tcBorders>
              <w:bottom w:val="single" w:sz="8" w:color="auto"/>
            </w:tcBorders>
            <w:shd w:val="clear" w:color="auto" w:fill="EAEAEA"/>
          </w:tcPr>
          <w:p>
            <w:pPr>
              <w:spacing w:after="0"/>
              <w:rPr>
                <w:sz w:val="16"/>
                <w:szCs w:val="16"/>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23.43</w:t>
            </w:r>
          </w:p>
        </w:tc>
        <w:tc>
          <w:tcPr>
            <w:tcW w:w="120" w:type="dxa"/>
            <w:vAlign w:val="bottom"/>
            <w:tcBorders>
              <w:bottom w:val="single" w:sz="8" w:color="auto"/>
            </w:tcBorders>
            <w:shd w:val="clear" w:color="auto" w:fill="EAEAEA"/>
          </w:tcPr>
          <w:p>
            <w:pPr>
              <w:spacing w:after="0"/>
              <w:rPr>
                <w:sz w:val="16"/>
                <w:szCs w:val="16"/>
                <w:color w:val="auto"/>
              </w:rPr>
            </w:pPr>
          </w:p>
        </w:tc>
        <w:tc>
          <w:tcPr>
            <w:tcW w:w="94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60" w:type="dxa"/>
            <w:vAlign w:val="bottom"/>
          </w:tcPr>
          <w:p>
            <w:pPr>
              <w:ind w:left="60"/>
              <w:spacing w:after="0"/>
              <w:rPr>
                <w:sz w:val="20"/>
                <w:szCs w:val="20"/>
                <w:color w:val="auto"/>
              </w:rPr>
            </w:pPr>
            <w:r>
              <w:rPr>
                <w:rFonts w:ascii="Arial" w:cs="Arial" w:eastAsia="Arial" w:hAnsi="Arial"/>
                <w:sz w:val="16"/>
                <w:szCs w:val="16"/>
                <w:b w:val="1"/>
                <w:bCs w:val="1"/>
                <w:color w:val="0066BA"/>
              </w:rPr>
              <w:t>Vincent</w:t>
            </w:r>
          </w:p>
        </w:tc>
        <w:tc>
          <w:tcPr>
            <w:tcW w:w="120" w:type="dxa"/>
            <w:vAlign w:val="bottom"/>
            <w:tcBorders>
              <w:bottom w:val="single" w:sz="8" w:color="auto"/>
            </w:tcBorders>
            <w:shd w:val="clear" w:color="auto" w:fill="EAEAEA"/>
          </w:tcPr>
          <w:p>
            <w:pPr>
              <w:spacing w:after="0"/>
              <w:rPr>
                <w:sz w:val="16"/>
                <w:szCs w:val="16"/>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3/11/2020</w:t>
            </w:r>
          </w:p>
        </w:tc>
        <w:tc>
          <w:tcPr>
            <w:tcW w:w="100" w:type="dxa"/>
            <w:vAlign w:val="bottom"/>
            <w:tcBorders>
              <w:bottom w:val="single" w:sz="8" w:color="auto"/>
            </w:tcBorders>
            <w:shd w:val="clear" w:color="auto" w:fill="EAEAEA"/>
          </w:tcPr>
          <w:p>
            <w:pPr>
              <w:spacing w:after="0"/>
              <w:rPr>
                <w:sz w:val="16"/>
                <w:szCs w:val="16"/>
                <w:color w:val="auto"/>
              </w:rPr>
            </w:pPr>
          </w:p>
        </w:tc>
        <w:tc>
          <w:tcPr>
            <w:tcW w:w="1160" w:type="dxa"/>
            <w:vAlign w:val="bottom"/>
            <w:tcBorders>
              <w:bottom w:val="single" w:sz="8" w:color="auto"/>
            </w:tcBorders>
          </w:tcPr>
          <w:p>
            <w:pPr>
              <w:jc w:val="right"/>
              <w:ind w:right="264"/>
              <w:spacing w:after="0"/>
              <w:rPr>
                <w:sz w:val="20"/>
                <w:szCs w:val="20"/>
                <w:color w:val="auto"/>
              </w:rPr>
            </w:pPr>
            <w:r>
              <w:rPr>
                <w:rFonts w:ascii="Arial" w:cs="Arial" w:eastAsia="Arial" w:hAnsi="Arial"/>
                <w:sz w:val="16"/>
                <w:szCs w:val="16"/>
                <w:color w:val="auto"/>
              </w:rPr>
              <w:t>27,368*</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AEAEA"/>
          </w:tcPr>
          <w:p>
            <w:pPr>
              <w:spacing w:after="0"/>
              <w:rPr>
                <w:sz w:val="16"/>
                <w:szCs w:val="16"/>
                <w:color w:val="auto"/>
              </w:rPr>
            </w:pPr>
          </w:p>
        </w:tc>
        <w:tc>
          <w:tcPr>
            <w:tcW w:w="4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0.66</w:t>
            </w:r>
          </w:p>
        </w:tc>
        <w:tc>
          <w:tcPr>
            <w:tcW w:w="140" w:type="dxa"/>
            <w:vAlign w:val="bottom"/>
            <w:tcBorders>
              <w:bottom w:val="single" w:sz="8" w:color="auto"/>
            </w:tcBorders>
            <w:shd w:val="clear" w:color="auto" w:fill="EAEAEA"/>
          </w:tcPr>
          <w:p>
            <w:pPr>
              <w:spacing w:after="0"/>
              <w:rPr>
                <w:sz w:val="16"/>
                <w:szCs w:val="16"/>
                <w:color w:val="auto"/>
              </w:rPr>
            </w:pPr>
          </w:p>
        </w:tc>
        <w:tc>
          <w:tcPr>
            <w:tcW w:w="5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2.63</w:t>
            </w:r>
          </w:p>
        </w:tc>
        <w:tc>
          <w:tcPr>
            <w:tcW w:w="80" w:type="dxa"/>
            <w:vAlign w:val="bottom"/>
            <w:tcBorders>
              <w:bottom w:val="single" w:sz="8" w:color="auto"/>
            </w:tcBorders>
            <w:shd w:val="clear" w:color="auto" w:fill="EAEAEA"/>
          </w:tcPr>
          <w:p>
            <w:pPr>
              <w:spacing w:after="0"/>
              <w:rPr>
                <w:sz w:val="16"/>
                <w:szCs w:val="16"/>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88.28</w:t>
            </w:r>
          </w:p>
        </w:tc>
        <w:tc>
          <w:tcPr>
            <w:tcW w:w="120" w:type="dxa"/>
            <w:vAlign w:val="bottom"/>
            <w:tcBorders>
              <w:bottom w:val="single" w:sz="8" w:color="auto"/>
            </w:tcBorders>
            <w:shd w:val="clear" w:color="auto" w:fill="EAEAEA"/>
          </w:tcPr>
          <w:p>
            <w:pPr>
              <w:spacing w:after="0"/>
              <w:rPr>
                <w:sz w:val="16"/>
                <w:szCs w:val="16"/>
                <w:color w:val="auto"/>
              </w:rPr>
            </w:pPr>
          </w:p>
        </w:tc>
        <w:tc>
          <w:tcPr>
            <w:tcW w:w="94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60" w:type="dxa"/>
            <w:vAlign w:val="bottom"/>
          </w:tcPr>
          <w:p>
            <w:pPr>
              <w:ind w:left="60"/>
              <w:spacing w:after="0"/>
              <w:rPr>
                <w:sz w:val="20"/>
                <w:szCs w:val="20"/>
                <w:color w:val="auto"/>
              </w:rPr>
            </w:pPr>
            <w:r>
              <w:rPr>
                <w:rFonts w:ascii="Arial" w:cs="Arial" w:eastAsia="Arial" w:hAnsi="Arial"/>
                <w:sz w:val="16"/>
                <w:szCs w:val="16"/>
                <w:b w:val="1"/>
                <w:bCs w:val="1"/>
                <w:color w:val="0066BA"/>
              </w:rPr>
              <w:t>Roche</w:t>
            </w:r>
          </w:p>
        </w:tc>
        <w:tc>
          <w:tcPr>
            <w:tcW w:w="120" w:type="dxa"/>
            <w:vAlign w:val="bottom"/>
            <w:tcBorders>
              <w:bottom w:val="single" w:sz="8" w:color="auto"/>
            </w:tcBorders>
            <w:shd w:val="clear" w:color="auto" w:fill="EAEAEA"/>
          </w:tcPr>
          <w:p>
            <w:pPr>
              <w:spacing w:after="0"/>
              <w:rPr>
                <w:sz w:val="16"/>
                <w:szCs w:val="16"/>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3/11/2020</w:t>
            </w:r>
          </w:p>
        </w:tc>
        <w:tc>
          <w:tcPr>
            <w:tcW w:w="100" w:type="dxa"/>
            <w:vAlign w:val="bottom"/>
            <w:tcBorders>
              <w:bottom w:val="single" w:sz="8" w:color="auto"/>
            </w:tcBorders>
            <w:shd w:val="clear" w:color="auto" w:fill="EAEAEA"/>
          </w:tcPr>
          <w:p>
            <w:pPr>
              <w:spacing w:after="0"/>
              <w:rPr>
                <w:sz w:val="16"/>
                <w:szCs w:val="16"/>
                <w:color w:val="auto"/>
              </w:rPr>
            </w:pPr>
          </w:p>
        </w:tc>
        <w:tc>
          <w:tcPr>
            <w:tcW w:w="116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color w:val="auto"/>
              </w:rPr>
              <w:t>27,368**</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27.99</w:t>
            </w:r>
          </w:p>
        </w:tc>
        <w:tc>
          <w:tcPr>
            <w:tcW w:w="180" w:type="dxa"/>
            <w:vAlign w:val="bottom"/>
            <w:tcBorders>
              <w:bottom w:val="single" w:sz="8" w:color="auto"/>
            </w:tcBorders>
            <w:shd w:val="clear" w:color="auto" w:fill="EAEAEA"/>
          </w:tcPr>
          <w:p>
            <w:pPr>
              <w:spacing w:after="0"/>
              <w:rPr>
                <w:sz w:val="16"/>
                <w:szCs w:val="16"/>
                <w:color w:val="auto"/>
              </w:rPr>
            </w:pPr>
          </w:p>
        </w:tc>
        <w:tc>
          <w:tcPr>
            <w:tcW w:w="4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0.58</w:t>
            </w:r>
          </w:p>
        </w:tc>
        <w:tc>
          <w:tcPr>
            <w:tcW w:w="140" w:type="dxa"/>
            <w:vAlign w:val="bottom"/>
            <w:tcBorders>
              <w:bottom w:val="single" w:sz="8" w:color="auto"/>
            </w:tcBorders>
            <w:shd w:val="clear" w:color="auto" w:fill="EAEAEA"/>
          </w:tcPr>
          <w:p>
            <w:pPr>
              <w:spacing w:after="0"/>
              <w:rPr>
                <w:sz w:val="16"/>
                <w:szCs w:val="16"/>
                <w:color w:val="auto"/>
              </w:rPr>
            </w:pPr>
          </w:p>
        </w:tc>
        <w:tc>
          <w:tcPr>
            <w:tcW w:w="5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2.59</w:t>
            </w:r>
          </w:p>
        </w:tc>
        <w:tc>
          <w:tcPr>
            <w:tcW w:w="80" w:type="dxa"/>
            <w:vAlign w:val="bottom"/>
            <w:tcBorders>
              <w:bottom w:val="single" w:sz="8" w:color="auto"/>
            </w:tcBorders>
            <w:shd w:val="clear" w:color="auto" w:fill="EAEAEA"/>
          </w:tcPr>
          <w:p>
            <w:pPr>
              <w:spacing w:after="0"/>
              <w:rPr>
                <w:sz w:val="16"/>
                <w:szCs w:val="16"/>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97.71</w:t>
            </w:r>
          </w:p>
        </w:tc>
        <w:tc>
          <w:tcPr>
            <w:tcW w:w="120" w:type="dxa"/>
            <w:vAlign w:val="bottom"/>
            <w:tcBorders>
              <w:bottom w:val="single" w:sz="8" w:color="auto"/>
            </w:tcBorders>
            <w:shd w:val="clear" w:color="auto" w:fill="EAEAEA"/>
          </w:tcPr>
          <w:p>
            <w:pPr>
              <w:spacing w:after="0"/>
              <w:rPr>
                <w:sz w:val="16"/>
                <w:szCs w:val="16"/>
                <w:color w:val="auto"/>
              </w:rPr>
            </w:pPr>
          </w:p>
        </w:tc>
        <w:tc>
          <w:tcPr>
            <w:tcW w:w="9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5,348,255</w:t>
            </w: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3/11/2020</w:t>
            </w:r>
          </w:p>
        </w:tc>
        <w:tc>
          <w:tcPr>
            <w:tcW w:w="100" w:type="dxa"/>
            <w:vAlign w:val="bottom"/>
            <w:tcBorders>
              <w:bottom w:val="single" w:sz="8" w:color="auto"/>
            </w:tcBorders>
            <w:shd w:val="clear" w:color="auto" w:fill="EAEAEA"/>
          </w:tcPr>
          <w:p>
            <w:pPr>
              <w:spacing w:after="0"/>
              <w:rPr>
                <w:sz w:val="16"/>
                <w:szCs w:val="16"/>
                <w:color w:val="auto"/>
              </w:rPr>
            </w:pPr>
          </w:p>
        </w:tc>
        <w:tc>
          <w:tcPr>
            <w:tcW w:w="116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27,368***</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AEAEA"/>
          </w:tcPr>
          <w:p>
            <w:pPr>
              <w:spacing w:after="0"/>
              <w:rPr>
                <w:sz w:val="16"/>
                <w:szCs w:val="16"/>
                <w:color w:val="auto"/>
              </w:rPr>
            </w:pPr>
          </w:p>
        </w:tc>
        <w:tc>
          <w:tcPr>
            <w:tcW w:w="4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0.66</w:t>
            </w:r>
          </w:p>
        </w:tc>
        <w:tc>
          <w:tcPr>
            <w:tcW w:w="140" w:type="dxa"/>
            <w:vAlign w:val="bottom"/>
            <w:tcBorders>
              <w:bottom w:val="single" w:sz="8" w:color="auto"/>
            </w:tcBorders>
            <w:shd w:val="clear" w:color="auto" w:fill="EAEAEA"/>
          </w:tcPr>
          <w:p>
            <w:pPr>
              <w:spacing w:after="0"/>
              <w:rPr>
                <w:sz w:val="16"/>
                <w:szCs w:val="16"/>
                <w:color w:val="auto"/>
              </w:rPr>
            </w:pPr>
          </w:p>
        </w:tc>
        <w:tc>
          <w:tcPr>
            <w:tcW w:w="5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2.63</w:t>
            </w:r>
          </w:p>
        </w:tc>
        <w:tc>
          <w:tcPr>
            <w:tcW w:w="80" w:type="dxa"/>
            <w:vAlign w:val="bottom"/>
            <w:tcBorders>
              <w:bottom w:val="single" w:sz="8" w:color="auto"/>
            </w:tcBorders>
            <w:shd w:val="clear" w:color="auto" w:fill="EAEAEA"/>
          </w:tcPr>
          <w:p>
            <w:pPr>
              <w:spacing w:after="0"/>
              <w:rPr>
                <w:sz w:val="16"/>
                <w:szCs w:val="16"/>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88.28</w:t>
            </w:r>
          </w:p>
        </w:tc>
        <w:tc>
          <w:tcPr>
            <w:tcW w:w="120" w:type="dxa"/>
            <w:vAlign w:val="bottom"/>
            <w:tcBorders>
              <w:bottom w:val="single" w:sz="8" w:color="auto"/>
            </w:tcBorders>
            <w:shd w:val="clear" w:color="auto" w:fill="EAEAEA"/>
          </w:tcPr>
          <w:p>
            <w:pPr>
              <w:spacing w:after="0"/>
              <w:rPr>
                <w:sz w:val="16"/>
                <w:szCs w:val="16"/>
                <w:color w:val="auto"/>
              </w:rPr>
            </w:pPr>
          </w:p>
        </w:tc>
        <w:tc>
          <w:tcPr>
            <w:tcW w:w="9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4,832,094</w:t>
            </w: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3/11/2020</w:t>
            </w:r>
          </w:p>
        </w:tc>
        <w:tc>
          <w:tcPr>
            <w:tcW w:w="100" w:type="dxa"/>
            <w:vAlign w:val="bottom"/>
            <w:tcBorders>
              <w:bottom w:val="single" w:sz="8" w:color="auto"/>
            </w:tcBorders>
            <w:shd w:val="clear" w:color="auto" w:fill="EAEAEA"/>
          </w:tcPr>
          <w:p>
            <w:pPr>
              <w:spacing w:after="0"/>
              <w:rPr>
                <w:sz w:val="16"/>
                <w:szCs w:val="16"/>
                <w:color w:val="auto"/>
              </w:rPr>
            </w:pPr>
          </w:p>
        </w:tc>
        <w:tc>
          <w:tcPr>
            <w:tcW w:w="1160" w:type="dxa"/>
            <w:vAlign w:val="bottom"/>
            <w:tcBorders>
              <w:bottom w:val="single" w:sz="8" w:color="auto"/>
            </w:tcBorders>
          </w:tcPr>
          <w:p>
            <w:pPr>
              <w:jc w:val="right"/>
              <w:ind w:right="344"/>
              <w:spacing w:after="0"/>
              <w:rPr>
                <w:sz w:val="20"/>
                <w:szCs w:val="20"/>
                <w:color w:val="auto"/>
              </w:rPr>
            </w:pPr>
            <w:r>
              <w:rPr>
                <w:rFonts w:ascii="Arial" w:cs="Arial" w:eastAsia="Arial" w:hAnsi="Arial"/>
                <w:sz w:val="16"/>
                <w:szCs w:val="16"/>
                <w:color w:val="auto"/>
              </w:rPr>
              <w:t>134,620</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94.41</w:t>
            </w:r>
          </w:p>
        </w:tc>
        <w:tc>
          <w:tcPr>
            <w:tcW w:w="10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29.49</w:t>
            </w:r>
          </w:p>
        </w:tc>
        <w:tc>
          <w:tcPr>
            <w:tcW w:w="180" w:type="dxa"/>
            <w:vAlign w:val="bottom"/>
            <w:tcBorders>
              <w:bottom w:val="single" w:sz="8" w:color="auto"/>
            </w:tcBorders>
            <w:shd w:val="clear" w:color="auto" w:fill="EAEAEA"/>
          </w:tcPr>
          <w:p>
            <w:pPr>
              <w:spacing w:after="0"/>
              <w:rPr>
                <w:sz w:val="16"/>
                <w:szCs w:val="16"/>
                <w:color w:val="auto"/>
              </w:rPr>
            </w:pPr>
          </w:p>
        </w:tc>
        <w:tc>
          <w:tcPr>
            <w:tcW w:w="4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5.0</w:t>
            </w:r>
          </w:p>
        </w:tc>
        <w:tc>
          <w:tcPr>
            <w:tcW w:w="80" w:type="dxa"/>
            <w:vAlign w:val="bottom"/>
            <w:tcBorders>
              <w:bottom w:val="single" w:sz="8" w:color="auto"/>
            </w:tcBorders>
            <w:shd w:val="clear" w:color="auto" w:fill="EAEAEA"/>
          </w:tcPr>
          <w:p>
            <w:pPr>
              <w:spacing w:after="0"/>
              <w:rPr>
                <w:sz w:val="16"/>
                <w:szCs w:val="16"/>
                <w:color w:val="auto"/>
              </w:rPr>
            </w:pP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0.66</w:t>
            </w:r>
          </w:p>
        </w:tc>
        <w:tc>
          <w:tcPr>
            <w:tcW w:w="140" w:type="dxa"/>
            <w:vAlign w:val="bottom"/>
            <w:tcBorders>
              <w:bottom w:val="single" w:sz="8" w:color="auto"/>
            </w:tcBorders>
            <w:shd w:val="clear" w:color="auto" w:fill="EAEAEA"/>
          </w:tcPr>
          <w:p>
            <w:pPr>
              <w:spacing w:after="0"/>
              <w:rPr>
                <w:sz w:val="16"/>
                <w:szCs w:val="16"/>
                <w:color w:val="auto"/>
              </w:rPr>
            </w:pPr>
          </w:p>
        </w:tc>
        <w:tc>
          <w:tcPr>
            <w:tcW w:w="5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2.63</w:t>
            </w:r>
          </w:p>
        </w:tc>
        <w:tc>
          <w:tcPr>
            <w:tcW w:w="80" w:type="dxa"/>
            <w:vAlign w:val="bottom"/>
            <w:tcBorders>
              <w:bottom w:val="single" w:sz="8" w:color="auto"/>
            </w:tcBorders>
            <w:shd w:val="clear" w:color="auto" w:fill="EAEAEA"/>
          </w:tcPr>
          <w:p>
            <w:pPr>
              <w:spacing w:after="0"/>
              <w:rPr>
                <w:sz w:val="16"/>
                <w:szCs w:val="16"/>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18.46</w:t>
            </w:r>
          </w:p>
        </w:tc>
        <w:tc>
          <w:tcPr>
            <w:tcW w:w="120" w:type="dxa"/>
            <w:vAlign w:val="bottom"/>
            <w:tcBorders>
              <w:bottom w:val="single" w:sz="8" w:color="auto"/>
            </w:tcBorders>
            <w:shd w:val="clear" w:color="auto" w:fill="EAEAEA"/>
          </w:tcPr>
          <w:p>
            <w:pPr>
              <w:spacing w:after="0"/>
              <w:rPr>
                <w:sz w:val="16"/>
                <w:szCs w:val="16"/>
                <w:color w:val="auto"/>
              </w:rPr>
            </w:pPr>
          </w:p>
        </w:tc>
        <w:tc>
          <w:tcPr>
            <w:tcW w:w="94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7"/>
              </w:rPr>
              <w:t>12/15/2020</w:t>
            </w:r>
          </w:p>
        </w:tc>
        <w:tc>
          <w:tcPr>
            <w:tcW w:w="100" w:type="dxa"/>
            <w:vAlign w:val="bottom"/>
            <w:tcBorders>
              <w:bottom w:val="single" w:sz="8" w:color="auto"/>
            </w:tcBorders>
            <w:shd w:val="clear" w:color="auto" w:fill="EAEAEA"/>
          </w:tcPr>
          <w:p>
            <w:pPr>
              <w:spacing w:after="0"/>
              <w:rPr>
                <w:sz w:val="16"/>
                <w:szCs w:val="16"/>
                <w:color w:val="auto"/>
              </w:rPr>
            </w:pPr>
          </w:p>
        </w:tc>
        <w:tc>
          <w:tcPr>
            <w:tcW w:w="116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460,000****</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3"/>
              </w:rPr>
              <w:t>144.06</w:t>
            </w:r>
          </w:p>
        </w:tc>
        <w:tc>
          <w:tcPr>
            <w:tcW w:w="10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30.42</w:t>
            </w:r>
          </w:p>
        </w:tc>
        <w:tc>
          <w:tcPr>
            <w:tcW w:w="180" w:type="dxa"/>
            <w:vAlign w:val="bottom"/>
            <w:tcBorders>
              <w:bottom w:val="single" w:sz="8" w:color="auto"/>
            </w:tcBorders>
            <w:shd w:val="clear" w:color="auto" w:fill="EAEAEA"/>
          </w:tcPr>
          <w:p>
            <w:pPr>
              <w:spacing w:after="0"/>
              <w:rPr>
                <w:sz w:val="16"/>
                <w:szCs w:val="16"/>
                <w:color w:val="auto"/>
              </w:rPr>
            </w:pPr>
          </w:p>
        </w:tc>
        <w:tc>
          <w:tcPr>
            <w:tcW w:w="4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auto"/>
            </w:tcBorders>
            <w:shd w:val="clear" w:color="auto" w:fill="EAEAEA"/>
          </w:tcPr>
          <w:p>
            <w:pPr>
              <w:spacing w:after="0"/>
              <w:rPr>
                <w:sz w:val="16"/>
                <w:szCs w:val="16"/>
                <w:color w:val="auto"/>
              </w:rPr>
            </w:pP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0.94</w:t>
            </w:r>
          </w:p>
        </w:tc>
        <w:tc>
          <w:tcPr>
            <w:tcW w:w="140" w:type="dxa"/>
            <w:vAlign w:val="bottom"/>
            <w:tcBorders>
              <w:bottom w:val="single" w:sz="8" w:color="auto"/>
            </w:tcBorders>
            <w:shd w:val="clear" w:color="auto" w:fill="EAEAEA"/>
          </w:tcPr>
          <w:p>
            <w:pPr>
              <w:spacing w:after="0"/>
              <w:rPr>
                <w:sz w:val="16"/>
                <w:szCs w:val="16"/>
                <w:color w:val="auto"/>
              </w:rPr>
            </w:pPr>
          </w:p>
        </w:tc>
        <w:tc>
          <w:tcPr>
            <w:tcW w:w="5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1.72</w:t>
            </w:r>
          </w:p>
        </w:tc>
        <w:tc>
          <w:tcPr>
            <w:tcW w:w="80" w:type="dxa"/>
            <w:vAlign w:val="bottom"/>
            <w:tcBorders>
              <w:bottom w:val="single" w:sz="8" w:color="auto"/>
            </w:tcBorders>
            <w:shd w:val="clear" w:color="auto" w:fill="EAEAEA"/>
          </w:tcPr>
          <w:p>
            <w:pPr>
              <w:spacing w:after="0"/>
              <w:rPr>
                <w:sz w:val="16"/>
                <w:szCs w:val="16"/>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31.28</w:t>
            </w:r>
          </w:p>
        </w:tc>
        <w:tc>
          <w:tcPr>
            <w:tcW w:w="120" w:type="dxa"/>
            <w:vAlign w:val="bottom"/>
            <w:tcBorders>
              <w:bottom w:val="single" w:sz="8" w:color="auto"/>
            </w:tcBorders>
            <w:shd w:val="clear" w:color="auto" w:fill="EAEAEA"/>
          </w:tcPr>
          <w:p>
            <w:pPr>
              <w:spacing w:after="0"/>
              <w:rPr>
                <w:sz w:val="16"/>
                <w:szCs w:val="16"/>
                <w:color w:val="auto"/>
              </w:rPr>
            </w:pPr>
          </w:p>
        </w:tc>
        <w:tc>
          <w:tcPr>
            <w:tcW w:w="9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14,387,265</w:t>
            </w: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3/10/2021</w:t>
            </w:r>
          </w:p>
        </w:tc>
        <w:tc>
          <w:tcPr>
            <w:tcW w:w="100" w:type="dxa"/>
            <w:vAlign w:val="bottom"/>
            <w:tcBorders>
              <w:bottom w:val="single" w:sz="8" w:color="auto"/>
            </w:tcBorders>
            <w:shd w:val="clear" w:color="auto" w:fill="EAEAEA"/>
          </w:tcPr>
          <w:p>
            <w:pPr>
              <w:spacing w:after="0"/>
              <w:rPr>
                <w:sz w:val="16"/>
                <w:szCs w:val="16"/>
                <w:color w:val="auto"/>
              </w:rPr>
            </w:pPr>
          </w:p>
        </w:tc>
        <w:tc>
          <w:tcPr>
            <w:tcW w:w="1160" w:type="dxa"/>
            <w:vAlign w:val="bottom"/>
            <w:tcBorders>
              <w:bottom w:val="single" w:sz="8" w:color="auto"/>
            </w:tcBorders>
          </w:tcPr>
          <w:p>
            <w:pPr>
              <w:jc w:val="right"/>
              <w:ind w:right="344"/>
              <w:spacing w:after="0"/>
              <w:rPr>
                <w:sz w:val="20"/>
                <w:szCs w:val="20"/>
                <w:color w:val="auto"/>
              </w:rPr>
            </w:pPr>
            <w:r>
              <w:rPr>
                <w:rFonts w:ascii="Arial" w:cs="Arial" w:eastAsia="Arial" w:hAnsi="Arial"/>
                <w:sz w:val="16"/>
                <w:szCs w:val="16"/>
                <w:color w:val="auto"/>
              </w:rPr>
              <w:t>70,786</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3"/>
              </w:rPr>
              <w:t>147.11</w:t>
            </w:r>
          </w:p>
        </w:tc>
        <w:tc>
          <w:tcPr>
            <w:tcW w:w="10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35.25</w:t>
            </w:r>
          </w:p>
        </w:tc>
        <w:tc>
          <w:tcPr>
            <w:tcW w:w="180" w:type="dxa"/>
            <w:vAlign w:val="bottom"/>
            <w:tcBorders>
              <w:bottom w:val="single" w:sz="8" w:color="auto"/>
            </w:tcBorders>
            <w:shd w:val="clear" w:color="auto" w:fill="EAEAEA"/>
          </w:tcPr>
          <w:p>
            <w:pPr>
              <w:spacing w:after="0"/>
              <w:rPr>
                <w:sz w:val="16"/>
                <w:szCs w:val="16"/>
                <w:color w:val="auto"/>
              </w:rPr>
            </w:pPr>
          </w:p>
        </w:tc>
        <w:tc>
          <w:tcPr>
            <w:tcW w:w="4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5.0</w:t>
            </w:r>
          </w:p>
        </w:tc>
        <w:tc>
          <w:tcPr>
            <w:tcW w:w="80" w:type="dxa"/>
            <w:vAlign w:val="bottom"/>
            <w:tcBorders>
              <w:bottom w:val="single" w:sz="8" w:color="auto"/>
            </w:tcBorders>
            <w:shd w:val="clear" w:color="auto" w:fill="EAEAEA"/>
          </w:tcPr>
          <w:p>
            <w:pPr>
              <w:spacing w:after="0"/>
              <w:rPr>
                <w:sz w:val="16"/>
                <w:szCs w:val="16"/>
                <w:color w:val="auto"/>
              </w:rPr>
            </w:pP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0.80</w:t>
            </w:r>
          </w:p>
        </w:tc>
        <w:tc>
          <w:tcPr>
            <w:tcW w:w="140" w:type="dxa"/>
            <w:vAlign w:val="bottom"/>
            <w:tcBorders>
              <w:bottom w:val="single" w:sz="8" w:color="auto"/>
            </w:tcBorders>
            <w:shd w:val="clear" w:color="auto" w:fill="EAEAEA"/>
          </w:tcPr>
          <w:p>
            <w:pPr>
              <w:spacing w:after="0"/>
              <w:rPr>
                <w:sz w:val="16"/>
                <w:szCs w:val="16"/>
                <w:color w:val="auto"/>
              </w:rPr>
            </w:pPr>
          </w:p>
        </w:tc>
        <w:tc>
          <w:tcPr>
            <w:tcW w:w="5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1.88</w:t>
            </w:r>
          </w:p>
        </w:tc>
        <w:tc>
          <w:tcPr>
            <w:tcW w:w="80" w:type="dxa"/>
            <w:vAlign w:val="bottom"/>
            <w:tcBorders>
              <w:bottom w:val="single" w:sz="8" w:color="auto"/>
            </w:tcBorders>
            <w:shd w:val="clear" w:color="auto" w:fill="EAEAEA"/>
          </w:tcPr>
          <w:p>
            <w:pPr>
              <w:spacing w:after="0"/>
              <w:rPr>
                <w:sz w:val="16"/>
                <w:szCs w:val="16"/>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38.58</w:t>
            </w:r>
          </w:p>
        </w:tc>
        <w:tc>
          <w:tcPr>
            <w:tcW w:w="120" w:type="dxa"/>
            <w:vAlign w:val="bottom"/>
            <w:tcBorders>
              <w:bottom w:val="single" w:sz="8" w:color="auto"/>
            </w:tcBorders>
            <w:shd w:val="clear" w:color="auto" w:fill="EAEAEA"/>
          </w:tcPr>
          <w:p>
            <w:pPr>
              <w:spacing w:after="0"/>
              <w:rPr>
                <w:sz w:val="16"/>
                <w:szCs w:val="16"/>
                <w:color w:val="auto"/>
              </w:rPr>
            </w:pPr>
          </w:p>
        </w:tc>
        <w:tc>
          <w:tcPr>
            <w:tcW w:w="94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3/10/2021</w:t>
            </w:r>
          </w:p>
        </w:tc>
        <w:tc>
          <w:tcPr>
            <w:tcW w:w="100" w:type="dxa"/>
            <w:vAlign w:val="bottom"/>
            <w:tcBorders>
              <w:bottom w:val="single" w:sz="8" w:color="auto"/>
            </w:tcBorders>
            <w:shd w:val="clear" w:color="auto" w:fill="EAEAEA"/>
          </w:tcPr>
          <w:p>
            <w:pPr>
              <w:spacing w:after="0"/>
              <w:rPr>
                <w:sz w:val="16"/>
                <w:szCs w:val="16"/>
                <w:color w:val="auto"/>
              </w:rPr>
            </w:pPr>
          </w:p>
        </w:tc>
        <w:tc>
          <w:tcPr>
            <w:tcW w:w="1160" w:type="dxa"/>
            <w:vAlign w:val="bottom"/>
            <w:tcBorders>
              <w:bottom w:val="single" w:sz="8" w:color="auto"/>
            </w:tcBorders>
          </w:tcPr>
          <w:p>
            <w:pPr>
              <w:jc w:val="right"/>
              <w:ind w:right="264"/>
              <w:spacing w:after="0"/>
              <w:rPr>
                <w:sz w:val="20"/>
                <w:szCs w:val="20"/>
                <w:color w:val="auto"/>
              </w:rPr>
            </w:pPr>
            <w:r>
              <w:rPr>
                <w:rFonts w:ascii="Arial" w:cs="Arial" w:eastAsia="Arial" w:hAnsi="Arial"/>
                <w:sz w:val="16"/>
                <w:szCs w:val="16"/>
                <w:color w:val="auto"/>
              </w:rPr>
              <w:t>19,361*</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AEAEA"/>
          </w:tcPr>
          <w:p>
            <w:pPr>
              <w:spacing w:after="0"/>
              <w:rPr>
                <w:sz w:val="16"/>
                <w:szCs w:val="16"/>
                <w:color w:val="auto"/>
              </w:rPr>
            </w:pPr>
          </w:p>
        </w:tc>
        <w:tc>
          <w:tcPr>
            <w:tcW w:w="4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0.80</w:t>
            </w:r>
          </w:p>
        </w:tc>
        <w:tc>
          <w:tcPr>
            <w:tcW w:w="140" w:type="dxa"/>
            <w:vAlign w:val="bottom"/>
            <w:tcBorders>
              <w:bottom w:val="single" w:sz="8" w:color="auto"/>
            </w:tcBorders>
            <w:shd w:val="clear" w:color="auto" w:fill="EAEAEA"/>
          </w:tcPr>
          <w:p>
            <w:pPr>
              <w:spacing w:after="0"/>
              <w:rPr>
                <w:sz w:val="16"/>
                <w:szCs w:val="16"/>
                <w:color w:val="auto"/>
              </w:rPr>
            </w:pPr>
          </w:p>
        </w:tc>
        <w:tc>
          <w:tcPr>
            <w:tcW w:w="5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1.88</w:t>
            </w:r>
          </w:p>
        </w:tc>
        <w:tc>
          <w:tcPr>
            <w:tcW w:w="80" w:type="dxa"/>
            <w:vAlign w:val="bottom"/>
            <w:tcBorders>
              <w:bottom w:val="single" w:sz="8" w:color="auto"/>
            </w:tcBorders>
            <w:shd w:val="clear" w:color="auto" w:fill="EAEAEA"/>
          </w:tcPr>
          <w:p>
            <w:pPr>
              <w:spacing w:after="0"/>
              <w:rPr>
                <w:sz w:val="16"/>
                <w:szCs w:val="16"/>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140.30</w:t>
            </w:r>
          </w:p>
        </w:tc>
        <w:tc>
          <w:tcPr>
            <w:tcW w:w="120" w:type="dxa"/>
            <w:vAlign w:val="bottom"/>
            <w:tcBorders>
              <w:bottom w:val="single" w:sz="8" w:color="auto"/>
            </w:tcBorders>
            <w:shd w:val="clear" w:color="auto" w:fill="EAEAEA"/>
          </w:tcPr>
          <w:p>
            <w:pPr>
              <w:spacing w:after="0"/>
              <w:rPr>
                <w:sz w:val="16"/>
                <w:szCs w:val="16"/>
                <w:color w:val="auto"/>
              </w:rPr>
            </w:pPr>
          </w:p>
        </w:tc>
        <w:tc>
          <w:tcPr>
            <w:tcW w:w="94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3/10/2021</w:t>
            </w:r>
          </w:p>
        </w:tc>
        <w:tc>
          <w:tcPr>
            <w:tcW w:w="100" w:type="dxa"/>
            <w:vAlign w:val="bottom"/>
            <w:tcBorders>
              <w:bottom w:val="single" w:sz="8" w:color="auto"/>
            </w:tcBorders>
            <w:shd w:val="clear" w:color="auto" w:fill="EAEAEA"/>
          </w:tcPr>
          <w:p>
            <w:pPr>
              <w:spacing w:after="0"/>
              <w:rPr>
                <w:sz w:val="16"/>
                <w:szCs w:val="16"/>
                <w:color w:val="auto"/>
              </w:rPr>
            </w:pPr>
          </w:p>
        </w:tc>
        <w:tc>
          <w:tcPr>
            <w:tcW w:w="116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color w:val="auto"/>
              </w:rPr>
              <w:t>19,361**</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37.47</w:t>
            </w:r>
          </w:p>
        </w:tc>
        <w:tc>
          <w:tcPr>
            <w:tcW w:w="180" w:type="dxa"/>
            <w:vAlign w:val="bottom"/>
            <w:tcBorders>
              <w:bottom w:val="single" w:sz="8" w:color="auto"/>
            </w:tcBorders>
            <w:shd w:val="clear" w:color="auto" w:fill="EAEAEA"/>
          </w:tcPr>
          <w:p>
            <w:pPr>
              <w:spacing w:after="0"/>
              <w:rPr>
                <w:sz w:val="16"/>
                <w:szCs w:val="16"/>
                <w:color w:val="auto"/>
              </w:rPr>
            </w:pPr>
          </w:p>
        </w:tc>
        <w:tc>
          <w:tcPr>
            <w:tcW w:w="4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0.32</w:t>
            </w:r>
          </w:p>
        </w:tc>
        <w:tc>
          <w:tcPr>
            <w:tcW w:w="140" w:type="dxa"/>
            <w:vAlign w:val="bottom"/>
            <w:tcBorders>
              <w:bottom w:val="single" w:sz="8" w:color="auto"/>
            </w:tcBorders>
            <w:shd w:val="clear" w:color="auto" w:fill="EAEAEA"/>
          </w:tcPr>
          <w:p>
            <w:pPr>
              <w:spacing w:after="0"/>
              <w:rPr>
                <w:sz w:val="16"/>
                <w:szCs w:val="16"/>
                <w:color w:val="auto"/>
              </w:rPr>
            </w:pPr>
          </w:p>
        </w:tc>
        <w:tc>
          <w:tcPr>
            <w:tcW w:w="5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1.86</w:t>
            </w:r>
          </w:p>
        </w:tc>
        <w:tc>
          <w:tcPr>
            <w:tcW w:w="80" w:type="dxa"/>
            <w:vAlign w:val="bottom"/>
            <w:tcBorders>
              <w:bottom w:val="single" w:sz="8" w:color="auto"/>
            </w:tcBorders>
            <w:shd w:val="clear" w:color="auto" w:fill="EAEAEA"/>
          </w:tcPr>
          <w:p>
            <w:pPr>
              <w:spacing w:after="0"/>
              <w:rPr>
                <w:sz w:val="16"/>
                <w:szCs w:val="16"/>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163.14</w:t>
            </w:r>
          </w:p>
        </w:tc>
        <w:tc>
          <w:tcPr>
            <w:tcW w:w="120" w:type="dxa"/>
            <w:vAlign w:val="bottom"/>
            <w:tcBorders>
              <w:bottom w:val="single" w:sz="8" w:color="auto"/>
            </w:tcBorders>
            <w:shd w:val="clear" w:color="auto" w:fill="EAEAEA"/>
          </w:tcPr>
          <w:p>
            <w:pPr>
              <w:spacing w:after="0"/>
              <w:rPr>
                <w:sz w:val="16"/>
                <w:szCs w:val="16"/>
                <w:color w:val="auto"/>
              </w:rPr>
            </w:pPr>
          </w:p>
        </w:tc>
        <w:tc>
          <w:tcPr>
            <w:tcW w:w="9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6,317,108</w:t>
            </w: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60" w:type="dxa"/>
            <w:vAlign w:val="bottom"/>
            <w:tcBorders>
              <w:bottom w:val="single" w:sz="8" w:color="0066BA"/>
            </w:tcBorders>
          </w:tcPr>
          <w:p>
            <w:pPr>
              <w:spacing w:after="0"/>
              <w:rPr>
                <w:sz w:val="16"/>
                <w:szCs w:val="16"/>
                <w:color w:val="auto"/>
              </w:rPr>
            </w:pPr>
          </w:p>
        </w:tc>
        <w:tc>
          <w:tcPr>
            <w:tcW w:w="120" w:type="dxa"/>
            <w:vAlign w:val="bottom"/>
            <w:tcBorders>
              <w:bottom w:val="single" w:sz="8" w:color="0066BA"/>
            </w:tcBorders>
            <w:shd w:val="clear" w:color="auto" w:fill="EAEAEA"/>
          </w:tcPr>
          <w:p>
            <w:pPr>
              <w:spacing w:after="0"/>
              <w:rPr>
                <w:sz w:val="16"/>
                <w:szCs w:val="16"/>
                <w:color w:val="auto"/>
              </w:rPr>
            </w:pPr>
          </w:p>
        </w:tc>
        <w:tc>
          <w:tcPr>
            <w:tcW w:w="80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3/10/2021</w:t>
            </w:r>
          </w:p>
        </w:tc>
        <w:tc>
          <w:tcPr>
            <w:tcW w:w="100" w:type="dxa"/>
            <w:vAlign w:val="bottom"/>
            <w:tcBorders>
              <w:bottom w:val="single" w:sz="8" w:color="0066BA"/>
            </w:tcBorders>
            <w:shd w:val="clear" w:color="auto" w:fill="EAEAEA"/>
          </w:tcPr>
          <w:p>
            <w:pPr>
              <w:spacing w:after="0"/>
              <w:rPr>
                <w:sz w:val="16"/>
                <w:szCs w:val="16"/>
                <w:color w:val="auto"/>
              </w:rPr>
            </w:pPr>
          </w:p>
        </w:tc>
        <w:tc>
          <w:tcPr>
            <w:tcW w:w="1160" w:type="dxa"/>
            <w:vAlign w:val="bottom"/>
            <w:tcBorders>
              <w:bottom w:val="single" w:sz="8" w:color="0066BA"/>
            </w:tcBorders>
          </w:tcPr>
          <w:p>
            <w:pPr>
              <w:jc w:val="right"/>
              <w:ind w:right="124"/>
              <w:spacing w:after="0"/>
              <w:rPr>
                <w:sz w:val="20"/>
                <w:szCs w:val="20"/>
                <w:color w:val="auto"/>
              </w:rPr>
            </w:pPr>
            <w:r>
              <w:rPr>
                <w:rFonts w:ascii="Arial" w:cs="Arial" w:eastAsia="Arial" w:hAnsi="Arial"/>
                <w:sz w:val="16"/>
                <w:szCs w:val="16"/>
                <w:color w:val="auto"/>
              </w:rPr>
              <w:t>19,361***</w:t>
            </w:r>
          </w:p>
        </w:tc>
        <w:tc>
          <w:tcPr>
            <w:tcW w:w="120" w:type="dxa"/>
            <w:vAlign w:val="bottom"/>
            <w:tcBorders>
              <w:bottom w:val="single" w:sz="8" w:color="0066BA"/>
            </w:tcBorders>
            <w:shd w:val="clear" w:color="auto" w:fill="EAEAEA"/>
          </w:tcPr>
          <w:p>
            <w:pPr>
              <w:spacing w:after="0"/>
              <w:rPr>
                <w:sz w:val="16"/>
                <w:szCs w:val="16"/>
                <w:color w:val="auto"/>
              </w:rPr>
            </w:pPr>
          </w:p>
        </w:tc>
        <w:tc>
          <w:tcPr>
            <w:tcW w:w="48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0066BA"/>
            </w:tcBorders>
            <w:shd w:val="clear" w:color="auto" w:fill="EAEAEA"/>
          </w:tcPr>
          <w:p>
            <w:pPr>
              <w:spacing w:after="0"/>
              <w:rPr>
                <w:sz w:val="16"/>
                <w:szCs w:val="16"/>
                <w:color w:val="auto"/>
              </w:rPr>
            </w:pPr>
          </w:p>
        </w:tc>
        <w:tc>
          <w:tcPr>
            <w:tcW w:w="720" w:type="dxa"/>
            <w:vAlign w:val="bottom"/>
            <w:tcBorders>
              <w:bottom w:val="single" w:sz="8" w:color="0066BA"/>
            </w:tcBorders>
          </w:tcPr>
          <w:p>
            <w:pPr>
              <w:jc w:val="right"/>
              <w:ind w:right="3"/>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0066BA"/>
            </w:tcBorders>
            <w:shd w:val="clear" w:color="auto" w:fill="EAEAEA"/>
          </w:tcPr>
          <w:p>
            <w:pPr>
              <w:spacing w:after="0"/>
              <w:rPr>
                <w:sz w:val="16"/>
                <w:szCs w:val="16"/>
                <w:color w:val="auto"/>
              </w:rPr>
            </w:pPr>
          </w:p>
        </w:tc>
        <w:tc>
          <w:tcPr>
            <w:tcW w:w="46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740" w:type="dxa"/>
            <w:vAlign w:val="bottom"/>
            <w:tcBorders>
              <w:bottom w:val="single" w:sz="8" w:color="0066BA"/>
            </w:tcBorders>
          </w:tcPr>
          <w:p>
            <w:pPr>
              <w:jc w:val="right"/>
              <w:ind w:right="24"/>
              <w:spacing w:after="0"/>
              <w:rPr>
                <w:sz w:val="20"/>
                <w:szCs w:val="20"/>
                <w:color w:val="auto"/>
              </w:rPr>
            </w:pPr>
            <w:r>
              <w:rPr>
                <w:rFonts w:ascii="Arial" w:cs="Arial" w:eastAsia="Arial" w:hAnsi="Arial"/>
                <w:sz w:val="16"/>
                <w:szCs w:val="16"/>
                <w:color w:val="auto"/>
              </w:rPr>
              <w:t>0.80</w:t>
            </w:r>
          </w:p>
        </w:tc>
        <w:tc>
          <w:tcPr>
            <w:tcW w:w="140" w:type="dxa"/>
            <w:vAlign w:val="bottom"/>
            <w:tcBorders>
              <w:bottom w:val="single" w:sz="8" w:color="0066BA"/>
            </w:tcBorders>
            <w:shd w:val="clear" w:color="auto" w:fill="EAEAEA"/>
          </w:tcPr>
          <w:p>
            <w:pPr>
              <w:spacing w:after="0"/>
              <w:rPr>
                <w:sz w:val="16"/>
                <w:szCs w:val="16"/>
                <w:color w:val="auto"/>
              </w:rPr>
            </w:pPr>
          </w:p>
        </w:tc>
        <w:tc>
          <w:tcPr>
            <w:tcW w:w="52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1.88</w:t>
            </w:r>
          </w:p>
        </w:tc>
        <w:tc>
          <w:tcPr>
            <w:tcW w:w="80" w:type="dxa"/>
            <w:vAlign w:val="bottom"/>
            <w:tcBorders>
              <w:bottom w:val="single" w:sz="8" w:color="0066BA"/>
            </w:tcBorders>
            <w:shd w:val="clear" w:color="auto" w:fill="EAEAEA"/>
          </w:tcPr>
          <w:p>
            <w:pPr>
              <w:spacing w:after="0"/>
              <w:rPr>
                <w:sz w:val="16"/>
                <w:szCs w:val="16"/>
                <w:color w:val="auto"/>
              </w:rPr>
            </w:pPr>
          </w:p>
        </w:tc>
        <w:tc>
          <w:tcPr>
            <w:tcW w:w="880" w:type="dxa"/>
            <w:vAlign w:val="bottom"/>
            <w:tcBorders>
              <w:bottom w:val="single" w:sz="8" w:color="0066BA"/>
            </w:tcBorders>
          </w:tcPr>
          <w:p>
            <w:pPr>
              <w:jc w:val="right"/>
              <w:ind w:right="4"/>
              <w:spacing w:after="0"/>
              <w:rPr>
                <w:sz w:val="20"/>
                <w:szCs w:val="20"/>
                <w:color w:val="auto"/>
              </w:rPr>
            </w:pPr>
            <w:r>
              <w:rPr>
                <w:rFonts w:ascii="Arial" w:cs="Arial" w:eastAsia="Arial" w:hAnsi="Arial"/>
                <w:sz w:val="16"/>
                <w:szCs w:val="16"/>
                <w:color w:val="auto"/>
              </w:rPr>
              <w:t>140.30</w:t>
            </w:r>
          </w:p>
        </w:tc>
        <w:tc>
          <w:tcPr>
            <w:tcW w:w="120" w:type="dxa"/>
            <w:vAlign w:val="bottom"/>
            <w:tcBorders>
              <w:bottom w:val="single" w:sz="8" w:color="0066BA"/>
            </w:tcBorders>
            <w:shd w:val="clear" w:color="auto" w:fill="EAEAEA"/>
          </w:tcPr>
          <w:p>
            <w:pPr>
              <w:spacing w:after="0"/>
              <w:rPr>
                <w:sz w:val="16"/>
                <w:szCs w:val="16"/>
                <w:color w:val="auto"/>
              </w:rPr>
            </w:pPr>
          </w:p>
        </w:tc>
        <w:tc>
          <w:tcPr>
            <w:tcW w:w="94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5,432,696</w:t>
            </w:r>
          </w:p>
        </w:tc>
        <w:tc>
          <w:tcPr>
            <w:tcW w:w="80" w:type="dxa"/>
            <w:vAlign w:val="bottom"/>
            <w:tcBorders>
              <w:bottom w:val="single" w:sz="8" w:color="0066BA"/>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3/29/2018</w:t>
            </w:r>
          </w:p>
        </w:tc>
        <w:tc>
          <w:tcPr>
            <w:tcW w:w="100" w:type="dxa"/>
            <w:vAlign w:val="bottom"/>
            <w:tcBorders>
              <w:bottom w:val="single" w:sz="8" w:color="auto"/>
            </w:tcBorders>
            <w:shd w:val="clear" w:color="auto" w:fill="EAEAEA"/>
          </w:tcPr>
          <w:p>
            <w:pPr>
              <w:spacing w:after="0"/>
              <w:rPr>
                <w:sz w:val="16"/>
                <w:szCs w:val="16"/>
                <w:color w:val="auto"/>
              </w:rPr>
            </w:pPr>
          </w:p>
        </w:tc>
        <w:tc>
          <w:tcPr>
            <w:tcW w:w="1160" w:type="dxa"/>
            <w:vAlign w:val="bottom"/>
            <w:tcBorders>
              <w:bottom w:val="single" w:sz="8" w:color="auto"/>
            </w:tcBorders>
          </w:tcPr>
          <w:p>
            <w:pPr>
              <w:jc w:val="right"/>
              <w:ind w:right="264"/>
              <w:spacing w:after="0"/>
              <w:rPr>
                <w:sz w:val="20"/>
                <w:szCs w:val="20"/>
                <w:color w:val="auto"/>
              </w:rPr>
            </w:pPr>
            <w:r>
              <w:rPr>
                <w:rFonts w:ascii="Arial" w:cs="Arial" w:eastAsia="Arial" w:hAnsi="Arial"/>
                <w:sz w:val="16"/>
                <w:szCs w:val="16"/>
                <w:color w:val="auto"/>
              </w:rPr>
              <w:t>8,287*</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AEAEA"/>
          </w:tcPr>
          <w:p>
            <w:pPr>
              <w:spacing w:after="0"/>
              <w:rPr>
                <w:sz w:val="16"/>
                <w:szCs w:val="16"/>
                <w:color w:val="auto"/>
              </w:rPr>
            </w:pPr>
          </w:p>
        </w:tc>
        <w:tc>
          <w:tcPr>
            <w:tcW w:w="4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2.54</w:t>
            </w:r>
          </w:p>
        </w:tc>
        <w:tc>
          <w:tcPr>
            <w:tcW w:w="140" w:type="dxa"/>
            <w:vAlign w:val="bottom"/>
            <w:tcBorders>
              <w:bottom w:val="single" w:sz="8" w:color="auto"/>
            </w:tcBorders>
            <w:shd w:val="clear" w:color="auto" w:fill="EAEAEA"/>
          </w:tcPr>
          <w:p>
            <w:pPr>
              <w:spacing w:after="0"/>
              <w:rPr>
                <w:sz w:val="16"/>
                <w:szCs w:val="16"/>
                <w:color w:val="auto"/>
              </w:rPr>
            </w:pPr>
          </w:p>
        </w:tc>
        <w:tc>
          <w:tcPr>
            <w:tcW w:w="5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2.11</w:t>
            </w:r>
          </w:p>
        </w:tc>
        <w:tc>
          <w:tcPr>
            <w:tcW w:w="80" w:type="dxa"/>
            <w:vAlign w:val="bottom"/>
            <w:tcBorders>
              <w:bottom w:val="single" w:sz="8" w:color="auto"/>
            </w:tcBorders>
            <w:shd w:val="clear" w:color="auto" w:fill="EAEAEA"/>
          </w:tcPr>
          <w:p>
            <w:pPr>
              <w:spacing w:after="0"/>
              <w:rPr>
                <w:sz w:val="16"/>
                <w:szCs w:val="16"/>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86.51</w:t>
            </w:r>
          </w:p>
        </w:tc>
        <w:tc>
          <w:tcPr>
            <w:tcW w:w="120" w:type="dxa"/>
            <w:vAlign w:val="bottom"/>
            <w:tcBorders>
              <w:bottom w:val="single" w:sz="8" w:color="auto"/>
            </w:tcBorders>
            <w:shd w:val="clear" w:color="auto" w:fill="EAEAEA"/>
          </w:tcPr>
          <w:p>
            <w:pPr>
              <w:spacing w:after="0"/>
              <w:rPr>
                <w:sz w:val="16"/>
                <w:szCs w:val="16"/>
                <w:color w:val="auto"/>
              </w:rPr>
            </w:pPr>
          </w:p>
        </w:tc>
        <w:tc>
          <w:tcPr>
            <w:tcW w:w="94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3/29/2018</w:t>
            </w:r>
          </w:p>
        </w:tc>
        <w:tc>
          <w:tcPr>
            <w:tcW w:w="100" w:type="dxa"/>
            <w:vAlign w:val="bottom"/>
            <w:tcBorders>
              <w:bottom w:val="single" w:sz="8" w:color="auto"/>
            </w:tcBorders>
            <w:shd w:val="clear" w:color="auto" w:fill="EAEAEA"/>
          </w:tcPr>
          <w:p>
            <w:pPr>
              <w:spacing w:after="0"/>
              <w:rPr>
                <w:sz w:val="16"/>
                <w:szCs w:val="16"/>
                <w:color w:val="auto"/>
              </w:rPr>
            </w:pPr>
          </w:p>
        </w:tc>
        <w:tc>
          <w:tcPr>
            <w:tcW w:w="116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color w:val="auto"/>
              </w:rPr>
              <w:t>8,287**</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25.63</w:t>
            </w:r>
          </w:p>
        </w:tc>
        <w:tc>
          <w:tcPr>
            <w:tcW w:w="180" w:type="dxa"/>
            <w:vAlign w:val="bottom"/>
            <w:tcBorders>
              <w:bottom w:val="single" w:sz="8" w:color="auto"/>
            </w:tcBorders>
            <w:shd w:val="clear" w:color="auto" w:fill="EAEAEA"/>
          </w:tcPr>
          <w:p>
            <w:pPr>
              <w:spacing w:after="0"/>
              <w:rPr>
                <w:sz w:val="16"/>
                <w:szCs w:val="16"/>
                <w:color w:val="auto"/>
              </w:rPr>
            </w:pPr>
          </w:p>
        </w:tc>
        <w:tc>
          <w:tcPr>
            <w:tcW w:w="4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2.37</w:t>
            </w:r>
          </w:p>
        </w:tc>
        <w:tc>
          <w:tcPr>
            <w:tcW w:w="140" w:type="dxa"/>
            <w:vAlign w:val="bottom"/>
            <w:tcBorders>
              <w:bottom w:val="single" w:sz="8" w:color="auto"/>
            </w:tcBorders>
            <w:shd w:val="clear" w:color="auto" w:fill="EAEAEA"/>
          </w:tcPr>
          <w:p>
            <w:pPr>
              <w:spacing w:after="0"/>
              <w:rPr>
                <w:sz w:val="16"/>
                <w:szCs w:val="16"/>
                <w:color w:val="auto"/>
              </w:rPr>
            </w:pPr>
          </w:p>
        </w:tc>
        <w:tc>
          <w:tcPr>
            <w:tcW w:w="5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2.08</w:t>
            </w:r>
          </w:p>
        </w:tc>
        <w:tc>
          <w:tcPr>
            <w:tcW w:w="80" w:type="dxa"/>
            <w:vAlign w:val="bottom"/>
            <w:tcBorders>
              <w:bottom w:val="single" w:sz="8" w:color="auto"/>
            </w:tcBorders>
            <w:shd w:val="clear" w:color="auto" w:fill="EAEAEA"/>
          </w:tcPr>
          <w:p>
            <w:pPr>
              <w:spacing w:after="0"/>
              <w:rPr>
                <w:sz w:val="16"/>
                <w:szCs w:val="16"/>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101.23</w:t>
            </w:r>
          </w:p>
        </w:tc>
        <w:tc>
          <w:tcPr>
            <w:tcW w:w="120" w:type="dxa"/>
            <w:vAlign w:val="bottom"/>
            <w:tcBorders>
              <w:bottom w:val="single" w:sz="8" w:color="auto"/>
            </w:tcBorders>
            <w:shd w:val="clear" w:color="auto" w:fill="EAEAEA"/>
          </w:tcPr>
          <w:p>
            <w:pPr>
              <w:spacing w:after="0"/>
              <w:rPr>
                <w:sz w:val="16"/>
                <w:szCs w:val="16"/>
                <w:color w:val="auto"/>
              </w:rPr>
            </w:pPr>
          </w:p>
        </w:tc>
        <w:tc>
          <w:tcPr>
            <w:tcW w:w="9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1,677,786</w:t>
            </w: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3/29/2018</w:t>
            </w:r>
          </w:p>
        </w:tc>
        <w:tc>
          <w:tcPr>
            <w:tcW w:w="100" w:type="dxa"/>
            <w:vAlign w:val="bottom"/>
            <w:tcBorders>
              <w:bottom w:val="single" w:sz="8" w:color="auto"/>
            </w:tcBorders>
            <w:shd w:val="clear" w:color="auto" w:fill="EAEAEA"/>
          </w:tcPr>
          <w:p>
            <w:pPr>
              <w:spacing w:after="0"/>
              <w:rPr>
                <w:sz w:val="16"/>
                <w:szCs w:val="16"/>
                <w:color w:val="auto"/>
              </w:rPr>
            </w:pPr>
          </w:p>
        </w:tc>
        <w:tc>
          <w:tcPr>
            <w:tcW w:w="1160" w:type="dxa"/>
            <w:vAlign w:val="bottom"/>
            <w:tcBorders>
              <w:bottom w:val="single" w:sz="8" w:color="auto"/>
            </w:tcBorders>
          </w:tcPr>
          <w:p>
            <w:pPr>
              <w:jc w:val="right"/>
              <w:ind w:right="344"/>
              <w:spacing w:after="0"/>
              <w:rPr>
                <w:sz w:val="20"/>
                <w:szCs w:val="20"/>
                <w:color w:val="auto"/>
              </w:rPr>
            </w:pPr>
            <w:r>
              <w:rPr>
                <w:rFonts w:ascii="Arial" w:cs="Arial" w:eastAsia="Arial" w:hAnsi="Arial"/>
                <w:sz w:val="16"/>
                <w:szCs w:val="16"/>
                <w:color w:val="auto"/>
              </w:rPr>
              <w:t>34,779</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91.13</w:t>
            </w:r>
          </w:p>
        </w:tc>
        <w:tc>
          <w:tcPr>
            <w:tcW w:w="10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27.77</w:t>
            </w:r>
          </w:p>
        </w:tc>
        <w:tc>
          <w:tcPr>
            <w:tcW w:w="180" w:type="dxa"/>
            <w:vAlign w:val="bottom"/>
            <w:tcBorders>
              <w:bottom w:val="single" w:sz="8" w:color="auto"/>
            </w:tcBorders>
            <w:shd w:val="clear" w:color="auto" w:fill="EAEAEA"/>
          </w:tcPr>
          <w:p>
            <w:pPr>
              <w:spacing w:after="0"/>
              <w:rPr>
                <w:sz w:val="16"/>
                <w:szCs w:val="16"/>
                <w:color w:val="auto"/>
              </w:rPr>
            </w:pPr>
          </w:p>
        </w:tc>
        <w:tc>
          <w:tcPr>
            <w:tcW w:w="4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5.0</w:t>
            </w:r>
          </w:p>
        </w:tc>
        <w:tc>
          <w:tcPr>
            <w:tcW w:w="80" w:type="dxa"/>
            <w:vAlign w:val="bottom"/>
            <w:tcBorders>
              <w:bottom w:val="single" w:sz="8" w:color="auto"/>
            </w:tcBorders>
            <w:shd w:val="clear" w:color="auto" w:fill="EAEAEA"/>
          </w:tcPr>
          <w:p>
            <w:pPr>
              <w:spacing w:after="0"/>
              <w:rPr>
                <w:sz w:val="16"/>
                <w:szCs w:val="16"/>
                <w:color w:val="auto"/>
              </w:rPr>
            </w:pP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2.64</w:t>
            </w:r>
          </w:p>
        </w:tc>
        <w:tc>
          <w:tcPr>
            <w:tcW w:w="140" w:type="dxa"/>
            <w:vAlign w:val="bottom"/>
            <w:tcBorders>
              <w:bottom w:val="single" w:sz="8" w:color="auto"/>
            </w:tcBorders>
            <w:shd w:val="clear" w:color="auto" w:fill="EAEAEA"/>
          </w:tcPr>
          <w:p>
            <w:pPr>
              <w:spacing w:after="0"/>
              <w:rPr>
                <w:sz w:val="16"/>
                <w:szCs w:val="16"/>
                <w:color w:val="auto"/>
              </w:rPr>
            </w:pPr>
          </w:p>
        </w:tc>
        <w:tc>
          <w:tcPr>
            <w:tcW w:w="5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2.11</w:t>
            </w:r>
          </w:p>
        </w:tc>
        <w:tc>
          <w:tcPr>
            <w:tcW w:w="80" w:type="dxa"/>
            <w:vAlign w:val="bottom"/>
            <w:tcBorders>
              <w:bottom w:val="single" w:sz="8" w:color="auto"/>
            </w:tcBorders>
            <w:shd w:val="clear" w:color="auto" w:fill="EAEAEA"/>
          </w:tcPr>
          <w:p>
            <w:pPr>
              <w:spacing w:after="0"/>
              <w:rPr>
                <w:sz w:val="16"/>
                <w:szCs w:val="16"/>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20.83</w:t>
            </w:r>
          </w:p>
        </w:tc>
        <w:tc>
          <w:tcPr>
            <w:tcW w:w="120" w:type="dxa"/>
            <w:vAlign w:val="bottom"/>
            <w:tcBorders>
              <w:bottom w:val="single" w:sz="8" w:color="auto"/>
            </w:tcBorders>
            <w:shd w:val="clear" w:color="auto" w:fill="EAEAEA"/>
          </w:tcPr>
          <w:p>
            <w:pPr>
              <w:spacing w:after="0"/>
              <w:rPr>
                <w:sz w:val="16"/>
                <w:szCs w:val="16"/>
                <w:color w:val="auto"/>
              </w:rPr>
            </w:pPr>
          </w:p>
        </w:tc>
        <w:tc>
          <w:tcPr>
            <w:tcW w:w="94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3/13/2019</w:t>
            </w:r>
          </w:p>
        </w:tc>
        <w:tc>
          <w:tcPr>
            <w:tcW w:w="100" w:type="dxa"/>
            <w:vAlign w:val="bottom"/>
            <w:tcBorders>
              <w:bottom w:val="single" w:sz="8" w:color="auto"/>
            </w:tcBorders>
            <w:shd w:val="clear" w:color="auto" w:fill="EAEAEA"/>
          </w:tcPr>
          <w:p>
            <w:pPr>
              <w:spacing w:after="0"/>
              <w:rPr>
                <w:sz w:val="16"/>
                <w:szCs w:val="16"/>
                <w:color w:val="auto"/>
              </w:rPr>
            </w:pPr>
          </w:p>
        </w:tc>
        <w:tc>
          <w:tcPr>
            <w:tcW w:w="1160" w:type="dxa"/>
            <w:vAlign w:val="bottom"/>
            <w:tcBorders>
              <w:bottom w:val="single" w:sz="8" w:color="auto"/>
            </w:tcBorders>
          </w:tcPr>
          <w:p>
            <w:pPr>
              <w:jc w:val="right"/>
              <w:ind w:right="264"/>
              <w:spacing w:after="0"/>
              <w:rPr>
                <w:sz w:val="20"/>
                <w:szCs w:val="20"/>
                <w:color w:val="auto"/>
              </w:rPr>
            </w:pPr>
            <w:r>
              <w:rPr>
                <w:rFonts w:ascii="Arial" w:cs="Arial" w:eastAsia="Arial" w:hAnsi="Arial"/>
                <w:sz w:val="16"/>
                <w:szCs w:val="16"/>
                <w:color w:val="auto"/>
              </w:rPr>
              <w:t>5,987*</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AEAEA"/>
          </w:tcPr>
          <w:p>
            <w:pPr>
              <w:spacing w:after="0"/>
              <w:rPr>
                <w:sz w:val="16"/>
                <w:szCs w:val="16"/>
                <w:color w:val="auto"/>
              </w:rPr>
            </w:pPr>
          </w:p>
        </w:tc>
        <w:tc>
          <w:tcPr>
            <w:tcW w:w="4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2.42</w:t>
            </w:r>
          </w:p>
        </w:tc>
        <w:tc>
          <w:tcPr>
            <w:tcW w:w="140" w:type="dxa"/>
            <w:vAlign w:val="bottom"/>
            <w:tcBorders>
              <w:bottom w:val="single" w:sz="8" w:color="auto"/>
            </w:tcBorders>
            <w:shd w:val="clear" w:color="auto" w:fill="EAEAEA"/>
          </w:tcPr>
          <w:p>
            <w:pPr>
              <w:spacing w:after="0"/>
              <w:rPr>
                <w:sz w:val="16"/>
                <w:szCs w:val="16"/>
                <w:color w:val="auto"/>
              </w:rPr>
            </w:pPr>
          </w:p>
        </w:tc>
        <w:tc>
          <w:tcPr>
            <w:tcW w:w="5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2.00</w:t>
            </w:r>
          </w:p>
        </w:tc>
        <w:tc>
          <w:tcPr>
            <w:tcW w:w="80" w:type="dxa"/>
            <w:vAlign w:val="bottom"/>
            <w:tcBorders>
              <w:bottom w:val="single" w:sz="8" w:color="auto"/>
            </w:tcBorders>
            <w:shd w:val="clear" w:color="auto" w:fill="EAEAEA"/>
          </w:tcPr>
          <w:p>
            <w:pPr>
              <w:spacing w:after="0"/>
              <w:rPr>
                <w:sz w:val="16"/>
                <w:szCs w:val="16"/>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102.89</w:t>
            </w:r>
          </w:p>
        </w:tc>
        <w:tc>
          <w:tcPr>
            <w:tcW w:w="120" w:type="dxa"/>
            <w:vAlign w:val="bottom"/>
            <w:tcBorders>
              <w:bottom w:val="single" w:sz="8" w:color="auto"/>
            </w:tcBorders>
            <w:shd w:val="clear" w:color="auto" w:fill="EAEAEA"/>
          </w:tcPr>
          <w:p>
            <w:pPr>
              <w:spacing w:after="0"/>
              <w:rPr>
                <w:sz w:val="16"/>
                <w:szCs w:val="16"/>
                <w:color w:val="auto"/>
              </w:rPr>
            </w:pPr>
          </w:p>
        </w:tc>
        <w:tc>
          <w:tcPr>
            <w:tcW w:w="94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3/13/2019</w:t>
            </w:r>
          </w:p>
        </w:tc>
        <w:tc>
          <w:tcPr>
            <w:tcW w:w="100" w:type="dxa"/>
            <w:vAlign w:val="bottom"/>
            <w:tcBorders>
              <w:bottom w:val="single" w:sz="8" w:color="auto"/>
            </w:tcBorders>
            <w:shd w:val="clear" w:color="auto" w:fill="EAEAEA"/>
          </w:tcPr>
          <w:p>
            <w:pPr>
              <w:spacing w:after="0"/>
              <w:rPr>
                <w:sz w:val="16"/>
                <w:szCs w:val="16"/>
                <w:color w:val="auto"/>
              </w:rPr>
            </w:pPr>
          </w:p>
        </w:tc>
        <w:tc>
          <w:tcPr>
            <w:tcW w:w="116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color w:val="auto"/>
              </w:rPr>
              <w:t>5,987**</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24.07</w:t>
            </w:r>
          </w:p>
        </w:tc>
        <w:tc>
          <w:tcPr>
            <w:tcW w:w="180" w:type="dxa"/>
            <w:vAlign w:val="bottom"/>
            <w:tcBorders>
              <w:bottom w:val="single" w:sz="8" w:color="auto"/>
            </w:tcBorders>
            <w:shd w:val="clear" w:color="auto" w:fill="EAEAEA"/>
          </w:tcPr>
          <w:p>
            <w:pPr>
              <w:spacing w:after="0"/>
              <w:rPr>
                <w:sz w:val="16"/>
                <w:szCs w:val="16"/>
                <w:color w:val="auto"/>
              </w:rPr>
            </w:pPr>
          </w:p>
        </w:tc>
        <w:tc>
          <w:tcPr>
            <w:tcW w:w="4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2.38</w:t>
            </w:r>
          </w:p>
        </w:tc>
        <w:tc>
          <w:tcPr>
            <w:tcW w:w="140" w:type="dxa"/>
            <w:vAlign w:val="bottom"/>
            <w:tcBorders>
              <w:bottom w:val="single" w:sz="8" w:color="auto"/>
            </w:tcBorders>
            <w:shd w:val="clear" w:color="auto" w:fill="EAEAEA"/>
          </w:tcPr>
          <w:p>
            <w:pPr>
              <w:spacing w:after="0"/>
              <w:rPr>
                <w:sz w:val="16"/>
                <w:szCs w:val="16"/>
                <w:color w:val="auto"/>
              </w:rPr>
            </w:pPr>
          </w:p>
        </w:tc>
        <w:tc>
          <w:tcPr>
            <w:tcW w:w="5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2.00</w:t>
            </w:r>
          </w:p>
        </w:tc>
        <w:tc>
          <w:tcPr>
            <w:tcW w:w="80" w:type="dxa"/>
            <w:vAlign w:val="bottom"/>
            <w:tcBorders>
              <w:bottom w:val="single" w:sz="8" w:color="auto"/>
            </w:tcBorders>
            <w:shd w:val="clear" w:color="auto" w:fill="EAEAEA"/>
          </w:tcPr>
          <w:p>
            <w:pPr>
              <w:spacing w:after="0"/>
              <w:rPr>
                <w:sz w:val="16"/>
                <w:szCs w:val="16"/>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114.36</w:t>
            </w:r>
          </w:p>
        </w:tc>
        <w:tc>
          <w:tcPr>
            <w:tcW w:w="120" w:type="dxa"/>
            <w:vAlign w:val="bottom"/>
            <w:tcBorders>
              <w:bottom w:val="single" w:sz="8" w:color="auto"/>
            </w:tcBorders>
            <w:shd w:val="clear" w:color="auto" w:fill="EAEAEA"/>
          </w:tcPr>
          <w:p>
            <w:pPr>
              <w:spacing w:after="0"/>
              <w:rPr>
                <w:sz w:val="16"/>
                <w:szCs w:val="16"/>
                <w:color w:val="auto"/>
              </w:rPr>
            </w:pPr>
          </w:p>
        </w:tc>
        <w:tc>
          <w:tcPr>
            <w:tcW w:w="9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1,369,347</w:t>
            </w: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3/13/2019</w:t>
            </w:r>
          </w:p>
        </w:tc>
        <w:tc>
          <w:tcPr>
            <w:tcW w:w="100" w:type="dxa"/>
            <w:vAlign w:val="bottom"/>
            <w:tcBorders>
              <w:bottom w:val="single" w:sz="8" w:color="auto"/>
            </w:tcBorders>
            <w:shd w:val="clear" w:color="auto" w:fill="EAEAEA"/>
          </w:tcPr>
          <w:p>
            <w:pPr>
              <w:spacing w:after="0"/>
              <w:rPr>
                <w:sz w:val="16"/>
                <w:szCs w:val="16"/>
                <w:color w:val="auto"/>
              </w:rPr>
            </w:pPr>
          </w:p>
        </w:tc>
        <w:tc>
          <w:tcPr>
            <w:tcW w:w="116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5,987***</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AEAEA"/>
          </w:tcPr>
          <w:p>
            <w:pPr>
              <w:spacing w:after="0"/>
              <w:rPr>
                <w:sz w:val="16"/>
                <w:szCs w:val="16"/>
                <w:color w:val="auto"/>
              </w:rPr>
            </w:pPr>
          </w:p>
        </w:tc>
        <w:tc>
          <w:tcPr>
            <w:tcW w:w="4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2.42</w:t>
            </w:r>
          </w:p>
        </w:tc>
        <w:tc>
          <w:tcPr>
            <w:tcW w:w="140" w:type="dxa"/>
            <w:vAlign w:val="bottom"/>
            <w:tcBorders>
              <w:bottom w:val="single" w:sz="8" w:color="auto"/>
            </w:tcBorders>
            <w:shd w:val="clear" w:color="auto" w:fill="EAEAEA"/>
          </w:tcPr>
          <w:p>
            <w:pPr>
              <w:spacing w:after="0"/>
              <w:rPr>
                <w:sz w:val="16"/>
                <w:szCs w:val="16"/>
                <w:color w:val="auto"/>
              </w:rPr>
            </w:pPr>
          </w:p>
        </w:tc>
        <w:tc>
          <w:tcPr>
            <w:tcW w:w="5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2.00</w:t>
            </w:r>
          </w:p>
        </w:tc>
        <w:tc>
          <w:tcPr>
            <w:tcW w:w="80" w:type="dxa"/>
            <w:vAlign w:val="bottom"/>
            <w:tcBorders>
              <w:bottom w:val="single" w:sz="8" w:color="auto"/>
            </w:tcBorders>
            <w:shd w:val="clear" w:color="auto" w:fill="EAEAEA"/>
          </w:tcPr>
          <w:p>
            <w:pPr>
              <w:spacing w:after="0"/>
              <w:rPr>
                <w:sz w:val="16"/>
                <w:szCs w:val="16"/>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92.00</w:t>
            </w:r>
          </w:p>
        </w:tc>
        <w:tc>
          <w:tcPr>
            <w:tcW w:w="120" w:type="dxa"/>
            <w:vAlign w:val="bottom"/>
            <w:tcBorders>
              <w:bottom w:val="single" w:sz="8" w:color="auto"/>
            </w:tcBorders>
            <w:shd w:val="clear" w:color="auto" w:fill="EAEAEA"/>
          </w:tcPr>
          <w:p>
            <w:pPr>
              <w:spacing w:after="0"/>
              <w:rPr>
                <w:sz w:val="16"/>
                <w:szCs w:val="16"/>
                <w:color w:val="auto"/>
              </w:rPr>
            </w:pPr>
          </w:p>
        </w:tc>
        <w:tc>
          <w:tcPr>
            <w:tcW w:w="9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1,219,552</w:t>
            </w: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60" w:type="dxa"/>
            <w:vAlign w:val="bottom"/>
            <w:vMerge w:val="restart"/>
          </w:tcPr>
          <w:p>
            <w:pPr>
              <w:ind w:left="60"/>
              <w:spacing w:after="0"/>
              <w:rPr>
                <w:sz w:val="20"/>
                <w:szCs w:val="20"/>
                <w:color w:val="auto"/>
              </w:rPr>
            </w:pPr>
            <w:r>
              <w:rPr>
                <w:rFonts w:ascii="Arial" w:cs="Arial" w:eastAsia="Arial" w:hAnsi="Arial"/>
                <w:sz w:val="16"/>
                <w:szCs w:val="16"/>
                <w:b w:val="1"/>
                <w:bCs w:val="1"/>
                <w:color w:val="0066BA"/>
              </w:rPr>
              <w:t>Prashanth</w:t>
            </w:r>
          </w:p>
        </w:tc>
        <w:tc>
          <w:tcPr>
            <w:tcW w:w="120" w:type="dxa"/>
            <w:vAlign w:val="bottom"/>
            <w:tcBorders>
              <w:bottom w:val="single" w:sz="8" w:color="auto"/>
            </w:tcBorders>
            <w:shd w:val="clear" w:color="auto" w:fill="EAEAEA"/>
          </w:tcPr>
          <w:p>
            <w:pPr>
              <w:spacing w:after="0"/>
              <w:rPr>
                <w:sz w:val="16"/>
                <w:szCs w:val="16"/>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3/13/2019</w:t>
            </w:r>
          </w:p>
        </w:tc>
        <w:tc>
          <w:tcPr>
            <w:tcW w:w="100" w:type="dxa"/>
            <w:vAlign w:val="bottom"/>
            <w:tcBorders>
              <w:bottom w:val="single" w:sz="8" w:color="auto"/>
            </w:tcBorders>
            <w:shd w:val="clear" w:color="auto" w:fill="EAEAEA"/>
          </w:tcPr>
          <w:p>
            <w:pPr>
              <w:spacing w:after="0"/>
              <w:rPr>
                <w:sz w:val="16"/>
                <w:szCs w:val="16"/>
                <w:color w:val="auto"/>
              </w:rPr>
            </w:pPr>
          </w:p>
        </w:tc>
        <w:tc>
          <w:tcPr>
            <w:tcW w:w="1160" w:type="dxa"/>
            <w:vAlign w:val="bottom"/>
            <w:tcBorders>
              <w:bottom w:val="single" w:sz="8" w:color="auto"/>
            </w:tcBorders>
          </w:tcPr>
          <w:p>
            <w:pPr>
              <w:jc w:val="right"/>
              <w:ind w:right="344"/>
              <w:spacing w:after="0"/>
              <w:rPr>
                <w:sz w:val="20"/>
                <w:szCs w:val="20"/>
                <w:color w:val="auto"/>
              </w:rPr>
            </w:pPr>
            <w:r>
              <w:rPr>
                <w:rFonts w:ascii="Arial" w:cs="Arial" w:eastAsia="Arial" w:hAnsi="Arial"/>
                <w:sz w:val="16"/>
                <w:szCs w:val="16"/>
                <w:color w:val="auto"/>
              </w:rPr>
              <w:t>26,513</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3"/>
              </w:rPr>
              <w:t>108.08</w:t>
            </w:r>
          </w:p>
        </w:tc>
        <w:tc>
          <w:tcPr>
            <w:tcW w:w="10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26.32</w:t>
            </w:r>
          </w:p>
        </w:tc>
        <w:tc>
          <w:tcPr>
            <w:tcW w:w="180" w:type="dxa"/>
            <w:vAlign w:val="bottom"/>
            <w:tcBorders>
              <w:bottom w:val="single" w:sz="8" w:color="auto"/>
            </w:tcBorders>
            <w:shd w:val="clear" w:color="auto" w:fill="EAEAEA"/>
          </w:tcPr>
          <w:p>
            <w:pPr>
              <w:spacing w:after="0"/>
              <w:rPr>
                <w:sz w:val="16"/>
                <w:szCs w:val="16"/>
                <w:color w:val="auto"/>
              </w:rPr>
            </w:pPr>
          </w:p>
        </w:tc>
        <w:tc>
          <w:tcPr>
            <w:tcW w:w="4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5.0</w:t>
            </w:r>
          </w:p>
        </w:tc>
        <w:tc>
          <w:tcPr>
            <w:tcW w:w="80" w:type="dxa"/>
            <w:vAlign w:val="bottom"/>
            <w:tcBorders>
              <w:bottom w:val="single" w:sz="8" w:color="auto"/>
            </w:tcBorders>
            <w:shd w:val="clear" w:color="auto" w:fill="EAEAEA"/>
          </w:tcPr>
          <w:p>
            <w:pPr>
              <w:spacing w:after="0"/>
              <w:rPr>
                <w:sz w:val="16"/>
                <w:szCs w:val="16"/>
                <w:color w:val="auto"/>
              </w:rPr>
            </w:pP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2.42</w:t>
            </w:r>
          </w:p>
        </w:tc>
        <w:tc>
          <w:tcPr>
            <w:tcW w:w="140" w:type="dxa"/>
            <w:vAlign w:val="bottom"/>
            <w:tcBorders>
              <w:bottom w:val="single" w:sz="8" w:color="auto"/>
            </w:tcBorders>
            <w:shd w:val="clear" w:color="auto" w:fill="EAEAEA"/>
          </w:tcPr>
          <w:p>
            <w:pPr>
              <w:spacing w:after="0"/>
              <w:rPr>
                <w:sz w:val="16"/>
                <w:szCs w:val="16"/>
                <w:color w:val="auto"/>
              </w:rPr>
            </w:pPr>
          </w:p>
        </w:tc>
        <w:tc>
          <w:tcPr>
            <w:tcW w:w="5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2.00</w:t>
            </w:r>
          </w:p>
        </w:tc>
        <w:tc>
          <w:tcPr>
            <w:tcW w:w="80" w:type="dxa"/>
            <w:vAlign w:val="bottom"/>
            <w:tcBorders>
              <w:bottom w:val="single" w:sz="8" w:color="auto"/>
            </w:tcBorders>
            <w:shd w:val="clear" w:color="auto" w:fill="EAEAEA"/>
          </w:tcPr>
          <w:p>
            <w:pPr>
              <w:spacing w:after="0"/>
              <w:rPr>
                <w:sz w:val="16"/>
                <w:szCs w:val="16"/>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23.43</w:t>
            </w:r>
          </w:p>
        </w:tc>
        <w:tc>
          <w:tcPr>
            <w:tcW w:w="120" w:type="dxa"/>
            <w:vAlign w:val="bottom"/>
            <w:tcBorders>
              <w:bottom w:val="single" w:sz="8" w:color="auto"/>
            </w:tcBorders>
            <w:shd w:val="clear" w:color="auto" w:fill="EAEAEA"/>
          </w:tcPr>
          <w:p>
            <w:pPr>
              <w:spacing w:after="0"/>
              <w:rPr>
                <w:sz w:val="16"/>
                <w:szCs w:val="16"/>
                <w:color w:val="auto"/>
              </w:rPr>
            </w:pPr>
          </w:p>
        </w:tc>
        <w:tc>
          <w:tcPr>
            <w:tcW w:w="94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2460" w:type="dxa"/>
            <w:vAlign w:val="bottom"/>
            <w:vMerge w:val="continue"/>
          </w:tcPr>
          <w:p>
            <w:pPr>
              <w:spacing w:after="0"/>
              <w:rPr>
                <w:sz w:val="6"/>
                <w:szCs w:val="6"/>
                <w:color w:val="auto"/>
              </w:rPr>
            </w:pPr>
          </w:p>
        </w:tc>
        <w:tc>
          <w:tcPr>
            <w:tcW w:w="120" w:type="dxa"/>
            <w:vAlign w:val="bottom"/>
            <w:shd w:val="clear" w:color="auto" w:fill="EAEAEA"/>
          </w:tcPr>
          <w:p>
            <w:pPr>
              <w:spacing w:after="0"/>
              <w:rPr>
                <w:sz w:val="6"/>
                <w:szCs w:val="6"/>
                <w:color w:val="auto"/>
              </w:rPr>
            </w:pPr>
          </w:p>
        </w:tc>
        <w:tc>
          <w:tcPr>
            <w:tcW w:w="80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3/11/2020</w:t>
            </w:r>
          </w:p>
        </w:tc>
        <w:tc>
          <w:tcPr>
            <w:tcW w:w="100" w:type="dxa"/>
            <w:vAlign w:val="bottom"/>
            <w:shd w:val="clear" w:color="auto" w:fill="EAEAEA"/>
          </w:tcPr>
          <w:p>
            <w:pPr>
              <w:spacing w:after="0"/>
              <w:rPr>
                <w:sz w:val="6"/>
                <w:szCs w:val="6"/>
                <w:color w:val="auto"/>
              </w:rPr>
            </w:pPr>
          </w:p>
        </w:tc>
        <w:tc>
          <w:tcPr>
            <w:tcW w:w="1160" w:type="dxa"/>
            <w:vAlign w:val="bottom"/>
            <w:vMerge w:val="restart"/>
          </w:tcPr>
          <w:p>
            <w:pPr>
              <w:jc w:val="right"/>
              <w:ind w:right="264"/>
              <w:spacing w:after="0"/>
              <w:rPr>
                <w:sz w:val="20"/>
                <w:szCs w:val="20"/>
                <w:color w:val="auto"/>
              </w:rPr>
            </w:pPr>
            <w:r>
              <w:rPr>
                <w:rFonts w:ascii="Arial" w:cs="Arial" w:eastAsia="Arial" w:hAnsi="Arial"/>
                <w:sz w:val="16"/>
                <w:szCs w:val="16"/>
                <w:color w:val="auto"/>
              </w:rPr>
              <w:t>7,116*</w:t>
            </w:r>
          </w:p>
        </w:tc>
        <w:tc>
          <w:tcPr>
            <w:tcW w:w="120" w:type="dxa"/>
            <w:vAlign w:val="bottom"/>
            <w:shd w:val="clear" w:color="auto" w:fill="EAEAEA"/>
          </w:tcPr>
          <w:p>
            <w:pPr>
              <w:spacing w:after="0"/>
              <w:rPr>
                <w:sz w:val="6"/>
                <w:szCs w:val="6"/>
                <w:color w:val="auto"/>
              </w:rPr>
            </w:pPr>
          </w:p>
        </w:tc>
        <w:tc>
          <w:tcPr>
            <w:tcW w:w="48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AEAEA"/>
          </w:tcPr>
          <w:p>
            <w:pPr>
              <w:spacing w:after="0"/>
              <w:rPr>
                <w:sz w:val="6"/>
                <w:szCs w:val="6"/>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6"/>
                <w:szCs w:val="16"/>
                <w:color w:val="auto"/>
              </w:rPr>
              <w:t>—</w:t>
            </w:r>
          </w:p>
        </w:tc>
        <w:tc>
          <w:tcPr>
            <w:tcW w:w="180" w:type="dxa"/>
            <w:vAlign w:val="bottom"/>
            <w:shd w:val="clear" w:color="auto" w:fill="EAEAEA"/>
          </w:tcPr>
          <w:p>
            <w:pPr>
              <w:spacing w:after="0"/>
              <w:rPr>
                <w:sz w:val="6"/>
                <w:szCs w:val="6"/>
                <w:color w:val="auto"/>
              </w:rPr>
            </w:pPr>
          </w:p>
        </w:tc>
        <w:tc>
          <w:tcPr>
            <w:tcW w:w="46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6"/>
                <w:szCs w:val="6"/>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6"/>
                <w:szCs w:val="16"/>
                <w:color w:val="auto"/>
              </w:rPr>
              <w:t>0.66</w:t>
            </w:r>
          </w:p>
        </w:tc>
        <w:tc>
          <w:tcPr>
            <w:tcW w:w="140" w:type="dxa"/>
            <w:vAlign w:val="bottom"/>
            <w:shd w:val="clear" w:color="auto" w:fill="EAEAEA"/>
          </w:tcPr>
          <w:p>
            <w:pPr>
              <w:spacing w:after="0"/>
              <w:rPr>
                <w:sz w:val="6"/>
                <w:szCs w:val="6"/>
                <w:color w:val="auto"/>
              </w:rPr>
            </w:pPr>
          </w:p>
        </w:tc>
        <w:tc>
          <w:tcPr>
            <w:tcW w:w="52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2.63</w:t>
            </w:r>
          </w:p>
        </w:tc>
        <w:tc>
          <w:tcPr>
            <w:tcW w:w="80" w:type="dxa"/>
            <w:vAlign w:val="bottom"/>
            <w:shd w:val="clear" w:color="auto" w:fill="EAEAEA"/>
          </w:tcPr>
          <w:p>
            <w:pPr>
              <w:spacing w:after="0"/>
              <w:rPr>
                <w:sz w:val="6"/>
                <w:szCs w:val="6"/>
                <w:color w:val="auto"/>
              </w:rPr>
            </w:pPr>
          </w:p>
        </w:tc>
        <w:tc>
          <w:tcPr>
            <w:tcW w:w="880" w:type="dxa"/>
            <w:vAlign w:val="bottom"/>
            <w:vMerge w:val="restart"/>
          </w:tcPr>
          <w:p>
            <w:pPr>
              <w:jc w:val="right"/>
              <w:ind w:right="4"/>
              <w:spacing w:after="0"/>
              <w:rPr>
                <w:sz w:val="20"/>
                <w:szCs w:val="20"/>
                <w:color w:val="auto"/>
              </w:rPr>
            </w:pPr>
            <w:r>
              <w:rPr>
                <w:rFonts w:ascii="Arial" w:cs="Arial" w:eastAsia="Arial" w:hAnsi="Arial"/>
                <w:sz w:val="16"/>
                <w:szCs w:val="16"/>
                <w:color w:val="auto"/>
              </w:rPr>
              <w:t>88.28</w:t>
            </w:r>
          </w:p>
        </w:tc>
        <w:tc>
          <w:tcPr>
            <w:tcW w:w="120" w:type="dxa"/>
            <w:vAlign w:val="bottom"/>
            <w:shd w:val="clear" w:color="auto" w:fill="EAEAEA"/>
          </w:tcPr>
          <w:p>
            <w:pPr>
              <w:spacing w:after="0"/>
              <w:rPr>
                <w:sz w:val="6"/>
                <w:szCs w:val="6"/>
                <w:color w:val="auto"/>
              </w:rPr>
            </w:pPr>
          </w:p>
        </w:tc>
        <w:tc>
          <w:tcPr>
            <w:tcW w:w="940" w:type="dxa"/>
            <w:vAlign w:val="bottom"/>
            <w:shd w:val="clear" w:color="auto" w:fill="EAEAEA"/>
          </w:tcPr>
          <w:p>
            <w:pPr>
              <w:spacing w:after="0"/>
              <w:rPr>
                <w:sz w:val="6"/>
                <w:szCs w:val="6"/>
                <w:color w:val="auto"/>
              </w:rPr>
            </w:pPr>
          </w:p>
        </w:tc>
        <w:tc>
          <w:tcPr>
            <w:tcW w:w="80" w:type="dxa"/>
            <w:vAlign w:val="bottom"/>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460" w:type="dxa"/>
            <w:vAlign w:val="bottom"/>
            <w:vMerge w:val="restart"/>
          </w:tcPr>
          <w:p>
            <w:pPr>
              <w:ind w:left="60"/>
              <w:spacing w:after="0"/>
              <w:rPr>
                <w:sz w:val="20"/>
                <w:szCs w:val="20"/>
                <w:color w:val="auto"/>
              </w:rPr>
            </w:pPr>
            <w:r>
              <w:rPr>
                <w:rFonts w:ascii="Arial" w:cs="Arial" w:eastAsia="Arial" w:hAnsi="Arial"/>
                <w:sz w:val="16"/>
                <w:szCs w:val="16"/>
                <w:b w:val="1"/>
                <w:bCs w:val="1"/>
                <w:color w:val="0066BA"/>
              </w:rPr>
              <w:t>Mahendra-</w:t>
            </w:r>
          </w:p>
        </w:tc>
        <w:tc>
          <w:tcPr>
            <w:tcW w:w="120" w:type="dxa"/>
            <w:vAlign w:val="bottom"/>
            <w:tcBorders>
              <w:bottom w:val="single" w:sz="8" w:color="auto"/>
            </w:tcBorders>
            <w:shd w:val="clear" w:color="auto" w:fill="EAEAEA"/>
          </w:tcPr>
          <w:p>
            <w:pPr>
              <w:spacing w:after="0"/>
              <w:rPr>
                <w:sz w:val="10"/>
                <w:szCs w:val="10"/>
                <w:color w:val="auto"/>
              </w:rPr>
            </w:pPr>
          </w:p>
        </w:tc>
        <w:tc>
          <w:tcPr>
            <w:tcW w:w="800" w:type="dxa"/>
            <w:vAlign w:val="bottom"/>
            <w:tcBorders>
              <w:bottom w:val="single" w:sz="8" w:color="auto"/>
            </w:tcBorders>
            <w:vMerge w:val="continue"/>
            <w:shd w:val="clear" w:color="auto" w:fill="EAEAEA"/>
          </w:tcPr>
          <w:p>
            <w:pPr>
              <w:spacing w:after="0"/>
              <w:rPr>
                <w:sz w:val="10"/>
                <w:szCs w:val="10"/>
                <w:color w:val="auto"/>
              </w:rPr>
            </w:pPr>
          </w:p>
        </w:tc>
        <w:tc>
          <w:tcPr>
            <w:tcW w:w="100" w:type="dxa"/>
            <w:vAlign w:val="bottom"/>
            <w:tcBorders>
              <w:bottom w:val="single" w:sz="8" w:color="auto"/>
            </w:tcBorders>
            <w:shd w:val="clear" w:color="auto" w:fill="EAEAEA"/>
          </w:tcPr>
          <w:p>
            <w:pPr>
              <w:spacing w:after="0"/>
              <w:rPr>
                <w:sz w:val="10"/>
                <w:szCs w:val="10"/>
                <w:color w:val="auto"/>
              </w:rPr>
            </w:pPr>
          </w:p>
        </w:tc>
        <w:tc>
          <w:tcPr>
            <w:tcW w:w="116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auto"/>
            </w:tcBorders>
            <w:shd w:val="clear" w:color="auto" w:fill="EAEAEA"/>
          </w:tcPr>
          <w:p>
            <w:pPr>
              <w:spacing w:after="0"/>
              <w:rPr>
                <w:sz w:val="10"/>
                <w:szCs w:val="10"/>
                <w:color w:val="auto"/>
              </w:rPr>
            </w:pPr>
          </w:p>
        </w:tc>
        <w:tc>
          <w:tcPr>
            <w:tcW w:w="480" w:type="dxa"/>
            <w:vAlign w:val="bottom"/>
            <w:tcBorders>
              <w:bottom w:val="single" w:sz="8" w:color="auto"/>
            </w:tcBorders>
            <w:vMerge w:val="continue"/>
            <w:shd w:val="clear" w:color="auto" w:fill="EAEAEA"/>
          </w:tcPr>
          <w:p>
            <w:pPr>
              <w:spacing w:after="0"/>
              <w:rPr>
                <w:sz w:val="10"/>
                <w:szCs w:val="10"/>
                <w:color w:val="auto"/>
              </w:rPr>
            </w:pPr>
          </w:p>
        </w:tc>
        <w:tc>
          <w:tcPr>
            <w:tcW w:w="100" w:type="dxa"/>
            <w:vAlign w:val="bottom"/>
            <w:tcBorders>
              <w:bottom w:val="single" w:sz="8" w:color="auto"/>
            </w:tcBorders>
            <w:shd w:val="clear" w:color="auto" w:fill="EAEAEA"/>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180" w:type="dxa"/>
            <w:vAlign w:val="bottom"/>
            <w:tcBorders>
              <w:bottom w:val="single" w:sz="8" w:color="auto"/>
            </w:tcBorders>
            <w:shd w:val="clear" w:color="auto" w:fill="EAEAEA"/>
          </w:tcPr>
          <w:p>
            <w:pPr>
              <w:spacing w:after="0"/>
              <w:rPr>
                <w:sz w:val="10"/>
                <w:szCs w:val="10"/>
                <w:color w:val="auto"/>
              </w:rPr>
            </w:pPr>
          </w:p>
        </w:tc>
        <w:tc>
          <w:tcPr>
            <w:tcW w:w="460" w:type="dxa"/>
            <w:vAlign w:val="bottom"/>
            <w:tcBorders>
              <w:bottom w:val="single" w:sz="8" w:color="auto"/>
            </w:tcBorders>
            <w:vMerge w:val="continue"/>
            <w:shd w:val="clear" w:color="auto" w:fill="EAEAEA"/>
          </w:tcPr>
          <w:p>
            <w:pPr>
              <w:spacing w:after="0"/>
              <w:rPr>
                <w:sz w:val="10"/>
                <w:szCs w:val="10"/>
                <w:color w:val="auto"/>
              </w:rPr>
            </w:pPr>
          </w:p>
        </w:tc>
        <w:tc>
          <w:tcPr>
            <w:tcW w:w="80" w:type="dxa"/>
            <w:vAlign w:val="bottom"/>
            <w:tcBorders>
              <w:bottom w:val="single" w:sz="8" w:color="auto"/>
            </w:tcBorders>
            <w:shd w:val="clear" w:color="auto" w:fill="EAEAEA"/>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auto"/>
            </w:tcBorders>
            <w:shd w:val="clear" w:color="auto" w:fill="EAEAEA"/>
          </w:tcPr>
          <w:p>
            <w:pPr>
              <w:spacing w:after="0"/>
              <w:rPr>
                <w:sz w:val="10"/>
                <w:szCs w:val="10"/>
                <w:color w:val="auto"/>
              </w:rPr>
            </w:pPr>
          </w:p>
        </w:tc>
        <w:tc>
          <w:tcPr>
            <w:tcW w:w="520" w:type="dxa"/>
            <w:vAlign w:val="bottom"/>
            <w:tcBorders>
              <w:bottom w:val="single" w:sz="8" w:color="auto"/>
            </w:tcBorders>
            <w:vMerge w:val="continue"/>
            <w:shd w:val="clear" w:color="auto" w:fill="EAEAEA"/>
          </w:tcPr>
          <w:p>
            <w:pPr>
              <w:spacing w:after="0"/>
              <w:rPr>
                <w:sz w:val="10"/>
                <w:szCs w:val="10"/>
                <w:color w:val="auto"/>
              </w:rPr>
            </w:pPr>
          </w:p>
        </w:tc>
        <w:tc>
          <w:tcPr>
            <w:tcW w:w="80" w:type="dxa"/>
            <w:vAlign w:val="bottom"/>
            <w:tcBorders>
              <w:bottom w:val="single" w:sz="8" w:color="auto"/>
            </w:tcBorders>
            <w:shd w:val="clear" w:color="auto" w:fill="EAEAEA"/>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auto"/>
            </w:tcBorders>
            <w:shd w:val="clear" w:color="auto" w:fill="EAEAEA"/>
          </w:tcPr>
          <w:p>
            <w:pPr>
              <w:spacing w:after="0"/>
              <w:rPr>
                <w:sz w:val="10"/>
                <w:szCs w:val="10"/>
                <w:color w:val="auto"/>
              </w:rPr>
            </w:pPr>
          </w:p>
        </w:tc>
        <w:tc>
          <w:tcPr>
            <w:tcW w:w="940" w:type="dxa"/>
            <w:vAlign w:val="bottom"/>
            <w:tcBorders>
              <w:bottom w:val="single" w:sz="8" w:color="auto"/>
            </w:tcBorders>
            <w:shd w:val="clear" w:color="auto" w:fill="EAEAEA"/>
          </w:tcPr>
          <w:p>
            <w:pPr>
              <w:spacing w:after="0"/>
              <w:rPr>
                <w:sz w:val="10"/>
                <w:szCs w:val="10"/>
                <w:color w:val="auto"/>
              </w:rPr>
            </w:pPr>
          </w:p>
        </w:tc>
        <w:tc>
          <w:tcPr>
            <w:tcW w:w="80" w:type="dxa"/>
            <w:vAlign w:val="bottom"/>
            <w:tcBorders>
              <w:bottom w:val="single" w:sz="8" w:color="auto"/>
            </w:tcBorders>
            <w:shd w:val="clear" w:color="auto" w:fill="EAEAEA"/>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460" w:type="dxa"/>
            <w:vAlign w:val="bottom"/>
            <w:vMerge w:val="continue"/>
          </w:tcPr>
          <w:p>
            <w:pPr>
              <w:spacing w:after="0"/>
              <w:rPr>
                <w:sz w:val="4"/>
                <w:szCs w:val="4"/>
                <w:color w:val="auto"/>
              </w:rPr>
            </w:pPr>
          </w:p>
        </w:tc>
        <w:tc>
          <w:tcPr>
            <w:tcW w:w="120" w:type="dxa"/>
            <w:vAlign w:val="bottom"/>
            <w:shd w:val="clear" w:color="auto" w:fill="EAEAEA"/>
          </w:tcPr>
          <w:p>
            <w:pPr>
              <w:spacing w:after="0"/>
              <w:rPr>
                <w:sz w:val="4"/>
                <w:szCs w:val="4"/>
                <w:color w:val="auto"/>
              </w:rPr>
            </w:pPr>
          </w:p>
        </w:tc>
        <w:tc>
          <w:tcPr>
            <w:tcW w:w="80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3/11/2020</w:t>
            </w:r>
          </w:p>
        </w:tc>
        <w:tc>
          <w:tcPr>
            <w:tcW w:w="100" w:type="dxa"/>
            <w:vAlign w:val="bottom"/>
            <w:shd w:val="clear" w:color="auto" w:fill="EAEAEA"/>
          </w:tcPr>
          <w:p>
            <w:pPr>
              <w:spacing w:after="0"/>
              <w:rPr>
                <w:sz w:val="4"/>
                <w:szCs w:val="4"/>
                <w:color w:val="auto"/>
              </w:rPr>
            </w:pPr>
          </w:p>
        </w:tc>
        <w:tc>
          <w:tcPr>
            <w:tcW w:w="1160" w:type="dxa"/>
            <w:vAlign w:val="bottom"/>
            <w:vMerge w:val="restart"/>
          </w:tcPr>
          <w:p>
            <w:pPr>
              <w:jc w:val="right"/>
              <w:ind w:right="204"/>
              <w:spacing w:after="0"/>
              <w:rPr>
                <w:sz w:val="20"/>
                <w:szCs w:val="20"/>
                <w:color w:val="auto"/>
              </w:rPr>
            </w:pPr>
            <w:r>
              <w:rPr>
                <w:rFonts w:ascii="Arial" w:cs="Arial" w:eastAsia="Arial" w:hAnsi="Arial"/>
                <w:sz w:val="16"/>
                <w:szCs w:val="16"/>
                <w:color w:val="auto"/>
              </w:rPr>
              <w:t>7,116**</w:t>
            </w:r>
          </w:p>
        </w:tc>
        <w:tc>
          <w:tcPr>
            <w:tcW w:w="120" w:type="dxa"/>
            <w:vAlign w:val="bottom"/>
            <w:shd w:val="clear" w:color="auto" w:fill="EAEAEA"/>
          </w:tcPr>
          <w:p>
            <w:pPr>
              <w:spacing w:after="0"/>
              <w:rPr>
                <w:sz w:val="4"/>
                <w:szCs w:val="4"/>
                <w:color w:val="auto"/>
              </w:rPr>
            </w:pPr>
          </w:p>
        </w:tc>
        <w:tc>
          <w:tcPr>
            <w:tcW w:w="48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AEAEA"/>
          </w:tcPr>
          <w:p>
            <w:pPr>
              <w:spacing w:after="0"/>
              <w:rPr>
                <w:sz w:val="4"/>
                <w:szCs w:val="4"/>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6"/>
                <w:szCs w:val="16"/>
                <w:color w:val="auto"/>
              </w:rPr>
              <w:t>27.99</w:t>
            </w:r>
          </w:p>
        </w:tc>
        <w:tc>
          <w:tcPr>
            <w:tcW w:w="180" w:type="dxa"/>
            <w:vAlign w:val="bottom"/>
            <w:shd w:val="clear" w:color="auto" w:fill="EAEAEA"/>
          </w:tcPr>
          <w:p>
            <w:pPr>
              <w:spacing w:after="0"/>
              <w:rPr>
                <w:sz w:val="4"/>
                <w:szCs w:val="4"/>
                <w:color w:val="auto"/>
              </w:rPr>
            </w:pPr>
          </w:p>
        </w:tc>
        <w:tc>
          <w:tcPr>
            <w:tcW w:w="46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4"/>
                <w:szCs w:val="4"/>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6"/>
                <w:szCs w:val="16"/>
                <w:color w:val="auto"/>
              </w:rPr>
              <w:t>0.58</w:t>
            </w:r>
          </w:p>
        </w:tc>
        <w:tc>
          <w:tcPr>
            <w:tcW w:w="140" w:type="dxa"/>
            <w:vAlign w:val="bottom"/>
            <w:shd w:val="clear" w:color="auto" w:fill="EAEAEA"/>
          </w:tcPr>
          <w:p>
            <w:pPr>
              <w:spacing w:after="0"/>
              <w:rPr>
                <w:sz w:val="4"/>
                <w:szCs w:val="4"/>
                <w:color w:val="auto"/>
              </w:rPr>
            </w:pPr>
          </w:p>
        </w:tc>
        <w:tc>
          <w:tcPr>
            <w:tcW w:w="52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2.59</w:t>
            </w:r>
          </w:p>
        </w:tc>
        <w:tc>
          <w:tcPr>
            <w:tcW w:w="80" w:type="dxa"/>
            <w:vAlign w:val="bottom"/>
            <w:shd w:val="clear" w:color="auto" w:fill="EAEAEA"/>
          </w:tcPr>
          <w:p>
            <w:pPr>
              <w:spacing w:after="0"/>
              <w:rPr>
                <w:sz w:val="4"/>
                <w:szCs w:val="4"/>
                <w:color w:val="auto"/>
              </w:rPr>
            </w:pPr>
          </w:p>
        </w:tc>
        <w:tc>
          <w:tcPr>
            <w:tcW w:w="880" w:type="dxa"/>
            <w:vAlign w:val="bottom"/>
            <w:vMerge w:val="restart"/>
          </w:tcPr>
          <w:p>
            <w:pPr>
              <w:jc w:val="right"/>
              <w:ind w:right="4"/>
              <w:spacing w:after="0"/>
              <w:rPr>
                <w:sz w:val="20"/>
                <w:szCs w:val="20"/>
                <w:color w:val="auto"/>
              </w:rPr>
            </w:pPr>
            <w:r>
              <w:rPr>
                <w:rFonts w:ascii="Arial" w:cs="Arial" w:eastAsia="Arial" w:hAnsi="Arial"/>
                <w:sz w:val="16"/>
                <w:szCs w:val="16"/>
                <w:color w:val="auto"/>
              </w:rPr>
              <w:t>97.71</w:t>
            </w:r>
          </w:p>
        </w:tc>
        <w:tc>
          <w:tcPr>
            <w:tcW w:w="120" w:type="dxa"/>
            <w:vAlign w:val="bottom"/>
            <w:shd w:val="clear" w:color="auto" w:fill="EAEAEA"/>
          </w:tcPr>
          <w:p>
            <w:pPr>
              <w:spacing w:after="0"/>
              <w:rPr>
                <w:sz w:val="4"/>
                <w:szCs w:val="4"/>
                <w:color w:val="auto"/>
              </w:rPr>
            </w:pPr>
          </w:p>
        </w:tc>
        <w:tc>
          <w:tcPr>
            <w:tcW w:w="94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1,390,609</w:t>
            </w:r>
          </w:p>
        </w:tc>
        <w:tc>
          <w:tcPr>
            <w:tcW w:w="80" w:type="dxa"/>
            <w:vAlign w:val="bottom"/>
            <w:shd w:val="clear" w:color="auto" w:fill="EAEAEA"/>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2460" w:type="dxa"/>
            <w:vAlign w:val="bottom"/>
            <w:vMerge w:val="restart"/>
          </w:tcPr>
          <w:p>
            <w:pPr>
              <w:ind w:left="60"/>
              <w:spacing w:after="0"/>
              <w:rPr>
                <w:sz w:val="20"/>
                <w:szCs w:val="20"/>
                <w:color w:val="auto"/>
              </w:rPr>
            </w:pPr>
            <w:r>
              <w:rPr>
                <w:rFonts w:ascii="Arial" w:cs="Arial" w:eastAsia="Arial" w:hAnsi="Arial"/>
                <w:sz w:val="16"/>
                <w:szCs w:val="16"/>
                <w:b w:val="1"/>
                <w:bCs w:val="1"/>
                <w:color w:val="0066BA"/>
              </w:rPr>
              <w:t>Rajah</w:t>
            </w:r>
          </w:p>
        </w:tc>
        <w:tc>
          <w:tcPr>
            <w:tcW w:w="120" w:type="dxa"/>
            <w:vAlign w:val="bottom"/>
            <w:tcBorders>
              <w:bottom w:val="single" w:sz="8" w:color="auto"/>
            </w:tcBorders>
            <w:shd w:val="clear" w:color="auto" w:fill="EAEAEA"/>
          </w:tcPr>
          <w:p>
            <w:pPr>
              <w:spacing w:after="0"/>
              <w:rPr>
                <w:sz w:val="11"/>
                <w:szCs w:val="11"/>
                <w:color w:val="auto"/>
              </w:rPr>
            </w:pPr>
          </w:p>
        </w:tc>
        <w:tc>
          <w:tcPr>
            <w:tcW w:w="800" w:type="dxa"/>
            <w:vAlign w:val="bottom"/>
            <w:tcBorders>
              <w:bottom w:val="single" w:sz="8" w:color="auto"/>
            </w:tcBorders>
            <w:vMerge w:val="continue"/>
            <w:shd w:val="clear" w:color="auto" w:fill="EAEAEA"/>
          </w:tcPr>
          <w:p>
            <w:pPr>
              <w:spacing w:after="0"/>
              <w:rPr>
                <w:sz w:val="11"/>
                <w:szCs w:val="11"/>
                <w:color w:val="auto"/>
              </w:rPr>
            </w:pPr>
          </w:p>
        </w:tc>
        <w:tc>
          <w:tcPr>
            <w:tcW w:w="100" w:type="dxa"/>
            <w:vAlign w:val="bottom"/>
            <w:tcBorders>
              <w:bottom w:val="single" w:sz="8" w:color="auto"/>
            </w:tcBorders>
            <w:shd w:val="clear" w:color="auto" w:fill="EAEAEA"/>
          </w:tcPr>
          <w:p>
            <w:pPr>
              <w:spacing w:after="0"/>
              <w:rPr>
                <w:sz w:val="11"/>
                <w:szCs w:val="11"/>
                <w:color w:val="auto"/>
              </w:rPr>
            </w:pPr>
          </w:p>
        </w:tc>
        <w:tc>
          <w:tcPr>
            <w:tcW w:w="116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shd w:val="clear" w:color="auto" w:fill="EAEAEA"/>
          </w:tcPr>
          <w:p>
            <w:pPr>
              <w:spacing w:after="0"/>
              <w:rPr>
                <w:sz w:val="11"/>
                <w:szCs w:val="11"/>
                <w:color w:val="auto"/>
              </w:rPr>
            </w:pPr>
          </w:p>
        </w:tc>
        <w:tc>
          <w:tcPr>
            <w:tcW w:w="480" w:type="dxa"/>
            <w:vAlign w:val="bottom"/>
            <w:tcBorders>
              <w:bottom w:val="single" w:sz="8" w:color="auto"/>
            </w:tcBorders>
            <w:vMerge w:val="continue"/>
            <w:shd w:val="clear" w:color="auto" w:fill="EAEAEA"/>
          </w:tcPr>
          <w:p>
            <w:pPr>
              <w:spacing w:after="0"/>
              <w:rPr>
                <w:sz w:val="11"/>
                <w:szCs w:val="11"/>
                <w:color w:val="auto"/>
              </w:rPr>
            </w:pPr>
          </w:p>
        </w:tc>
        <w:tc>
          <w:tcPr>
            <w:tcW w:w="100" w:type="dxa"/>
            <w:vAlign w:val="bottom"/>
            <w:tcBorders>
              <w:bottom w:val="single" w:sz="8" w:color="auto"/>
            </w:tcBorders>
            <w:shd w:val="clear" w:color="auto" w:fill="EAEAEA"/>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auto"/>
            </w:tcBorders>
            <w:shd w:val="clear" w:color="auto" w:fill="EAEAEA"/>
          </w:tcPr>
          <w:p>
            <w:pPr>
              <w:spacing w:after="0"/>
              <w:rPr>
                <w:sz w:val="11"/>
                <w:szCs w:val="11"/>
                <w:color w:val="auto"/>
              </w:rPr>
            </w:pPr>
          </w:p>
        </w:tc>
        <w:tc>
          <w:tcPr>
            <w:tcW w:w="460" w:type="dxa"/>
            <w:vAlign w:val="bottom"/>
            <w:tcBorders>
              <w:bottom w:val="single" w:sz="8" w:color="auto"/>
            </w:tcBorders>
            <w:vMerge w:val="continue"/>
            <w:shd w:val="clear" w:color="auto" w:fill="EAEAEA"/>
          </w:tcPr>
          <w:p>
            <w:pPr>
              <w:spacing w:after="0"/>
              <w:rPr>
                <w:sz w:val="11"/>
                <w:szCs w:val="11"/>
                <w:color w:val="auto"/>
              </w:rPr>
            </w:pPr>
          </w:p>
        </w:tc>
        <w:tc>
          <w:tcPr>
            <w:tcW w:w="80" w:type="dxa"/>
            <w:vAlign w:val="bottom"/>
            <w:tcBorders>
              <w:bottom w:val="single" w:sz="8" w:color="auto"/>
            </w:tcBorders>
            <w:shd w:val="clear" w:color="auto" w:fill="EAEAEA"/>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tcBorders>
            <w:shd w:val="clear" w:color="auto" w:fill="EAEAEA"/>
          </w:tcPr>
          <w:p>
            <w:pPr>
              <w:spacing w:after="0"/>
              <w:rPr>
                <w:sz w:val="11"/>
                <w:szCs w:val="11"/>
                <w:color w:val="auto"/>
              </w:rPr>
            </w:pPr>
          </w:p>
        </w:tc>
        <w:tc>
          <w:tcPr>
            <w:tcW w:w="520" w:type="dxa"/>
            <w:vAlign w:val="bottom"/>
            <w:tcBorders>
              <w:bottom w:val="single" w:sz="8" w:color="auto"/>
            </w:tcBorders>
            <w:vMerge w:val="continue"/>
            <w:shd w:val="clear" w:color="auto" w:fill="EAEAEA"/>
          </w:tcPr>
          <w:p>
            <w:pPr>
              <w:spacing w:after="0"/>
              <w:rPr>
                <w:sz w:val="11"/>
                <w:szCs w:val="11"/>
                <w:color w:val="auto"/>
              </w:rPr>
            </w:pPr>
          </w:p>
        </w:tc>
        <w:tc>
          <w:tcPr>
            <w:tcW w:w="80" w:type="dxa"/>
            <w:vAlign w:val="bottom"/>
            <w:tcBorders>
              <w:bottom w:val="single" w:sz="8" w:color="auto"/>
            </w:tcBorders>
            <w:shd w:val="clear" w:color="auto" w:fill="EAEAEA"/>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shd w:val="clear" w:color="auto" w:fill="EAEAEA"/>
          </w:tcPr>
          <w:p>
            <w:pPr>
              <w:spacing w:after="0"/>
              <w:rPr>
                <w:sz w:val="11"/>
                <w:szCs w:val="11"/>
                <w:color w:val="auto"/>
              </w:rPr>
            </w:pPr>
          </w:p>
        </w:tc>
        <w:tc>
          <w:tcPr>
            <w:tcW w:w="940" w:type="dxa"/>
            <w:vAlign w:val="bottom"/>
            <w:tcBorders>
              <w:bottom w:val="single" w:sz="8" w:color="auto"/>
            </w:tcBorders>
            <w:vMerge w:val="continue"/>
            <w:shd w:val="clear" w:color="auto" w:fill="EAEAEA"/>
          </w:tcPr>
          <w:p>
            <w:pPr>
              <w:spacing w:after="0"/>
              <w:rPr>
                <w:sz w:val="11"/>
                <w:szCs w:val="11"/>
                <w:color w:val="auto"/>
              </w:rPr>
            </w:pPr>
          </w:p>
        </w:tc>
        <w:tc>
          <w:tcPr>
            <w:tcW w:w="80" w:type="dxa"/>
            <w:vAlign w:val="bottom"/>
            <w:tcBorders>
              <w:bottom w:val="single" w:sz="8" w:color="auto"/>
            </w:tcBorders>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460" w:type="dxa"/>
            <w:vAlign w:val="bottom"/>
            <w:vMerge w:val="continue"/>
          </w:tcPr>
          <w:p>
            <w:pPr>
              <w:spacing w:after="0"/>
              <w:rPr>
                <w:sz w:val="4"/>
                <w:szCs w:val="4"/>
                <w:color w:val="auto"/>
              </w:rPr>
            </w:pPr>
          </w:p>
        </w:tc>
        <w:tc>
          <w:tcPr>
            <w:tcW w:w="120" w:type="dxa"/>
            <w:vAlign w:val="bottom"/>
            <w:shd w:val="clear" w:color="auto" w:fill="EAEAEA"/>
          </w:tcPr>
          <w:p>
            <w:pPr>
              <w:spacing w:after="0"/>
              <w:rPr>
                <w:sz w:val="4"/>
                <w:szCs w:val="4"/>
                <w:color w:val="auto"/>
              </w:rPr>
            </w:pPr>
          </w:p>
        </w:tc>
        <w:tc>
          <w:tcPr>
            <w:tcW w:w="80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3/11/2020</w:t>
            </w:r>
          </w:p>
        </w:tc>
        <w:tc>
          <w:tcPr>
            <w:tcW w:w="100" w:type="dxa"/>
            <w:vAlign w:val="bottom"/>
            <w:shd w:val="clear" w:color="auto" w:fill="EAEAEA"/>
          </w:tcPr>
          <w:p>
            <w:pPr>
              <w:spacing w:after="0"/>
              <w:rPr>
                <w:sz w:val="4"/>
                <w:szCs w:val="4"/>
                <w:color w:val="auto"/>
              </w:rPr>
            </w:pPr>
          </w:p>
        </w:tc>
        <w:tc>
          <w:tcPr>
            <w:tcW w:w="1160" w:type="dxa"/>
            <w:vAlign w:val="bottom"/>
            <w:vMerge w:val="restart"/>
          </w:tcPr>
          <w:p>
            <w:pPr>
              <w:jc w:val="right"/>
              <w:ind w:right="124"/>
              <w:spacing w:after="0"/>
              <w:rPr>
                <w:sz w:val="20"/>
                <w:szCs w:val="20"/>
                <w:color w:val="auto"/>
              </w:rPr>
            </w:pPr>
            <w:r>
              <w:rPr>
                <w:rFonts w:ascii="Arial" w:cs="Arial" w:eastAsia="Arial" w:hAnsi="Arial"/>
                <w:sz w:val="16"/>
                <w:szCs w:val="16"/>
                <w:color w:val="auto"/>
              </w:rPr>
              <w:t>7,116***</w:t>
            </w:r>
          </w:p>
        </w:tc>
        <w:tc>
          <w:tcPr>
            <w:tcW w:w="120" w:type="dxa"/>
            <w:vAlign w:val="bottom"/>
            <w:shd w:val="clear" w:color="auto" w:fill="EAEAEA"/>
          </w:tcPr>
          <w:p>
            <w:pPr>
              <w:spacing w:after="0"/>
              <w:rPr>
                <w:sz w:val="4"/>
                <w:szCs w:val="4"/>
                <w:color w:val="auto"/>
              </w:rPr>
            </w:pPr>
          </w:p>
        </w:tc>
        <w:tc>
          <w:tcPr>
            <w:tcW w:w="48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AEAEA"/>
          </w:tcPr>
          <w:p>
            <w:pPr>
              <w:spacing w:after="0"/>
              <w:rPr>
                <w:sz w:val="4"/>
                <w:szCs w:val="4"/>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6"/>
                <w:szCs w:val="16"/>
                <w:color w:val="auto"/>
              </w:rPr>
              <w:t>—</w:t>
            </w:r>
          </w:p>
        </w:tc>
        <w:tc>
          <w:tcPr>
            <w:tcW w:w="180" w:type="dxa"/>
            <w:vAlign w:val="bottom"/>
            <w:shd w:val="clear" w:color="auto" w:fill="EAEAEA"/>
          </w:tcPr>
          <w:p>
            <w:pPr>
              <w:spacing w:after="0"/>
              <w:rPr>
                <w:sz w:val="4"/>
                <w:szCs w:val="4"/>
                <w:color w:val="auto"/>
              </w:rPr>
            </w:pPr>
          </w:p>
        </w:tc>
        <w:tc>
          <w:tcPr>
            <w:tcW w:w="46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4"/>
                <w:szCs w:val="4"/>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6"/>
                <w:szCs w:val="16"/>
                <w:color w:val="auto"/>
              </w:rPr>
              <w:t>0.66</w:t>
            </w:r>
          </w:p>
        </w:tc>
        <w:tc>
          <w:tcPr>
            <w:tcW w:w="140" w:type="dxa"/>
            <w:vAlign w:val="bottom"/>
            <w:shd w:val="clear" w:color="auto" w:fill="EAEAEA"/>
          </w:tcPr>
          <w:p>
            <w:pPr>
              <w:spacing w:after="0"/>
              <w:rPr>
                <w:sz w:val="4"/>
                <w:szCs w:val="4"/>
                <w:color w:val="auto"/>
              </w:rPr>
            </w:pPr>
          </w:p>
        </w:tc>
        <w:tc>
          <w:tcPr>
            <w:tcW w:w="52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2.63</w:t>
            </w:r>
          </w:p>
        </w:tc>
        <w:tc>
          <w:tcPr>
            <w:tcW w:w="80" w:type="dxa"/>
            <w:vAlign w:val="bottom"/>
            <w:shd w:val="clear" w:color="auto" w:fill="EAEAEA"/>
          </w:tcPr>
          <w:p>
            <w:pPr>
              <w:spacing w:after="0"/>
              <w:rPr>
                <w:sz w:val="4"/>
                <w:szCs w:val="4"/>
                <w:color w:val="auto"/>
              </w:rPr>
            </w:pPr>
          </w:p>
        </w:tc>
        <w:tc>
          <w:tcPr>
            <w:tcW w:w="880" w:type="dxa"/>
            <w:vAlign w:val="bottom"/>
            <w:vMerge w:val="restart"/>
          </w:tcPr>
          <w:p>
            <w:pPr>
              <w:jc w:val="right"/>
              <w:ind w:right="4"/>
              <w:spacing w:after="0"/>
              <w:rPr>
                <w:sz w:val="20"/>
                <w:szCs w:val="20"/>
                <w:color w:val="auto"/>
              </w:rPr>
            </w:pPr>
            <w:r>
              <w:rPr>
                <w:rFonts w:ascii="Arial" w:cs="Arial" w:eastAsia="Arial" w:hAnsi="Arial"/>
                <w:sz w:val="16"/>
                <w:szCs w:val="16"/>
                <w:color w:val="auto"/>
              </w:rPr>
              <w:t>88.28</w:t>
            </w:r>
          </w:p>
        </w:tc>
        <w:tc>
          <w:tcPr>
            <w:tcW w:w="120" w:type="dxa"/>
            <w:vAlign w:val="bottom"/>
            <w:shd w:val="clear" w:color="auto" w:fill="EAEAEA"/>
          </w:tcPr>
          <w:p>
            <w:pPr>
              <w:spacing w:after="0"/>
              <w:rPr>
                <w:sz w:val="4"/>
                <w:szCs w:val="4"/>
                <w:color w:val="auto"/>
              </w:rPr>
            </w:pPr>
          </w:p>
        </w:tc>
        <w:tc>
          <w:tcPr>
            <w:tcW w:w="94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1,256,401</w:t>
            </w:r>
          </w:p>
        </w:tc>
        <w:tc>
          <w:tcPr>
            <w:tcW w:w="80" w:type="dxa"/>
            <w:vAlign w:val="bottom"/>
            <w:shd w:val="clear" w:color="auto" w:fill="EAEAEA"/>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460" w:type="dxa"/>
            <w:vAlign w:val="bottom"/>
          </w:tcPr>
          <w:p>
            <w:pPr>
              <w:spacing w:after="0"/>
              <w:rPr>
                <w:sz w:val="11"/>
                <w:szCs w:val="11"/>
                <w:color w:val="auto"/>
              </w:rPr>
            </w:pPr>
          </w:p>
        </w:tc>
        <w:tc>
          <w:tcPr>
            <w:tcW w:w="120" w:type="dxa"/>
            <w:vAlign w:val="bottom"/>
            <w:tcBorders>
              <w:bottom w:val="single" w:sz="8" w:color="auto"/>
            </w:tcBorders>
            <w:shd w:val="clear" w:color="auto" w:fill="EAEAEA"/>
          </w:tcPr>
          <w:p>
            <w:pPr>
              <w:spacing w:after="0"/>
              <w:rPr>
                <w:sz w:val="11"/>
                <w:szCs w:val="11"/>
                <w:color w:val="auto"/>
              </w:rPr>
            </w:pPr>
          </w:p>
        </w:tc>
        <w:tc>
          <w:tcPr>
            <w:tcW w:w="800" w:type="dxa"/>
            <w:vAlign w:val="bottom"/>
            <w:tcBorders>
              <w:bottom w:val="single" w:sz="8" w:color="auto"/>
            </w:tcBorders>
            <w:vMerge w:val="continue"/>
            <w:shd w:val="clear" w:color="auto" w:fill="EAEAEA"/>
          </w:tcPr>
          <w:p>
            <w:pPr>
              <w:spacing w:after="0"/>
              <w:rPr>
                <w:sz w:val="11"/>
                <w:szCs w:val="11"/>
                <w:color w:val="auto"/>
              </w:rPr>
            </w:pPr>
          </w:p>
        </w:tc>
        <w:tc>
          <w:tcPr>
            <w:tcW w:w="100" w:type="dxa"/>
            <w:vAlign w:val="bottom"/>
            <w:tcBorders>
              <w:bottom w:val="single" w:sz="8" w:color="auto"/>
            </w:tcBorders>
            <w:shd w:val="clear" w:color="auto" w:fill="EAEAEA"/>
          </w:tcPr>
          <w:p>
            <w:pPr>
              <w:spacing w:after="0"/>
              <w:rPr>
                <w:sz w:val="11"/>
                <w:szCs w:val="11"/>
                <w:color w:val="auto"/>
              </w:rPr>
            </w:pPr>
          </w:p>
        </w:tc>
        <w:tc>
          <w:tcPr>
            <w:tcW w:w="116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shd w:val="clear" w:color="auto" w:fill="EAEAEA"/>
          </w:tcPr>
          <w:p>
            <w:pPr>
              <w:spacing w:after="0"/>
              <w:rPr>
                <w:sz w:val="11"/>
                <w:szCs w:val="11"/>
                <w:color w:val="auto"/>
              </w:rPr>
            </w:pPr>
          </w:p>
        </w:tc>
        <w:tc>
          <w:tcPr>
            <w:tcW w:w="480" w:type="dxa"/>
            <w:vAlign w:val="bottom"/>
            <w:tcBorders>
              <w:bottom w:val="single" w:sz="8" w:color="auto"/>
            </w:tcBorders>
            <w:vMerge w:val="continue"/>
            <w:shd w:val="clear" w:color="auto" w:fill="EAEAEA"/>
          </w:tcPr>
          <w:p>
            <w:pPr>
              <w:spacing w:after="0"/>
              <w:rPr>
                <w:sz w:val="11"/>
                <w:szCs w:val="11"/>
                <w:color w:val="auto"/>
              </w:rPr>
            </w:pPr>
          </w:p>
        </w:tc>
        <w:tc>
          <w:tcPr>
            <w:tcW w:w="100" w:type="dxa"/>
            <w:vAlign w:val="bottom"/>
            <w:tcBorders>
              <w:bottom w:val="single" w:sz="8" w:color="auto"/>
            </w:tcBorders>
            <w:shd w:val="clear" w:color="auto" w:fill="EAEAEA"/>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auto"/>
            </w:tcBorders>
            <w:shd w:val="clear" w:color="auto" w:fill="EAEAEA"/>
          </w:tcPr>
          <w:p>
            <w:pPr>
              <w:spacing w:after="0"/>
              <w:rPr>
                <w:sz w:val="11"/>
                <w:szCs w:val="11"/>
                <w:color w:val="auto"/>
              </w:rPr>
            </w:pPr>
          </w:p>
        </w:tc>
        <w:tc>
          <w:tcPr>
            <w:tcW w:w="460" w:type="dxa"/>
            <w:vAlign w:val="bottom"/>
            <w:tcBorders>
              <w:bottom w:val="single" w:sz="8" w:color="auto"/>
            </w:tcBorders>
            <w:vMerge w:val="continue"/>
            <w:shd w:val="clear" w:color="auto" w:fill="EAEAEA"/>
          </w:tcPr>
          <w:p>
            <w:pPr>
              <w:spacing w:after="0"/>
              <w:rPr>
                <w:sz w:val="11"/>
                <w:szCs w:val="11"/>
                <w:color w:val="auto"/>
              </w:rPr>
            </w:pPr>
          </w:p>
        </w:tc>
        <w:tc>
          <w:tcPr>
            <w:tcW w:w="80" w:type="dxa"/>
            <w:vAlign w:val="bottom"/>
            <w:tcBorders>
              <w:bottom w:val="single" w:sz="8" w:color="auto"/>
            </w:tcBorders>
            <w:shd w:val="clear" w:color="auto" w:fill="EAEAEA"/>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tcBorders>
            <w:shd w:val="clear" w:color="auto" w:fill="EAEAEA"/>
          </w:tcPr>
          <w:p>
            <w:pPr>
              <w:spacing w:after="0"/>
              <w:rPr>
                <w:sz w:val="11"/>
                <w:szCs w:val="11"/>
                <w:color w:val="auto"/>
              </w:rPr>
            </w:pPr>
          </w:p>
        </w:tc>
        <w:tc>
          <w:tcPr>
            <w:tcW w:w="520" w:type="dxa"/>
            <w:vAlign w:val="bottom"/>
            <w:tcBorders>
              <w:bottom w:val="single" w:sz="8" w:color="auto"/>
            </w:tcBorders>
            <w:vMerge w:val="continue"/>
            <w:shd w:val="clear" w:color="auto" w:fill="EAEAEA"/>
          </w:tcPr>
          <w:p>
            <w:pPr>
              <w:spacing w:after="0"/>
              <w:rPr>
                <w:sz w:val="11"/>
                <w:szCs w:val="11"/>
                <w:color w:val="auto"/>
              </w:rPr>
            </w:pPr>
          </w:p>
        </w:tc>
        <w:tc>
          <w:tcPr>
            <w:tcW w:w="80" w:type="dxa"/>
            <w:vAlign w:val="bottom"/>
            <w:tcBorders>
              <w:bottom w:val="single" w:sz="8" w:color="auto"/>
            </w:tcBorders>
            <w:shd w:val="clear" w:color="auto" w:fill="EAEAEA"/>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shd w:val="clear" w:color="auto" w:fill="EAEAEA"/>
          </w:tcPr>
          <w:p>
            <w:pPr>
              <w:spacing w:after="0"/>
              <w:rPr>
                <w:sz w:val="11"/>
                <w:szCs w:val="11"/>
                <w:color w:val="auto"/>
              </w:rPr>
            </w:pPr>
          </w:p>
        </w:tc>
        <w:tc>
          <w:tcPr>
            <w:tcW w:w="940" w:type="dxa"/>
            <w:vAlign w:val="bottom"/>
            <w:tcBorders>
              <w:bottom w:val="single" w:sz="8" w:color="auto"/>
            </w:tcBorders>
            <w:vMerge w:val="continue"/>
            <w:shd w:val="clear" w:color="auto" w:fill="EAEAEA"/>
          </w:tcPr>
          <w:p>
            <w:pPr>
              <w:spacing w:after="0"/>
              <w:rPr>
                <w:sz w:val="11"/>
                <w:szCs w:val="11"/>
                <w:color w:val="auto"/>
              </w:rPr>
            </w:pPr>
          </w:p>
        </w:tc>
        <w:tc>
          <w:tcPr>
            <w:tcW w:w="80" w:type="dxa"/>
            <w:vAlign w:val="bottom"/>
            <w:tcBorders>
              <w:bottom w:val="single" w:sz="8" w:color="auto"/>
            </w:tcBorders>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3/11/2020</w:t>
            </w:r>
          </w:p>
        </w:tc>
        <w:tc>
          <w:tcPr>
            <w:tcW w:w="100" w:type="dxa"/>
            <w:vAlign w:val="bottom"/>
            <w:tcBorders>
              <w:bottom w:val="single" w:sz="8" w:color="auto"/>
            </w:tcBorders>
            <w:shd w:val="clear" w:color="auto" w:fill="EAEAEA"/>
          </w:tcPr>
          <w:p>
            <w:pPr>
              <w:spacing w:after="0"/>
              <w:rPr>
                <w:sz w:val="16"/>
                <w:szCs w:val="16"/>
                <w:color w:val="auto"/>
              </w:rPr>
            </w:pPr>
          </w:p>
        </w:tc>
        <w:tc>
          <w:tcPr>
            <w:tcW w:w="1160" w:type="dxa"/>
            <w:vAlign w:val="bottom"/>
            <w:tcBorders>
              <w:bottom w:val="single" w:sz="8" w:color="auto"/>
            </w:tcBorders>
          </w:tcPr>
          <w:p>
            <w:pPr>
              <w:jc w:val="right"/>
              <w:ind w:right="344"/>
              <w:spacing w:after="0"/>
              <w:rPr>
                <w:sz w:val="20"/>
                <w:szCs w:val="20"/>
                <w:color w:val="auto"/>
              </w:rPr>
            </w:pPr>
            <w:r>
              <w:rPr>
                <w:rFonts w:ascii="Arial" w:cs="Arial" w:eastAsia="Arial" w:hAnsi="Arial"/>
                <w:sz w:val="16"/>
                <w:szCs w:val="16"/>
                <w:color w:val="auto"/>
              </w:rPr>
              <w:t>35,001</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94.41</w:t>
            </w:r>
          </w:p>
        </w:tc>
        <w:tc>
          <w:tcPr>
            <w:tcW w:w="10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29.49</w:t>
            </w:r>
          </w:p>
        </w:tc>
        <w:tc>
          <w:tcPr>
            <w:tcW w:w="180" w:type="dxa"/>
            <w:vAlign w:val="bottom"/>
            <w:tcBorders>
              <w:bottom w:val="single" w:sz="8" w:color="auto"/>
            </w:tcBorders>
            <w:shd w:val="clear" w:color="auto" w:fill="EAEAEA"/>
          </w:tcPr>
          <w:p>
            <w:pPr>
              <w:spacing w:after="0"/>
              <w:rPr>
                <w:sz w:val="16"/>
                <w:szCs w:val="16"/>
                <w:color w:val="auto"/>
              </w:rPr>
            </w:pPr>
          </w:p>
        </w:tc>
        <w:tc>
          <w:tcPr>
            <w:tcW w:w="4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5.0</w:t>
            </w:r>
          </w:p>
        </w:tc>
        <w:tc>
          <w:tcPr>
            <w:tcW w:w="80" w:type="dxa"/>
            <w:vAlign w:val="bottom"/>
            <w:tcBorders>
              <w:bottom w:val="single" w:sz="8" w:color="auto"/>
            </w:tcBorders>
            <w:shd w:val="clear" w:color="auto" w:fill="EAEAEA"/>
          </w:tcPr>
          <w:p>
            <w:pPr>
              <w:spacing w:after="0"/>
              <w:rPr>
                <w:sz w:val="16"/>
                <w:szCs w:val="16"/>
                <w:color w:val="auto"/>
              </w:rPr>
            </w:pP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0.66</w:t>
            </w:r>
          </w:p>
        </w:tc>
        <w:tc>
          <w:tcPr>
            <w:tcW w:w="140" w:type="dxa"/>
            <w:vAlign w:val="bottom"/>
            <w:tcBorders>
              <w:bottom w:val="single" w:sz="8" w:color="auto"/>
            </w:tcBorders>
            <w:shd w:val="clear" w:color="auto" w:fill="EAEAEA"/>
          </w:tcPr>
          <w:p>
            <w:pPr>
              <w:spacing w:after="0"/>
              <w:rPr>
                <w:sz w:val="16"/>
                <w:szCs w:val="16"/>
                <w:color w:val="auto"/>
              </w:rPr>
            </w:pPr>
          </w:p>
        </w:tc>
        <w:tc>
          <w:tcPr>
            <w:tcW w:w="5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2.63</w:t>
            </w:r>
          </w:p>
        </w:tc>
        <w:tc>
          <w:tcPr>
            <w:tcW w:w="80" w:type="dxa"/>
            <w:vAlign w:val="bottom"/>
            <w:tcBorders>
              <w:bottom w:val="single" w:sz="8" w:color="auto"/>
            </w:tcBorders>
            <w:shd w:val="clear" w:color="auto" w:fill="EAEAEA"/>
          </w:tcPr>
          <w:p>
            <w:pPr>
              <w:spacing w:after="0"/>
              <w:rPr>
                <w:sz w:val="16"/>
                <w:szCs w:val="16"/>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18.46</w:t>
            </w:r>
          </w:p>
        </w:tc>
        <w:tc>
          <w:tcPr>
            <w:tcW w:w="120" w:type="dxa"/>
            <w:vAlign w:val="bottom"/>
            <w:tcBorders>
              <w:bottom w:val="single" w:sz="8" w:color="auto"/>
            </w:tcBorders>
            <w:shd w:val="clear" w:color="auto" w:fill="EAEAEA"/>
          </w:tcPr>
          <w:p>
            <w:pPr>
              <w:spacing w:after="0"/>
              <w:rPr>
                <w:sz w:val="16"/>
                <w:szCs w:val="16"/>
                <w:color w:val="auto"/>
              </w:rPr>
            </w:pPr>
          </w:p>
        </w:tc>
        <w:tc>
          <w:tcPr>
            <w:tcW w:w="94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7"/>
              </w:rPr>
              <w:t>12/15/2020</w:t>
            </w:r>
          </w:p>
        </w:tc>
        <w:tc>
          <w:tcPr>
            <w:tcW w:w="100" w:type="dxa"/>
            <w:vAlign w:val="bottom"/>
            <w:tcBorders>
              <w:bottom w:val="single" w:sz="8" w:color="auto"/>
            </w:tcBorders>
            <w:shd w:val="clear" w:color="auto" w:fill="EAEAEA"/>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19,443*****</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AEAEA"/>
          </w:tcPr>
          <w:p>
            <w:pPr>
              <w:spacing w:after="0"/>
              <w:rPr>
                <w:sz w:val="16"/>
                <w:szCs w:val="16"/>
                <w:color w:val="auto"/>
              </w:rPr>
            </w:pPr>
          </w:p>
        </w:tc>
        <w:tc>
          <w:tcPr>
            <w:tcW w:w="4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0.37</w:t>
            </w:r>
          </w:p>
        </w:tc>
        <w:tc>
          <w:tcPr>
            <w:tcW w:w="140" w:type="dxa"/>
            <w:vAlign w:val="bottom"/>
            <w:tcBorders>
              <w:bottom w:val="single" w:sz="8" w:color="auto"/>
            </w:tcBorders>
            <w:shd w:val="clear" w:color="auto" w:fill="EAEAEA"/>
          </w:tcPr>
          <w:p>
            <w:pPr>
              <w:spacing w:after="0"/>
              <w:rPr>
                <w:sz w:val="16"/>
                <w:szCs w:val="16"/>
                <w:color w:val="auto"/>
              </w:rPr>
            </w:pPr>
          </w:p>
        </w:tc>
        <w:tc>
          <w:tcPr>
            <w:tcW w:w="5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1.72</w:t>
            </w:r>
          </w:p>
        </w:tc>
        <w:tc>
          <w:tcPr>
            <w:tcW w:w="80" w:type="dxa"/>
            <w:vAlign w:val="bottom"/>
            <w:tcBorders>
              <w:bottom w:val="single" w:sz="8" w:color="auto"/>
            </w:tcBorders>
            <w:shd w:val="clear" w:color="auto" w:fill="EAEAEA"/>
          </w:tcPr>
          <w:p>
            <w:pPr>
              <w:spacing w:after="0"/>
              <w:rPr>
                <w:sz w:val="16"/>
                <w:szCs w:val="16"/>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137.90</w:t>
            </w:r>
          </w:p>
        </w:tc>
        <w:tc>
          <w:tcPr>
            <w:tcW w:w="120" w:type="dxa"/>
            <w:vAlign w:val="bottom"/>
            <w:tcBorders>
              <w:bottom w:val="single" w:sz="8" w:color="auto"/>
            </w:tcBorders>
            <w:shd w:val="clear" w:color="auto" w:fill="EAEAEA"/>
          </w:tcPr>
          <w:p>
            <w:pPr>
              <w:spacing w:after="0"/>
              <w:rPr>
                <w:sz w:val="16"/>
                <w:szCs w:val="16"/>
                <w:color w:val="auto"/>
              </w:rPr>
            </w:pPr>
          </w:p>
        </w:tc>
        <w:tc>
          <w:tcPr>
            <w:tcW w:w="9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5,362,379</w:t>
            </w: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3/10/2021</w:t>
            </w:r>
          </w:p>
        </w:tc>
        <w:tc>
          <w:tcPr>
            <w:tcW w:w="100" w:type="dxa"/>
            <w:vAlign w:val="bottom"/>
            <w:tcBorders>
              <w:bottom w:val="single" w:sz="8" w:color="auto"/>
            </w:tcBorders>
            <w:shd w:val="clear" w:color="auto" w:fill="EAEAEA"/>
          </w:tcPr>
          <w:p>
            <w:pPr>
              <w:spacing w:after="0"/>
              <w:rPr>
                <w:sz w:val="16"/>
                <w:szCs w:val="16"/>
                <w:color w:val="auto"/>
              </w:rPr>
            </w:pPr>
          </w:p>
        </w:tc>
        <w:tc>
          <w:tcPr>
            <w:tcW w:w="1160" w:type="dxa"/>
            <w:vAlign w:val="bottom"/>
            <w:tcBorders>
              <w:bottom w:val="single" w:sz="8" w:color="auto"/>
            </w:tcBorders>
          </w:tcPr>
          <w:p>
            <w:pPr>
              <w:jc w:val="right"/>
              <w:ind w:right="344"/>
              <w:spacing w:after="0"/>
              <w:rPr>
                <w:sz w:val="20"/>
                <w:szCs w:val="20"/>
                <w:color w:val="auto"/>
              </w:rPr>
            </w:pPr>
            <w:r>
              <w:rPr>
                <w:rFonts w:ascii="Arial" w:cs="Arial" w:eastAsia="Arial" w:hAnsi="Arial"/>
                <w:sz w:val="16"/>
                <w:szCs w:val="16"/>
                <w:color w:val="auto"/>
              </w:rPr>
              <w:t>19,306</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3"/>
              </w:rPr>
              <w:t>147.11</w:t>
            </w:r>
          </w:p>
        </w:tc>
        <w:tc>
          <w:tcPr>
            <w:tcW w:w="10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35.25</w:t>
            </w:r>
          </w:p>
        </w:tc>
        <w:tc>
          <w:tcPr>
            <w:tcW w:w="180" w:type="dxa"/>
            <w:vAlign w:val="bottom"/>
            <w:tcBorders>
              <w:bottom w:val="single" w:sz="8" w:color="auto"/>
            </w:tcBorders>
            <w:shd w:val="clear" w:color="auto" w:fill="EAEAEA"/>
          </w:tcPr>
          <w:p>
            <w:pPr>
              <w:spacing w:after="0"/>
              <w:rPr>
                <w:sz w:val="16"/>
                <w:szCs w:val="16"/>
                <w:color w:val="auto"/>
              </w:rPr>
            </w:pPr>
          </w:p>
        </w:tc>
        <w:tc>
          <w:tcPr>
            <w:tcW w:w="4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5.0</w:t>
            </w:r>
          </w:p>
        </w:tc>
        <w:tc>
          <w:tcPr>
            <w:tcW w:w="80" w:type="dxa"/>
            <w:vAlign w:val="bottom"/>
            <w:tcBorders>
              <w:bottom w:val="single" w:sz="8" w:color="auto"/>
            </w:tcBorders>
            <w:shd w:val="clear" w:color="auto" w:fill="EAEAEA"/>
          </w:tcPr>
          <w:p>
            <w:pPr>
              <w:spacing w:after="0"/>
              <w:rPr>
                <w:sz w:val="16"/>
                <w:szCs w:val="16"/>
                <w:color w:val="auto"/>
              </w:rPr>
            </w:pP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0.80</w:t>
            </w:r>
          </w:p>
        </w:tc>
        <w:tc>
          <w:tcPr>
            <w:tcW w:w="140" w:type="dxa"/>
            <w:vAlign w:val="bottom"/>
            <w:tcBorders>
              <w:bottom w:val="single" w:sz="8" w:color="auto"/>
            </w:tcBorders>
            <w:shd w:val="clear" w:color="auto" w:fill="EAEAEA"/>
          </w:tcPr>
          <w:p>
            <w:pPr>
              <w:spacing w:after="0"/>
              <w:rPr>
                <w:sz w:val="16"/>
                <w:szCs w:val="16"/>
                <w:color w:val="auto"/>
              </w:rPr>
            </w:pPr>
          </w:p>
        </w:tc>
        <w:tc>
          <w:tcPr>
            <w:tcW w:w="5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1.88</w:t>
            </w:r>
          </w:p>
        </w:tc>
        <w:tc>
          <w:tcPr>
            <w:tcW w:w="80" w:type="dxa"/>
            <w:vAlign w:val="bottom"/>
            <w:tcBorders>
              <w:bottom w:val="single" w:sz="8" w:color="auto"/>
            </w:tcBorders>
            <w:shd w:val="clear" w:color="auto" w:fill="EAEAEA"/>
          </w:tcPr>
          <w:p>
            <w:pPr>
              <w:spacing w:after="0"/>
              <w:rPr>
                <w:sz w:val="16"/>
                <w:szCs w:val="16"/>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38.58</w:t>
            </w:r>
          </w:p>
        </w:tc>
        <w:tc>
          <w:tcPr>
            <w:tcW w:w="120" w:type="dxa"/>
            <w:vAlign w:val="bottom"/>
            <w:tcBorders>
              <w:bottom w:val="single" w:sz="8" w:color="auto"/>
            </w:tcBorders>
            <w:shd w:val="clear" w:color="auto" w:fill="EAEAEA"/>
          </w:tcPr>
          <w:p>
            <w:pPr>
              <w:spacing w:after="0"/>
              <w:rPr>
                <w:sz w:val="16"/>
                <w:szCs w:val="16"/>
                <w:color w:val="auto"/>
              </w:rPr>
            </w:pPr>
          </w:p>
        </w:tc>
        <w:tc>
          <w:tcPr>
            <w:tcW w:w="94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3/10/2021</w:t>
            </w:r>
          </w:p>
        </w:tc>
        <w:tc>
          <w:tcPr>
            <w:tcW w:w="100" w:type="dxa"/>
            <w:vAlign w:val="bottom"/>
            <w:tcBorders>
              <w:bottom w:val="single" w:sz="8" w:color="auto"/>
            </w:tcBorders>
            <w:shd w:val="clear" w:color="auto" w:fill="EAEAEA"/>
          </w:tcPr>
          <w:p>
            <w:pPr>
              <w:spacing w:after="0"/>
              <w:rPr>
                <w:sz w:val="16"/>
                <w:szCs w:val="16"/>
                <w:color w:val="auto"/>
              </w:rPr>
            </w:pPr>
          </w:p>
        </w:tc>
        <w:tc>
          <w:tcPr>
            <w:tcW w:w="1160" w:type="dxa"/>
            <w:vAlign w:val="bottom"/>
            <w:tcBorders>
              <w:bottom w:val="single" w:sz="8" w:color="auto"/>
            </w:tcBorders>
          </w:tcPr>
          <w:p>
            <w:pPr>
              <w:jc w:val="right"/>
              <w:ind w:right="264"/>
              <w:spacing w:after="0"/>
              <w:rPr>
                <w:sz w:val="20"/>
                <w:szCs w:val="20"/>
                <w:color w:val="auto"/>
              </w:rPr>
            </w:pPr>
            <w:r>
              <w:rPr>
                <w:rFonts w:ascii="Arial" w:cs="Arial" w:eastAsia="Arial" w:hAnsi="Arial"/>
                <w:sz w:val="16"/>
                <w:szCs w:val="16"/>
                <w:color w:val="auto"/>
              </w:rPr>
              <w:t>5,281*</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AEAEA"/>
          </w:tcPr>
          <w:p>
            <w:pPr>
              <w:spacing w:after="0"/>
              <w:rPr>
                <w:sz w:val="16"/>
                <w:szCs w:val="16"/>
                <w:color w:val="auto"/>
              </w:rPr>
            </w:pPr>
          </w:p>
        </w:tc>
        <w:tc>
          <w:tcPr>
            <w:tcW w:w="4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0.80</w:t>
            </w:r>
          </w:p>
        </w:tc>
        <w:tc>
          <w:tcPr>
            <w:tcW w:w="140" w:type="dxa"/>
            <w:vAlign w:val="bottom"/>
            <w:tcBorders>
              <w:bottom w:val="single" w:sz="8" w:color="auto"/>
            </w:tcBorders>
            <w:shd w:val="clear" w:color="auto" w:fill="EAEAEA"/>
          </w:tcPr>
          <w:p>
            <w:pPr>
              <w:spacing w:after="0"/>
              <w:rPr>
                <w:sz w:val="16"/>
                <w:szCs w:val="16"/>
                <w:color w:val="auto"/>
              </w:rPr>
            </w:pPr>
          </w:p>
        </w:tc>
        <w:tc>
          <w:tcPr>
            <w:tcW w:w="5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1.88</w:t>
            </w:r>
          </w:p>
        </w:tc>
        <w:tc>
          <w:tcPr>
            <w:tcW w:w="80" w:type="dxa"/>
            <w:vAlign w:val="bottom"/>
            <w:tcBorders>
              <w:bottom w:val="single" w:sz="8" w:color="auto"/>
            </w:tcBorders>
            <w:shd w:val="clear" w:color="auto" w:fill="EAEAEA"/>
          </w:tcPr>
          <w:p>
            <w:pPr>
              <w:spacing w:after="0"/>
              <w:rPr>
                <w:sz w:val="16"/>
                <w:szCs w:val="16"/>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140.30</w:t>
            </w:r>
          </w:p>
        </w:tc>
        <w:tc>
          <w:tcPr>
            <w:tcW w:w="120" w:type="dxa"/>
            <w:vAlign w:val="bottom"/>
            <w:tcBorders>
              <w:bottom w:val="single" w:sz="8" w:color="auto"/>
            </w:tcBorders>
            <w:shd w:val="clear" w:color="auto" w:fill="EAEAEA"/>
          </w:tcPr>
          <w:p>
            <w:pPr>
              <w:spacing w:after="0"/>
              <w:rPr>
                <w:sz w:val="16"/>
                <w:szCs w:val="16"/>
                <w:color w:val="auto"/>
              </w:rPr>
            </w:pPr>
          </w:p>
        </w:tc>
        <w:tc>
          <w:tcPr>
            <w:tcW w:w="94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8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3/10/2021</w:t>
            </w:r>
          </w:p>
        </w:tc>
        <w:tc>
          <w:tcPr>
            <w:tcW w:w="100" w:type="dxa"/>
            <w:vAlign w:val="bottom"/>
            <w:tcBorders>
              <w:bottom w:val="single" w:sz="8" w:color="auto"/>
            </w:tcBorders>
            <w:shd w:val="clear" w:color="auto" w:fill="EAEAEA"/>
          </w:tcPr>
          <w:p>
            <w:pPr>
              <w:spacing w:after="0"/>
              <w:rPr>
                <w:sz w:val="16"/>
                <w:szCs w:val="16"/>
                <w:color w:val="auto"/>
              </w:rPr>
            </w:pPr>
          </w:p>
        </w:tc>
        <w:tc>
          <w:tcPr>
            <w:tcW w:w="116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color w:val="auto"/>
              </w:rPr>
              <w:t>5,281**</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37.47</w:t>
            </w:r>
          </w:p>
        </w:tc>
        <w:tc>
          <w:tcPr>
            <w:tcW w:w="180" w:type="dxa"/>
            <w:vAlign w:val="bottom"/>
            <w:tcBorders>
              <w:bottom w:val="single" w:sz="8" w:color="auto"/>
            </w:tcBorders>
            <w:shd w:val="clear" w:color="auto" w:fill="EAEAEA"/>
          </w:tcPr>
          <w:p>
            <w:pPr>
              <w:spacing w:after="0"/>
              <w:rPr>
                <w:sz w:val="16"/>
                <w:szCs w:val="16"/>
                <w:color w:val="auto"/>
              </w:rPr>
            </w:pPr>
          </w:p>
        </w:tc>
        <w:tc>
          <w:tcPr>
            <w:tcW w:w="4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0.32</w:t>
            </w:r>
          </w:p>
        </w:tc>
        <w:tc>
          <w:tcPr>
            <w:tcW w:w="140" w:type="dxa"/>
            <w:vAlign w:val="bottom"/>
            <w:tcBorders>
              <w:bottom w:val="single" w:sz="8" w:color="auto"/>
            </w:tcBorders>
            <w:shd w:val="clear" w:color="auto" w:fill="EAEAEA"/>
          </w:tcPr>
          <w:p>
            <w:pPr>
              <w:spacing w:after="0"/>
              <w:rPr>
                <w:sz w:val="16"/>
                <w:szCs w:val="16"/>
                <w:color w:val="auto"/>
              </w:rPr>
            </w:pPr>
          </w:p>
        </w:tc>
        <w:tc>
          <w:tcPr>
            <w:tcW w:w="5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1.86</w:t>
            </w:r>
          </w:p>
        </w:tc>
        <w:tc>
          <w:tcPr>
            <w:tcW w:w="80" w:type="dxa"/>
            <w:vAlign w:val="bottom"/>
            <w:tcBorders>
              <w:bottom w:val="single" w:sz="8" w:color="auto"/>
            </w:tcBorders>
            <w:shd w:val="clear" w:color="auto" w:fill="EAEAEA"/>
          </w:tcPr>
          <w:p>
            <w:pPr>
              <w:spacing w:after="0"/>
              <w:rPr>
                <w:sz w:val="16"/>
                <w:szCs w:val="16"/>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163.14</w:t>
            </w:r>
          </w:p>
        </w:tc>
        <w:tc>
          <w:tcPr>
            <w:tcW w:w="120" w:type="dxa"/>
            <w:vAlign w:val="bottom"/>
            <w:tcBorders>
              <w:bottom w:val="single" w:sz="8" w:color="auto"/>
            </w:tcBorders>
            <w:shd w:val="clear" w:color="auto" w:fill="EAEAEA"/>
          </w:tcPr>
          <w:p>
            <w:pPr>
              <w:spacing w:after="0"/>
              <w:rPr>
                <w:sz w:val="16"/>
                <w:szCs w:val="16"/>
                <w:color w:val="auto"/>
              </w:rPr>
            </w:pPr>
          </w:p>
        </w:tc>
        <w:tc>
          <w:tcPr>
            <w:tcW w:w="9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1,732,084</w:t>
            </w: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460" w:type="dxa"/>
            <w:vAlign w:val="bottom"/>
            <w:tcBorders>
              <w:bottom w:val="single" w:sz="8" w:color="0066BA"/>
            </w:tcBorders>
          </w:tcPr>
          <w:p>
            <w:pPr>
              <w:spacing w:after="0"/>
              <w:rPr>
                <w:sz w:val="16"/>
                <w:szCs w:val="16"/>
                <w:color w:val="auto"/>
              </w:rPr>
            </w:pPr>
          </w:p>
        </w:tc>
        <w:tc>
          <w:tcPr>
            <w:tcW w:w="120" w:type="dxa"/>
            <w:vAlign w:val="bottom"/>
            <w:tcBorders>
              <w:bottom w:val="single" w:sz="8" w:color="0066BA"/>
            </w:tcBorders>
            <w:shd w:val="clear" w:color="auto" w:fill="EAEAEA"/>
          </w:tcPr>
          <w:p>
            <w:pPr>
              <w:spacing w:after="0"/>
              <w:rPr>
                <w:sz w:val="16"/>
                <w:szCs w:val="16"/>
                <w:color w:val="auto"/>
              </w:rPr>
            </w:pPr>
          </w:p>
        </w:tc>
        <w:tc>
          <w:tcPr>
            <w:tcW w:w="80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3/10/2021</w:t>
            </w:r>
          </w:p>
        </w:tc>
        <w:tc>
          <w:tcPr>
            <w:tcW w:w="100" w:type="dxa"/>
            <w:vAlign w:val="bottom"/>
            <w:tcBorders>
              <w:bottom w:val="single" w:sz="8" w:color="0066BA"/>
            </w:tcBorders>
            <w:shd w:val="clear" w:color="auto" w:fill="EAEAEA"/>
          </w:tcPr>
          <w:p>
            <w:pPr>
              <w:spacing w:after="0"/>
              <w:rPr>
                <w:sz w:val="16"/>
                <w:szCs w:val="16"/>
                <w:color w:val="auto"/>
              </w:rPr>
            </w:pPr>
          </w:p>
        </w:tc>
        <w:tc>
          <w:tcPr>
            <w:tcW w:w="1160" w:type="dxa"/>
            <w:vAlign w:val="bottom"/>
            <w:tcBorders>
              <w:bottom w:val="single" w:sz="8" w:color="0066BA"/>
            </w:tcBorders>
          </w:tcPr>
          <w:p>
            <w:pPr>
              <w:jc w:val="right"/>
              <w:ind w:right="124"/>
              <w:spacing w:after="0"/>
              <w:rPr>
                <w:sz w:val="20"/>
                <w:szCs w:val="20"/>
                <w:color w:val="auto"/>
              </w:rPr>
            </w:pPr>
            <w:r>
              <w:rPr>
                <w:rFonts w:ascii="Arial" w:cs="Arial" w:eastAsia="Arial" w:hAnsi="Arial"/>
                <w:sz w:val="16"/>
                <w:szCs w:val="16"/>
                <w:color w:val="auto"/>
              </w:rPr>
              <w:t>5,281***</w:t>
            </w:r>
          </w:p>
        </w:tc>
        <w:tc>
          <w:tcPr>
            <w:tcW w:w="120" w:type="dxa"/>
            <w:vAlign w:val="bottom"/>
            <w:tcBorders>
              <w:bottom w:val="single" w:sz="8" w:color="0066BA"/>
            </w:tcBorders>
            <w:shd w:val="clear" w:color="auto" w:fill="EAEAEA"/>
          </w:tcPr>
          <w:p>
            <w:pPr>
              <w:spacing w:after="0"/>
              <w:rPr>
                <w:sz w:val="16"/>
                <w:szCs w:val="16"/>
                <w:color w:val="auto"/>
              </w:rPr>
            </w:pPr>
          </w:p>
        </w:tc>
        <w:tc>
          <w:tcPr>
            <w:tcW w:w="48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0066BA"/>
            </w:tcBorders>
            <w:shd w:val="clear" w:color="auto" w:fill="EAEAEA"/>
          </w:tcPr>
          <w:p>
            <w:pPr>
              <w:spacing w:after="0"/>
              <w:rPr>
                <w:sz w:val="16"/>
                <w:szCs w:val="16"/>
                <w:color w:val="auto"/>
              </w:rPr>
            </w:pPr>
          </w:p>
        </w:tc>
        <w:tc>
          <w:tcPr>
            <w:tcW w:w="720" w:type="dxa"/>
            <w:vAlign w:val="bottom"/>
            <w:tcBorders>
              <w:bottom w:val="single" w:sz="8" w:color="0066BA"/>
            </w:tcBorders>
          </w:tcPr>
          <w:p>
            <w:pPr>
              <w:jc w:val="right"/>
              <w:ind w:right="3"/>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0066BA"/>
            </w:tcBorders>
            <w:shd w:val="clear" w:color="auto" w:fill="EAEAEA"/>
          </w:tcPr>
          <w:p>
            <w:pPr>
              <w:spacing w:after="0"/>
              <w:rPr>
                <w:sz w:val="16"/>
                <w:szCs w:val="16"/>
                <w:color w:val="auto"/>
              </w:rPr>
            </w:pPr>
          </w:p>
        </w:tc>
        <w:tc>
          <w:tcPr>
            <w:tcW w:w="46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740" w:type="dxa"/>
            <w:vAlign w:val="bottom"/>
            <w:tcBorders>
              <w:bottom w:val="single" w:sz="8" w:color="0066BA"/>
            </w:tcBorders>
          </w:tcPr>
          <w:p>
            <w:pPr>
              <w:jc w:val="right"/>
              <w:ind w:right="24"/>
              <w:spacing w:after="0"/>
              <w:rPr>
                <w:sz w:val="20"/>
                <w:szCs w:val="20"/>
                <w:color w:val="auto"/>
              </w:rPr>
            </w:pPr>
            <w:r>
              <w:rPr>
                <w:rFonts w:ascii="Arial" w:cs="Arial" w:eastAsia="Arial" w:hAnsi="Arial"/>
                <w:sz w:val="16"/>
                <w:szCs w:val="16"/>
                <w:color w:val="auto"/>
              </w:rPr>
              <w:t>0.80</w:t>
            </w:r>
          </w:p>
        </w:tc>
        <w:tc>
          <w:tcPr>
            <w:tcW w:w="140" w:type="dxa"/>
            <w:vAlign w:val="bottom"/>
            <w:tcBorders>
              <w:bottom w:val="single" w:sz="8" w:color="0066BA"/>
            </w:tcBorders>
            <w:shd w:val="clear" w:color="auto" w:fill="EAEAEA"/>
          </w:tcPr>
          <w:p>
            <w:pPr>
              <w:spacing w:after="0"/>
              <w:rPr>
                <w:sz w:val="16"/>
                <w:szCs w:val="16"/>
                <w:color w:val="auto"/>
              </w:rPr>
            </w:pPr>
          </w:p>
        </w:tc>
        <w:tc>
          <w:tcPr>
            <w:tcW w:w="52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1.88</w:t>
            </w:r>
          </w:p>
        </w:tc>
        <w:tc>
          <w:tcPr>
            <w:tcW w:w="80" w:type="dxa"/>
            <w:vAlign w:val="bottom"/>
            <w:tcBorders>
              <w:bottom w:val="single" w:sz="8" w:color="0066BA"/>
            </w:tcBorders>
            <w:shd w:val="clear" w:color="auto" w:fill="EAEAEA"/>
          </w:tcPr>
          <w:p>
            <w:pPr>
              <w:spacing w:after="0"/>
              <w:rPr>
                <w:sz w:val="16"/>
                <w:szCs w:val="16"/>
                <w:color w:val="auto"/>
              </w:rPr>
            </w:pPr>
          </w:p>
        </w:tc>
        <w:tc>
          <w:tcPr>
            <w:tcW w:w="880" w:type="dxa"/>
            <w:vAlign w:val="bottom"/>
            <w:tcBorders>
              <w:bottom w:val="single" w:sz="8" w:color="0066BA"/>
            </w:tcBorders>
          </w:tcPr>
          <w:p>
            <w:pPr>
              <w:jc w:val="right"/>
              <w:ind w:right="4"/>
              <w:spacing w:after="0"/>
              <w:rPr>
                <w:sz w:val="20"/>
                <w:szCs w:val="20"/>
                <w:color w:val="auto"/>
              </w:rPr>
            </w:pPr>
            <w:r>
              <w:rPr>
                <w:rFonts w:ascii="Arial" w:cs="Arial" w:eastAsia="Arial" w:hAnsi="Arial"/>
                <w:sz w:val="16"/>
                <w:szCs w:val="16"/>
                <w:color w:val="auto"/>
              </w:rPr>
              <w:t>140.30</w:t>
            </w:r>
          </w:p>
        </w:tc>
        <w:tc>
          <w:tcPr>
            <w:tcW w:w="120" w:type="dxa"/>
            <w:vAlign w:val="bottom"/>
            <w:tcBorders>
              <w:bottom w:val="single" w:sz="8" w:color="0066BA"/>
            </w:tcBorders>
            <w:shd w:val="clear" w:color="auto" w:fill="EAEAEA"/>
          </w:tcPr>
          <w:p>
            <w:pPr>
              <w:spacing w:after="0"/>
              <w:rPr>
                <w:sz w:val="16"/>
                <w:szCs w:val="16"/>
                <w:color w:val="auto"/>
              </w:rPr>
            </w:pPr>
          </w:p>
        </w:tc>
        <w:tc>
          <w:tcPr>
            <w:tcW w:w="94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1,481,848</w:t>
            </w:r>
          </w:p>
        </w:tc>
        <w:tc>
          <w:tcPr>
            <w:tcW w:w="80" w:type="dxa"/>
            <w:vAlign w:val="bottom"/>
            <w:tcBorders>
              <w:bottom w:val="single" w:sz="8" w:color="0066BA"/>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0940"/>
          </w:cols>
          <w:pgMar w:left="320" w:top="447" w:right="63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17" w:lineRule="exact"/>
        <w:rPr>
          <w:sz w:val="20"/>
          <w:szCs w:val="20"/>
          <w:color w:val="auto"/>
        </w:rPr>
      </w:pPr>
    </w:p>
    <w:tbl>
      <w:tblPr>
        <w:tblLayout w:type="fixed"/>
        <w:tblInd w:w="480" w:type="dxa"/>
        <w:tblCellMar>
          <w:top w:w="0" w:type="dxa"/>
          <w:left w:w="0" w:type="dxa"/>
          <w:bottom w:w="0" w:type="dxa"/>
          <w:right w:w="0" w:type="dxa"/>
        </w:tblCellMar>
      </w:tblPr>
      <w:tr>
        <w:trPr>
          <w:trHeight w:val="138"/>
        </w:trPr>
        <w:tc>
          <w:tcPr>
            <w:tcW w:w="2660" w:type="dxa"/>
            <w:vAlign w:val="bottom"/>
            <w:shd w:val="clear" w:color="auto" w:fill="0066BA"/>
          </w:tcPr>
          <w:p>
            <w:pPr>
              <w:spacing w:after="0"/>
              <w:rPr>
                <w:sz w:val="12"/>
                <w:szCs w:val="12"/>
                <w:color w:val="auto"/>
              </w:rPr>
            </w:pPr>
          </w:p>
        </w:tc>
        <w:tc>
          <w:tcPr>
            <w:tcW w:w="120" w:type="dxa"/>
            <w:vAlign w:val="bottom"/>
            <w:shd w:val="clear" w:color="auto" w:fill="0066BA"/>
          </w:tcPr>
          <w:p>
            <w:pPr>
              <w:spacing w:after="0"/>
              <w:rPr>
                <w:sz w:val="12"/>
                <w:szCs w:val="12"/>
                <w:color w:val="auto"/>
              </w:rPr>
            </w:pPr>
          </w:p>
        </w:tc>
        <w:tc>
          <w:tcPr>
            <w:tcW w:w="780" w:type="dxa"/>
            <w:vAlign w:val="bottom"/>
            <w:shd w:val="clear" w:color="auto" w:fill="0066BA"/>
          </w:tcPr>
          <w:p>
            <w:pPr>
              <w:spacing w:after="0"/>
              <w:rPr>
                <w:sz w:val="12"/>
                <w:szCs w:val="12"/>
                <w:color w:val="auto"/>
              </w:rPr>
            </w:pPr>
          </w:p>
        </w:tc>
        <w:tc>
          <w:tcPr>
            <w:tcW w:w="100" w:type="dxa"/>
            <w:vAlign w:val="bottom"/>
            <w:shd w:val="clear" w:color="auto" w:fill="0066BA"/>
          </w:tcPr>
          <w:p>
            <w:pPr>
              <w:spacing w:after="0"/>
              <w:rPr>
                <w:sz w:val="12"/>
                <w:szCs w:val="12"/>
                <w:color w:val="auto"/>
              </w:rPr>
            </w:pPr>
          </w:p>
        </w:tc>
        <w:tc>
          <w:tcPr>
            <w:tcW w:w="1140" w:type="dxa"/>
            <w:vAlign w:val="bottom"/>
            <w:shd w:val="clear" w:color="auto" w:fill="0066BA"/>
          </w:tcPr>
          <w:p>
            <w:pPr>
              <w:spacing w:after="0"/>
              <w:rPr>
                <w:sz w:val="12"/>
                <w:szCs w:val="12"/>
                <w:color w:val="auto"/>
              </w:rPr>
            </w:pPr>
          </w:p>
        </w:tc>
        <w:tc>
          <w:tcPr>
            <w:tcW w:w="120" w:type="dxa"/>
            <w:vAlign w:val="bottom"/>
            <w:shd w:val="clear" w:color="auto" w:fill="0066BA"/>
          </w:tcPr>
          <w:p>
            <w:pPr>
              <w:spacing w:after="0"/>
              <w:rPr>
                <w:sz w:val="12"/>
                <w:szCs w:val="12"/>
                <w:color w:val="auto"/>
              </w:rPr>
            </w:pPr>
          </w:p>
        </w:tc>
        <w:tc>
          <w:tcPr>
            <w:tcW w:w="480" w:type="dxa"/>
            <w:vAlign w:val="bottom"/>
            <w:shd w:val="clear" w:color="auto" w:fill="0066BA"/>
          </w:tcPr>
          <w:p>
            <w:pPr>
              <w:spacing w:after="0"/>
              <w:rPr>
                <w:sz w:val="12"/>
                <w:szCs w:val="12"/>
                <w:color w:val="auto"/>
              </w:rPr>
            </w:pPr>
          </w:p>
        </w:tc>
        <w:tc>
          <w:tcPr>
            <w:tcW w:w="80" w:type="dxa"/>
            <w:vAlign w:val="bottom"/>
            <w:shd w:val="clear" w:color="auto" w:fill="0066BA"/>
          </w:tcPr>
          <w:p>
            <w:pPr>
              <w:spacing w:after="0"/>
              <w:rPr>
                <w:sz w:val="12"/>
                <w:szCs w:val="12"/>
                <w:color w:val="auto"/>
              </w:rPr>
            </w:pPr>
          </w:p>
        </w:tc>
        <w:tc>
          <w:tcPr>
            <w:tcW w:w="700" w:type="dxa"/>
            <w:vAlign w:val="bottom"/>
            <w:shd w:val="clear" w:color="auto" w:fill="0066BA"/>
          </w:tcPr>
          <w:p>
            <w:pPr>
              <w:spacing w:after="0"/>
              <w:rPr>
                <w:sz w:val="12"/>
                <w:szCs w:val="12"/>
                <w:color w:val="auto"/>
              </w:rPr>
            </w:pPr>
          </w:p>
        </w:tc>
        <w:tc>
          <w:tcPr>
            <w:tcW w:w="180" w:type="dxa"/>
            <w:vAlign w:val="bottom"/>
            <w:shd w:val="clear" w:color="auto" w:fill="0066BA"/>
          </w:tcPr>
          <w:p>
            <w:pPr>
              <w:spacing w:after="0"/>
              <w:rPr>
                <w:sz w:val="12"/>
                <w:szCs w:val="12"/>
                <w:color w:val="auto"/>
              </w:rPr>
            </w:pPr>
          </w:p>
        </w:tc>
        <w:tc>
          <w:tcPr>
            <w:tcW w:w="440" w:type="dxa"/>
            <w:vAlign w:val="bottom"/>
            <w:shd w:val="clear" w:color="auto" w:fill="0066BA"/>
          </w:tcPr>
          <w:p>
            <w:pPr>
              <w:spacing w:after="0"/>
              <w:rPr>
                <w:sz w:val="12"/>
                <w:szCs w:val="12"/>
                <w:color w:val="auto"/>
              </w:rPr>
            </w:pPr>
          </w:p>
        </w:tc>
        <w:tc>
          <w:tcPr>
            <w:tcW w:w="80" w:type="dxa"/>
            <w:vAlign w:val="bottom"/>
            <w:shd w:val="clear" w:color="auto" w:fill="0066BA"/>
          </w:tcPr>
          <w:p>
            <w:pPr>
              <w:spacing w:after="0"/>
              <w:rPr>
                <w:sz w:val="12"/>
                <w:szCs w:val="12"/>
                <w:color w:val="auto"/>
              </w:rPr>
            </w:pPr>
          </w:p>
        </w:tc>
        <w:tc>
          <w:tcPr>
            <w:tcW w:w="700" w:type="dxa"/>
            <w:vAlign w:val="bottom"/>
            <w:shd w:val="clear" w:color="auto" w:fill="0066BA"/>
          </w:tcPr>
          <w:p>
            <w:pPr>
              <w:spacing w:after="0"/>
              <w:rPr>
                <w:sz w:val="12"/>
                <w:szCs w:val="12"/>
                <w:color w:val="auto"/>
              </w:rPr>
            </w:pPr>
          </w:p>
        </w:tc>
        <w:tc>
          <w:tcPr>
            <w:tcW w:w="160" w:type="dxa"/>
            <w:vAlign w:val="bottom"/>
            <w:shd w:val="clear" w:color="auto" w:fill="0066BA"/>
          </w:tcPr>
          <w:p>
            <w:pPr>
              <w:spacing w:after="0"/>
              <w:rPr>
                <w:sz w:val="12"/>
                <w:szCs w:val="12"/>
                <w:color w:val="auto"/>
              </w:rPr>
            </w:pPr>
          </w:p>
        </w:tc>
        <w:tc>
          <w:tcPr>
            <w:tcW w:w="500" w:type="dxa"/>
            <w:vAlign w:val="bottom"/>
            <w:shd w:val="clear" w:color="auto" w:fill="0066BA"/>
          </w:tcPr>
          <w:p>
            <w:pPr>
              <w:spacing w:after="0"/>
              <w:rPr>
                <w:sz w:val="12"/>
                <w:szCs w:val="12"/>
                <w:color w:val="auto"/>
              </w:rPr>
            </w:pPr>
          </w:p>
        </w:tc>
        <w:tc>
          <w:tcPr>
            <w:tcW w:w="100" w:type="dxa"/>
            <w:vAlign w:val="bottom"/>
            <w:shd w:val="clear" w:color="auto" w:fill="0066BA"/>
          </w:tcPr>
          <w:p>
            <w:pPr>
              <w:spacing w:after="0"/>
              <w:rPr>
                <w:sz w:val="12"/>
                <w:szCs w:val="12"/>
                <w:color w:val="auto"/>
              </w:rPr>
            </w:pPr>
          </w:p>
        </w:tc>
        <w:tc>
          <w:tcPr>
            <w:tcW w:w="840" w:type="dxa"/>
            <w:vAlign w:val="bottom"/>
            <w:shd w:val="clear" w:color="auto" w:fill="0066BA"/>
          </w:tcPr>
          <w:p>
            <w:pPr>
              <w:spacing w:after="0"/>
              <w:rPr>
                <w:sz w:val="12"/>
                <w:szCs w:val="12"/>
                <w:color w:val="auto"/>
              </w:rPr>
            </w:pPr>
          </w:p>
        </w:tc>
        <w:tc>
          <w:tcPr>
            <w:tcW w:w="120" w:type="dxa"/>
            <w:vAlign w:val="bottom"/>
            <w:shd w:val="clear" w:color="auto" w:fill="0066BA"/>
          </w:tcPr>
          <w:p>
            <w:pPr>
              <w:spacing w:after="0"/>
              <w:rPr>
                <w:sz w:val="12"/>
                <w:szCs w:val="12"/>
                <w:color w:val="auto"/>
              </w:rPr>
            </w:pPr>
          </w:p>
        </w:tc>
        <w:tc>
          <w:tcPr>
            <w:tcW w:w="980" w:type="dxa"/>
            <w:vAlign w:val="bottom"/>
            <w:gridSpan w:val="2"/>
            <w:shd w:val="clear" w:color="auto" w:fill="0066BA"/>
          </w:tcPr>
          <w:p>
            <w:pPr>
              <w:jc w:val="right"/>
              <w:ind w:right="80"/>
              <w:spacing w:after="0"/>
              <w:rPr>
                <w:sz w:val="20"/>
                <w:szCs w:val="20"/>
                <w:color w:val="auto"/>
              </w:rPr>
            </w:pPr>
            <w:r>
              <w:rPr>
                <w:rFonts w:ascii="Arial" w:cs="Arial" w:eastAsia="Arial" w:hAnsi="Arial"/>
                <w:sz w:val="12"/>
                <w:szCs w:val="12"/>
                <w:b w:val="1"/>
                <w:bCs w:val="1"/>
                <w:color w:val="FFFFFF"/>
              </w:rPr>
              <w:t>Grant Date</w:t>
            </w:r>
          </w:p>
        </w:tc>
        <w:tc>
          <w:tcPr>
            <w:tcW w:w="0" w:type="dxa"/>
            <w:vAlign w:val="bottom"/>
          </w:tcPr>
          <w:p>
            <w:pPr>
              <w:spacing w:after="0"/>
              <w:rPr>
                <w:sz w:val="1"/>
                <w:szCs w:val="1"/>
                <w:color w:val="auto"/>
              </w:rPr>
            </w:pPr>
          </w:p>
        </w:tc>
      </w:tr>
      <w:tr>
        <w:trPr>
          <w:trHeight w:val="130"/>
        </w:trPr>
        <w:tc>
          <w:tcPr>
            <w:tcW w:w="2660" w:type="dxa"/>
            <w:vAlign w:val="bottom"/>
            <w:shd w:val="clear" w:color="auto" w:fill="0066BA"/>
          </w:tcPr>
          <w:p>
            <w:pPr>
              <w:spacing w:after="0"/>
              <w:rPr>
                <w:sz w:val="11"/>
                <w:szCs w:val="11"/>
                <w:color w:val="auto"/>
              </w:rPr>
            </w:pPr>
          </w:p>
        </w:tc>
        <w:tc>
          <w:tcPr>
            <w:tcW w:w="120" w:type="dxa"/>
            <w:vAlign w:val="bottom"/>
            <w:shd w:val="clear" w:color="auto" w:fill="0066BA"/>
          </w:tcPr>
          <w:p>
            <w:pPr>
              <w:spacing w:after="0"/>
              <w:rPr>
                <w:sz w:val="11"/>
                <w:szCs w:val="11"/>
                <w:color w:val="auto"/>
              </w:rPr>
            </w:pPr>
          </w:p>
        </w:tc>
        <w:tc>
          <w:tcPr>
            <w:tcW w:w="78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1140" w:type="dxa"/>
            <w:vAlign w:val="bottom"/>
            <w:shd w:val="clear" w:color="auto" w:fill="0066BA"/>
          </w:tcPr>
          <w:p>
            <w:pPr>
              <w:spacing w:after="0"/>
              <w:rPr>
                <w:sz w:val="11"/>
                <w:szCs w:val="11"/>
                <w:color w:val="auto"/>
              </w:rPr>
            </w:pPr>
          </w:p>
        </w:tc>
        <w:tc>
          <w:tcPr>
            <w:tcW w:w="120" w:type="dxa"/>
            <w:vAlign w:val="bottom"/>
            <w:shd w:val="clear" w:color="auto" w:fill="0066BA"/>
          </w:tcPr>
          <w:p>
            <w:pPr>
              <w:spacing w:after="0"/>
              <w:rPr>
                <w:sz w:val="11"/>
                <w:szCs w:val="11"/>
                <w:color w:val="auto"/>
              </w:rPr>
            </w:pPr>
          </w:p>
        </w:tc>
        <w:tc>
          <w:tcPr>
            <w:tcW w:w="48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700" w:type="dxa"/>
            <w:vAlign w:val="bottom"/>
            <w:shd w:val="clear" w:color="auto" w:fill="0066BA"/>
          </w:tcPr>
          <w:p>
            <w:pPr>
              <w:spacing w:after="0"/>
              <w:rPr>
                <w:sz w:val="11"/>
                <w:szCs w:val="11"/>
                <w:color w:val="auto"/>
              </w:rPr>
            </w:pPr>
          </w:p>
        </w:tc>
        <w:tc>
          <w:tcPr>
            <w:tcW w:w="180" w:type="dxa"/>
            <w:vAlign w:val="bottom"/>
            <w:shd w:val="clear" w:color="auto" w:fill="0066BA"/>
          </w:tcPr>
          <w:p>
            <w:pPr>
              <w:spacing w:after="0"/>
              <w:rPr>
                <w:sz w:val="11"/>
                <w:szCs w:val="11"/>
                <w:color w:val="auto"/>
              </w:rPr>
            </w:pPr>
          </w:p>
        </w:tc>
        <w:tc>
          <w:tcPr>
            <w:tcW w:w="44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700" w:type="dxa"/>
            <w:vAlign w:val="bottom"/>
            <w:shd w:val="clear" w:color="auto" w:fill="0066BA"/>
          </w:tcPr>
          <w:p>
            <w:pPr>
              <w:spacing w:after="0"/>
              <w:rPr>
                <w:sz w:val="11"/>
                <w:szCs w:val="11"/>
                <w:color w:val="auto"/>
              </w:rPr>
            </w:pPr>
          </w:p>
        </w:tc>
        <w:tc>
          <w:tcPr>
            <w:tcW w:w="160" w:type="dxa"/>
            <w:vAlign w:val="bottom"/>
            <w:shd w:val="clear" w:color="auto" w:fill="0066BA"/>
          </w:tcPr>
          <w:p>
            <w:pPr>
              <w:spacing w:after="0"/>
              <w:rPr>
                <w:sz w:val="11"/>
                <w:szCs w:val="11"/>
                <w:color w:val="auto"/>
              </w:rPr>
            </w:pPr>
          </w:p>
        </w:tc>
        <w:tc>
          <w:tcPr>
            <w:tcW w:w="50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840" w:type="dxa"/>
            <w:vAlign w:val="bottom"/>
            <w:shd w:val="clear" w:color="auto" w:fill="0066BA"/>
          </w:tcPr>
          <w:p>
            <w:pPr>
              <w:spacing w:after="0"/>
              <w:rPr>
                <w:sz w:val="11"/>
                <w:szCs w:val="11"/>
                <w:color w:val="auto"/>
              </w:rPr>
            </w:pPr>
          </w:p>
        </w:tc>
        <w:tc>
          <w:tcPr>
            <w:tcW w:w="120" w:type="dxa"/>
            <w:vAlign w:val="bottom"/>
            <w:shd w:val="clear" w:color="auto" w:fill="0066BA"/>
          </w:tcPr>
          <w:p>
            <w:pPr>
              <w:spacing w:after="0"/>
              <w:rPr>
                <w:sz w:val="11"/>
                <w:szCs w:val="11"/>
                <w:color w:val="auto"/>
              </w:rPr>
            </w:pPr>
          </w:p>
        </w:tc>
        <w:tc>
          <w:tcPr>
            <w:tcW w:w="980" w:type="dxa"/>
            <w:vAlign w:val="bottom"/>
            <w:gridSpan w:val="2"/>
            <w:shd w:val="clear" w:color="auto" w:fill="0066BA"/>
          </w:tcPr>
          <w:p>
            <w:pPr>
              <w:jc w:val="right"/>
              <w:ind w:right="80"/>
              <w:spacing w:after="0" w:line="130" w:lineRule="exact"/>
              <w:rPr>
                <w:sz w:val="20"/>
                <w:szCs w:val="20"/>
                <w:color w:val="auto"/>
              </w:rPr>
            </w:pPr>
            <w:r>
              <w:rPr>
                <w:rFonts w:ascii="Arial" w:cs="Arial" w:eastAsia="Arial" w:hAnsi="Arial"/>
                <w:sz w:val="12"/>
                <w:szCs w:val="12"/>
                <w:b w:val="1"/>
                <w:bCs w:val="1"/>
                <w:color w:val="FFFFFF"/>
              </w:rPr>
              <w:t>Fair Value at</w:t>
            </w:r>
          </w:p>
        </w:tc>
        <w:tc>
          <w:tcPr>
            <w:tcW w:w="0" w:type="dxa"/>
            <w:vAlign w:val="bottom"/>
          </w:tcPr>
          <w:p>
            <w:pPr>
              <w:spacing w:after="0"/>
              <w:rPr>
                <w:sz w:val="1"/>
                <w:szCs w:val="1"/>
                <w:color w:val="auto"/>
              </w:rPr>
            </w:pPr>
          </w:p>
        </w:tc>
      </w:tr>
      <w:tr>
        <w:trPr>
          <w:trHeight w:val="130"/>
        </w:trPr>
        <w:tc>
          <w:tcPr>
            <w:tcW w:w="2660" w:type="dxa"/>
            <w:vAlign w:val="bottom"/>
            <w:shd w:val="clear" w:color="auto" w:fill="0066BA"/>
          </w:tcPr>
          <w:p>
            <w:pPr>
              <w:spacing w:after="0"/>
              <w:rPr>
                <w:sz w:val="11"/>
                <w:szCs w:val="11"/>
                <w:color w:val="auto"/>
              </w:rPr>
            </w:pPr>
          </w:p>
        </w:tc>
        <w:tc>
          <w:tcPr>
            <w:tcW w:w="120" w:type="dxa"/>
            <w:vAlign w:val="bottom"/>
            <w:shd w:val="clear" w:color="auto" w:fill="0066BA"/>
          </w:tcPr>
          <w:p>
            <w:pPr>
              <w:spacing w:after="0"/>
              <w:rPr>
                <w:sz w:val="11"/>
                <w:szCs w:val="11"/>
                <w:color w:val="auto"/>
              </w:rPr>
            </w:pPr>
          </w:p>
        </w:tc>
        <w:tc>
          <w:tcPr>
            <w:tcW w:w="78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1140" w:type="dxa"/>
            <w:vAlign w:val="bottom"/>
            <w:shd w:val="clear" w:color="auto" w:fill="0066BA"/>
          </w:tcPr>
          <w:p>
            <w:pPr>
              <w:spacing w:after="0"/>
              <w:rPr>
                <w:sz w:val="11"/>
                <w:szCs w:val="11"/>
                <w:color w:val="auto"/>
              </w:rPr>
            </w:pPr>
          </w:p>
        </w:tc>
        <w:tc>
          <w:tcPr>
            <w:tcW w:w="120" w:type="dxa"/>
            <w:vAlign w:val="bottom"/>
            <w:shd w:val="clear" w:color="auto" w:fill="0066BA"/>
          </w:tcPr>
          <w:p>
            <w:pPr>
              <w:spacing w:after="0"/>
              <w:rPr>
                <w:sz w:val="11"/>
                <w:szCs w:val="11"/>
                <w:color w:val="auto"/>
              </w:rPr>
            </w:pPr>
          </w:p>
        </w:tc>
        <w:tc>
          <w:tcPr>
            <w:tcW w:w="48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700" w:type="dxa"/>
            <w:vAlign w:val="bottom"/>
            <w:shd w:val="clear" w:color="auto" w:fill="0066BA"/>
          </w:tcPr>
          <w:p>
            <w:pPr>
              <w:spacing w:after="0"/>
              <w:rPr>
                <w:sz w:val="11"/>
                <w:szCs w:val="11"/>
                <w:color w:val="auto"/>
              </w:rPr>
            </w:pPr>
          </w:p>
        </w:tc>
        <w:tc>
          <w:tcPr>
            <w:tcW w:w="180" w:type="dxa"/>
            <w:vAlign w:val="bottom"/>
            <w:shd w:val="clear" w:color="auto" w:fill="0066BA"/>
          </w:tcPr>
          <w:p>
            <w:pPr>
              <w:spacing w:after="0"/>
              <w:rPr>
                <w:sz w:val="11"/>
                <w:szCs w:val="11"/>
                <w:color w:val="auto"/>
              </w:rPr>
            </w:pPr>
          </w:p>
        </w:tc>
        <w:tc>
          <w:tcPr>
            <w:tcW w:w="44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700" w:type="dxa"/>
            <w:vAlign w:val="bottom"/>
            <w:shd w:val="clear" w:color="auto" w:fill="0066BA"/>
          </w:tcPr>
          <w:p>
            <w:pPr>
              <w:spacing w:after="0"/>
              <w:rPr>
                <w:sz w:val="11"/>
                <w:szCs w:val="11"/>
                <w:color w:val="auto"/>
              </w:rPr>
            </w:pPr>
          </w:p>
        </w:tc>
        <w:tc>
          <w:tcPr>
            <w:tcW w:w="160" w:type="dxa"/>
            <w:vAlign w:val="bottom"/>
            <w:shd w:val="clear" w:color="auto" w:fill="0066BA"/>
          </w:tcPr>
          <w:p>
            <w:pPr>
              <w:spacing w:after="0"/>
              <w:rPr>
                <w:sz w:val="11"/>
                <w:szCs w:val="11"/>
                <w:color w:val="auto"/>
              </w:rPr>
            </w:pPr>
          </w:p>
        </w:tc>
        <w:tc>
          <w:tcPr>
            <w:tcW w:w="50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840" w:type="dxa"/>
            <w:vAlign w:val="bottom"/>
            <w:shd w:val="clear" w:color="auto" w:fill="0066BA"/>
          </w:tcPr>
          <w:p>
            <w:pPr>
              <w:spacing w:after="0"/>
              <w:rPr>
                <w:sz w:val="11"/>
                <w:szCs w:val="11"/>
                <w:color w:val="auto"/>
              </w:rPr>
            </w:pPr>
          </w:p>
        </w:tc>
        <w:tc>
          <w:tcPr>
            <w:tcW w:w="120" w:type="dxa"/>
            <w:vAlign w:val="bottom"/>
            <w:shd w:val="clear" w:color="auto" w:fill="0066BA"/>
          </w:tcPr>
          <w:p>
            <w:pPr>
              <w:spacing w:after="0"/>
              <w:rPr>
                <w:sz w:val="11"/>
                <w:szCs w:val="11"/>
                <w:color w:val="auto"/>
              </w:rPr>
            </w:pPr>
          </w:p>
        </w:tc>
        <w:tc>
          <w:tcPr>
            <w:tcW w:w="980" w:type="dxa"/>
            <w:vAlign w:val="bottom"/>
            <w:gridSpan w:val="2"/>
            <w:shd w:val="clear" w:color="auto" w:fill="0066BA"/>
          </w:tcPr>
          <w:p>
            <w:pPr>
              <w:jc w:val="right"/>
              <w:ind w:right="80"/>
              <w:spacing w:after="0" w:line="130" w:lineRule="exact"/>
              <w:rPr>
                <w:sz w:val="20"/>
                <w:szCs w:val="20"/>
                <w:color w:val="auto"/>
              </w:rPr>
            </w:pPr>
            <w:r>
              <w:rPr>
                <w:rFonts w:ascii="Arial" w:cs="Arial" w:eastAsia="Arial" w:hAnsi="Arial"/>
                <w:sz w:val="12"/>
                <w:szCs w:val="12"/>
                <w:b w:val="1"/>
                <w:bCs w:val="1"/>
                <w:color w:val="FFFFFF"/>
              </w:rPr>
              <w:t>Maximum</w:t>
            </w:r>
          </w:p>
        </w:tc>
        <w:tc>
          <w:tcPr>
            <w:tcW w:w="0" w:type="dxa"/>
            <w:vAlign w:val="bottom"/>
          </w:tcPr>
          <w:p>
            <w:pPr>
              <w:spacing w:after="0"/>
              <w:rPr>
                <w:sz w:val="1"/>
                <w:szCs w:val="1"/>
                <w:color w:val="auto"/>
              </w:rPr>
            </w:pPr>
          </w:p>
        </w:tc>
      </w:tr>
      <w:tr>
        <w:trPr>
          <w:trHeight w:val="130"/>
        </w:trPr>
        <w:tc>
          <w:tcPr>
            <w:tcW w:w="2660" w:type="dxa"/>
            <w:vAlign w:val="bottom"/>
            <w:shd w:val="clear" w:color="auto" w:fill="0066BA"/>
          </w:tcPr>
          <w:p>
            <w:pPr>
              <w:spacing w:after="0"/>
              <w:rPr>
                <w:sz w:val="11"/>
                <w:szCs w:val="11"/>
                <w:color w:val="auto"/>
              </w:rPr>
            </w:pPr>
          </w:p>
        </w:tc>
        <w:tc>
          <w:tcPr>
            <w:tcW w:w="120" w:type="dxa"/>
            <w:vAlign w:val="bottom"/>
            <w:shd w:val="clear" w:color="auto" w:fill="0066BA"/>
          </w:tcPr>
          <w:p>
            <w:pPr>
              <w:spacing w:after="0"/>
              <w:rPr>
                <w:sz w:val="11"/>
                <w:szCs w:val="11"/>
                <w:color w:val="auto"/>
              </w:rPr>
            </w:pPr>
          </w:p>
        </w:tc>
        <w:tc>
          <w:tcPr>
            <w:tcW w:w="78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1140" w:type="dxa"/>
            <w:vAlign w:val="bottom"/>
            <w:shd w:val="clear" w:color="auto" w:fill="0066BA"/>
          </w:tcPr>
          <w:p>
            <w:pPr>
              <w:jc w:val="right"/>
              <w:ind w:right="344"/>
              <w:spacing w:after="0" w:line="130" w:lineRule="exact"/>
              <w:rPr>
                <w:sz w:val="20"/>
                <w:szCs w:val="20"/>
                <w:color w:val="auto"/>
              </w:rPr>
            </w:pPr>
            <w:r>
              <w:rPr>
                <w:rFonts w:ascii="Arial" w:cs="Arial" w:eastAsia="Arial" w:hAnsi="Arial"/>
                <w:sz w:val="12"/>
                <w:szCs w:val="12"/>
                <w:b w:val="1"/>
                <w:bCs w:val="1"/>
                <w:color w:val="FFFFFF"/>
              </w:rPr>
              <w:t>Options/</w:t>
            </w:r>
          </w:p>
        </w:tc>
        <w:tc>
          <w:tcPr>
            <w:tcW w:w="120" w:type="dxa"/>
            <w:vAlign w:val="bottom"/>
            <w:shd w:val="clear" w:color="auto" w:fill="0066BA"/>
          </w:tcPr>
          <w:p>
            <w:pPr>
              <w:spacing w:after="0"/>
              <w:rPr>
                <w:sz w:val="11"/>
                <w:szCs w:val="11"/>
                <w:color w:val="auto"/>
              </w:rPr>
            </w:pPr>
          </w:p>
        </w:tc>
        <w:tc>
          <w:tcPr>
            <w:tcW w:w="48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700" w:type="dxa"/>
            <w:vAlign w:val="bottom"/>
            <w:shd w:val="clear" w:color="auto" w:fill="0066BA"/>
          </w:tcPr>
          <w:p>
            <w:pPr>
              <w:spacing w:after="0"/>
              <w:rPr>
                <w:sz w:val="11"/>
                <w:szCs w:val="11"/>
                <w:color w:val="auto"/>
              </w:rPr>
            </w:pPr>
          </w:p>
        </w:tc>
        <w:tc>
          <w:tcPr>
            <w:tcW w:w="180" w:type="dxa"/>
            <w:vAlign w:val="bottom"/>
            <w:shd w:val="clear" w:color="auto" w:fill="0066BA"/>
          </w:tcPr>
          <w:p>
            <w:pPr>
              <w:spacing w:after="0"/>
              <w:rPr>
                <w:sz w:val="11"/>
                <w:szCs w:val="11"/>
                <w:color w:val="auto"/>
              </w:rPr>
            </w:pPr>
          </w:p>
        </w:tc>
        <w:tc>
          <w:tcPr>
            <w:tcW w:w="44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700" w:type="dxa"/>
            <w:vAlign w:val="bottom"/>
            <w:shd w:val="clear" w:color="auto" w:fill="0066BA"/>
          </w:tcPr>
          <w:p>
            <w:pPr>
              <w:jc w:val="right"/>
              <w:ind w:right="4"/>
              <w:spacing w:after="0" w:line="130" w:lineRule="exact"/>
              <w:rPr>
                <w:sz w:val="20"/>
                <w:szCs w:val="20"/>
                <w:color w:val="auto"/>
              </w:rPr>
            </w:pPr>
            <w:r>
              <w:rPr>
                <w:rFonts w:ascii="Arial" w:cs="Arial" w:eastAsia="Arial" w:hAnsi="Arial"/>
                <w:sz w:val="12"/>
                <w:szCs w:val="12"/>
                <w:b w:val="1"/>
                <w:bCs w:val="1"/>
                <w:color w:val="FFFFFF"/>
              </w:rPr>
              <w:t>Risk-</w:t>
            </w:r>
          </w:p>
        </w:tc>
        <w:tc>
          <w:tcPr>
            <w:tcW w:w="160" w:type="dxa"/>
            <w:vAlign w:val="bottom"/>
            <w:shd w:val="clear" w:color="auto" w:fill="0066BA"/>
          </w:tcPr>
          <w:p>
            <w:pPr>
              <w:spacing w:after="0"/>
              <w:rPr>
                <w:sz w:val="11"/>
                <w:szCs w:val="11"/>
                <w:color w:val="auto"/>
              </w:rPr>
            </w:pPr>
          </w:p>
        </w:tc>
        <w:tc>
          <w:tcPr>
            <w:tcW w:w="50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840" w:type="dxa"/>
            <w:vAlign w:val="bottom"/>
            <w:shd w:val="clear" w:color="auto" w:fill="0066BA"/>
          </w:tcPr>
          <w:p>
            <w:pPr>
              <w:jc w:val="right"/>
              <w:ind w:right="4"/>
              <w:spacing w:after="0" w:line="130" w:lineRule="exact"/>
              <w:rPr>
                <w:sz w:val="20"/>
                <w:szCs w:val="20"/>
                <w:color w:val="auto"/>
              </w:rPr>
            </w:pPr>
            <w:r>
              <w:rPr>
                <w:rFonts w:ascii="Arial" w:cs="Arial" w:eastAsia="Arial" w:hAnsi="Arial"/>
                <w:sz w:val="12"/>
                <w:szCs w:val="12"/>
                <w:b w:val="1"/>
                <w:bCs w:val="1"/>
                <w:color w:val="FFFFFF"/>
              </w:rPr>
              <w:t>Grant Date</w:t>
            </w:r>
          </w:p>
        </w:tc>
        <w:tc>
          <w:tcPr>
            <w:tcW w:w="120" w:type="dxa"/>
            <w:vAlign w:val="bottom"/>
            <w:shd w:val="clear" w:color="auto" w:fill="0066BA"/>
          </w:tcPr>
          <w:p>
            <w:pPr>
              <w:spacing w:after="0"/>
              <w:rPr>
                <w:sz w:val="11"/>
                <w:szCs w:val="11"/>
                <w:color w:val="auto"/>
              </w:rPr>
            </w:pPr>
          </w:p>
        </w:tc>
        <w:tc>
          <w:tcPr>
            <w:tcW w:w="980" w:type="dxa"/>
            <w:vAlign w:val="bottom"/>
            <w:gridSpan w:val="2"/>
            <w:shd w:val="clear" w:color="auto" w:fill="0066BA"/>
          </w:tcPr>
          <w:p>
            <w:pPr>
              <w:jc w:val="right"/>
              <w:ind w:right="80"/>
              <w:spacing w:after="0" w:line="130" w:lineRule="exact"/>
              <w:rPr>
                <w:sz w:val="20"/>
                <w:szCs w:val="20"/>
                <w:color w:val="auto"/>
              </w:rPr>
            </w:pPr>
            <w:r>
              <w:rPr>
                <w:rFonts w:ascii="Arial" w:cs="Arial" w:eastAsia="Arial" w:hAnsi="Arial"/>
                <w:sz w:val="12"/>
                <w:szCs w:val="12"/>
                <w:b w:val="1"/>
                <w:bCs w:val="1"/>
                <w:color w:val="FFFFFF"/>
              </w:rPr>
              <w:t>Achievement</w:t>
            </w:r>
          </w:p>
        </w:tc>
        <w:tc>
          <w:tcPr>
            <w:tcW w:w="0" w:type="dxa"/>
            <w:vAlign w:val="bottom"/>
          </w:tcPr>
          <w:p>
            <w:pPr>
              <w:spacing w:after="0"/>
              <w:rPr>
                <w:sz w:val="1"/>
                <w:szCs w:val="1"/>
                <w:color w:val="auto"/>
              </w:rPr>
            </w:pPr>
          </w:p>
        </w:tc>
      </w:tr>
      <w:tr>
        <w:trPr>
          <w:trHeight w:val="130"/>
        </w:trPr>
        <w:tc>
          <w:tcPr>
            <w:tcW w:w="2660" w:type="dxa"/>
            <w:vAlign w:val="bottom"/>
            <w:shd w:val="clear" w:color="auto" w:fill="0066BA"/>
          </w:tcPr>
          <w:p>
            <w:pPr>
              <w:spacing w:after="0"/>
              <w:rPr>
                <w:sz w:val="11"/>
                <w:szCs w:val="11"/>
                <w:color w:val="auto"/>
              </w:rPr>
            </w:pPr>
          </w:p>
        </w:tc>
        <w:tc>
          <w:tcPr>
            <w:tcW w:w="120" w:type="dxa"/>
            <w:vAlign w:val="bottom"/>
            <w:shd w:val="clear" w:color="auto" w:fill="0066BA"/>
          </w:tcPr>
          <w:p>
            <w:pPr>
              <w:spacing w:after="0"/>
              <w:rPr>
                <w:sz w:val="11"/>
                <w:szCs w:val="11"/>
                <w:color w:val="auto"/>
              </w:rPr>
            </w:pPr>
          </w:p>
        </w:tc>
        <w:tc>
          <w:tcPr>
            <w:tcW w:w="78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1140" w:type="dxa"/>
            <w:vAlign w:val="bottom"/>
            <w:shd w:val="clear" w:color="auto" w:fill="0066BA"/>
          </w:tcPr>
          <w:p>
            <w:pPr>
              <w:jc w:val="right"/>
              <w:ind w:right="344"/>
              <w:spacing w:after="0" w:line="130" w:lineRule="exact"/>
              <w:rPr>
                <w:sz w:val="20"/>
                <w:szCs w:val="20"/>
                <w:color w:val="auto"/>
              </w:rPr>
            </w:pPr>
            <w:r>
              <w:rPr>
                <w:rFonts w:ascii="Arial" w:cs="Arial" w:eastAsia="Arial" w:hAnsi="Arial"/>
                <w:sz w:val="12"/>
                <w:szCs w:val="12"/>
                <w:b w:val="1"/>
                <w:bCs w:val="1"/>
                <w:color w:val="FFFFFF"/>
              </w:rPr>
              <w:t>Restricted</w:t>
            </w:r>
          </w:p>
        </w:tc>
        <w:tc>
          <w:tcPr>
            <w:tcW w:w="120" w:type="dxa"/>
            <w:vAlign w:val="bottom"/>
            <w:shd w:val="clear" w:color="auto" w:fill="0066BA"/>
          </w:tcPr>
          <w:p>
            <w:pPr>
              <w:spacing w:after="0"/>
              <w:rPr>
                <w:sz w:val="11"/>
                <w:szCs w:val="11"/>
                <w:color w:val="auto"/>
              </w:rPr>
            </w:pPr>
          </w:p>
        </w:tc>
        <w:tc>
          <w:tcPr>
            <w:tcW w:w="48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700" w:type="dxa"/>
            <w:vAlign w:val="bottom"/>
            <w:shd w:val="clear" w:color="auto" w:fill="0066BA"/>
          </w:tcPr>
          <w:p>
            <w:pPr>
              <w:spacing w:after="0"/>
              <w:rPr>
                <w:sz w:val="11"/>
                <w:szCs w:val="11"/>
                <w:color w:val="auto"/>
              </w:rPr>
            </w:pPr>
          </w:p>
        </w:tc>
        <w:tc>
          <w:tcPr>
            <w:tcW w:w="700" w:type="dxa"/>
            <w:vAlign w:val="bottom"/>
            <w:gridSpan w:val="3"/>
            <w:shd w:val="clear" w:color="auto" w:fill="0066BA"/>
          </w:tcPr>
          <w:p>
            <w:pPr>
              <w:jc w:val="right"/>
              <w:ind w:right="80"/>
              <w:spacing w:after="0" w:line="130" w:lineRule="exact"/>
              <w:rPr>
                <w:sz w:val="20"/>
                <w:szCs w:val="20"/>
                <w:color w:val="auto"/>
              </w:rPr>
            </w:pPr>
            <w:r>
              <w:rPr>
                <w:rFonts w:ascii="Arial" w:cs="Arial" w:eastAsia="Arial" w:hAnsi="Arial"/>
                <w:sz w:val="12"/>
                <w:szCs w:val="12"/>
                <w:b w:val="1"/>
                <w:bCs w:val="1"/>
                <w:color w:val="FFFFFF"/>
              </w:rPr>
              <w:t>Expected</w:t>
            </w:r>
          </w:p>
        </w:tc>
        <w:tc>
          <w:tcPr>
            <w:tcW w:w="700" w:type="dxa"/>
            <w:vAlign w:val="bottom"/>
            <w:shd w:val="clear" w:color="auto" w:fill="0066BA"/>
          </w:tcPr>
          <w:p>
            <w:pPr>
              <w:jc w:val="right"/>
              <w:ind w:right="4"/>
              <w:spacing w:after="0" w:line="130" w:lineRule="exact"/>
              <w:rPr>
                <w:sz w:val="20"/>
                <w:szCs w:val="20"/>
                <w:color w:val="auto"/>
              </w:rPr>
            </w:pPr>
            <w:r>
              <w:rPr>
                <w:rFonts w:ascii="Arial" w:cs="Arial" w:eastAsia="Arial" w:hAnsi="Arial"/>
                <w:sz w:val="12"/>
                <w:szCs w:val="12"/>
                <w:b w:val="1"/>
                <w:bCs w:val="1"/>
                <w:color w:val="FFFFFF"/>
              </w:rPr>
              <w:t>Free</w:t>
            </w:r>
          </w:p>
        </w:tc>
        <w:tc>
          <w:tcPr>
            <w:tcW w:w="160" w:type="dxa"/>
            <w:vAlign w:val="bottom"/>
            <w:shd w:val="clear" w:color="auto" w:fill="0066BA"/>
          </w:tcPr>
          <w:p>
            <w:pPr>
              <w:spacing w:after="0"/>
              <w:rPr>
                <w:sz w:val="11"/>
                <w:szCs w:val="11"/>
                <w:color w:val="auto"/>
              </w:rPr>
            </w:pPr>
          </w:p>
        </w:tc>
        <w:tc>
          <w:tcPr>
            <w:tcW w:w="50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840" w:type="dxa"/>
            <w:vAlign w:val="bottom"/>
            <w:shd w:val="clear" w:color="auto" w:fill="0066BA"/>
          </w:tcPr>
          <w:p>
            <w:pPr>
              <w:jc w:val="right"/>
              <w:ind w:right="4"/>
              <w:spacing w:after="0" w:line="130" w:lineRule="exact"/>
              <w:rPr>
                <w:sz w:val="20"/>
                <w:szCs w:val="20"/>
                <w:color w:val="auto"/>
              </w:rPr>
            </w:pPr>
            <w:r>
              <w:rPr>
                <w:rFonts w:ascii="Arial" w:cs="Arial" w:eastAsia="Arial" w:hAnsi="Arial"/>
                <w:sz w:val="12"/>
                <w:szCs w:val="12"/>
                <w:b w:val="1"/>
                <w:bCs w:val="1"/>
                <w:color w:val="FFFFFF"/>
              </w:rPr>
              <w:t>Fair Value</w:t>
            </w:r>
          </w:p>
        </w:tc>
        <w:tc>
          <w:tcPr>
            <w:tcW w:w="120" w:type="dxa"/>
            <w:vAlign w:val="bottom"/>
            <w:shd w:val="clear" w:color="auto" w:fill="0066BA"/>
          </w:tcPr>
          <w:p>
            <w:pPr>
              <w:spacing w:after="0"/>
              <w:rPr>
                <w:sz w:val="11"/>
                <w:szCs w:val="11"/>
                <w:color w:val="auto"/>
              </w:rPr>
            </w:pPr>
          </w:p>
        </w:tc>
        <w:tc>
          <w:tcPr>
            <w:tcW w:w="980" w:type="dxa"/>
            <w:vAlign w:val="bottom"/>
            <w:gridSpan w:val="2"/>
            <w:shd w:val="clear" w:color="auto" w:fill="0066BA"/>
          </w:tcPr>
          <w:p>
            <w:pPr>
              <w:jc w:val="right"/>
              <w:ind w:right="80"/>
              <w:spacing w:after="0" w:line="130" w:lineRule="exact"/>
              <w:rPr>
                <w:sz w:val="20"/>
                <w:szCs w:val="20"/>
                <w:color w:val="auto"/>
              </w:rPr>
            </w:pPr>
            <w:r>
              <w:rPr>
                <w:rFonts w:ascii="Arial" w:cs="Arial" w:eastAsia="Arial" w:hAnsi="Arial"/>
                <w:sz w:val="12"/>
                <w:szCs w:val="12"/>
                <w:b w:val="1"/>
                <w:bCs w:val="1"/>
                <w:color w:val="FFFFFF"/>
              </w:rPr>
              <w:t>Level for</w:t>
            </w:r>
          </w:p>
        </w:tc>
        <w:tc>
          <w:tcPr>
            <w:tcW w:w="0" w:type="dxa"/>
            <w:vAlign w:val="bottom"/>
          </w:tcPr>
          <w:p>
            <w:pPr>
              <w:spacing w:after="0"/>
              <w:rPr>
                <w:sz w:val="1"/>
                <w:szCs w:val="1"/>
                <w:color w:val="auto"/>
              </w:rPr>
            </w:pPr>
          </w:p>
        </w:tc>
      </w:tr>
      <w:tr>
        <w:trPr>
          <w:trHeight w:val="130"/>
        </w:trPr>
        <w:tc>
          <w:tcPr>
            <w:tcW w:w="2660" w:type="dxa"/>
            <w:vAlign w:val="bottom"/>
            <w:shd w:val="clear" w:color="auto" w:fill="0066BA"/>
          </w:tcPr>
          <w:p>
            <w:pPr>
              <w:spacing w:after="0"/>
              <w:rPr>
                <w:sz w:val="11"/>
                <w:szCs w:val="11"/>
                <w:color w:val="auto"/>
              </w:rPr>
            </w:pPr>
          </w:p>
        </w:tc>
        <w:tc>
          <w:tcPr>
            <w:tcW w:w="120" w:type="dxa"/>
            <w:vAlign w:val="bottom"/>
            <w:shd w:val="clear" w:color="auto" w:fill="0066BA"/>
          </w:tcPr>
          <w:p>
            <w:pPr>
              <w:spacing w:after="0"/>
              <w:rPr>
                <w:sz w:val="11"/>
                <w:szCs w:val="11"/>
                <w:color w:val="auto"/>
              </w:rPr>
            </w:pPr>
          </w:p>
        </w:tc>
        <w:tc>
          <w:tcPr>
            <w:tcW w:w="78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1140" w:type="dxa"/>
            <w:vAlign w:val="bottom"/>
            <w:shd w:val="clear" w:color="auto" w:fill="0066BA"/>
          </w:tcPr>
          <w:p>
            <w:pPr>
              <w:jc w:val="right"/>
              <w:ind w:right="364"/>
              <w:spacing w:after="0" w:line="130" w:lineRule="exact"/>
              <w:rPr>
                <w:sz w:val="20"/>
                <w:szCs w:val="20"/>
                <w:color w:val="auto"/>
              </w:rPr>
            </w:pPr>
            <w:r>
              <w:rPr>
                <w:rFonts w:ascii="Arial" w:cs="Arial" w:eastAsia="Arial" w:hAnsi="Arial"/>
                <w:sz w:val="12"/>
                <w:szCs w:val="12"/>
                <w:b w:val="1"/>
                <w:bCs w:val="1"/>
                <w:color w:val="FFFFFF"/>
              </w:rPr>
              <w:t>Stock Units</w:t>
            </w:r>
          </w:p>
        </w:tc>
        <w:tc>
          <w:tcPr>
            <w:tcW w:w="120" w:type="dxa"/>
            <w:vAlign w:val="bottom"/>
            <w:shd w:val="clear" w:color="auto" w:fill="0066BA"/>
          </w:tcPr>
          <w:p>
            <w:pPr>
              <w:spacing w:after="0"/>
              <w:rPr>
                <w:sz w:val="11"/>
                <w:szCs w:val="11"/>
                <w:color w:val="auto"/>
              </w:rPr>
            </w:pPr>
          </w:p>
        </w:tc>
        <w:tc>
          <w:tcPr>
            <w:tcW w:w="560" w:type="dxa"/>
            <w:vAlign w:val="bottom"/>
            <w:gridSpan w:val="2"/>
            <w:shd w:val="clear" w:color="auto" w:fill="0066BA"/>
          </w:tcPr>
          <w:p>
            <w:pPr>
              <w:ind w:left="40"/>
              <w:spacing w:after="0" w:line="130" w:lineRule="exact"/>
              <w:rPr>
                <w:sz w:val="20"/>
                <w:szCs w:val="20"/>
                <w:color w:val="auto"/>
              </w:rPr>
            </w:pPr>
            <w:r>
              <w:rPr>
                <w:rFonts w:ascii="Arial" w:cs="Arial" w:eastAsia="Arial" w:hAnsi="Arial"/>
                <w:sz w:val="12"/>
                <w:szCs w:val="12"/>
                <w:b w:val="1"/>
                <w:bCs w:val="1"/>
                <w:color w:val="FFFFFF"/>
              </w:rPr>
              <w:t>Exercise</w:t>
            </w:r>
          </w:p>
        </w:tc>
        <w:tc>
          <w:tcPr>
            <w:tcW w:w="700" w:type="dxa"/>
            <w:vAlign w:val="bottom"/>
            <w:shd w:val="clear" w:color="auto" w:fill="0066BA"/>
          </w:tcPr>
          <w:p>
            <w:pPr>
              <w:jc w:val="right"/>
              <w:ind w:right="3"/>
              <w:spacing w:after="0" w:line="130" w:lineRule="exact"/>
              <w:rPr>
                <w:sz w:val="20"/>
                <w:szCs w:val="20"/>
                <w:color w:val="auto"/>
              </w:rPr>
            </w:pPr>
            <w:r>
              <w:rPr>
                <w:rFonts w:ascii="Arial" w:cs="Arial" w:eastAsia="Arial" w:hAnsi="Arial"/>
                <w:sz w:val="12"/>
                <w:szCs w:val="12"/>
                <w:b w:val="1"/>
                <w:bCs w:val="1"/>
                <w:color w:val="FFFFFF"/>
              </w:rPr>
              <w:t>Volatility</w:t>
            </w:r>
          </w:p>
        </w:tc>
        <w:tc>
          <w:tcPr>
            <w:tcW w:w="180" w:type="dxa"/>
            <w:vAlign w:val="bottom"/>
            <w:shd w:val="clear" w:color="auto" w:fill="0066BA"/>
          </w:tcPr>
          <w:p>
            <w:pPr>
              <w:spacing w:after="0"/>
              <w:rPr>
                <w:sz w:val="11"/>
                <w:szCs w:val="11"/>
                <w:color w:val="auto"/>
              </w:rPr>
            </w:pPr>
          </w:p>
        </w:tc>
        <w:tc>
          <w:tcPr>
            <w:tcW w:w="520" w:type="dxa"/>
            <w:vAlign w:val="bottom"/>
            <w:gridSpan w:val="2"/>
            <w:shd w:val="clear" w:color="auto" w:fill="0066BA"/>
          </w:tcPr>
          <w:p>
            <w:pPr>
              <w:jc w:val="right"/>
              <w:ind w:right="80"/>
              <w:spacing w:after="0" w:line="130" w:lineRule="exact"/>
              <w:rPr>
                <w:sz w:val="20"/>
                <w:szCs w:val="20"/>
                <w:color w:val="auto"/>
              </w:rPr>
            </w:pPr>
            <w:r>
              <w:rPr>
                <w:rFonts w:ascii="Arial" w:cs="Arial" w:eastAsia="Arial" w:hAnsi="Arial"/>
                <w:sz w:val="12"/>
                <w:szCs w:val="12"/>
                <w:b w:val="1"/>
                <w:bCs w:val="1"/>
                <w:color w:val="FFFFFF"/>
              </w:rPr>
              <w:t>Life</w:t>
            </w:r>
          </w:p>
        </w:tc>
        <w:tc>
          <w:tcPr>
            <w:tcW w:w="700" w:type="dxa"/>
            <w:vAlign w:val="bottom"/>
            <w:shd w:val="clear" w:color="auto" w:fill="0066BA"/>
          </w:tcPr>
          <w:p>
            <w:pPr>
              <w:jc w:val="right"/>
              <w:ind w:right="4"/>
              <w:spacing w:after="0" w:line="130" w:lineRule="exact"/>
              <w:rPr>
                <w:sz w:val="20"/>
                <w:szCs w:val="20"/>
                <w:color w:val="auto"/>
              </w:rPr>
            </w:pPr>
            <w:r>
              <w:rPr>
                <w:rFonts w:ascii="Arial" w:cs="Arial" w:eastAsia="Arial" w:hAnsi="Arial"/>
                <w:sz w:val="12"/>
                <w:szCs w:val="12"/>
                <w:b w:val="1"/>
                <w:bCs w:val="1"/>
                <w:color w:val="FFFFFF"/>
              </w:rPr>
              <w:t>Interest</w:t>
            </w:r>
          </w:p>
        </w:tc>
        <w:tc>
          <w:tcPr>
            <w:tcW w:w="160" w:type="dxa"/>
            <w:vAlign w:val="bottom"/>
            <w:shd w:val="clear" w:color="auto" w:fill="0066BA"/>
          </w:tcPr>
          <w:p>
            <w:pPr>
              <w:spacing w:after="0"/>
              <w:rPr>
                <w:sz w:val="11"/>
                <w:szCs w:val="11"/>
                <w:color w:val="auto"/>
              </w:rPr>
            </w:pPr>
          </w:p>
        </w:tc>
        <w:tc>
          <w:tcPr>
            <w:tcW w:w="600" w:type="dxa"/>
            <w:vAlign w:val="bottom"/>
            <w:gridSpan w:val="2"/>
            <w:shd w:val="clear" w:color="auto" w:fill="0066BA"/>
          </w:tcPr>
          <w:p>
            <w:pPr>
              <w:jc w:val="right"/>
              <w:ind w:right="100"/>
              <w:spacing w:after="0" w:line="130" w:lineRule="exact"/>
              <w:rPr>
                <w:sz w:val="20"/>
                <w:szCs w:val="20"/>
                <w:color w:val="auto"/>
              </w:rPr>
            </w:pPr>
            <w:r>
              <w:rPr>
                <w:rFonts w:ascii="Arial" w:cs="Arial" w:eastAsia="Arial" w:hAnsi="Arial"/>
                <w:sz w:val="12"/>
                <w:szCs w:val="12"/>
                <w:b w:val="1"/>
                <w:bCs w:val="1"/>
                <w:color w:val="FFFFFF"/>
                <w:w w:val="94"/>
              </w:rPr>
              <w:t>Dividend</w:t>
            </w:r>
          </w:p>
        </w:tc>
        <w:tc>
          <w:tcPr>
            <w:tcW w:w="840" w:type="dxa"/>
            <w:vAlign w:val="bottom"/>
            <w:shd w:val="clear" w:color="auto" w:fill="0066BA"/>
          </w:tcPr>
          <w:p>
            <w:pPr>
              <w:jc w:val="right"/>
              <w:ind w:right="4"/>
              <w:spacing w:after="0" w:line="130" w:lineRule="exact"/>
              <w:rPr>
                <w:sz w:val="20"/>
                <w:szCs w:val="20"/>
                <w:color w:val="auto"/>
              </w:rPr>
            </w:pPr>
            <w:r>
              <w:rPr>
                <w:rFonts w:ascii="Arial" w:cs="Arial" w:eastAsia="Arial" w:hAnsi="Arial"/>
                <w:sz w:val="12"/>
                <w:szCs w:val="12"/>
                <w:b w:val="1"/>
                <w:bCs w:val="1"/>
                <w:color w:val="FFFFFF"/>
              </w:rPr>
              <w:t>($) Per</w:t>
            </w:r>
          </w:p>
        </w:tc>
        <w:tc>
          <w:tcPr>
            <w:tcW w:w="120" w:type="dxa"/>
            <w:vAlign w:val="bottom"/>
            <w:shd w:val="clear" w:color="auto" w:fill="0066BA"/>
          </w:tcPr>
          <w:p>
            <w:pPr>
              <w:spacing w:after="0"/>
              <w:rPr>
                <w:sz w:val="11"/>
                <w:szCs w:val="11"/>
                <w:color w:val="auto"/>
              </w:rPr>
            </w:pPr>
          </w:p>
        </w:tc>
        <w:tc>
          <w:tcPr>
            <w:tcW w:w="980" w:type="dxa"/>
            <w:vAlign w:val="bottom"/>
            <w:gridSpan w:val="2"/>
            <w:shd w:val="clear" w:color="auto" w:fill="0066BA"/>
          </w:tcPr>
          <w:p>
            <w:pPr>
              <w:jc w:val="right"/>
              <w:ind w:right="80"/>
              <w:spacing w:after="0" w:line="130" w:lineRule="exact"/>
              <w:rPr>
                <w:sz w:val="20"/>
                <w:szCs w:val="20"/>
                <w:color w:val="auto"/>
              </w:rPr>
            </w:pPr>
            <w:r>
              <w:rPr>
                <w:rFonts w:ascii="Arial" w:cs="Arial" w:eastAsia="Arial" w:hAnsi="Arial"/>
                <w:sz w:val="12"/>
                <w:szCs w:val="12"/>
                <w:b w:val="1"/>
                <w:bCs w:val="1"/>
                <w:color w:val="FFFFFF"/>
              </w:rPr>
              <w:t>Performance</w:t>
            </w:r>
          </w:p>
        </w:tc>
        <w:tc>
          <w:tcPr>
            <w:tcW w:w="0" w:type="dxa"/>
            <w:vAlign w:val="bottom"/>
          </w:tcPr>
          <w:p>
            <w:pPr>
              <w:spacing w:after="0"/>
              <w:rPr>
                <w:sz w:val="1"/>
                <w:szCs w:val="1"/>
                <w:color w:val="auto"/>
              </w:rPr>
            </w:pPr>
          </w:p>
        </w:tc>
      </w:tr>
      <w:tr>
        <w:trPr>
          <w:trHeight w:val="171"/>
        </w:trPr>
        <w:tc>
          <w:tcPr>
            <w:tcW w:w="2660" w:type="dxa"/>
            <w:vAlign w:val="bottom"/>
            <w:shd w:val="clear" w:color="auto" w:fill="0066BA"/>
          </w:tcPr>
          <w:p>
            <w:pPr>
              <w:ind w:left="60"/>
              <w:spacing w:after="0"/>
              <w:rPr>
                <w:sz w:val="20"/>
                <w:szCs w:val="20"/>
                <w:color w:val="auto"/>
              </w:rPr>
            </w:pPr>
            <w:r>
              <w:rPr>
                <w:rFonts w:ascii="Arial" w:cs="Arial" w:eastAsia="Arial" w:hAnsi="Arial"/>
                <w:sz w:val="12"/>
                <w:szCs w:val="12"/>
                <w:b w:val="1"/>
                <w:bCs w:val="1"/>
                <w:color w:val="FFFFFF"/>
              </w:rPr>
              <w:t>Name</w:t>
            </w:r>
          </w:p>
        </w:tc>
        <w:tc>
          <w:tcPr>
            <w:tcW w:w="120" w:type="dxa"/>
            <w:vAlign w:val="bottom"/>
            <w:shd w:val="clear" w:color="auto" w:fill="0066BA"/>
          </w:tcPr>
          <w:p>
            <w:pPr>
              <w:spacing w:after="0"/>
              <w:rPr>
                <w:sz w:val="14"/>
                <w:szCs w:val="14"/>
                <w:color w:val="auto"/>
              </w:rPr>
            </w:pPr>
          </w:p>
        </w:tc>
        <w:tc>
          <w:tcPr>
            <w:tcW w:w="880" w:type="dxa"/>
            <w:vAlign w:val="bottom"/>
            <w:gridSpan w:val="2"/>
            <w:shd w:val="clear" w:color="auto" w:fill="0066BA"/>
          </w:tcPr>
          <w:p>
            <w:pPr>
              <w:jc w:val="right"/>
              <w:ind w:right="80"/>
              <w:spacing w:after="0"/>
              <w:rPr>
                <w:sz w:val="20"/>
                <w:szCs w:val="20"/>
                <w:color w:val="auto"/>
              </w:rPr>
            </w:pPr>
            <w:r>
              <w:rPr>
                <w:rFonts w:ascii="Arial" w:cs="Arial" w:eastAsia="Arial" w:hAnsi="Arial"/>
                <w:sz w:val="12"/>
                <w:szCs w:val="12"/>
                <w:b w:val="1"/>
                <w:bCs w:val="1"/>
                <w:color w:val="FFFFFF"/>
              </w:rPr>
              <w:t>Grant Date</w:t>
            </w:r>
          </w:p>
        </w:tc>
        <w:tc>
          <w:tcPr>
            <w:tcW w:w="1140" w:type="dxa"/>
            <w:vAlign w:val="bottom"/>
            <w:shd w:val="clear" w:color="auto" w:fill="0066BA"/>
          </w:tcPr>
          <w:p>
            <w:pPr>
              <w:jc w:val="right"/>
              <w:ind w:right="364"/>
              <w:spacing w:after="0"/>
              <w:rPr>
                <w:sz w:val="20"/>
                <w:szCs w:val="20"/>
                <w:color w:val="auto"/>
              </w:rPr>
            </w:pPr>
            <w:r>
              <w:rPr>
                <w:rFonts w:ascii="Arial" w:cs="Arial" w:eastAsia="Arial" w:hAnsi="Arial"/>
                <w:sz w:val="12"/>
                <w:szCs w:val="12"/>
                <w:b w:val="1"/>
                <w:bCs w:val="1"/>
                <w:color w:val="FFFFFF"/>
              </w:rPr>
              <w:t>Granted (#)</w:t>
            </w:r>
          </w:p>
        </w:tc>
        <w:tc>
          <w:tcPr>
            <w:tcW w:w="120" w:type="dxa"/>
            <w:vAlign w:val="bottom"/>
            <w:shd w:val="clear" w:color="auto" w:fill="0066BA"/>
          </w:tcPr>
          <w:p>
            <w:pPr>
              <w:spacing w:after="0"/>
              <w:rPr>
                <w:sz w:val="14"/>
                <w:szCs w:val="14"/>
                <w:color w:val="auto"/>
              </w:rPr>
            </w:pPr>
          </w:p>
        </w:tc>
        <w:tc>
          <w:tcPr>
            <w:tcW w:w="560" w:type="dxa"/>
            <w:vAlign w:val="bottom"/>
            <w:gridSpan w:val="2"/>
            <w:shd w:val="clear" w:color="auto" w:fill="0066BA"/>
          </w:tcPr>
          <w:p>
            <w:pPr>
              <w:ind w:left="40"/>
              <w:spacing w:after="0"/>
              <w:rPr>
                <w:sz w:val="20"/>
                <w:szCs w:val="20"/>
                <w:color w:val="auto"/>
              </w:rPr>
            </w:pPr>
            <w:r>
              <w:rPr>
                <w:rFonts w:ascii="Arial" w:cs="Arial" w:eastAsia="Arial" w:hAnsi="Arial"/>
                <w:sz w:val="12"/>
                <w:szCs w:val="12"/>
                <w:b w:val="1"/>
                <w:bCs w:val="1"/>
                <w:color w:val="FFFFFF"/>
              </w:rPr>
              <w:t>Price ($)</w:t>
            </w:r>
          </w:p>
        </w:tc>
        <w:tc>
          <w:tcPr>
            <w:tcW w:w="700" w:type="dxa"/>
            <w:vAlign w:val="bottom"/>
            <w:shd w:val="clear" w:color="auto" w:fill="0066BA"/>
          </w:tcPr>
          <w:p>
            <w:pPr>
              <w:jc w:val="right"/>
              <w:ind w:right="3"/>
              <w:spacing w:after="0"/>
              <w:rPr>
                <w:sz w:val="20"/>
                <w:szCs w:val="20"/>
                <w:color w:val="auto"/>
              </w:rPr>
            </w:pPr>
            <w:r>
              <w:rPr>
                <w:rFonts w:ascii="Arial" w:cs="Arial" w:eastAsia="Arial" w:hAnsi="Arial"/>
                <w:sz w:val="12"/>
                <w:szCs w:val="12"/>
                <w:b w:val="1"/>
                <w:bCs w:val="1"/>
                <w:color w:val="FFFFFF"/>
              </w:rPr>
              <w:t>(%)</w:t>
            </w:r>
          </w:p>
        </w:tc>
        <w:tc>
          <w:tcPr>
            <w:tcW w:w="180" w:type="dxa"/>
            <w:vAlign w:val="bottom"/>
            <w:shd w:val="clear" w:color="auto" w:fill="0066BA"/>
          </w:tcPr>
          <w:p>
            <w:pPr>
              <w:spacing w:after="0"/>
              <w:rPr>
                <w:sz w:val="14"/>
                <w:szCs w:val="14"/>
                <w:color w:val="auto"/>
              </w:rPr>
            </w:pPr>
          </w:p>
        </w:tc>
        <w:tc>
          <w:tcPr>
            <w:tcW w:w="520" w:type="dxa"/>
            <w:vAlign w:val="bottom"/>
            <w:gridSpan w:val="2"/>
            <w:shd w:val="clear" w:color="auto" w:fill="0066BA"/>
          </w:tcPr>
          <w:p>
            <w:pPr>
              <w:jc w:val="right"/>
              <w:ind w:right="80"/>
              <w:spacing w:after="0"/>
              <w:rPr>
                <w:sz w:val="20"/>
                <w:szCs w:val="20"/>
                <w:color w:val="auto"/>
              </w:rPr>
            </w:pPr>
            <w:r>
              <w:rPr>
                <w:rFonts w:ascii="Arial" w:cs="Arial" w:eastAsia="Arial" w:hAnsi="Arial"/>
                <w:sz w:val="12"/>
                <w:szCs w:val="12"/>
                <w:b w:val="1"/>
                <w:bCs w:val="1"/>
                <w:color w:val="FFFFFF"/>
              </w:rPr>
              <w:t>(Years)</w:t>
            </w:r>
          </w:p>
        </w:tc>
        <w:tc>
          <w:tcPr>
            <w:tcW w:w="700" w:type="dxa"/>
            <w:vAlign w:val="bottom"/>
            <w:shd w:val="clear" w:color="auto" w:fill="0066BA"/>
          </w:tcPr>
          <w:p>
            <w:pPr>
              <w:jc w:val="right"/>
              <w:ind w:right="4"/>
              <w:spacing w:after="0"/>
              <w:rPr>
                <w:sz w:val="20"/>
                <w:szCs w:val="20"/>
                <w:color w:val="auto"/>
              </w:rPr>
            </w:pPr>
            <w:r>
              <w:rPr>
                <w:rFonts w:ascii="Arial" w:cs="Arial" w:eastAsia="Arial" w:hAnsi="Arial"/>
                <w:sz w:val="12"/>
                <w:szCs w:val="12"/>
                <w:b w:val="1"/>
                <w:bCs w:val="1"/>
                <w:color w:val="FFFFFF"/>
              </w:rPr>
              <w:t>Rate (%)</w:t>
            </w:r>
          </w:p>
        </w:tc>
        <w:tc>
          <w:tcPr>
            <w:tcW w:w="160" w:type="dxa"/>
            <w:vAlign w:val="bottom"/>
            <w:shd w:val="clear" w:color="auto" w:fill="0066BA"/>
          </w:tcPr>
          <w:p>
            <w:pPr>
              <w:spacing w:after="0"/>
              <w:rPr>
                <w:sz w:val="14"/>
                <w:szCs w:val="14"/>
                <w:color w:val="auto"/>
              </w:rPr>
            </w:pPr>
          </w:p>
        </w:tc>
        <w:tc>
          <w:tcPr>
            <w:tcW w:w="600" w:type="dxa"/>
            <w:vAlign w:val="bottom"/>
            <w:gridSpan w:val="2"/>
            <w:shd w:val="clear" w:color="auto" w:fill="0066BA"/>
          </w:tcPr>
          <w:p>
            <w:pPr>
              <w:jc w:val="right"/>
              <w:ind w:right="100"/>
              <w:spacing w:after="0"/>
              <w:rPr>
                <w:sz w:val="20"/>
                <w:szCs w:val="20"/>
                <w:color w:val="auto"/>
              </w:rPr>
            </w:pPr>
            <w:r>
              <w:rPr>
                <w:rFonts w:ascii="Arial" w:cs="Arial" w:eastAsia="Arial" w:hAnsi="Arial"/>
                <w:sz w:val="12"/>
                <w:szCs w:val="12"/>
                <w:b w:val="1"/>
                <w:bCs w:val="1"/>
                <w:color w:val="FFFFFF"/>
                <w:w w:val="94"/>
              </w:rPr>
              <w:t>Yield (%)</w:t>
            </w:r>
          </w:p>
        </w:tc>
        <w:tc>
          <w:tcPr>
            <w:tcW w:w="840" w:type="dxa"/>
            <w:vAlign w:val="bottom"/>
            <w:shd w:val="clear" w:color="auto" w:fill="0066BA"/>
          </w:tcPr>
          <w:p>
            <w:pPr>
              <w:jc w:val="right"/>
              <w:ind w:right="4"/>
              <w:spacing w:after="0"/>
              <w:rPr>
                <w:sz w:val="20"/>
                <w:szCs w:val="20"/>
                <w:color w:val="auto"/>
              </w:rPr>
            </w:pPr>
            <w:r>
              <w:rPr>
                <w:rFonts w:ascii="Arial" w:cs="Arial" w:eastAsia="Arial" w:hAnsi="Arial"/>
                <w:sz w:val="12"/>
                <w:szCs w:val="12"/>
                <w:b w:val="1"/>
                <w:bCs w:val="1"/>
                <w:color w:val="FFFFFF"/>
              </w:rPr>
              <w:t>Share</w:t>
            </w:r>
          </w:p>
        </w:tc>
        <w:tc>
          <w:tcPr>
            <w:tcW w:w="120" w:type="dxa"/>
            <w:vAlign w:val="bottom"/>
            <w:shd w:val="clear" w:color="auto" w:fill="0066BA"/>
          </w:tcPr>
          <w:p>
            <w:pPr>
              <w:spacing w:after="0"/>
              <w:rPr>
                <w:sz w:val="14"/>
                <w:szCs w:val="14"/>
                <w:color w:val="auto"/>
              </w:rPr>
            </w:pPr>
          </w:p>
        </w:tc>
        <w:tc>
          <w:tcPr>
            <w:tcW w:w="980" w:type="dxa"/>
            <w:vAlign w:val="bottom"/>
            <w:gridSpan w:val="2"/>
            <w:shd w:val="clear" w:color="auto" w:fill="0066BA"/>
          </w:tcPr>
          <w:p>
            <w:pPr>
              <w:jc w:val="right"/>
              <w:ind w:right="80"/>
              <w:spacing w:after="0"/>
              <w:rPr>
                <w:sz w:val="20"/>
                <w:szCs w:val="20"/>
                <w:color w:val="auto"/>
              </w:rPr>
            </w:pPr>
            <w:r>
              <w:rPr>
                <w:rFonts w:ascii="Arial" w:cs="Arial" w:eastAsia="Arial" w:hAnsi="Arial"/>
                <w:sz w:val="12"/>
                <w:szCs w:val="12"/>
                <w:b w:val="1"/>
                <w:bCs w:val="1"/>
                <w:color w:val="FFFFFF"/>
                <w:w w:val="98"/>
              </w:rPr>
              <w:t>Based RSUs ($)</w:t>
            </w:r>
          </w:p>
        </w:tc>
        <w:tc>
          <w:tcPr>
            <w:tcW w:w="0" w:type="dxa"/>
            <w:vAlign w:val="bottom"/>
          </w:tcPr>
          <w:p>
            <w:pPr>
              <w:spacing w:after="0"/>
              <w:rPr>
                <w:sz w:val="1"/>
                <w:szCs w:val="1"/>
                <w:color w:val="auto"/>
              </w:rPr>
            </w:pPr>
          </w:p>
        </w:tc>
      </w:tr>
      <w:tr>
        <w:trPr>
          <w:trHeight w:val="94"/>
        </w:trPr>
        <w:tc>
          <w:tcPr>
            <w:tcW w:w="2660" w:type="dxa"/>
            <w:vAlign w:val="bottom"/>
            <w:shd w:val="clear" w:color="auto" w:fill="0066BA"/>
          </w:tcPr>
          <w:p>
            <w:pPr>
              <w:spacing w:after="0"/>
              <w:rPr>
                <w:sz w:val="8"/>
                <w:szCs w:val="8"/>
                <w:color w:val="auto"/>
              </w:rPr>
            </w:pPr>
          </w:p>
        </w:tc>
        <w:tc>
          <w:tcPr>
            <w:tcW w:w="120" w:type="dxa"/>
            <w:vAlign w:val="bottom"/>
            <w:shd w:val="clear" w:color="auto" w:fill="0066BA"/>
          </w:tcPr>
          <w:p>
            <w:pPr>
              <w:spacing w:after="0"/>
              <w:rPr>
                <w:sz w:val="8"/>
                <w:szCs w:val="8"/>
                <w:color w:val="auto"/>
              </w:rPr>
            </w:pPr>
          </w:p>
        </w:tc>
        <w:tc>
          <w:tcPr>
            <w:tcW w:w="780" w:type="dxa"/>
            <w:vAlign w:val="bottom"/>
            <w:shd w:val="clear" w:color="auto" w:fill="0066BA"/>
          </w:tcPr>
          <w:p>
            <w:pPr>
              <w:spacing w:after="0"/>
              <w:rPr>
                <w:sz w:val="8"/>
                <w:szCs w:val="8"/>
                <w:color w:val="auto"/>
              </w:rPr>
            </w:pPr>
          </w:p>
        </w:tc>
        <w:tc>
          <w:tcPr>
            <w:tcW w:w="100" w:type="dxa"/>
            <w:vAlign w:val="bottom"/>
            <w:shd w:val="clear" w:color="auto" w:fill="0066BA"/>
          </w:tcPr>
          <w:p>
            <w:pPr>
              <w:spacing w:after="0"/>
              <w:rPr>
                <w:sz w:val="8"/>
                <w:szCs w:val="8"/>
                <w:color w:val="auto"/>
              </w:rPr>
            </w:pPr>
          </w:p>
        </w:tc>
        <w:tc>
          <w:tcPr>
            <w:tcW w:w="1140" w:type="dxa"/>
            <w:vAlign w:val="bottom"/>
            <w:shd w:val="clear" w:color="auto" w:fill="0066BA"/>
          </w:tcPr>
          <w:p>
            <w:pPr>
              <w:spacing w:after="0"/>
              <w:rPr>
                <w:sz w:val="8"/>
                <w:szCs w:val="8"/>
                <w:color w:val="auto"/>
              </w:rPr>
            </w:pPr>
          </w:p>
        </w:tc>
        <w:tc>
          <w:tcPr>
            <w:tcW w:w="120" w:type="dxa"/>
            <w:vAlign w:val="bottom"/>
            <w:shd w:val="clear" w:color="auto" w:fill="0066BA"/>
          </w:tcPr>
          <w:p>
            <w:pPr>
              <w:spacing w:after="0"/>
              <w:rPr>
                <w:sz w:val="8"/>
                <w:szCs w:val="8"/>
                <w:color w:val="auto"/>
              </w:rPr>
            </w:pPr>
          </w:p>
        </w:tc>
        <w:tc>
          <w:tcPr>
            <w:tcW w:w="480" w:type="dxa"/>
            <w:vAlign w:val="bottom"/>
            <w:shd w:val="clear" w:color="auto" w:fill="0066BA"/>
          </w:tcPr>
          <w:p>
            <w:pPr>
              <w:spacing w:after="0"/>
              <w:rPr>
                <w:sz w:val="8"/>
                <w:szCs w:val="8"/>
                <w:color w:val="auto"/>
              </w:rPr>
            </w:pPr>
          </w:p>
        </w:tc>
        <w:tc>
          <w:tcPr>
            <w:tcW w:w="80" w:type="dxa"/>
            <w:vAlign w:val="bottom"/>
            <w:shd w:val="clear" w:color="auto" w:fill="0066BA"/>
          </w:tcPr>
          <w:p>
            <w:pPr>
              <w:spacing w:after="0"/>
              <w:rPr>
                <w:sz w:val="8"/>
                <w:szCs w:val="8"/>
                <w:color w:val="auto"/>
              </w:rPr>
            </w:pPr>
          </w:p>
        </w:tc>
        <w:tc>
          <w:tcPr>
            <w:tcW w:w="700" w:type="dxa"/>
            <w:vAlign w:val="bottom"/>
            <w:shd w:val="clear" w:color="auto" w:fill="0066BA"/>
          </w:tcPr>
          <w:p>
            <w:pPr>
              <w:spacing w:after="0"/>
              <w:rPr>
                <w:sz w:val="8"/>
                <w:szCs w:val="8"/>
                <w:color w:val="auto"/>
              </w:rPr>
            </w:pPr>
          </w:p>
        </w:tc>
        <w:tc>
          <w:tcPr>
            <w:tcW w:w="180" w:type="dxa"/>
            <w:vAlign w:val="bottom"/>
            <w:shd w:val="clear" w:color="auto" w:fill="0066BA"/>
          </w:tcPr>
          <w:p>
            <w:pPr>
              <w:spacing w:after="0"/>
              <w:rPr>
                <w:sz w:val="8"/>
                <w:szCs w:val="8"/>
                <w:color w:val="auto"/>
              </w:rPr>
            </w:pPr>
          </w:p>
        </w:tc>
        <w:tc>
          <w:tcPr>
            <w:tcW w:w="440" w:type="dxa"/>
            <w:vAlign w:val="bottom"/>
            <w:shd w:val="clear" w:color="auto" w:fill="0066BA"/>
          </w:tcPr>
          <w:p>
            <w:pPr>
              <w:spacing w:after="0"/>
              <w:rPr>
                <w:sz w:val="8"/>
                <w:szCs w:val="8"/>
                <w:color w:val="auto"/>
              </w:rPr>
            </w:pPr>
          </w:p>
        </w:tc>
        <w:tc>
          <w:tcPr>
            <w:tcW w:w="80" w:type="dxa"/>
            <w:vAlign w:val="bottom"/>
            <w:shd w:val="clear" w:color="auto" w:fill="0066BA"/>
          </w:tcPr>
          <w:p>
            <w:pPr>
              <w:spacing w:after="0"/>
              <w:rPr>
                <w:sz w:val="8"/>
                <w:szCs w:val="8"/>
                <w:color w:val="auto"/>
              </w:rPr>
            </w:pPr>
          </w:p>
        </w:tc>
        <w:tc>
          <w:tcPr>
            <w:tcW w:w="700" w:type="dxa"/>
            <w:vAlign w:val="bottom"/>
            <w:shd w:val="clear" w:color="auto" w:fill="0066BA"/>
          </w:tcPr>
          <w:p>
            <w:pPr>
              <w:spacing w:after="0"/>
              <w:rPr>
                <w:sz w:val="8"/>
                <w:szCs w:val="8"/>
                <w:color w:val="auto"/>
              </w:rPr>
            </w:pPr>
          </w:p>
        </w:tc>
        <w:tc>
          <w:tcPr>
            <w:tcW w:w="160" w:type="dxa"/>
            <w:vAlign w:val="bottom"/>
            <w:shd w:val="clear" w:color="auto" w:fill="0066BA"/>
          </w:tcPr>
          <w:p>
            <w:pPr>
              <w:spacing w:after="0"/>
              <w:rPr>
                <w:sz w:val="8"/>
                <w:szCs w:val="8"/>
                <w:color w:val="auto"/>
              </w:rPr>
            </w:pPr>
          </w:p>
        </w:tc>
        <w:tc>
          <w:tcPr>
            <w:tcW w:w="500" w:type="dxa"/>
            <w:vAlign w:val="bottom"/>
            <w:shd w:val="clear" w:color="auto" w:fill="0066BA"/>
          </w:tcPr>
          <w:p>
            <w:pPr>
              <w:spacing w:after="0"/>
              <w:rPr>
                <w:sz w:val="8"/>
                <w:szCs w:val="8"/>
                <w:color w:val="auto"/>
              </w:rPr>
            </w:pPr>
          </w:p>
        </w:tc>
        <w:tc>
          <w:tcPr>
            <w:tcW w:w="100" w:type="dxa"/>
            <w:vAlign w:val="bottom"/>
            <w:shd w:val="clear" w:color="auto" w:fill="0066BA"/>
          </w:tcPr>
          <w:p>
            <w:pPr>
              <w:spacing w:after="0"/>
              <w:rPr>
                <w:sz w:val="8"/>
                <w:szCs w:val="8"/>
                <w:color w:val="auto"/>
              </w:rPr>
            </w:pPr>
          </w:p>
        </w:tc>
        <w:tc>
          <w:tcPr>
            <w:tcW w:w="840" w:type="dxa"/>
            <w:vAlign w:val="bottom"/>
            <w:shd w:val="clear" w:color="auto" w:fill="0066BA"/>
          </w:tcPr>
          <w:p>
            <w:pPr>
              <w:spacing w:after="0"/>
              <w:rPr>
                <w:sz w:val="8"/>
                <w:szCs w:val="8"/>
                <w:color w:val="auto"/>
              </w:rPr>
            </w:pPr>
          </w:p>
        </w:tc>
        <w:tc>
          <w:tcPr>
            <w:tcW w:w="120" w:type="dxa"/>
            <w:vAlign w:val="bottom"/>
            <w:shd w:val="clear" w:color="auto" w:fill="0066BA"/>
          </w:tcPr>
          <w:p>
            <w:pPr>
              <w:spacing w:after="0"/>
              <w:rPr>
                <w:sz w:val="8"/>
                <w:szCs w:val="8"/>
                <w:color w:val="auto"/>
              </w:rPr>
            </w:pPr>
          </w:p>
        </w:tc>
        <w:tc>
          <w:tcPr>
            <w:tcW w:w="900" w:type="dxa"/>
            <w:vAlign w:val="bottom"/>
            <w:shd w:val="clear" w:color="auto" w:fill="0066BA"/>
          </w:tcPr>
          <w:p>
            <w:pPr>
              <w:spacing w:after="0"/>
              <w:rPr>
                <w:sz w:val="8"/>
                <w:szCs w:val="8"/>
                <w:color w:val="auto"/>
              </w:rPr>
            </w:pPr>
          </w:p>
        </w:tc>
        <w:tc>
          <w:tcPr>
            <w:tcW w:w="80" w:type="dxa"/>
            <w:vAlign w:val="bottom"/>
            <w:shd w:val="clear" w:color="auto" w:fill="0066BA"/>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660" w:type="dxa"/>
            <w:vAlign w:val="bottom"/>
          </w:tcPr>
          <w:p>
            <w:pPr>
              <w:spacing w:after="0"/>
              <w:rPr>
                <w:sz w:val="16"/>
                <w:szCs w:val="16"/>
                <w:color w:val="auto"/>
              </w:rPr>
            </w:pPr>
          </w:p>
        </w:tc>
        <w:tc>
          <w:tcPr>
            <w:tcW w:w="1000" w:type="dxa"/>
            <w:vAlign w:val="bottom"/>
            <w:tcBorders>
              <w:bottom w:val="single" w:sz="8" w:color="auto"/>
            </w:tcBorders>
            <w:gridSpan w:val="3"/>
            <w:shd w:val="clear" w:color="auto" w:fill="EAEAEA"/>
          </w:tcPr>
          <w:p>
            <w:pPr>
              <w:jc w:val="right"/>
              <w:ind w:right="80"/>
              <w:spacing w:after="0"/>
              <w:rPr>
                <w:sz w:val="20"/>
                <w:szCs w:val="20"/>
                <w:color w:val="auto"/>
              </w:rPr>
            </w:pPr>
            <w:r>
              <w:rPr>
                <w:rFonts w:ascii="Arial" w:cs="Arial" w:eastAsia="Arial" w:hAnsi="Arial"/>
                <w:sz w:val="16"/>
                <w:szCs w:val="16"/>
                <w:color w:val="auto"/>
              </w:rPr>
              <w:t>3/29/2018</w:t>
            </w:r>
          </w:p>
        </w:tc>
        <w:tc>
          <w:tcPr>
            <w:tcW w:w="114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color w:val="auto"/>
              </w:rPr>
              <w:t>4,897*</w:t>
            </w:r>
          </w:p>
        </w:tc>
        <w:tc>
          <w:tcPr>
            <w:tcW w:w="120" w:type="dxa"/>
            <w:vAlign w:val="bottom"/>
            <w:tcBorders>
              <w:bottom w:val="single" w:sz="8" w:color="auto"/>
            </w:tcBorders>
            <w:shd w:val="clear" w:color="auto" w:fill="EAEAEA"/>
          </w:tcPr>
          <w:p>
            <w:pPr>
              <w:spacing w:after="0"/>
              <w:rPr>
                <w:sz w:val="16"/>
                <w:szCs w:val="16"/>
                <w:color w:val="auto"/>
              </w:rPr>
            </w:pPr>
          </w:p>
        </w:tc>
        <w:tc>
          <w:tcPr>
            <w:tcW w:w="560" w:type="dxa"/>
            <w:vAlign w:val="bottom"/>
            <w:tcBorders>
              <w:bottom w:val="single" w:sz="8" w:color="auto"/>
            </w:tcBorders>
            <w:gridSpan w:val="2"/>
            <w:shd w:val="clear" w:color="auto" w:fill="EAEAEA"/>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AEAEA"/>
          </w:tcPr>
          <w:p>
            <w:pPr>
              <w:spacing w:after="0"/>
              <w:rPr>
                <w:sz w:val="16"/>
                <w:szCs w:val="16"/>
                <w:color w:val="auto"/>
              </w:rPr>
            </w:pPr>
          </w:p>
        </w:tc>
        <w:tc>
          <w:tcPr>
            <w:tcW w:w="520" w:type="dxa"/>
            <w:vAlign w:val="bottom"/>
            <w:tcBorders>
              <w:bottom w:val="single" w:sz="8" w:color="auto"/>
            </w:tcBorders>
            <w:gridSpan w:val="2"/>
            <w:shd w:val="clear" w:color="auto" w:fill="EAEAEA"/>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2.54</w:t>
            </w:r>
          </w:p>
        </w:tc>
        <w:tc>
          <w:tcPr>
            <w:tcW w:w="760" w:type="dxa"/>
            <w:vAlign w:val="bottom"/>
            <w:tcBorders>
              <w:bottom w:val="single" w:sz="8" w:color="auto"/>
            </w:tcBorders>
            <w:gridSpan w:val="3"/>
            <w:shd w:val="clear" w:color="auto" w:fill="EAEAEA"/>
          </w:tcPr>
          <w:p>
            <w:pPr>
              <w:jc w:val="right"/>
              <w:ind w:right="100"/>
              <w:spacing w:after="0"/>
              <w:rPr>
                <w:sz w:val="20"/>
                <w:szCs w:val="20"/>
                <w:color w:val="auto"/>
              </w:rPr>
            </w:pPr>
            <w:r>
              <w:rPr>
                <w:rFonts w:ascii="Arial" w:cs="Arial" w:eastAsia="Arial" w:hAnsi="Arial"/>
                <w:sz w:val="16"/>
                <w:szCs w:val="16"/>
                <w:color w:val="auto"/>
              </w:rPr>
              <w:t>2.11</w:t>
            </w: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86.51</w:t>
            </w:r>
          </w:p>
        </w:tc>
        <w:tc>
          <w:tcPr>
            <w:tcW w:w="120" w:type="dxa"/>
            <w:vAlign w:val="bottom"/>
            <w:tcBorders>
              <w:bottom w:val="single" w:sz="8" w:color="auto"/>
            </w:tcBorders>
            <w:shd w:val="clear" w:color="auto" w:fill="EAEAEA"/>
          </w:tcPr>
          <w:p>
            <w:pPr>
              <w:spacing w:after="0"/>
              <w:rPr>
                <w:sz w:val="16"/>
                <w:szCs w:val="16"/>
                <w:color w:val="auto"/>
              </w:rPr>
            </w:pPr>
          </w:p>
        </w:tc>
        <w:tc>
          <w:tcPr>
            <w:tcW w:w="90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880" w:type="dxa"/>
            <w:vAlign w:val="bottom"/>
            <w:tcBorders>
              <w:bottom w:val="single" w:sz="8" w:color="auto"/>
            </w:tcBorders>
            <w:gridSpan w:val="2"/>
            <w:shd w:val="clear" w:color="auto" w:fill="EAEAEA"/>
          </w:tcPr>
          <w:p>
            <w:pPr>
              <w:jc w:val="right"/>
              <w:ind w:right="80"/>
              <w:spacing w:after="0"/>
              <w:rPr>
                <w:sz w:val="20"/>
                <w:szCs w:val="20"/>
                <w:color w:val="auto"/>
              </w:rPr>
            </w:pPr>
            <w:r>
              <w:rPr>
                <w:rFonts w:ascii="Arial" w:cs="Arial" w:eastAsia="Arial" w:hAnsi="Arial"/>
                <w:sz w:val="16"/>
                <w:szCs w:val="16"/>
                <w:color w:val="auto"/>
              </w:rPr>
              <w:t>3/29/2018</w:t>
            </w:r>
          </w:p>
        </w:tc>
        <w:tc>
          <w:tcPr>
            <w:tcW w:w="114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color w:val="auto"/>
              </w:rPr>
              <w:t>4,897**</w:t>
            </w:r>
          </w:p>
        </w:tc>
        <w:tc>
          <w:tcPr>
            <w:tcW w:w="120" w:type="dxa"/>
            <w:vAlign w:val="bottom"/>
            <w:tcBorders>
              <w:bottom w:val="single" w:sz="8" w:color="auto"/>
            </w:tcBorders>
            <w:shd w:val="clear" w:color="auto" w:fill="EAEAEA"/>
          </w:tcPr>
          <w:p>
            <w:pPr>
              <w:spacing w:after="0"/>
              <w:rPr>
                <w:sz w:val="16"/>
                <w:szCs w:val="16"/>
                <w:color w:val="auto"/>
              </w:rPr>
            </w:pPr>
          </w:p>
        </w:tc>
        <w:tc>
          <w:tcPr>
            <w:tcW w:w="560" w:type="dxa"/>
            <w:vAlign w:val="bottom"/>
            <w:tcBorders>
              <w:bottom w:val="single" w:sz="8" w:color="auto"/>
            </w:tcBorders>
            <w:gridSpan w:val="2"/>
            <w:shd w:val="clear" w:color="auto" w:fill="EAEAEA"/>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25.63</w:t>
            </w:r>
          </w:p>
        </w:tc>
        <w:tc>
          <w:tcPr>
            <w:tcW w:w="180" w:type="dxa"/>
            <w:vAlign w:val="bottom"/>
            <w:tcBorders>
              <w:bottom w:val="single" w:sz="8" w:color="auto"/>
            </w:tcBorders>
            <w:shd w:val="clear" w:color="auto" w:fill="EAEAEA"/>
          </w:tcPr>
          <w:p>
            <w:pPr>
              <w:spacing w:after="0"/>
              <w:rPr>
                <w:sz w:val="16"/>
                <w:szCs w:val="16"/>
                <w:color w:val="auto"/>
              </w:rPr>
            </w:pPr>
          </w:p>
        </w:tc>
        <w:tc>
          <w:tcPr>
            <w:tcW w:w="520" w:type="dxa"/>
            <w:vAlign w:val="bottom"/>
            <w:tcBorders>
              <w:bottom w:val="single" w:sz="8" w:color="auto"/>
            </w:tcBorders>
            <w:gridSpan w:val="2"/>
            <w:shd w:val="clear" w:color="auto" w:fill="EAEAEA"/>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2.37</w:t>
            </w:r>
          </w:p>
        </w:tc>
        <w:tc>
          <w:tcPr>
            <w:tcW w:w="160" w:type="dxa"/>
            <w:vAlign w:val="bottom"/>
            <w:tcBorders>
              <w:bottom w:val="single" w:sz="8" w:color="auto"/>
            </w:tcBorders>
            <w:shd w:val="clear" w:color="auto" w:fill="EAEAEA"/>
          </w:tcPr>
          <w:p>
            <w:pPr>
              <w:spacing w:after="0"/>
              <w:rPr>
                <w:sz w:val="16"/>
                <w:szCs w:val="16"/>
                <w:color w:val="auto"/>
              </w:rPr>
            </w:pPr>
          </w:p>
        </w:tc>
        <w:tc>
          <w:tcPr>
            <w:tcW w:w="600" w:type="dxa"/>
            <w:vAlign w:val="bottom"/>
            <w:tcBorders>
              <w:bottom w:val="single" w:sz="8" w:color="auto"/>
            </w:tcBorders>
            <w:gridSpan w:val="2"/>
            <w:shd w:val="clear" w:color="auto" w:fill="EAEAEA"/>
          </w:tcPr>
          <w:p>
            <w:pPr>
              <w:jc w:val="right"/>
              <w:ind w:right="100"/>
              <w:spacing w:after="0"/>
              <w:rPr>
                <w:sz w:val="20"/>
                <w:szCs w:val="20"/>
                <w:color w:val="auto"/>
              </w:rPr>
            </w:pPr>
            <w:r>
              <w:rPr>
                <w:rFonts w:ascii="Arial" w:cs="Arial" w:eastAsia="Arial" w:hAnsi="Arial"/>
                <w:sz w:val="16"/>
                <w:szCs w:val="16"/>
                <w:color w:val="auto"/>
              </w:rPr>
              <w:t>2.08</w:t>
            </w: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101.23</w:t>
            </w:r>
          </w:p>
        </w:tc>
        <w:tc>
          <w:tcPr>
            <w:tcW w:w="120" w:type="dxa"/>
            <w:vAlign w:val="bottom"/>
            <w:tcBorders>
              <w:bottom w:val="single" w:sz="8" w:color="auto"/>
            </w:tcBorders>
            <w:shd w:val="clear" w:color="auto" w:fill="EAEAEA"/>
          </w:tcPr>
          <w:p>
            <w:pPr>
              <w:spacing w:after="0"/>
              <w:rPr>
                <w:sz w:val="16"/>
                <w:szCs w:val="16"/>
                <w:color w:val="auto"/>
              </w:rPr>
            </w:pPr>
          </w:p>
        </w:tc>
        <w:tc>
          <w:tcPr>
            <w:tcW w:w="980" w:type="dxa"/>
            <w:vAlign w:val="bottom"/>
            <w:tcBorders>
              <w:bottom w:val="single" w:sz="8" w:color="auto"/>
            </w:tcBorders>
            <w:gridSpan w:val="2"/>
            <w:shd w:val="clear" w:color="auto" w:fill="EAEAEA"/>
          </w:tcPr>
          <w:p>
            <w:pPr>
              <w:jc w:val="right"/>
              <w:ind w:right="80"/>
              <w:spacing w:after="0"/>
              <w:rPr>
                <w:sz w:val="20"/>
                <w:szCs w:val="20"/>
                <w:color w:val="auto"/>
              </w:rPr>
            </w:pPr>
            <w:r>
              <w:rPr>
                <w:rFonts w:ascii="Arial" w:cs="Arial" w:eastAsia="Arial" w:hAnsi="Arial"/>
                <w:sz w:val="16"/>
                <w:szCs w:val="16"/>
                <w:color w:val="auto"/>
              </w:rPr>
              <w:t>991,447</w:t>
            </w: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3/29/2018</w:t>
            </w:r>
          </w:p>
        </w:tc>
        <w:tc>
          <w:tcPr>
            <w:tcW w:w="100" w:type="dxa"/>
            <w:vAlign w:val="bottom"/>
            <w:tcBorders>
              <w:bottom w:val="single" w:sz="8" w:color="auto"/>
            </w:tcBorders>
            <w:shd w:val="clear" w:color="auto" w:fill="EAEAEA"/>
          </w:tcPr>
          <w:p>
            <w:pPr>
              <w:spacing w:after="0"/>
              <w:rPr>
                <w:sz w:val="16"/>
                <w:szCs w:val="16"/>
                <w:color w:val="auto"/>
              </w:rPr>
            </w:pPr>
          </w:p>
        </w:tc>
        <w:tc>
          <w:tcPr>
            <w:tcW w:w="1140" w:type="dxa"/>
            <w:vAlign w:val="bottom"/>
            <w:tcBorders>
              <w:bottom w:val="single" w:sz="8" w:color="auto"/>
            </w:tcBorders>
          </w:tcPr>
          <w:p>
            <w:pPr>
              <w:jc w:val="right"/>
              <w:ind w:right="364"/>
              <w:spacing w:after="0"/>
              <w:rPr>
                <w:sz w:val="20"/>
                <w:szCs w:val="20"/>
                <w:color w:val="auto"/>
              </w:rPr>
            </w:pPr>
            <w:r>
              <w:rPr>
                <w:rFonts w:ascii="Arial" w:cs="Arial" w:eastAsia="Arial" w:hAnsi="Arial"/>
                <w:sz w:val="16"/>
                <w:szCs w:val="16"/>
                <w:color w:val="auto"/>
              </w:rPr>
              <w:t>20,552</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91.13</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27.77</w:t>
            </w:r>
          </w:p>
        </w:tc>
        <w:tc>
          <w:tcPr>
            <w:tcW w:w="18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5.0</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2.64</w:t>
            </w:r>
          </w:p>
        </w:tc>
        <w:tc>
          <w:tcPr>
            <w:tcW w:w="16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auto"/>
            </w:tcBorders>
            <w:shd w:val="clear" w:color="auto" w:fill="EAEAEA"/>
          </w:tcPr>
          <w:p>
            <w:pPr>
              <w:spacing w:after="0"/>
              <w:rPr>
                <w:sz w:val="16"/>
                <w:szCs w:val="16"/>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20.83</w:t>
            </w:r>
          </w:p>
        </w:tc>
        <w:tc>
          <w:tcPr>
            <w:tcW w:w="120" w:type="dxa"/>
            <w:vAlign w:val="bottom"/>
            <w:tcBorders>
              <w:bottom w:val="single" w:sz="8" w:color="auto"/>
            </w:tcBorders>
            <w:shd w:val="clear" w:color="auto" w:fill="EAEAEA"/>
          </w:tcPr>
          <w:p>
            <w:pPr>
              <w:spacing w:after="0"/>
              <w:rPr>
                <w:sz w:val="16"/>
                <w:szCs w:val="16"/>
                <w:color w:val="auto"/>
              </w:rPr>
            </w:pPr>
          </w:p>
        </w:tc>
        <w:tc>
          <w:tcPr>
            <w:tcW w:w="90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9/17/2018</w:t>
            </w:r>
          </w:p>
        </w:tc>
        <w:tc>
          <w:tcPr>
            <w:tcW w:w="100" w:type="dxa"/>
            <w:vAlign w:val="bottom"/>
            <w:tcBorders>
              <w:bottom w:val="single" w:sz="8" w:color="auto"/>
            </w:tcBorders>
            <w:shd w:val="clear" w:color="auto" w:fill="EAEAEA"/>
          </w:tcPr>
          <w:p>
            <w:pPr>
              <w:spacing w:after="0"/>
              <w:rPr>
                <w:sz w:val="16"/>
                <w:szCs w:val="16"/>
                <w:color w:val="auto"/>
              </w:rPr>
            </w:pPr>
          </w:p>
        </w:tc>
        <w:tc>
          <w:tcPr>
            <w:tcW w:w="114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color w:val="auto"/>
              </w:rPr>
              <w:t>3,334*</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2.87</w:t>
            </w:r>
          </w:p>
        </w:tc>
        <w:tc>
          <w:tcPr>
            <w:tcW w:w="16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auto"/>
            </w:tcBorders>
            <w:shd w:val="clear" w:color="auto" w:fill="EAEAEA"/>
          </w:tcPr>
          <w:p>
            <w:pPr>
              <w:spacing w:after="0"/>
              <w:rPr>
                <w:sz w:val="16"/>
                <w:szCs w:val="16"/>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86.72</w:t>
            </w:r>
          </w:p>
        </w:tc>
        <w:tc>
          <w:tcPr>
            <w:tcW w:w="120" w:type="dxa"/>
            <w:vAlign w:val="bottom"/>
            <w:tcBorders>
              <w:bottom w:val="single" w:sz="8" w:color="auto"/>
            </w:tcBorders>
            <w:shd w:val="clear" w:color="auto" w:fill="EAEAEA"/>
          </w:tcPr>
          <w:p>
            <w:pPr>
              <w:spacing w:after="0"/>
              <w:rPr>
                <w:sz w:val="16"/>
                <w:szCs w:val="16"/>
                <w:color w:val="auto"/>
              </w:rPr>
            </w:pPr>
          </w:p>
        </w:tc>
        <w:tc>
          <w:tcPr>
            <w:tcW w:w="90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3/13/2019</w:t>
            </w:r>
          </w:p>
        </w:tc>
        <w:tc>
          <w:tcPr>
            <w:tcW w:w="100" w:type="dxa"/>
            <w:vAlign w:val="bottom"/>
            <w:tcBorders>
              <w:bottom w:val="single" w:sz="8" w:color="auto"/>
            </w:tcBorders>
            <w:shd w:val="clear" w:color="auto" w:fill="EAEAEA"/>
          </w:tcPr>
          <w:p>
            <w:pPr>
              <w:spacing w:after="0"/>
              <w:rPr>
                <w:sz w:val="16"/>
                <w:szCs w:val="16"/>
                <w:color w:val="auto"/>
              </w:rPr>
            </w:pPr>
          </w:p>
        </w:tc>
        <w:tc>
          <w:tcPr>
            <w:tcW w:w="114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color w:val="auto"/>
              </w:rPr>
              <w:t>2,295*</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2.42</w:t>
            </w:r>
          </w:p>
        </w:tc>
        <w:tc>
          <w:tcPr>
            <w:tcW w:w="16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auto"/>
            </w:tcBorders>
            <w:shd w:val="clear" w:color="auto" w:fill="EAEAEA"/>
          </w:tcPr>
          <w:p>
            <w:pPr>
              <w:spacing w:after="0"/>
              <w:rPr>
                <w:sz w:val="16"/>
                <w:szCs w:val="16"/>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102.89</w:t>
            </w:r>
          </w:p>
        </w:tc>
        <w:tc>
          <w:tcPr>
            <w:tcW w:w="120" w:type="dxa"/>
            <w:vAlign w:val="bottom"/>
            <w:tcBorders>
              <w:bottom w:val="single" w:sz="8" w:color="auto"/>
            </w:tcBorders>
            <w:shd w:val="clear" w:color="auto" w:fill="EAEAEA"/>
          </w:tcPr>
          <w:p>
            <w:pPr>
              <w:spacing w:after="0"/>
              <w:rPr>
                <w:sz w:val="16"/>
                <w:szCs w:val="16"/>
                <w:color w:val="auto"/>
              </w:rPr>
            </w:pPr>
          </w:p>
        </w:tc>
        <w:tc>
          <w:tcPr>
            <w:tcW w:w="90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3/13/2019</w:t>
            </w:r>
          </w:p>
        </w:tc>
        <w:tc>
          <w:tcPr>
            <w:tcW w:w="100" w:type="dxa"/>
            <w:vAlign w:val="bottom"/>
            <w:tcBorders>
              <w:bottom w:val="single" w:sz="8" w:color="auto"/>
            </w:tcBorders>
            <w:shd w:val="clear" w:color="auto" w:fill="EAEAEA"/>
          </w:tcPr>
          <w:p>
            <w:pPr>
              <w:spacing w:after="0"/>
              <w:rPr>
                <w:sz w:val="16"/>
                <w:szCs w:val="16"/>
                <w:color w:val="auto"/>
              </w:rPr>
            </w:pPr>
          </w:p>
        </w:tc>
        <w:tc>
          <w:tcPr>
            <w:tcW w:w="114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color w:val="auto"/>
              </w:rPr>
              <w:t>2,295**</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24.07</w:t>
            </w:r>
          </w:p>
        </w:tc>
        <w:tc>
          <w:tcPr>
            <w:tcW w:w="18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2.38</w:t>
            </w:r>
          </w:p>
        </w:tc>
        <w:tc>
          <w:tcPr>
            <w:tcW w:w="16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auto"/>
            </w:tcBorders>
            <w:shd w:val="clear" w:color="auto" w:fill="EAEAEA"/>
          </w:tcPr>
          <w:p>
            <w:pPr>
              <w:spacing w:after="0"/>
              <w:rPr>
                <w:sz w:val="16"/>
                <w:szCs w:val="16"/>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114.36</w:t>
            </w:r>
          </w:p>
        </w:tc>
        <w:tc>
          <w:tcPr>
            <w:tcW w:w="120" w:type="dxa"/>
            <w:vAlign w:val="bottom"/>
            <w:tcBorders>
              <w:bottom w:val="single" w:sz="8" w:color="auto"/>
            </w:tcBorders>
            <w:shd w:val="clear" w:color="auto" w:fill="EAEAEA"/>
          </w:tcPr>
          <w:p>
            <w:pPr>
              <w:spacing w:after="0"/>
              <w:rPr>
                <w:sz w:val="16"/>
                <w:szCs w:val="16"/>
                <w:color w:val="auto"/>
              </w:rPr>
            </w:pPr>
          </w:p>
        </w:tc>
        <w:tc>
          <w:tcPr>
            <w:tcW w:w="9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524,912</w:t>
            </w: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3/13/2019</w:t>
            </w:r>
          </w:p>
        </w:tc>
        <w:tc>
          <w:tcPr>
            <w:tcW w:w="100" w:type="dxa"/>
            <w:vAlign w:val="bottom"/>
            <w:tcBorders>
              <w:bottom w:val="single" w:sz="8" w:color="auto"/>
            </w:tcBorders>
            <w:shd w:val="clear" w:color="auto" w:fill="EAEAEA"/>
          </w:tcPr>
          <w:p>
            <w:pPr>
              <w:spacing w:after="0"/>
              <w:rPr>
                <w:sz w:val="16"/>
                <w:szCs w:val="16"/>
                <w:color w:val="auto"/>
              </w:rPr>
            </w:pPr>
          </w:p>
        </w:tc>
        <w:tc>
          <w:tcPr>
            <w:tcW w:w="114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2,295***</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2.42</w:t>
            </w:r>
          </w:p>
        </w:tc>
        <w:tc>
          <w:tcPr>
            <w:tcW w:w="16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auto"/>
            </w:tcBorders>
            <w:shd w:val="clear" w:color="auto" w:fill="EAEAEA"/>
          </w:tcPr>
          <w:p>
            <w:pPr>
              <w:spacing w:after="0"/>
              <w:rPr>
                <w:sz w:val="16"/>
                <w:szCs w:val="16"/>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92.00</w:t>
            </w:r>
          </w:p>
        </w:tc>
        <w:tc>
          <w:tcPr>
            <w:tcW w:w="120" w:type="dxa"/>
            <w:vAlign w:val="bottom"/>
            <w:tcBorders>
              <w:bottom w:val="single" w:sz="8" w:color="auto"/>
            </w:tcBorders>
            <w:shd w:val="clear" w:color="auto" w:fill="EAEAEA"/>
          </w:tcPr>
          <w:p>
            <w:pPr>
              <w:spacing w:after="0"/>
              <w:rPr>
                <w:sz w:val="16"/>
                <w:szCs w:val="16"/>
                <w:color w:val="auto"/>
              </w:rPr>
            </w:pPr>
          </w:p>
        </w:tc>
        <w:tc>
          <w:tcPr>
            <w:tcW w:w="9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467,492</w:t>
            </w: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3/13/2019</w:t>
            </w:r>
          </w:p>
        </w:tc>
        <w:tc>
          <w:tcPr>
            <w:tcW w:w="100" w:type="dxa"/>
            <w:vAlign w:val="bottom"/>
            <w:tcBorders>
              <w:bottom w:val="single" w:sz="8" w:color="auto"/>
            </w:tcBorders>
            <w:shd w:val="clear" w:color="auto" w:fill="EAEAEA"/>
          </w:tcPr>
          <w:p>
            <w:pPr>
              <w:spacing w:after="0"/>
              <w:rPr>
                <w:sz w:val="16"/>
                <w:szCs w:val="16"/>
                <w:color w:val="auto"/>
              </w:rPr>
            </w:pPr>
          </w:p>
        </w:tc>
        <w:tc>
          <w:tcPr>
            <w:tcW w:w="1140" w:type="dxa"/>
            <w:vAlign w:val="bottom"/>
            <w:tcBorders>
              <w:bottom w:val="single" w:sz="8" w:color="auto"/>
            </w:tcBorders>
          </w:tcPr>
          <w:p>
            <w:pPr>
              <w:jc w:val="right"/>
              <w:ind w:right="364"/>
              <w:spacing w:after="0"/>
              <w:rPr>
                <w:sz w:val="20"/>
                <w:szCs w:val="20"/>
                <w:color w:val="auto"/>
              </w:rPr>
            </w:pPr>
            <w:r>
              <w:rPr>
                <w:rFonts w:ascii="Arial" w:cs="Arial" w:eastAsia="Arial" w:hAnsi="Arial"/>
                <w:sz w:val="16"/>
                <w:szCs w:val="16"/>
                <w:color w:val="auto"/>
              </w:rPr>
              <w:t>10,164</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3"/>
              </w:rPr>
              <w:t>108.08</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26.32</w:t>
            </w:r>
          </w:p>
        </w:tc>
        <w:tc>
          <w:tcPr>
            <w:tcW w:w="18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5.0</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2.42</w:t>
            </w:r>
          </w:p>
        </w:tc>
        <w:tc>
          <w:tcPr>
            <w:tcW w:w="16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auto"/>
            </w:tcBorders>
            <w:shd w:val="clear" w:color="auto" w:fill="EAEAEA"/>
          </w:tcPr>
          <w:p>
            <w:pPr>
              <w:spacing w:after="0"/>
              <w:rPr>
                <w:sz w:val="16"/>
                <w:szCs w:val="16"/>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23.43</w:t>
            </w:r>
          </w:p>
        </w:tc>
        <w:tc>
          <w:tcPr>
            <w:tcW w:w="120" w:type="dxa"/>
            <w:vAlign w:val="bottom"/>
            <w:tcBorders>
              <w:bottom w:val="single" w:sz="8" w:color="auto"/>
            </w:tcBorders>
            <w:shd w:val="clear" w:color="auto" w:fill="EAEAEA"/>
          </w:tcPr>
          <w:p>
            <w:pPr>
              <w:spacing w:after="0"/>
              <w:rPr>
                <w:sz w:val="16"/>
                <w:szCs w:val="16"/>
                <w:color w:val="auto"/>
              </w:rPr>
            </w:pPr>
          </w:p>
        </w:tc>
        <w:tc>
          <w:tcPr>
            <w:tcW w:w="90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6/17/2019</w:t>
            </w:r>
          </w:p>
        </w:tc>
        <w:tc>
          <w:tcPr>
            <w:tcW w:w="100" w:type="dxa"/>
            <w:vAlign w:val="bottom"/>
            <w:tcBorders>
              <w:bottom w:val="single" w:sz="8" w:color="auto"/>
            </w:tcBorders>
            <w:shd w:val="clear" w:color="auto" w:fill="EAEAEA"/>
          </w:tcPr>
          <w:p>
            <w:pPr>
              <w:spacing w:after="0"/>
              <w:rPr>
                <w:sz w:val="16"/>
                <w:szCs w:val="16"/>
                <w:color w:val="auto"/>
              </w:rPr>
            </w:pPr>
          </w:p>
        </w:tc>
        <w:tc>
          <w:tcPr>
            <w:tcW w:w="114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color w:val="auto"/>
              </w:rPr>
              <w:t>1,697*</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1.83</w:t>
            </w:r>
          </w:p>
        </w:tc>
        <w:tc>
          <w:tcPr>
            <w:tcW w:w="16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Borders>
              <w:bottom w:val="single" w:sz="8" w:color="auto"/>
            </w:tcBorders>
            <w:shd w:val="clear" w:color="auto" w:fill="EAEAEA"/>
          </w:tcPr>
          <w:p>
            <w:pPr>
              <w:spacing w:after="0"/>
              <w:rPr>
                <w:sz w:val="16"/>
                <w:szCs w:val="16"/>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100.39</w:t>
            </w:r>
          </w:p>
        </w:tc>
        <w:tc>
          <w:tcPr>
            <w:tcW w:w="120" w:type="dxa"/>
            <w:vAlign w:val="bottom"/>
            <w:tcBorders>
              <w:bottom w:val="single" w:sz="8" w:color="auto"/>
            </w:tcBorders>
            <w:shd w:val="clear" w:color="auto" w:fill="EAEAEA"/>
          </w:tcPr>
          <w:p>
            <w:pPr>
              <w:spacing w:after="0"/>
              <w:rPr>
                <w:sz w:val="16"/>
                <w:szCs w:val="16"/>
                <w:color w:val="auto"/>
              </w:rPr>
            </w:pPr>
          </w:p>
        </w:tc>
        <w:tc>
          <w:tcPr>
            <w:tcW w:w="90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60" w:type="dxa"/>
            <w:vAlign w:val="bottom"/>
            <w:vMerge w:val="restart"/>
          </w:tcPr>
          <w:p>
            <w:pPr>
              <w:ind w:left="60"/>
              <w:spacing w:after="0"/>
              <w:rPr>
                <w:sz w:val="20"/>
                <w:szCs w:val="20"/>
                <w:color w:val="auto"/>
              </w:rPr>
            </w:pPr>
            <w:r>
              <w:rPr>
                <w:rFonts w:ascii="Arial" w:cs="Arial" w:eastAsia="Arial" w:hAnsi="Arial"/>
                <w:sz w:val="16"/>
                <w:szCs w:val="16"/>
                <w:b w:val="1"/>
                <w:bCs w:val="1"/>
                <w:color w:val="0066BA"/>
              </w:rPr>
              <w:t>Martin</w:t>
            </w:r>
          </w:p>
        </w:tc>
        <w:tc>
          <w:tcPr>
            <w:tcW w:w="120" w:type="dxa"/>
            <w:vAlign w:val="bottom"/>
            <w:tcBorders>
              <w:bottom w:val="single" w:sz="8" w:color="auto"/>
            </w:tcBorders>
            <w:shd w:val="clear" w:color="auto" w:fill="EAEAEA"/>
          </w:tcPr>
          <w:p>
            <w:pPr>
              <w:spacing w:after="0"/>
              <w:rPr>
                <w:sz w:val="16"/>
                <w:szCs w:val="16"/>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6/17/2019</w:t>
            </w:r>
          </w:p>
        </w:tc>
        <w:tc>
          <w:tcPr>
            <w:tcW w:w="100" w:type="dxa"/>
            <w:vAlign w:val="bottom"/>
            <w:tcBorders>
              <w:bottom w:val="single" w:sz="8" w:color="auto"/>
            </w:tcBorders>
            <w:shd w:val="clear" w:color="auto" w:fill="EAEAEA"/>
          </w:tcPr>
          <w:p>
            <w:pPr>
              <w:spacing w:after="0"/>
              <w:rPr>
                <w:sz w:val="16"/>
                <w:szCs w:val="16"/>
                <w:color w:val="auto"/>
              </w:rPr>
            </w:pPr>
          </w:p>
        </w:tc>
        <w:tc>
          <w:tcPr>
            <w:tcW w:w="114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color w:val="auto"/>
              </w:rPr>
              <w:t>1,697**</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24.07</w:t>
            </w:r>
          </w:p>
        </w:tc>
        <w:tc>
          <w:tcPr>
            <w:tcW w:w="18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2.38</w:t>
            </w:r>
          </w:p>
        </w:tc>
        <w:tc>
          <w:tcPr>
            <w:tcW w:w="16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auto"/>
            </w:tcBorders>
            <w:shd w:val="clear" w:color="auto" w:fill="EAEAEA"/>
          </w:tcPr>
          <w:p>
            <w:pPr>
              <w:spacing w:after="0"/>
              <w:rPr>
                <w:sz w:val="16"/>
                <w:szCs w:val="16"/>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116.20</w:t>
            </w:r>
          </w:p>
        </w:tc>
        <w:tc>
          <w:tcPr>
            <w:tcW w:w="120" w:type="dxa"/>
            <w:vAlign w:val="bottom"/>
            <w:tcBorders>
              <w:bottom w:val="single" w:sz="8" w:color="auto"/>
            </w:tcBorders>
            <w:shd w:val="clear" w:color="auto" w:fill="EAEAEA"/>
          </w:tcPr>
          <w:p>
            <w:pPr>
              <w:spacing w:after="0"/>
              <w:rPr>
                <w:sz w:val="16"/>
                <w:szCs w:val="16"/>
                <w:color w:val="auto"/>
              </w:rPr>
            </w:pPr>
          </w:p>
        </w:tc>
        <w:tc>
          <w:tcPr>
            <w:tcW w:w="9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394,383</w:t>
            </w: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2660" w:type="dxa"/>
            <w:vAlign w:val="bottom"/>
            <w:vMerge w:val="continue"/>
          </w:tcPr>
          <w:p>
            <w:pPr>
              <w:spacing w:after="0"/>
              <w:rPr>
                <w:sz w:val="6"/>
                <w:szCs w:val="6"/>
                <w:color w:val="auto"/>
              </w:rPr>
            </w:pPr>
          </w:p>
        </w:tc>
        <w:tc>
          <w:tcPr>
            <w:tcW w:w="120" w:type="dxa"/>
            <w:vAlign w:val="bottom"/>
            <w:shd w:val="clear" w:color="auto" w:fill="EAEAEA"/>
          </w:tcPr>
          <w:p>
            <w:pPr>
              <w:spacing w:after="0"/>
              <w:rPr>
                <w:sz w:val="6"/>
                <w:szCs w:val="6"/>
                <w:color w:val="auto"/>
              </w:rPr>
            </w:pPr>
          </w:p>
        </w:tc>
        <w:tc>
          <w:tcPr>
            <w:tcW w:w="78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6/17/2019</w:t>
            </w:r>
          </w:p>
        </w:tc>
        <w:tc>
          <w:tcPr>
            <w:tcW w:w="100" w:type="dxa"/>
            <w:vAlign w:val="bottom"/>
            <w:shd w:val="clear" w:color="auto" w:fill="EAEAEA"/>
          </w:tcPr>
          <w:p>
            <w:pPr>
              <w:spacing w:after="0"/>
              <w:rPr>
                <w:sz w:val="6"/>
                <w:szCs w:val="6"/>
                <w:color w:val="auto"/>
              </w:rPr>
            </w:pPr>
          </w:p>
        </w:tc>
        <w:tc>
          <w:tcPr>
            <w:tcW w:w="1140" w:type="dxa"/>
            <w:vAlign w:val="bottom"/>
            <w:vMerge w:val="restart"/>
          </w:tcPr>
          <w:p>
            <w:pPr>
              <w:jc w:val="right"/>
              <w:ind w:right="124"/>
              <w:spacing w:after="0"/>
              <w:rPr>
                <w:sz w:val="20"/>
                <w:szCs w:val="20"/>
                <w:color w:val="auto"/>
              </w:rPr>
            </w:pPr>
            <w:r>
              <w:rPr>
                <w:rFonts w:ascii="Arial" w:cs="Arial" w:eastAsia="Arial" w:hAnsi="Arial"/>
                <w:sz w:val="16"/>
                <w:szCs w:val="16"/>
                <w:color w:val="auto"/>
              </w:rPr>
              <w:t>1,697***</w:t>
            </w:r>
          </w:p>
        </w:tc>
        <w:tc>
          <w:tcPr>
            <w:tcW w:w="120" w:type="dxa"/>
            <w:vAlign w:val="bottom"/>
            <w:shd w:val="clear" w:color="auto" w:fill="EAEAEA"/>
          </w:tcPr>
          <w:p>
            <w:pPr>
              <w:spacing w:after="0"/>
              <w:rPr>
                <w:sz w:val="6"/>
                <w:szCs w:val="6"/>
                <w:color w:val="auto"/>
              </w:rPr>
            </w:pPr>
          </w:p>
        </w:tc>
        <w:tc>
          <w:tcPr>
            <w:tcW w:w="48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6"/>
                <w:szCs w:val="6"/>
                <w:color w:val="auto"/>
              </w:rPr>
            </w:pPr>
          </w:p>
        </w:tc>
        <w:tc>
          <w:tcPr>
            <w:tcW w:w="700" w:type="dxa"/>
            <w:vAlign w:val="bottom"/>
            <w:vMerge w:val="restart"/>
          </w:tcPr>
          <w:p>
            <w:pPr>
              <w:jc w:val="right"/>
              <w:ind w:right="3"/>
              <w:spacing w:after="0"/>
              <w:rPr>
                <w:sz w:val="20"/>
                <w:szCs w:val="20"/>
                <w:color w:val="auto"/>
              </w:rPr>
            </w:pPr>
            <w:r>
              <w:rPr>
                <w:rFonts w:ascii="Arial" w:cs="Arial" w:eastAsia="Arial" w:hAnsi="Arial"/>
                <w:sz w:val="16"/>
                <w:szCs w:val="16"/>
                <w:color w:val="auto"/>
              </w:rPr>
              <w:t>—</w:t>
            </w:r>
          </w:p>
        </w:tc>
        <w:tc>
          <w:tcPr>
            <w:tcW w:w="180" w:type="dxa"/>
            <w:vAlign w:val="bottom"/>
            <w:shd w:val="clear" w:color="auto" w:fill="EAEAEA"/>
          </w:tcPr>
          <w:p>
            <w:pPr>
              <w:spacing w:after="0"/>
              <w:rPr>
                <w:sz w:val="6"/>
                <w:szCs w:val="6"/>
                <w:color w:val="auto"/>
              </w:rPr>
            </w:pPr>
          </w:p>
        </w:tc>
        <w:tc>
          <w:tcPr>
            <w:tcW w:w="44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6"/>
                <w:szCs w:val="6"/>
                <w:color w:val="auto"/>
              </w:rPr>
            </w:pPr>
          </w:p>
        </w:tc>
        <w:tc>
          <w:tcPr>
            <w:tcW w:w="700" w:type="dxa"/>
            <w:vAlign w:val="bottom"/>
            <w:vMerge w:val="restart"/>
          </w:tcPr>
          <w:p>
            <w:pPr>
              <w:jc w:val="right"/>
              <w:ind w:right="4"/>
              <w:spacing w:after="0"/>
              <w:rPr>
                <w:sz w:val="20"/>
                <w:szCs w:val="20"/>
                <w:color w:val="auto"/>
              </w:rPr>
            </w:pPr>
            <w:r>
              <w:rPr>
                <w:rFonts w:ascii="Arial" w:cs="Arial" w:eastAsia="Arial" w:hAnsi="Arial"/>
                <w:sz w:val="16"/>
                <w:szCs w:val="16"/>
                <w:color w:val="auto"/>
              </w:rPr>
              <w:t>1.83</w:t>
            </w:r>
          </w:p>
        </w:tc>
        <w:tc>
          <w:tcPr>
            <w:tcW w:w="160" w:type="dxa"/>
            <w:vAlign w:val="bottom"/>
            <w:shd w:val="clear" w:color="auto" w:fill="EAEAEA"/>
          </w:tcPr>
          <w:p>
            <w:pPr>
              <w:spacing w:after="0"/>
              <w:rPr>
                <w:sz w:val="6"/>
                <w:szCs w:val="6"/>
                <w:color w:val="auto"/>
              </w:rPr>
            </w:pPr>
          </w:p>
        </w:tc>
        <w:tc>
          <w:tcPr>
            <w:tcW w:w="50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EAEAEA"/>
          </w:tcPr>
          <w:p>
            <w:pPr>
              <w:spacing w:after="0"/>
              <w:rPr>
                <w:sz w:val="6"/>
                <w:szCs w:val="6"/>
                <w:color w:val="auto"/>
              </w:rPr>
            </w:pPr>
          </w:p>
        </w:tc>
        <w:tc>
          <w:tcPr>
            <w:tcW w:w="840" w:type="dxa"/>
            <w:vAlign w:val="bottom"/>
            <w:vMerge w:val="restart"/>
          </w:tcPr>
          <w:p>
            <w:pPr>
              <w:jc w:val="right"/>
              <w:ind w:right="4"/>
              <w:spacing w:after="0"/>
              <w:rPr>
                <w:sz w:val="20"/>
                <w:szCs w:val="20"/>
                <w:color w:val="auto"/>
              </w:rPr>
            </w:pPr>
            <w:r>
              <w:rPr>
                <w:rFonts w:ascii="Arial" w:cs="Arial" w:eastAsia="Arial" w:hAnsi="Arial"/>
                <w:sz w:val="16"/>
                <w:szCs w:val="16"/>
                <w:color w:val="auto"/>
              </w:rPr>
              <w:t>59.94</w:t>
            </w:r>
          </w:p>
        </w:tc>
        <w:tc>
          <w:tcPr>
            <w:tcW w:w="120" w:type="dxa"/>
            <w:vAlign w:val="bottom"/>
            <w:shd w:val="clear" w:color="auto" w:fill="EAEAEA"/>
          </w:tcPr>
          <w:p>
            <w:pPr>
              <w:spacing w:after="0"/>
              <w:rPr>
                <w:sz w:val="6"/>
                <w:szCs w:val="6"/>
                <w:color w:val="auto"/>
              </w:rPr>
            </w:pPr>
          </w:p>
        </w:tc>
        <w:tc>
          <w:tcPr>
            <w:tcW w:w="90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337,160</w:t>
            </w:r>
          </w:p>
        </w:tc>
        <w:tc>
          <w:tcPr>
            <w:tcW w:w="80" w:type="dxa"/>
            <w:vAlign w:val="bottom"/>
            <w:shd w:val="clear" w:color="auto" w:fill="EAEAEA"/>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660" w:type="dxa"/>
            <w:vAlign w:val="bottom"/>
            <w:vMerge w:val="restart"/>
          </w:tcPr>
          <w:p>
            <w:pPr>
              <w:ind w:left="60"/>
              <w:spacing w:after="0"/>
              <w:rPr>
                <w:sz w:val="20"/>
                <w:szCs w:val="20"/>
                <w:color w:val="auto"/>
              </w:rPr>
            </w:pPr>
            <w:r>
              <w:rPr>
                <w:rFonts w:ascii="Arial" w:cs="Arial" w:eastAsia="Arial" w:hAnsi="Arial"/>
                <w:sz w:val="16"/>
                <w:szCs w:val="16"/>
                <w:b w:val="1"/>
                <w:bCs w:val="1"/>
                <w:color w:val="0066BA"/>
              </w:rPr>
              <w:t>Cotter</w:t>
            </w:r>
          </w:p>
        </w:tc>
        <w:tc>
          <w:tcPr>
            <w:tcW w:w="120" w:type="dxa"/>
            <w:vAlign w:val="bottom"/>
            <w:tcBorders>
              <w:bottom w:val="single" w:sz="8" w:color="auto"/>
            </w:tcBorders>
            <w:shd w:val="clear" w:color="auto" w:fill="EAEAEA"/>
          </w:tcPr>
          <w:p>
            <w:pPr>
              <w:spacing w:after="0"/>
              <w:rPr>
                <w:sz w:val="10"/>
                <w:szCs w:val="10"/>
                <w:color w:val="auto"/>
              </w:rPr>
            </w:pPr>
          </w:p>
        </w:tc>
        <w:tc>
          <w:tcPr>
            <w:tcW w:w="780" w:type="dxa"/>
            <w:vAlign w:val="bottom"/>
            <w:tcBorders>
              <w:bottom w:val="single" w:sz="8" w:color="auto"/>
            </w:tcBorders>
            <w:vMerge w:val="continue"/>
            <w:shd w:val="clear" w:color="auto" w:fill="EAEAEA"/>
          </w:tcPr>
          <w:p>
            <w:pPr>
              <w:spacing w:after="0"/>
              <w:rPr>
                <w:sz w:val="10"/>
                <w:szCs w:val="10"/>
                <w:color w:val="auto"/>
              </w:rPr>
            </w:pPr>
          </w:p>
        </w:tc>
        <w:tc>
          <w:tcPr>
            <w:tcW w:w="100" w:type="dxa"/>
            <w:vAlign w:val="bottom"/>
            <w:tcBorders>
              <w:bottom w:val="single" w:sz="8" w:color="auto"/>
            </w:tcBorders>
            <w:shd w:val="clear" w:color="auto" w:fill="EAEAEA"/>
          </w:tcPr>
          <w:p>
            <w:pPr>
              <w:spacing w:after="0"/>
              <w:rPr>
                <w:sz w:val="10"/>
                <w:szCs w:val="10"/>
                <w:color w:val="auto"/>
              </w:rPr>
            </w:pPr>
          </w:p>
        </w:tc>
        <w:tc>
          <w:tcPr>
            <w:tcW w:w="114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auto"/>
            </w:tcBorders>
            <w:shd w:val="clear" w:color="auto" w:fill="EAEAEA"/>
          </w:tcPr>
          <w:p>
            <w:pPr>
              <w:spacing w:after="0"/>
              <w:rPr>
                <w:sz w:val="10"/>
                <w:szCs w:val="10"/>
                <w:color w:val="auto"/>
              </w:rPr>
            </w:pPr>
          </w:p>
        </w:tc>
        <w:tc>
          <w:tcPr>
            <w:tcW w:w="480" w:type="dxa"/>
            <w:vAlign w:val="bottom"/>
            <w:tcBorders>
              <w:bottom w:val="single" w:sz="8" w:color="auto"/>
            </w:tcBorders>
            <w:vMerge w:val="continue"/>
            <w:shd w:val="clear" w:color="auto" w:fill="EAEAEA"/>
          </w:tcPr>
          <w:p>
            <w:pPr>
              <w:spacing w:after="0"/>
              <w:rPr>
                <w:sz w:val="10"/>
                <w:szCs w:val="10"/>
                <w:color w:val="auto"/>
              </w:rPr>
            </w:pPr>
          </w:p>
        </w:tc>
        <w:tc>
          <w:tcPr>
            <w:tcW w:w="80" w:type="dxa"/>
            <w:vAlign w:val="bottom"/>
            <w:tcBorders>
              <w:bottom w:val="single" w:sz="8" w:color="auto"/>
            </w:tcBorders>
            <w:shd w:val="clear" w:color="auto" w:fill="EAEAEA"/>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180" w:type="dxa"/>
            <w:vAlign w:val="bottom"/>
            <w:tcBorders>
              <w:bottom w:val="single" w:sz="8" w:color="auto"/>
            </w:tcBorders>
            <w:shd w:val="clear" w:color="auto" w:fill="EAEAEA"/>
          </w:tcPr>
          <w:p>
            <w:pPr>
              <w:spacing w:after="0"/>
              <w:rPr>
                <w:sz w:val="10"/>
                <w:szCs w:val="10"/>
                <w:color w:val="auto"/>
              </w:rPr>
            </w:pPr>
          </w:p>
        </w:tc>
        <w:tc>
          <w:tcPr>
            <w:tcW w:w="440" w:type="dxa"/>
            <w:vAlign w:val="bottom"/>
            <w:tcBorders>
              <w:bottom w:val="single" w:sz="8" w:color="auto"/>
            </w:tcBorders>
            <w:vMerge w:val="continue"/>
            <w:shd w:val="clear" w:color="auto" w:fill="EAEAEA"/>
          </w:tcPr>
          <w:p>
            <w:pPr>
              <w:spacing w:after="0"/>
              <w:rPr>
                <w:sz w:val="10"/>
                <w:szCs w:val="10"/>
                <w:color w:val="auto"/>
              </w:rPr>
            </w:pPr>
          </w:p>
        </w:tc>
        <w:tc>
          <w:tcPr>
            <w:tcW w:w="80" w:type="dxa"/>
            <w:vAlign w:val="bottom"/>
            <w:tcBorders>
              <w:bottom w:val="single" w:sz="8" w:color="auto"/>
            </w:tcBorders>
            <w:shd w:val="clear" w:color="auto" w:fill="EAEAEA"/>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160" w:type="dxa"/>
            <w:vAlign w:val="bottom"/>
            <w:tcBorders>
              <w:bottom w:val="single" w:sz="8" w:color="auto"/>
            </w:tcBorders>
            <w:shd w:val="clear" w:color="auto" w:fill="EAEAEA"/>
          </w:tcPr>
          <w:p>
            <w:pPr>
              <w:spacing w:after="0"/>
              <w:rPr>
                <w:sz w:val="10"/>
                <w:szCs w:val="10"/>
                <w:color w:val="auto"/>
              </w:rPr>
            </w:pPr>
          </w:p>
        </w:tc>
        <w:tc>
          <w:tcPr>
            <w:tcW w:w="500" w:type="dxa"/>
            <w:vAlign w:val="bottom"/>
            <w:tcBorders>
              <w:bottom w:val="single" w:sz="8" w:color="auto"/>
            </w:tcBorders>
            <w:vMerge w:val="continue"/>
            <w:shd w:val="clear" w:color="auto" w:fill="EAEAEA"/>
          </w:tcPr>
          <w:p>
            <w:pPr>
              <w:spacing w:after="0"/>
              <w:rPr>
                <w:sz w:val="10"/>
                <w:szCs w:val="10"/>
                <w:color w:val="auto"/>
              </w:rPr>
            </w:pPr>
          </w:p>
        </w:tc>
        <w:tc>
          <w:tcPr>
            <w:tcW w:w="100" w:type="dxa"/>
            <w:vAlign w:val="bottom"/>
            <w:tcBorders>
              <w:bottom w:val="single" w:sz="8" w:color="auto"/>
            </w:tcBorders>
            <w:shd w:val="clear" w:color="auto" w:fill="EAEAEA"/>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auto"/>
            </w:tcBorders>
            <w:shd w:val="clear" w:color="auto" w:fill="EAEAEA"/>
          </w:tcPr>
          <w:p>
            <w:pPr>
              <w:spacing w:after="0"/>
              <w:rPr>
                <w:sz w:val="10"/>
                <w:szCs w:val="10"/>
                <w:color w:val="auto"/>
              </w:rPr>
            </w:pPr>
          </w:p>
        </w:tc>
        <w:tc>
          <w:tcPr>
            <w:tcW w:w="900" w:type="dxa"/>
            <w:vAlign w:val="bottom"/>
            <w:tcBorders>
              <w:bottom w:val="single" w:sz="8" w:color="auto"/>
            </w:tcBorders>
            <w:vMerge w:val="continue"/>
            <w:shd w:val="clear" w:color="auto" w:fill="EAEAEA"/>
          </w:tcPr>
          <w:p>
            <w:pPr>
              <w:spacing w:after="0"/>
              <w:rPr>
                <w:sz w:val="10"/>
                <w:szCs w:val="10"/>
                <w:color w:val="auto"/>
              </w:rPr>
            </w:pPr>
          </w:p>
        </w:tc>
        <w:tc>
          <w:tcPr>
            <w:tcW w:w="80" w:type="dxa"/>
            <w:vAlign w:val="bottom"/>
            <w:tcBorders>
              <w:bottom w:val="single" w:sz="8" w:color="auto"/>
            </w:tcBorders>
            <w:shd w:val="clear" w:color="auto" w:fill="EAEAEA"/>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660" w:type="dxa"/>
            <w:vAlign w:val="bottom"/>
            <w:vMerge w:val="continue"/>
          </w:tcPr>
          <w:p>
            <w:pPr>
              <w:spacing w:after="0"/>
              <w:rPr>
                <w:sz w:val="5"/>
                <w:szCs w:val="5"/>
                <w:color w:val="auto"/>
              </w:rPr>
            </w:pPr>
          </w:p>
        </w:tc>
        <w:tc>
          <w:tcPr>
            <w:tcW w:w="120" w:type="dxa"/>
            <w:vAlign w:val="bottom"/>
            <w:shd w:val="clear" w:color="auto" w:fill="EAEAEA"/>
          </w:tcPr>
          <w:p>
            <w:pPr>
              <w:spacing w:after="0"/>
              <w:rPr>
                <w:sz w:val="5"/>
                <w:szCs w:val="5"/>
                <w:color w:val="auto"/>
              </w:rPr>
            </w:pPr>
          </w:p>
        </w:tc>
        <w:tc>
          <w:tcPr>
            <w:tcW w:w="78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6/17/2019</w:t>
            </w:r>
          </w:p>
        </w:tc>
        <w:tc>
          <w:tcPr>
            <w:tcW w:w="100" w:type="dxa"/>
            <w:vAlign w:val="bottom"/>
            <w:shd w:val="clear" w:color="auto" w:fill="EAEAEA"/>
          </w:tcPr>
          <w:p>
            <w:pPr>
              <w:spacing w:after="0"/>
              <w:rPr>
                <w:sz w:val="5"/>
                <w:szCs w:val="5"/>
                <w:color w:val="auto"/>
              </w:rPr>
            </w:pPr>
          </w:p>
        </w:tc>
        <w:tc>
          <w:tcPr>
            <w:tcW w:w="1140" w:type="dxa"/>
            <w:vAlign w:val="bottom"/>
            <w:vMerge w:val="restart"/>
          </w:tcPr>
          <w:p>
            <w:pPr>
              <w:jc w:val="right"/>
              <w:ind w:right="364"/>
              <w:spacing w:after="0"/>
              <w:rPr>
                <w:sz w:val="20"/>
                <w:szCs w:val="20"/>
                <w:color w:val="auto"/>
              </w:rPr>
            </w:pPr>
            <w:r>
              <w:rPr>
                <w:rFonts w:ascii="Arial" w:cs="Arial" w:eastAsia="Arial" w:hAnsi="Arial"/>
                <w:sz w:val="16"/>
                <w:szCs w:val="16"/>
                <w:color w:val="auto"/>
              </w:rPr>
              <w:t>7,512</w:t>
            </w:r>
          </w:p>
        </w:tc>
        <w:tc>
          <w:tcPr>
            <w:tcW w:w="120" w:type="dxa"/>
            <w:vAlign w:val="bottom"/>
            <w:shd w:val="clear" w:color="auto" w:fill="EAEAEA"/>
          </w:tcPr>
          <w:p>
            <w:pPr>
              <w:spacing w:after="0"/>
              <w:rPr>
                <w:sz w:val="5"/>
                <w:szCs w:val="5"/>
                <w:color w:val="auto"/>
              </w:rPr>
            </w:pPr>
          </w:p>
        </w:tc>
        <w:tc>
          <w:tcPr>
            <w:tcW w:w="48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w w:val="93"/>
              </w:rPr>
              <w:t>108.08</w:t>
            </w:r>
          </w:p>
        </w:tc>
        <w:tc>
          <w:tcPr>
            <w:tcW w:w="80" w:type="dxa"/>
            <w:vAlign w:val="bottom"/>
            <w:shd w:val="clear" w:color="auto" w:fill="EAEAEA"/>
          </w:tcPr>
          <w:p>
            <w:pPr>
              <w:spacing w:after="0"/>
              <w:rPr>
                <w:sz w:val="5"/>
                <w:szCs w:val="5"/>
                <w:color w:val="auto"/>
              </w:rPr>
            </w:pPr>
          </w:p>
        </w:tc>
        <w:tc>
          <w:tcPr>
            <w:tcW w:w="700" w:type="dxa"/>
            <w:vAlign w:val="bottom"/>
            <w:vMerge w:val="restart"/>
          </w:tcPr>
          <w:p>
            <w:pPr>
              <w:jc w:val="right"/>
              <w:ind w:right="3"/>
              <w:spacing w:after="0"/>
              <w:rPr>
                <w:sz w:val="20"/>
                <w:szCs w:val="20"/>
                <w:color w:val="auto"/>
              </w:rPr>
            </w:pPr>
            <w:r>
              <w:rPr>
                <w:rFonts w:ascii="Arial" w:cs="Arial" w:eastAsia="Arial" w:hAnsi="Arial"/>
                <w:sz w:val="16"/>
                <w:szCs w:val="16"/>
                <w:color w:val="auto"/>
              </w:rPr>
              <w:t>28.90</w:t>
            </w:r>
          </w:p>
        </w:tc>
        <w:tc>
          <w:tcPr>
            <w:tcW w:w="180" w:type="dxa"/>
            <w:vAlign w:val="bottom"/>
            <w:shd w:val="clear" w:color="auto" w:fill="EAEAEA"/>
          </w:tcPr>
          <w:p>
            <w:pPr>
              <w:spacing w:after="0"/>
              <w:rPr>
                <w:sz w:val="5"/>
                <w:szCs w:val="5"/>
                <w:color w:val="auto"/>
              </w:rPr>
            </w:pPr>
          </w:p>
        </w:tc>
        <w:tc>
          <w:tcPr>
            <w:tcW w:w="44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EAEAEA"/>
          </w:tcPr>
          <w:p>
            <w:pPr>
              <w:spacing w:after="0"/>
              <w:rPr>
                <w:sz w:val="5"/>
                <w:szCs w:val="5"/>
                <w:color w:val="auto"/>
              </w:rPr>
            </w:pPr>
          </w:p>
        </w:tc>
        <w:tc>
          <w:tcPr>
            <w:tcW w:w="700" w:type="dxa"/>
            <w:vAlign w:val="bottom"/>
            <w:vMerge w:val="restart"/>
          </w:tcPr>
          <w:p>
            <w:pPr>
              <w:jc w:val="right"/>
              <w:ind w:right="4"/>
              <w:spacing w:after="0"/>
              <w:rPr>
                <w:sz w:val="20"/>
                <w:szCs w:val="20"/>
                <w:color w:val="auto"/>
              </w:rPr>
            </w:pPr>
            <w:r>
              <w:rPr>
                <w:rFonts w:ascii="Arial" w:cs="Arial" w:eastAsia="Arial" w:hAnsi="Arial"/>
                <w:sz w:val="16"/>
                <w:szCs w:val="16"/>
                <w:color w:val="auto"/>
              </w:rPr>
              <w:t>1.83</w:t>
            </w:r>
          </w:p>
        </w:tc>
        <w:tc>
          <w:tcPr>
            <w:tcW w:w="160" w:type="dxa"/>
            <w:vAlign w:val="bottom"/>
            <w:shd w:val="clear" w:color="auto" w:fill="EAEAEA"/>
          </w:tcPr>
          <w:p>
            <w:pPr>
              <w:spacing w:after="0"/>
              <w:rPr>
                <w:sz w:val="5"/>
                <w:szCs w:val="5"/>
                <w:color w:val="auto"/>
              </w:rPr>
            </w:pPr>
          </w:p>
        </w:tc>
        <w:tc>
          <w:tcPr>
            <w:tcW w:w="50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EAEAEA"/>
          </w:tcPr>
          <w:p>
            <w:pPr>
              <w:spacing w:after="0"/>
              <w:rPr>
                <w:sz w:val="5"/>
                <w:szCs w:val="5"/>
                <w:color w:val="auto"/>
              </w:rPr>
            </w:pPr>
          </w:p>
        </w:tc>
        <w:tc>
          <w:tcPr>
            <w:tcW w:w="840" w:type="dxa"/>
            <w:vAlign w:val="bottom"/>
            <w:vMerge w:val="restart"/>
          </w:tcPr>
          <w:p>
            <w:pPr>
              <w:jc w:val="right"/>
              <w:ind w:right="4"/>
              <w:spacing w:after="0"/>
              <w:rPr>
                <w:sz w:val="20"/>
                <w:szCs w:val="20"/>
                <w:color w:val="auto"/>
              </w:rPr>
            </w:pPr>
            <w:r>
              <w:rPr>
                <w:rFonts w:ascii="Arial" w:cs="Arial" w:eastAsia="Arial" w:hAnsi="Arial"/>
                <w:sz w:val="16"/>
                <w:szCs w:val="16"/>
                <w:color w:val="auto"/>
              </w:rPr>
              <w:t>22.69</w:t>
            </w:r>
          </w:p>
        </w:tc>
        <w:tc>
          <w:tcPr>
            <w:tcW w:w="120" w:type="dxa"/>
            <w:vAlign w:val="bottom"/>
            <w:shd w:val="clear" w:color="auto" w:fill="EAEAEA"/>
          </w:tcPr>
          <w:p>
            <w:pPr>
              <w:spacing w:after="0"/>
              <w:rPr>
                <w:sz w:val="5"/>
                <w:szCs w:val="5"/>
                <w:color w:val="auto"/>
              </w:rPr>
            </w:pPr>
          </w:p>
        </w:tc>
        <w:tc>
          <w:tcPr>
            <w:tcW w:w="900" w:type="dxa"/>
            <w:vAlign w:val="bottom"/>
            <w:shd w:val="clear" w:color="auto" w:fill="EAEAEA"/>
          </w:tcPr>
          <w:p>
            <w:pPr>
              <w:spacing w:after="0"/>
              <w:rPr>
                <w:sz w:val="5"/>
                <w:szCs w:val="5"/>
                <w:color w:val="auto"/>
              </w:rPr>
            </w:pPr>
          </w:p>
        </w:tc>
        <w:tc>
          <w:tcPr>
            <w:tcW w:w="80" w:type="dxa"/>
            <w:vAlign w:val="bottom"/>
            <w:shd w:val="clear" w:color="auto" w:fill="EAEAEA"/>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660" w:type="dxa"/>
            <w:vAlign w:val="bottom"/>
          </w:tcPr>
          <w:p>
            <w:pPr>
              <w:spacing w:after="0"/>
              <w:rPr>
                <w:sz w:val="10"/>
                <w:szCs w:val="10"/>
                <w:color w:val="auto"/>
              </w:rPr>
            </w:pPr>
          </w:p>
        </w:tc>
        <w:tc>
          <w:tcPr>
            <w:tcW w:w="120" w:type="dxa"/>
            <w:vAlign w:val="bottom"/>
            <w:tcBorders>
              <w:bottom w:val="single" w:sz="8" w:color="auto"/>
            </w:tcBorders>
            <w:shd w:val="clear" w:color="auto" w:fill="EAEAEA"/>
          </w:tcPr>
          <w:p>
            <w:pPr>
              <w:spacing w:after="0"/>
              <w:rPr>
                <w:sz w:val="10"/>
                <w:szCs w:val="10"/>
                <w:color w:val="auto"/>
              </w:rPr>
            </w:pPr>
          </w:p>
        </w:tc>
        <w:tc>
          <w:tcPr>
            <w:tcW w:w="780" w:type="dxa"/>
            <w:vAlign w:val="bottom"/>
            <w:tcBorders>
              <w:bottom w:val="single" w:sz="8" w:color="auto"/>
            </w:tcBorders>
            <w:vMerge w:val="continue"/>
            <w:shd w:val="clear" w:color="auto" w:fill="EAEAEA"/>
          </w:tcPr>
          <w:p>
            <w:pPr>
              <w:spacing w:after="0"/>
              <w:rPr>
                <w:sz w:val="10"/>
                <w:szCs w:val="10"/>
                <w:color w:val="auto"/>
              </w:rPr>
            </w:pPr>
          </w:p>
        </w:tc>
        <w:tc>
          <w:tcPr>
            <w:tcW w:w="100" w:type="dxa"/>
            <w:vAlign w:val="bottom"/>
            <w:tcBorders>
              <w:bottom w:val="single" w:sz="8" w:color="auto"/>
            </w:tcBorders>
            <w:shd w:val="clear" w:color="auto" w:fill="EAEAEA"/>
          </w:tcPr>
          <w:p>
            <w:pPr>
              <w:spacing w:after="0"/>
              <w:rPr>
                <w:sz w:val="10"/>
                <w:szCs w:val="10"/>
                <w:color w:val="auto"/>
              </w:rPr>
            </w:pPr>
          </w:p>
        </w:tc>
        <w:tc>
          <w:tcPr>
            <w:tcW w:w="114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auto"/>
            </w:tcBorders>
            <w:shd w:val="clear" w:color="auto" w:fill="EAEAEA"/>
          </w:tcPr>
          <w:p>
            <w:pPr>
              <w:spacing w:after="0"/>
              <w:rPr>
                <w:sz w:val="10"/>
                <w:szCs w:val="10"/>
                <w:color w:val="auto"/>
              </w:rPr>
            </w:pPr>
          </w:p>
        </w:tc>
        <w:tc>
          <w:tcPr>
            <w:tcW w:w="480" w:type="dxa"/>
            <w:vAlign w:val="bottom"/>
            <w:tcBorders>
              <w:bottom w:val="single" w:sz="8" w:color="auto"/>
            </w:tcBorders>
            <w:vMerge w:val="continue"/>
            <w:shd w:val="clear" w:color="auto" w:fill="EAEAEA"/>
          </w:tcPr>
          <w:p>
            <w:pPr>
              <w:spacing w:after="0"/>
              <w:rPr>
                <w:sz w:val="10"/>
                <w:szCs w:val="10"/>
                <w:color w:val="auto"/>
              </w:rPr>
            </w:pPr>
          </w:p>
        </w:tc>
        <w:tc>
          <w:tcPr>
            <w:tcW w:w="80" w:type="dxa"/>
            <w:vAlign w:val="bottom"/>
            <w:tcBorders>
              <w:bottom w:val="single" w:sz="8" w:color="auto"/>
            </w:tcBorders>
            <w:shd w:val="clear" w:color="auto" w:fill="EAEAEA"/>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180" w:type="dxa"/>
            <w:vAlign w:val="bottom"/>
            <w:tcBorders>
              <w:bottom w:val="single" w:sz="8" w:color="auto"/>
            </w:tcBorders>
            <w:shd w:val="clear" w:color="auto" w:fill="EAEAEA"/>
          </w:tcPr>
          <w:p>
            <w:pPr>
              <w:spacing w:after="0"/>
              <w:rPr>
                <w:sz w:val="10"/>
                <w:szCs w:val="10"/>
                <w:color w:val="auto"/>
              </w:rPr>
            </w:pPr>
          </w:p>
        </w:tc>
        <w:tc>
          <w:tcPr>
            <w:tcW w:w="440" w:type="dxa"/>
            <w:vAlign w:val="bottom"/>
            <w:tcBorders>
              <w:bottom w:val="single" w:sz="8" w:color="auto"/>
            </w:tcBorders>
            <w:vMerge w:val="continue"/>
            <w:shd w:val="clear" w:color="auto" w:fill="EAEAEA"/>
          </w:tcPr>
          <w:p>
            <w:pPr>
              <w:spacing w:after="0"/>
              <w:rPr>
                <w:sz w:val="10"/>
                <w:szCs w:val="10"/>
                <w:color w:val="auto"/>
              </w:rPr>
            </w:pPr>
          </w:p>
        </w:tc>
        <w:tc>
          <w:tcPr>
            <w:tcW w:w="80" w:type="dxa"/>
            <w:vAlign w:val="bottom"/>
            <w:tcBorders>
              <w:bottom w:val="single" w:sz="8" w:color="auto"/>
            </w:tcBorders>
            <w:shd w:val="clear" w:color="auto" w:fill="EAEAEA"/>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160" w:type="dxa"/>
            <w:vAlign w:val="bottom"/>
            <w:tcBorders>
              <w:bottom w:val="single" w:sz="8" w:color="auto"/>
            </w:tcBorders>
            <w:shd w:val="clear" w:color="auto" w:fill="EAEAEA"/>
          </w:tcPr>
          <w:p>
            <w:pPr>
              <w:spacing w:after="0"/>
              <w:rPr>
                <w:sz w:val="10"/>
                <w:szCs w:val="10"/>
                <w:color w:val="auto"/>
              </w:rPr>
            </w:pPr>
          </w:p>
        </w:tc>
        <w:tc>
          <w:tcPr>
            <w:tcW w:w="500" w:type="dxa"/>
            <w:vAlign w:val="bottom"/>
            <w:tcBorders>
              <w:bottom w:val="single" w:sz="8" w:color="auto"/>
            </w:tcBorders>
            <w:vMerge w:val="continue"/>
            <w:shd w:val="clear" w:color="auto" w:fill="EAEAEA"/>
          </w:tcPr>
          <w:p>
            <w:pPr>
              <w:spacing w:after="0"/>
              <w:rPr>
                <w:sz w:val="10"/>
                <w:szCs w:val="10"/>
                <w:color w:val="auto"/>
              </w:rPr>
            </w:pPr>
          </w:p>
        </w:tc>
        <w:tc>
          <w:tcPr>
            <w:tcW w:w="100" w:type="dxa"/>
            <w:vAlign w:val="bottom"/>
            <w:tcBorders>
              <w:bottom w:val="single" w:sz="8" w:color="auto"/>
            </w:tcBorders>
            <w:shd w:val="clear" w:color="auto" w:fill="EAEAEA"/>
          </w:tcPr>
          <w:p>
            <w:pPr>
              <w:spacing w:after="0"/>
              <w:rPr>
                <w:sz w:val="10"/>
                <w:szCs w:val="10"/>
                <w:color w:val="auto"/>
              </w:rPr>
            </w:pPr>
          </w:p>
        </w:tc>
        <w:tc>
          <w:tcPr>
            <w:tcW w:w="84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auto"/>
            </w:tcBorders>
            <w:shd w:val="clear" w:color="auto" w:fill="EAEAEA"/>
          </w:tcPr>
          <w:p>
            <w:pPr>
              <w:spacing w:after="0"/>
              <w:rPr>
                <w:sz w:val="10"/>
                <w:szCs w:val="10"/>
                <w:color w:val="auto"/>
              </w:rPr>
            </w:pPr>
          </w:p>
        </w:tc>
        <w:tc>
          <w:tcPr>
            <w:tcW w:w="900" w:type="dxa"/>
            <w:vAlign w:val="bottom"/>
            <w:tcBorders>
              <w:bottom w:val="single" w:sz="8" w:color="auto"/>
            </w:tcBorders>
            <w:shd w:val="clear" w:color="auto" w:fill="EAEAEA"/>
          </w:tcPr>
          <w:p>
            <w:pPr>
              <w:spacing w:after="0"/>
              <w:rPr>
                <w:sz w:val="10"/>
                <w:szCs w:val="10"/>
                <w:color w:val="auto"/>
              </w:rPr>
            </w:pPr>
          </w:p>
        </w:tc>
        <w:tc>
          <w:tcPr>
            <w:tcW w:w="80" w:type="dxa"/>
            <w:vAlign w:val="bottom"/>
            <w:tcBorders>
              <w:bottom w:val="single" w:sz="8" w:color="auto"/>
            </w:tcBorders>
            <w:shd w:val="clear" w:color="auto" w:fill="EAEAEA"/>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3/11/2020</w:t>
            </w:r>
          </w:p>
        </w:tc>
        <w:tc>
          <w:tcPr>
            <w:tcW w:w="100" w:type="dxa"/>
            <w:vAlign w:val="bottom"/>
            <w:tcBorders>
              <w:bottom w:val="single" w:sz="8" w:color="auto"/>
            </w:tcBorders>
            <w:shd w:val="clear" w:color="auto" w:fill="EAEAEA"/>
          </w:tcPr>
          <w:p>
            <w:pPr>
              <w:spacing w:after="0"/>
              <w:rPr>
                <w:sz w:val="16"/>
                <w:szCs w:val="16"/>
                <w:color w:val="auto"/>
              </w:rPr>
            </w:pPr>
          </w:p>
        </w:tc>
        <w:tc>
          <w:tcPr>
            <w:tcW w:w="114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color w:val="auto"/>
              </w:rPr>
              <w:t>4,927*</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0.66</w:t>
            </w:r>
          </w:p>
        </w:tc>
        <w:tc>
          <w:tcPr>
            <w:tcW w:w="16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Borders>
              <w:bottom w:val="single" w:sz="8" w:color="auto"/>
            </w:tcBorders>
            <w:shd w:val="clear" w:color="auto" w:fill="EAEAEA"/>
          </w:tcPr>
          <w:p>
            <w:pPr>
              <w:spacing w:after="0"/>
              <w:rPr>
                <w:sz w:val="16"/>
                <w:szCs w:val="16"/>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88.28</w:t>
            </w:r>
          </w:p>
        </w:tc>
        <w:tc>
          <w:tcPr>
            <w:tcW w:w="120" w:type="dxa"/>
            <w:vAlign w:val="bottom"/>
            <w:tcBorders>
              <w:bottom w:val="single" w:sz="8" w:color="auto"/>
            </w:tcBorders>
            <w:shd w:val="clear" w:color="auto" w:fill="EAEAEA"/>
          </w:tcPr>
          <w:p>
            <w:pPr>
              <w:spacing w:after="0"/>
              <w:rPr>
                <w:sz w:val="16"/>
                <w:szCs w:val="16"/>
                <w:color w:val="auto"/>
              </w:rPr>
            </w:pPr>
          </w:p>
        </w:tc>
        <w:tc>
          <w:tcPr>
            <w:tcW w:w="90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3/11/2020</w:t>
            </w:r>
          </w:p>
        </w:tc>
        <w:tc>
          <w:tcPr>
            <w:tcW w:w="100" w:type="dxa"/>
            <w:vAlign w:val="bottom"/>
            <w:tcBorders>
              <w:bottom w:val="single" w:sz="8" w:color="auto"/>
            </w:tcBorders>
            <w:shd w:val="clear" w:color="auto" w:fill="EAEAEA"/>
          </w:tcPr>
          <w:p>
            <w:pPr>
              <w:spacing w:after="0"/>
              <w:rPr>
                <w:sz w:val="16"/>
                <w:szCs w:val="16"/>
                <w:color w:val="auto"/>
              </w:rPr>
            </w:pPr>
          </w:p>
        </w:tc>
        <w:tc>
          <w:tcPr>
            <w:tcW w:w="114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color w:val="auto"/>
              </w:rPr>
              <w:t>4,927**</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27.99</w:t>
            </w:r>
          </w:p>
        </w:tc>
        <w:tc>
          <w:tcPr>
            <w:tcW w:w="18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0.58</w:t>
            </w:r>
          </w:p>
        </w:tc>
        <w:tc>
          <w:tcPr>
            <w:tcW w:w="16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auto"/>
            </w:tcBorders>
            <w:shd w:val="clear" w:color="auto" w:fill="EAEAEA"/>
          </w:tcPr>
          <w:p>
            <w:pPr>
              <w:spacing w:after="0"/>
              <w:rPr>
                <w:sz w:val="16"/>
                <w:szCs w:val="16"/>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97.71</w:t>
            </w:r>
          </w:p>
        </w:tc>
        <w:tc>
          <w:tcPr>
            <w:tcW w:w="120" w:type="dxa"/>
            <w:vAlign w:val="bottom"/>
            <w:tcBorders>
              <w:bottom w:val="single" w:sz="8" w:color="auto"/>
            </w:tcBorders>
            <w:shd w:val="clear" w:color="auto" w:fill="EAEAEA"/>
          </w:tcPr>
          <w:p>
            <w:pPr>
              <w:spacing w:after="0"/>
              <w:rPr>
                <w:sz w:val="16"/>
                <w:szCs w:val="16"/>
                <w:color w:val="auto"/>
              </w:rPr>
            </w:pPr>
          </w:p>
        </w:tc>
        <w:tc>
          <w:tcPr>
            <w:tcW w:w="9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962,834</w:t>
            </w: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3/11/2020</w:t>
            </w:r>
          </w:p>
        </w:tc>
        <w:tc>
          <w:tcPr>
            <w:tcW w:w="100" w:type="dxa"/>
            <w:vAlign w:val="bottom"/>
            <w:tcBorders>
              <w:bottom w:val="single" w:sz="8" w:color="auto"/>
            </w:tcBorders>
            <w:shd w:val="clear" w:color="auto" w:fill="EAEAEA"/>
          </w:tcPr>
          <w:p>
            <w:pPr>
              <w:spacing w:after="0"/>
              <w:rPr>
                <w:sz w:val="16"/>
                <w:szCs w:val="16"/>
                <w:color w:val="auto"/>
              </w:rPr>
            </w:pPr>
          </w:p>
        </w:tc>
        <w:tc>
          <w:tcPr>
            <w:tcW w:w="114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4,927***</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0.66</w:t>
            </w:r>
          </w:p>
        </w:tc>
        <w:tc>
          <w:tcPr>
            <w:tcW w:w="16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Borders>
              <w:bottom w:val="single" w:sz="8" w:color="auto"/>
            </w:tcBorders>
            <w:shd w:val="clear" w:color="auto" w:fill="EAEAEA"/>
          </w:tcPr>
          <w:p>
            <w:pPr>
              <w:spacing w:after="0"/>
              <w:rPr>
                <w:sz w:val="16"/>
                <w:szCs w:val="16"/>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88.28</w:t>
            </w:r>
          </w:p>
        </w:tc>
        <w:tc>
          <w:tcPr>
            <w:tcW w:w="120" w:type="dxa"/>
            <w:vAlign w:val="bottom"/>
            <w:tcBorders>
              <w:bottom w:val="single" w:sz="8" w:color="auto"/>
            </w:tcBorders>
            <w:shd w:val="clear" w:color="auto" w:fill="EAEAEA"/>
          </w:tcPr>
          <w:p>
            <w:pPr>
              <w:spacing w:after="0"/>
              <w:rPr>
                <w:sz w:val="16"/>
                <w:szCs w:val="16"/>
                <w:color w:val="auto"/>
              </w:rPr>
            </w:pPr>
          </w:p>
        </w:tc>
        <w:tc>
          <w:tcPr>
            <w:tcW w:w="9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869,911</w:t>
            </w: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3/11/2020</w:t>
            </w:r>
          </w:p>
        </w:tc>
        <w:tc>
          <w:tcPr>
            <w:tcW w:w="100" w:type="dxa"/>
            <w:vAlign w:val="bottom"/>
            <w:tcBorders>
              <w:bottom w:val="single" w:sz="8" w:color="auto"/>
            </w:tcBorders>
            <w:shd w:val="clear" w:color="auto" w:fill="EAEAEA"/>
          </w:tcPr>
          <w:p>
            <w:pPr>
              <w:spacing w:after="0"/>
              <w:rPr>
                <w:sz w:val="16"/>
                <w:szCs w:val="16"/>
                <w:color w:val="auto"/>
              </w:rPr>
            </w:pPr>
          </w:p>
        </w:tc>
        <w:tc>
          <w:tcPr>
            <w:tcW w:w="1140" w:type="dxa"/>
            <w:vAlign w:val="bottom"/>
            <w:tcBorders>
              <w:bottom w:val="single" w:sz="8" w:color="auto"/>
            </w:tcBorders>
          </w:tcPr>
          <w:p>
            <w:pPr>
              <w:jc w:val="right"/>
              <w:ind w:right="364"/>
              <w:spacing w:after="0"/>
              <w:rPr>
                <w:sz w:val="20"/>
                <w:szCs w:val="20"/>
                <w:color w:val="auto"/>
              </w:rPr>
            </w:pPr>
            <w:r>
              <w:rPr>
                <w:rFonts w:ascii="Arial" w:cs="Arial" w:eastAsia="Arial" w:hAnsi="Arial"/>
                <w:sz w:val="16"/>
                <w:szCs w:val="16"/>
                <w:color w:val="auto"/>
              </w:rPr>
              <w:t>24,232</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94.41</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29.49</w:t>
            </w:r>
          </w:p>
        </w:tc>
        <w:tc>
          <w:tcPr>
            <w:tcW w:w="18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5.0</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0.66</w:t>
            </w:r>
          </w:p>
        </w:tc>
        <w:tc>
          <w:tcPr>
            <w:tcW w:w="16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Borders>
              <w:bottom w:val="single" w:sz="8" w:color="auto"/>
            </w:tcBorders>
            <w:shd w:val="clear" w:color="auto" w:fill="EAEAEA"/>
          </w:tcPr>
          <w:p>
            <w:pPr>
              <w:spacing w:after="0"/>
              <w:rPr>
                <w:sz w:val="16"/>
                <w:szCs w:val="16"/>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18.46</w:t>
            </w:r>
          </w:p>
        </w:tc>
        <w:tc>
          <w:tcPr>
            <w:tcW w:w="120" w:type="dxa"/>
            <w:vAlign w:val="bottom"/>
            <w:tcBorders>
              <w:bottom w:val="single" w:sz="8" w:color="auto"/>
            </w:tcBorders>
            <w:shd w:val="clear" w:color="auto" w:fill="EAEAEA"/>
          </w:tcPr>
          <w:p>
            <w:pPr>
              <w:spacing w:after="0"/>
              <w:rPr>
                <w:sz w:val="16"/>
                <w:szCs w:val="16"/>
                <w:color w:val="auto"/>
              </w:rPr>
            </w:pPr>
          </w:p>
        </w:tc>
        <w:tc>
          <w:tcPr>
            <w:tcW w:w="90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4"/>
              </w:rPr>
              <w:t>12/15/2020</w:t>
            </w:r>
          </w:p>
        </w:tc>
        <w:tc>
          <w:tcPr>
            <w:tcW w:w="100" w:type="dxa"/>
            <w:vAlign w:val="bottom"/>
            <w:tcBorders>
              <w:bottom w:val="single" w:sz="8" w:color="auto"/>
            </w:tcBorders>
            <w:shd w:val="clear" w:color="auto" w:fill="EAEAEA"/>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13,460*****</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0.37</w:t>
            </w:r>
          </w:p>
        </w:tc>
        <w:tc>
          <w:tcPr>
            <w:tcW w:w="16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auto"/>
            </w:tcBorders>
            <w:shd w:val="clear" w:color="auto" w:fill="EAEAEA"/>
          </w:tcPr>
          <w:p>
            <w:pPr>
              <w:spacing w:after="0"/>
              <w:rPr>
                <w:sz w:val="16"/>
                <w:szCs w:val="16"/>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137.90</w:t>
            </w:r>
          </w:p>
        </w:tc>
        <w:tc>
          <w:tcPr>
            <w:tcW w:w="120" w:type="dxa"/>
            <w:vAlign w:val="bottom"/>
            <w:tcBorders>
              <w:bottom w:val="single" w:sz="8" w:color="auto"/>
            </w:tcBorders>
            <w:shd w:val="clear" w:color="auto" w:fill="EAEAEA"/>
          </w:tcPr>
          <w:p>
            <w:pPr>
              <w:spacing w:after="0"/>
              <w:rPr>
                <w:sz w:val="16"/>
                <w:szCs w:val="16"/>
                <w:color w:val="auto"/>
              </w:rPr>
            </w:pPr>
          </w:p>
        </w:tc>
        <w:tc>
          <w:tcPr>
            <w:tcW w:w="9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3,712,268</w:t>
            </w: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3/10/2021</w:t>
            </w:r>
          </w:p>
        </w:tc>
        <w:tc>
          <w:tcPr>
            <w:tcW w:w="100" w:type="dxa"/>
            <w:vAlign w:val="bottom"/>
            <w:tcBorders>
              <w:bottom w:val="single" w:sz="8" w:color="auto"/>
            </w:tcBorders>
            <w:shd w:val="clear" w:color="auto" w:fill="EAEAEA"/>
          </w:tcPr>
          <w:p>
            <w:pPr>
              <w:spacing w:after="0"/>
              <w:rPr>
                <w:sz w:val="16"/>
                <w:szCs w:val="16"/>
                <w:color w:val="auto"/>
              </w:rPr>
            </w:pPr>
          </w:p>
        </w:tc>
        <w:tc>
          <w:tcPr>
            <w:tcW w:w="1140" w:type="dxa"/>
            <w:vAlign w:val="bottom"/>
            <w:tcBorders>
              <w:bottom w:val="single" w:sz="8" w:color="auto"/>
            </w:tcBorders>
          </w:tcPr>
          <w:p>
            <w:pPr>
              <w:jc w:val="right"/>
              <w:ind w:right="364"/>
              <w:spacing w:after="0"/>
              <w:rPr>
                <w:sz w:val="20"/>
                <w:szCs w:val="20"/>
                <w:color w:val="auto"/>
              </w:rPr>
            </w:pPr>
            <w:r>
              <w:rPr>
                <w:rFonts w:ascii="Arial" w:cs="Arial" w:eastAsia="Arial" w:hAnsi="Arial"/>
                <w:sz w:val="16"/>
                <w:szCs w:val="16"/>
                <w:color w:val="auto"/>
              </w:rPr>
              <w:t>14,158</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3"/>
              </w:rPr>
              <w:t>147.11</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35.25</w:t>
            </w:r>
          </w:p>
        </w:tc>
        <w:tc>
          <w:tcPr>
            <w:tcW w:w="18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5.0</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0.80</w:t>
            </w:r>
          </w:p>
        </w:tc>
        <w:tc>
          <w:tcPr>
            <w:tcW w:w="16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auto"/>
            </w:tcBorders>
            <w:shd w:val="clear" w:color="auto" w:fill="EAEAEA"/>
          </w:tcPr>
          <w:p>
            <w:pPr>
              <w:spacing w:after="0"/>
              <w:rPr>
                <w:sz w:val="16"/>
                <w:szCs w:val="16"/>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38.58</w:t>
            </w:r>
          </w:p>
        </w:tc>
        <w:tc>
          <w:tcPr>
            <w:tcW w:w="120" w:type="dxa"/>
            <w:vAlign w:val="bottom"/>
            <w:tcBorders>
              <w:bottom w:val="single" w:sz="8" w:color="auto"/>
            </w:tcBorders>
            <w:shd w:val="clear" w:color="auto" w:fill="EAEAEA"/>
          </w:tcPr>
          <w:p>
            <w:pPr>
              <w:spacing w:after="0"/>
              <w:rPr>
                <w:sz w:val="16"/>
                <w:szCs w:val="16"/>
                <w:color w:val="auto"/>
              </w:rPr>
            </w:pPr>
          </w:p>
        </w:tc>
        <w:tc>
          <w:tcPr>
            <w:tcW w:w="90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3/10/2021</w:t>
            </w:r>
          </w:p>
        </w:tc>
        <w:tc>
          <w:tcPr>
            <w:tcW w:w="100" w:type="dxa"/>
            <w:vAlign w:val="bottom"/>
            <w:tcBorders>
              <w:bottom w:val="single" w:sz="8" w:color="auto"/>
            </w:tcBorders>
            <w:shd w:val="clear" w:color="auto" w:fill="EAEAEA"/>
          </w:tcPr>
          <w:p>
            <w:pPr>
              <w:spacing w:after="0"/>
              <w:rPr>
                <w:sz w:val="16"/>
                <w:szCs w:val="16"/>
                <w:color w:val="auto"/>
              </w:rPr>
            </w:pPr>
          </w:p>
        </w:tc>
        <w:tc>
          <w:tcPr>
            <w:tcW w:w="114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color w:val="auto"/>
              </w:rPr>
              <w:t>3,873*</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0.80</w:t>
            </w:r>
          </w:p>
        </w:tc>
        <w:tc>
          <w:tcPr>
            <w:tcW w:w="16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auto"/>
            </w:tcBorders>
            <w:shd w:val="clear" w:color="auto" w:fill="EAEAEA"/>
          </w:tcPr>
          <w:p>
            <w:pPr>
              <w:spacing w:after="0"/>
              <w:rPr>
                <w:sz w:val="16"/>
                <w:szCs w:val="16"/>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140.30</w:t>
            </w:r>
          </w:p>
        </w:tc>
        <w:tc>
          <w:tcPr>
            <w:tcW w:w="120" w:type="dxa"/>
            <w:vAlign w:val="bottom"/>
            <w:tcBorders>
              <w:bottom w:val="single" w:sz="8" w:color="auto"/>
            </w:tcBorders>
            <w:shd w:val="clear" w:color="auto" w:fill="EAEAEA"/>
          </w:tcPr>
          <w:p>
            <w:pPr>
              <w:spacing w:after="0"/>
              <w:rPr>
                <w:sz w:val="16"/>
                <w:szCs w:val="16"/>
                <w:color w:val="auto"/>
              </w:rPr>
            </w:pPr>
          </w:p>
        </w:tc>
        <w:tc>
          <w:tcPr>
            <w:tcW w:w="90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3/10/2021</w:t>
            </w:r>
          </w:p>
        </w:tc>
        <w:tc>
          <w:tcPr>
            <w:tcW w:w="100" w:type="dxa"/>
            <w:vAlign w:val="bottom"/>
            <w:tcBorders>
              <w:bottom w:val="single" w:sz="8" w:color="auto"/>
            </w:tcBorders>
            <w:shd w:val="clear" w:color="auto" w:fill="EAEAEA"/>
          </w:tcPr>
          <w:p>
            <w:pPr>
              <w:spacing w:after="0"/>
              <w:rPr>
                <w:sz w:val="16"/>
                <w:szCs w:val="16"/>
                <w:color w:val="auto"/>
              </w:rPr>
            </w:pPr>
          </w:p>
        </w:tc>
        <w:tc>
          <w:tcPr>
            <w:tcW w:w="114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color w:val="auto"/>
              </w:rPr>
              <w:t>3,873**</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37.47</w:t>
            </w:r>
          </w:p>
        </w:tc>
        <w:tc>
          <w:tcPr>
            <w:tcW w:w="18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0.32</w:t>
            </w:r>
          </w:p>
        </w:tc>
        <w:tc>
          <w:tcPr>
            <w:tcW w:w="16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auto"/>
            </w:tcBorders>
            <w:shd w:val="clear" w:color="auto" w:fill="EAEAEA"/>
          </w:tcPr>
          <w:p>
            <w:pPr>
              <w:spacing w:after="0"/>
              <w:rPr>
                <w:sz w:val="16"/>
                <w:szCs w:val="16"/>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163.14</w:t>
            </w:r>
          </w:p>
        </w:tc>
        <w:tc>
          <w:tcPr>
            <w:tcW w:w="120" w:type="dxa"/>
            <w:vAlign w:val="bottom"/>
            <w:tcBorders>
              <w:bottom w:val="single" w:sz="8" w:color="auto"/>
            </w:tcBorders>
            <w:shd w:val="clear" w:color="auto" w:fill="EAEAEA"/>
          </w:tcPr>
          <w:p>
            <w:pPr>
              <w:spacing w:after="0"/>
              <w:rPr>
                <w:sz w:val="16"/>
                <w:szCs w:val="16"/>
                <w:color w:val="auto"/>
              </w:rPr>
            </w:pPr>
          </w:p>
        </w:tc>
        <w:tc>
          <w:tcPr>
            <w:tcW w:w="9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1,263,682</w:t>
            </w: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60" w:type="dxa"/>
            <w:vAlign w:val="bottom"/>
            <w:tcBorders>
              <w:bottom w:val="single" w:sz="8" w:color="0066BA"/>
            </w:tcBorders>
          </w:tcPr>
          <w:p>
            <w:pPr>
              <w:spacing w:after="0"/>
              <w:rPr>
                <w:sz w:val="16"/>
                <w:szCs w:val="16"/>
                <w:color w:val="auto"/>
              </w:rPr>
            </w:pPr>
          </w:p>
        </w:tc>
        <w:tc>
          <w:tcPr>
            <w:tcW w:w="120" w:type="dxa"/>
            <w:vAlign w:val="bottom"/>
            <w:tcBorders>
              <w:bottom w:val="single" w:sz="8" w:color="0066BA"/>
            </w:tcBorders>
            <w:shd w:val="clear" w:color="auto" w:fill="EAEAEA"/>
          </w:tcPr>
          <w:p>
            <w:pPr>
              <w:spacing w:after="0"/>
              <w:rPr>
                <w:sz w:val="16"/>
                <w:szCs w:val="16"/>
                <w:color w:val="auto"/>
              </w:rPr>
            </w:pPr>
          </w:p>
        </w:tc>
        <w:tc>
          <w:tcPr>
            <w:tcW w:w="78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3/10/2021</w:t>
            </w:r>
          </w:p>
        </w:tc>
        <w:tc>
          <w:tcPr>
            <w:tcW w:w="100" w:type="dxa"/>
            <w:vAlign w:val="bottom"/>
            <w:tcBorders>
              <w:bottom w:val="single" w:sz="8" w:color="0066BA"/>
            </w:tcBorders>
            <w:shd w:val="clear" w:color="auto" w:fill="EAEAEA"/>
          </w:tcPr>
          <w:p>
            <w:pPr>
              <w:spacing w:after="0"/>
              <w:rPr>
                <w:sz w:val="16"/>
                <w:szCs w:val="16"/>
                <w:color w:val="auto"/>
              </w:rPr>
            </w:pPr>
          </w:p>
        </w:tc>
        <w:tc>
          <w:tcPr>
            <w:tcW w:w="1140" w:type="dxa"/>
            <w:vAlign w:val="bottom"/>
            <w:tcBorders>
              <w:bottom w:val="single" w:sz="8" w:color="0066BA"/>
            </w:tcBorders>
          </w:tcPr>
          <w:p>
            <w:pPr>
              <w:jc w:val="right"/>
              <w:ind w:right="124"/>
              <w:spacing w:after="0"/>
              <w:rPr>
                <w:sz w:val="20"/>
                <w:szCs w:val="20"/>
                <w:color w:val="auto"/>
              </w:rPr>
            </w:pPr>
            <w:r>
              <w:rPr>
                <w:rFonts w:ascii="Arial" w:cs="Arial" w:eastAsia="Arial" w:hAnsi="Arial"/>
                <w:sz w:val="16"/>
                <w:szCs w:val="16"/>
                <w:color w:val="auto"/>
              </w:rPr>
              <w:t>3,873***</w:t>
            </w:r>
          </w:p>
        </w:tc>
        <w:tc>
          <w:tcPr>
            <w:tcW w:w="120" w:type="dxa"/>
            <w:vAlign w:val="bottom"/>
            <w:tcBorders>
              <w:bottom w:val="single" w:sz="8" w:color="0066BA"/>
            </w:tcBorders>
            <w:shd w:val="clear" w:color="auto" w:fill="EAEAEA"/>
          </w:tcPr>
          <w:p>
            <w:pPr>
              <w:spacing w:after="0"/>
              <w:rPr>
                <w:sz w:val="16"/>
                <w:szCs w:val="16"/>
                <w:color w:val="auto"/>
              </w:rPr>
            </w:pPr>
          </w:p>
        </w:tc>
        <w:tc>
          <w:tcPr>
            <w:tcW w:w="48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700" w:type="dxa"/>
            <w:vAlign w:val="bottom"/>
            <w:tcBorders>
              <w:bottom w:val="single" w:sz="8" w:color="0066BA"/>
            </w:tcBorders>
          </w:tcPr>
          <w:p>
            <w:pPr>
              <w:jc w:val="right"/>
              <w:ind w:right="3"/>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0066BA"/>
            </w:tcBorders>
            <w:shd w:val="clear" w:color="auto" w:fill="EAEAEA"/>
          </w:tcPr>
          <w:p>
            <w:pPr>
              <w:spacing w:after="0"/>
              <w:rPr>
                <w:sz w:val="16"/>
                <w:szCs w:val="16"/>
                <w:color w:val="auto"/>
              </w:rPr>
            </w:pPr>
          </w:p>
        </w:tc>
        <w:tc>
          <w:tcPr>
            <w:tcW w:w="44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700" w:type="dxa"/>
            <w:vAlign w:val="bottom"/>
            <w:tcBorders>
              <w:bottom w:val="single" w:sz="8" w:color="0066BA"/>
            </w:tcBorders>
          </w:tcPr>
          <w:p>
            <w:pPr>
              <w:jc w:val="right"/>
              <w:ind w:right="4"/>
              <w:spacing w:after="0"/>
              <w:rPr>
                <w:sz w:val="20"/>
                <w:szCs w:val="20"/>
                <w:color w:val="auto"/>
              </w:rPr>
            </w:pPr>
            <w:r>
              <w:rPr>
                <w:rFonts w:ascii="Arial" w:cs="Arial" w:eastAsia="Arial" w:hAnsi="Arial"/>
                <w:sz w:val="16"/>
                <w:szCs w:val="16"/>
                <w:color w:val="auto"/>
              </w:rPr>
              <w:t>0.80</w:t>
            </w:r>
          </w:p>
        </w:tc>
        <w:tc>
          <w:tcPr>
            <w:tcW w:w="160" w:type="dxa"/>
            <w:vAlign w:val="bottom"/>
            <w:tcBorders>
              <w:bottom w:val="single" w:sz="8" w:color="0066BA"/>
            </w:tcBorders>
            <w:shd w:val="clear" w:color="auto" w:fill="EAEAEA"/>
          </w:tcPr>
          <w:p>
            <w:pPr>
              <w:spacing w:after="0"/>
              <w:rPr>
                <w:sz w:val="16"/>
                <w:szCs w:val="16"/>
                <w:color w:val="auto"/>
              </w:rPr>
            </w:pPr>
          </w:p>
        </w:tc>
        <w:tc>
          <w:tcPr>
            <w:tcW w:w="50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0066BA"/>
            </w:tcBorders>
            <w:shd w:val="clear" w:color="auto" w:fill="EAEAEA"/>
          </w:tcPr>
          <w:p>
            <w:pPr>
              <w:spacing w:after="0"/>
              <w:rPr>
                <w:sz w:val="16"/>
                <w:szCs w:val="16"/>
                <w:color w:val="auto"/>
              </w:rPr>
            </w:pPr>
          </w:p>
        </w:tc>
        <w:tc>
          <w:tcPr>
            <w:tcW w:w="840" w:type="dxa"/>
            <w:vAlign w:val="bottom"/>
            <w:tcBorders>
              <w:bottom w:val="single" w:sz="8" w:color="0066BA"/>
            </w:tcBorders>
          </w:tcPr>
          <w:p>
            <w:pPr>
              <w:jc w:val="right"/>
              <w:ind w:right="4"/>
              <w:spacing w:after="0"/>
              <w:rPr>
                <w:sz w:val="20"/>
                <w:szCs w:val="20"/>
                <w:color w:val="auto"/>
              </w:rPr>
            </w:pPr>
            <w:r>
              <w:rPr>
                <w:rFonts w:ascii="Arial" w:cs="Arial" w:eastAsia="Arial" w:hAnsi="Arial"/>
                <w:sz w:val="16"/>
                <w:szCs w:val="16"/>
                <w:color w:val="auto"/>
              </w:rPr>
              <w:t>140.30</w:t>
            </w:r>
          </w:p>
        </w:tc>
        <w:tc>
          <w:tcPr>
            <w:tcW w:w="120" w:type="dxa"/>
            <w:vAlign w:val="bottom"/>
            <w:tcBorders>
              <w:bottom w:val="single" w:sz="8" w:color="0066BA"/>
            </w:tcBorders>
            <w:shd w:val="clear" w:color="auto" w:fill="EAEAEA"/>
          </w:tcPr>
          <w:p>
            <w:pPr>
              <w:spacing w:after="0"/>
              <w:rPr>
                <w:sz w:val="16"/>
                <w:szCs w:val="16"/>
                <w:color w:val="auto"/>
              </w:rPr>
            </w:pPr>
          </w:p>
        </w:tc>
        <w:tc>
          <w:tcPr>
            <w:tcW w:w="90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1,086,764</w:t>
            </w:r>
          </w:p>
        </w:tc>
        <w:tc>
          <w:tcPr>
            <w:tcW w:w="80" w:type="dxa"/>
            <w:vAlign w:val="bottom"/>
            <w:tcBorders>
              <w:bottom w:val="single" w:sz="8" w:color="0066BA"/>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3/29/2018</w:t>
            </w:r>
          </w:p>
        </w:tc>
        <w:tc>
          <w:tcPr>
            <w:tcW w:w="100" w:type="dxa"/>
            <w:vAlign w:val="bottom"/>
            <w:tcBorders>
              <w:bottom w:val="single" w:sz="8" w:color="auto"/>
            </w:tcBorders>
            <w:shd w:val="clear" w:color="auto" w:fill="EAEAEA"/>
          </w:tcPr>
          <w:p>
            <w:pPr>
              <w:spacing w:after="0"/>
              <w:rPr>
                <w:sz w:val="16"/>
                <w:szCs w:val="16"/>
                <w:color w:val="auto"/>
              </w:rPr>
            </w:pPr>
          </w:p>
        </w:tc>
        <w:tc>
          <w:tcPr>
            <w:tcW w:w="114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color w:val="auto"/>
              </w:rPr>
              <w:t>4,897*</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2.54</w:t>
            </w:r>
          </w:p>
        </w:tc>
        <w:tc>
          <w:tcPr>
            <w:tcW w:w="16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auto"/>
            </w:tcBorders>
            <w:shd w:val="clear" w:color="auto" w:fill="EAEAEA"/>
          </w:tcPr>
          <w:p>
            <w:pPr>
              <w:spacing w:after="0"/>
              <w:rPr>
                <w:sz w:val="16"/>
                <w:szCs w:val="16"/>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86.51</w:t>
            </w:r>
          </w:p>
        </w:tc>
        <w:tc>
          <w:tcPr>
            <w:tcW w:w="120" w:type="dxa"/>
            <w:vAlign w:val="bottom"/>
            <w:tcBorders>
              <w:bottom w:val="single" w:sz="8" w:color="auto"/>
            </w:tcBorders>
            <w:shd w:val="clear" w:color="auto" w:fill="EAEAEA"/>
          </w:tcPr>
          <w:p>
            <w:pPr>
              <w:spacing w:after="0"/>
              <w:rPr>
                <w:sz w:val="16"/>
                <w:szCs w:val="16"/>
                <w:color w:val="auto"/>
              </w:rPr>
            </w:pPr>
          </w:p>
        </w:tc>
        <w:tc>
          <w:tcPr>
            <w:tcW w:w="90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3/29/2018</w:t>
            </w:r>
          </w:p>
        </w:tc>
        <w:tc>
          <w:tcPr>
            <w:tcW w:w="100" w:type="dxa"/>
            <w:vAlign w:val="bottom"/>
            <w:tcBorders>
              <w:bottom w:val="single" w:sz="8" w:color="auto"/>
            </w:tcBorders>
            <w:shd w:val="clear" w:color="auto" w:fill="EAEAEA"/>
          </w:tcPr>
          <w:p>
            <w:pPr>
              <w:spacing w:after="0"/>
              <w:rPr>
                <w:sz w:val="16"/>
                <w:szCs w:val="16"/>
                <w:color w:val="auto"/>
              </w:rPr>
            </w:pPr>
          </w:p>
        </w:tc>
        <w:tc>
          <w:tcPr>
            <w:tcW w:w="114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color w:val="auto"/>
              </w:rPr>
              <w:t>4,897**</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25.63</w:t>
            </w:r>
          </w:p>
        </w:tc>
        <w:tc>
          <w:tcPr>
            <w:tcW w:w="18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2.37</w:t>
            </w:r>
          </w:p>
        </w:tc>
        <w:tc>
          <w:tcPr>
            <w:tcW w:w="16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Borders>
              <w:bottom w:val="single" w:sz="8" w:color="auto"/>
            </w:tcBorders>
            <w:shd w:val="clear" w:color="auto" w:fill="EAEAEA"/>
          </w:tcPr>
          <w:p>
            <w:pPr>
              <w:spacing w:after="0"/>
              <w:rPr>
                <w:sz w:val="16"/>
                <w:szCs w:val="16"/>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101.23</w:t>
            </w:r>
          </w:p>
        </w:tc>
        <w:tc>
          <w:tcPr>
            <w:tcW w:w="120" w:type="dxa"/>
            <w:vAlign w:val="bottom"/>
            <w:tcBorders>
              <w:bottom w:val="single" w:sz="8" w:color="auto"/>
            </w:tcBorders>
            <w:shd w:val="clear" w:color="auto" w:fill="EAEAEA"/>
          </w:tcPr>
          <w:p>
            <w:pPr>
              <w:spacing w:after="0"/>
              <w:rPr>
                <w:sz w:val="16"/>
                <w:szCs w:val="16"/>
                <w:color w:val="auto"/>
              </w:rPr>
            </w:pPr>
          </w:p>
        </w:tc>
        <w:tc>
          <w:tcPr>
            <w:tcW w:w="9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991,447</w:t>
            </w: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3/29/2018</w:t>
            </w:r>
          </w:p>
        </w:tc>
        <w:tc>
          <w:tcPr>
            <w:tcW w:w="100" w:type="dxa"/>
            <w:vAlign w:val="bottom"/>
            <w:tcBorders>
              <w:bottom w:val="single" w:sz="8" w:color="auto"/>
            </w:tcBorders>
            <w:shd w:val="clear" w:color="auto" w:fill="EAEAEA"/>
          </w:tcPr>
          <w:p>
            <w:pPr>
              <w:spacing w:after="0"/>
              <w:rPr>
                <w:sz w:val="16"/>
                <w:szCs w:val="16"/>
                <w:color w:val="auto"/>
              </w:rPr>
            </w:pPr>
          </w:p>
        </w:tc>
        <w:tc>
          <w:tcPr>
            <w:tcW w:w="1140" w:type="dxa"/>
            <w:vAlign w:val="bottom"/>
            <w:tcBorders>
              <w:bottom w:val="single" w:sz="8" w:color="auto"/>
            </w:tcBorders>
          </w:tcPr>
          <w:p>
            <w:pPr>
              <w:jc w:val="right"/>
              <w:ind w:right="364"/>
              <w:spacing w:after="0"/>
              <w:rPr>
                <w:sz w:val="20"/>
                <w:szCs w:val="20"/>
                <w:color w:val="auto"/>
              </w:rPr>
            </w:pPr>
            <w:r>
              <w:rPr>
                <w:rFonts w:ascii="Arial" w:cs="Arial" w:eastAsia="Arial" w:hAnsi="Arial"/>
                <w:sz w:val="16"/>
                <w:szCs w:val="16"/>
                <w:color w:val="auto"/>
              </w:rPr>
              <w:t>20,552</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91.13</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27.77</w:t>
            </w:r>
          </w:p>
        </w:tc>
        <w:tc>
          <w:tcPr>
            <w:tcW w:w="18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5.0</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2.64</w:t>
            </w:r>
          </w:p>
        </w:tc>
        <w:tc>
          <w:tcPr>
            <w:tcW w:w="16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auto"/>
            </w:tcBorders>
            <w:shd w:val="clear" w:color="auto" w:fill="EAEAEA"/>
          </w:tcPr>
          <w:p>
            <w:pPr>
              <w:spacing w:after="0"/>
              <w:rPr>
                <w:sz w:val="16"/>
                <w:szCs w:val="16"/>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20.83</w:t>
            </w:r>
          </w:p>
        </w:tc>
        <w:tc>
          <w:tcPr>
            <w:tcW w:w="120" w:type="dxa"/>
            <w:vAlign w:val="bottom"/>
            <w:tcBorders>
              <w:bottom w:val="single" w:sz="8" w:color="auto"/>
            </w:tcBorders>
            <w:shd w:val="clear" w:color="auto" w:fill="EAEAEA"/>
          </w:tcPr>
          <w:p>
            <w:pPr>
              <w:spacing w:after="0"/>
              <w:rPr>
                <w:sz w:val="16"/>
                <w:szCs w:val="16"/>
                <w:color w:val="auto"/>
              </w:rPr>
            </w:pPr>
          </w:p>
        </w:tc>
        <w:tc>
          <w:tcPr>
            <w:tcW w:w="90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9/17/2018</w:t>
            </w:r>
          </w:p>
        </w:tc>
        <w:tc>
          <w:tcPr>
            <w:tcW w:w="100" w:type="dxa"/>
            <w:vAlign w:val="bottom"/>
            <w:tcBorders>
              <w:bottom w:val="single" w:sz="8" w:color="auto"/>
            </w:tcBorders>
            <w:shd w:val="clear" w:color="auto" w:fill="EAEAEA"/>
          </w:tcPr>
          <w:p>
            <w:pPr>
              <w:spacing w:after="0"/>
              <w:rPr>
                <w:sz w:val="16"/>
                <w:szCs w:val="16"/>
                <w:color w:val="auto"/>
              </w:rPr>
            </w:pPr>
          </w:p>
        </w:tc>
        <w:tc>
          <w:tcPr>
            <w:tcW w:w="114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color w:val="auto"/>
              </w:rPr>
              <w:t>3,334*</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2.87</w:t>
            </w:r>
          </w:p>
        </w:tc>
        <w:tc>
          <w:tcPr>
            <w:tcW w:w="16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auto"/>
            </w:tcBorders>
            <w:shd w:val="clear" w:color="auto" w:fill="EAEAEA"/>
          </w:tcPr>
          <w:p>
            <w:pPr>
              <w:spacing w:after="0"/>
              <w:rPr>
                <w:sz w:val="16"/>
                <w:szCs w:val="16"/>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86.72</w:t>
            </w:r>
          </w:p>
        </w:tc>
        <w:tc>
          <w:tcPr>
            <w:tcW w:w="120" w:type="dxa"/>
            <w:vAlign w:val="bottom"/>
            <w:tcBorders>
              <w:bottom w:val="single" w:sz="8" w:color="auto"/>
            </w:tcBorders>
            <w:shd w:val="clear" w:color="auto" w:fill="EAEAEA"/>
          </w:tcPr>
          <w:p>
            <w:pPr>
              <w:spacing w:after="0"/>
              <w:rPr>
                <w:sz w:val="16"/>
                <w:szCs w:val="16"/>
                <w:color w:val="auto"/>
              </w:rPr>
            </w:pPr>
          </w:p>
        </w:tc>
        <w:tc>
          <w:tcPr>
            <w:tcW w:w="90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3/13/2019</w:t>
            </w:r>
          </w:p>
        </w:tc>
        <w:tc>
          <w:tcPr>
            <w:tcW w:w="100" w:type="dxa"/>
            <w:vAlign w:val="bottom"/>
            <w:tcBorders>
              <w:bottom w:val="single" w:sz="8" w:color="auto"/>
            </w:tcBorders>
            <w:shd w:val="clear" w:color="auto" w:fill="EAEAEA"/>
          </w:tcPr>
          <w:p>
            <w:pPr>
              <w:spacing w:after="0"/>
              <w:rPr>
                <w:sz w:val="16"/>
                <w:szCs w:val="16"/>
                <w:color w:val="auto"/>
              </w:rPr>
            </w:pPr>
          </w:p>
        </w:tc>
        <w:tc>
          <w:tcPr>
            <w:tcW w:w="114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color w:val="auto"/>
              </w:rPr>
              <w:t>3,992*</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2.42</w:t>
            </w:r>
          </w:p>
        </w:tc>
        <w:tc>
          <w:tcPr>
            <w:tcW w:w="16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auto"/>
            </w:tcBorders>
            <w:shd w:val="clear" w:color="auto" w:fill="EAEAEA"/>
          </w:tcPr>
          <w:p>
            <w:pPr>
              <w:spacing w:after="0"/>
              <w:rPr>
                <w:sz w:val="16"/>
                <w:szCs w:val="16"/>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102.89</w:t>
            </w:r>
          </w:p>
        </w:tc>
        <w:tc>
          <w:tcPr>
            <w:tcW w:w="120" w:type="dxa"/>
            <w:vAlign w:val="bottom"/>
            <w:tcBorders>
              <w:bottom w:val="single" w:sz="8" w:color="auto"/>
            </w:tcBorders>
            <w:shd w:val="clear" w:color="auto" w:fill="EAEAEA"/>
          </w:tcPr>
          <w:p>
            <w:pPr>
              <w:spacing w:after="0"/>
              <w:rPr>
                <w:sz w:val="16"/>
                <w:szCs w:val="16"/>
                <w:color w:val="auto"/>
              </w:rPr>
            </w:pPr>
          </w:p>
        </w:tc>
        <w:tc>
          <w:tcPr>
            <w:tcW w:w="90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3/13/2019</w:t>
            </w:r>
          </w:p>
        </w:tc>
        <w:tc>
          <w:tcPr>
            <w:tcW w:w="100" w:type="dxa"/>
            <w:vAlign w:val="bottom"/>
            <w:tcBorders>
              <w:bottom w:val="single" w:sz="8" w:color="auto"/>
            </w:tcBorders>
            <w:shd w:val="clear" w:color="auto" w:fill="EAEAEA"/>
          </w:tcPr>
          <w:p>
            <w:pPr>
              <w:spacing w:after="0"/>
              <w:rPr>
                <w:sz w:val="16"/>
                <w:szCs w:val="16"/>
                <w:color w:val="auto"/>
              </w:rPr>
            </w:pPr>
          </w:p>
        </w:tc>
        <w:tc>
          <w:tcPr>
            <w:tcW w:w="114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color w:val="auto"/>
              </w:rPr>
              <w:t>3,992**</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24.07</w:t>
            </w:r>
          </w:p>
        </w:tc>
        <w:tc>
          <w:tcPr>
            <w:tcW w:w="18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2.38</w:t>
            </w:r>
          </w:p>
        </w:tc>
        <w:tc>
          <w:tcPr>
            <w:tcW w:w="16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auto"/>
            </w:tcBorders>
            <w:shd w:val="clear" w:color="auto" w:fill="EAEAEA"/>
          </w:tcPr>
          <w:p>
            <w:pPr>
              <w:spacing w:after="0"/>
              <w:rPr>
                <w:sz w:val="16"/>
                <w:szCs w:val="16"/>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114.36</w:t>
            </w:r>
          </w:p>
        </w:tc>
        <w:tc>
          <w:tcPr>
            <w:tcW w:w="120" w:type="dxa"/>
            <w:vAlign w:val="bottom"/>
            <w:tcBorders>
              <w:bottom w:val="single" w:sz="8" w:color="auto"/>
            </w:tcBorders>
            <w:shd w:val="clear" w:color="auto" w:fill="EAEAEA"/>
          </w:tcPr>
          <w:p>
            <w:pPr>
              <w:spacing w:after="0"/>
              <w:rPr>
                <w:sz w:val="16"/>
                <w:szCs w:val="16"/>
                <w:color w:val="auto"/>
              </w:rPr>
            </w:pPr>
          </w:p>
        </w:tc>
        <w:tc>
          <w:tcPr>
            <w:tcW w:w="9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913,050</w:t>
            </w: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3/13/2019</w:t>
            </w:r>
          </w:p>
        </w:tc>
        <w:tc>
          <w:tcPr>
            <w:tcW w:w="100" w:type="dxa"/>
            <w:vAlign w:val="bottom"/>
            <w:tcBorders>
              <w:bottom w:val="single" w:sz="8" w:color="auto"/>
            </w:tcBorders>
            <w:shd w:val="clear" w:color="auto" w:fill="EAEAEA"/>
          </w:tcPr>
          <w:p>
            <w:pPr>
              <w:spacing w:after="0"/>
              <w:rPr>
                <w:sz w:val="16"/>
                <w:szCs w:val="16"/>
                <w:color w:val="auto"/>
              </w:rPr>
            </w:pPr>
          </w:p>
        </w:tc>
        <w:tc>
          <w:tcPr>
            <w:tcW w:w="114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3,992***</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2.42</w:t>
            </w:r>
          </w:p>
        </w:tc>
        <w:tc>
          <w:tcPr>
            <w:tcW w:w="16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auto"/>
            </w:tcBorders>
            <w:shd w:val="clear" w:color="auto" w:fill="EAEAEA"/>
          </w:tcPr>
          <w:p>
            <w:pPr>
              <w:spacing w:after="0"/>
              <w:rPr>
                <w:sz w:val="16"/>
                <w:szCs w:val="16"/>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92.00</w:t>
            </w:r>
          </w:p>
        </w:tc>
        <w:tc>
          <w:tcPr>
            <w:tcW w:w="120" w:type="dxa"/>
            <w:vAlign w:val="bottom"/>
            <w:tcBorders>
              <w:bottom w:val="single" w:sz="8" w:color="auto"/>
            </w:tcBorders>
            <w:shd w:val="clear" w:color="auto" w:fill="EAEAEA"/>
          </w:tcPr>
          <w:p>
            <w:pPr>
              <w:spacing w:after="0"/>
              <w:rPr>
                <w:sz w:val="16"/>
                <w:szCs w:val="16"/>
                <w:color w:val="auto"/>
              </w:rPr>
            </w:pPr>
          </w:p>
        </w:tc>
        <w:tc>
          <w:tcPr>
            <w:tcW w:w="9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813,170</w:t>
            </w: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3/13/2019</w:t>
            </w:r>
          </w:p>
        </w:tc>
        <w:tc>
          <w:tcPr>
            <w:tcW w:w="100" w:type="dxa"/>
            <w:vAlign w:val="bottom"/>
            <w:tcBorders>
              <w:bottom w:val="single" w:sz="8" w:color="auto"/>
            </w:tcBorders>
            <w:shd w:val="clear" w:color="auto" w:fill="EAEAEA"/>
          </w:tcPr>
          <w:p>
            <w:pPr>
              <w:spacing w:after="0"/>
              <w:rPr>
                <w:sz w:val="16"/>
                <w:szCs w:val="16"/>
                <w:color w:val="auto"/>
              </w:rPr>
            </w:pPr>
          </w:p>
        </w:tc>
        <w:tc>
          <w:tcPr>
            <w:tcW w:w="1140" w:type="dxa"/>
            <w:vAlign w:val="bottom"/>
            <w:tcBorders>
              <w:bottom w:val="single" w:sz="8" w:color="auto"/>
            </w:tcBorders>
          </w:tcPr>
          <w:p>
            <w:pPr>
              <w:jc w:val="right"/>
              <w:ind w:right="364"/>
              <w:spacing w:after="0"/>
              <w:rPr>
                <w:sz w:val="20"/>
                <w:szCs w:val="20"/>
                <w:color w:val="auto"/>
              </w:rPr>
            </w:pPr>
            <w:r>
              <w:rPr>
                <w:rFonts w:ascii="Arial" w:cs="Arial" w:eastAsia="Arial" w:hAnsi="Arial"/>
                <w:sz w:val="16"/>
                <w:szCs w:val="16"/>
                <w:color w:val="auto"/>
              </w:rPr>
              <w:t>17,676</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3"/>
              </w:rPr>
              <w:t>108.08</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26.32</w:t>
            </w:r>
          </w:p>
        </w:tc>
        <w:tc>
          <w:tcPr>
            <w:tcW w:w="18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5.0</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2.42</w:t>
            </w:r>
          </w:p>
        </w:tc>
        <w:tc>
          <w:tcPr>
            <w:tcW w:w="16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auto"/>
            </w:tcBorders>
            <w:shd w:val="clear" w:color="auto" w:fill="EAEAEA"/>
          </w:tcPr>
          <w:p>
            <w:pPr>
              <w:spacing w:after="0"/>
              <w:rPr>
                <w:sz w:val="16"/>
                <w:szCs w:val="16"/>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23.43</w:t>
            </w:r>
          </w:p>
        </w:tc>
        <w:tc>
          <w:tcPr>
            <w:tcW w:w="120" w:type="dxa"/>
            <w:vAlign w:val="bottom"/>
            <w:tcBorders>
              <w:bottom w:val="single" w:sz="8" w:color="auto"/>
            </w:tcBorders>
            <w:shd w:val="clear" w:color="auto" w:fill="EAEAEA"/>
          </w:tcPr>
          <w:p>
            <w:pPr>
              <w:spacing w:after="0"/>
              <w:rPr>
                <w:sz w:val="16"/>
                <w:szCs w:val="16"/>
                <w:color w:val="auto"/>
              </w:rPr>
            </w:pPr>
          </w:p>
        </w:tc>
        <w:tc>
          <w:tcPr>
            <w:tcW w:w="90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60" w:type="dxa"/>
            <w:vAlign w:val="bottom"/>
          </w:tcPr>
          <w:p>
            <w:pPr>
              <w:ind w:left="60"/>
              <w:spacing w:after="0"/>
              <w:rPr>
                <w:sz w:val="20"/>
                <w:szCs w:val="20"/>
                <w:color w:val="auto"/>
              </w:rPr>
            </w:pPr>
            <w:r>
              <w:rPr>
                <w:rFonts w:ascii="Arial" w:cs="Arial" w:eastAsia="Arial" w:hAnsi="Arial"/>
                <w:sz w:val="16"/>
                <w:szCs w:val="16"/>
                <w:b w:val="1"/>
                <w:bCs w:val="1"/>
                <w:color w:val="0066BA"/>
              </w:rPr>
              <w:t>John Hassett</w:t>
            </w:r>
          </w:p>
        </w:tc>
        <w:tc>
          <w:tcPr>
            <w:tcW w:w="120" w:type="dxa"/>
            <w:vAlign w:val="bottom"/>
            <w:tcBorders>
              <w:bottom w:val="single" w:sz="8" w:color="auto"/>
            </w:tcBorders>
            <w:shd w:val="clear" w:color="auto" w:fill="EAEAEA"/>
          </w:tcPr>
          <w:p>
            <w:pPr>
              <w:spacing w:after="0"/>
              <w:rPr>
                <w:sz w:val="16"/>
                <w:szCs w:val="16"/>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3/11/2020</w:t>
            </w:r>
          </w:p>
        </w:tc>
        <w:tc>
          <w:tcPr>
            <w:tcW w:w="100" w:type="dxa"/>
            <w:vAlign w:val="bottom"/>
            <w:tcBorders>
              <w:bottom w:val="single" w:sz="8" w:color="auto"/>
            </w:tcBorders>
            <w:shd w:val="clear" w:color="auto" w:fill="EAEAEA"/>
          </w:tcPr>
          <w:p>
            <w:pPr>
              <w:spacing w:after="0"/>
              <w:rPr>
                <w:sz w:val="16"/>
                <w:szCs w:val="16"/>
                <w:color w:val="auto"/>
              </w:rPr>
            </w:pPr>
          </w:p>
        </w:tc>
        <w:tc>
          <w:tcPr>
            <w:tcW w:w="114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color w:val="auto"/>
              </w:rPr>
              <w:t>4,927*</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0.66</w:t>
            </w:r>
          </w:p>
        </w:tc>
        <w:tc>
          <w:tcPr>
            <w:tcW w:w="16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Borders>
              <w:bottom w:val="single" w:sz="8" w:color="auto"/>
            </w:tcBorders>
            <w:shd w:val="clear" w:color="auto" w:fill="EAEAEA"/>
          </w:tcPr>
          <w:p>
            <w:pPr>
              <w:spacing w:after="0"/>
              <w:rPr>
                <w:sz w:val="16"/>
                <w:szCs w:val="16"/>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88.28</w:t>
            </w:r>
          </w:p>
        </w:tc>
        <w:tc>
          <w:tcPr>
            <w:tcW w:w="120" w:type="dxa"/>
            <w:vAlign w:val="bottom"/>
            <w:tcBorders>
              <w:bottom w:val="single" w:sz="8" w:color="auto"/>
            </w:tcBorders>
            <w:shd w:val="clear" w:color="auto" w:fill="EAEAEA"/>
          </w:tcPr>
          <w:p>
            <w:pPr>
              <w:spacing w:after="0"/>
              <w:rPr>
                <w:sz w:val="16"/>
                <w:szCs w:val="16"/>
                <w:color w:val="auto"/>
              </w:rPr>
            </w:pPr>
          </w:p>
        </w:tc>
        <w:tc>
          <w:tcPr>
            <w:tcW w:w="90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3/11/2020</w:t>
            </w:r>
          </w:p>
        </w:tc>
        <w:tc>
          <w:tcPr>
            <w:tcW w:w="100" w:type="dxa"/>
            <w:vAlign w:val="bottom"/>
            <w:tcBorders>
              <w:bottom w:val="single" w:sz="8" w:color="auto"/>
            </w:tcBorders>
            <w:shd w:val="clear" w:color="auto" w:fill="EAEAEA"/>
          </w:tcPr>
          <w:p>
            <w:pPr>
              <w:spacing w:after="0"/>
              <w:rPr>
                <w:sz w:val="16"/>
                <w:szCs w:val="16"/>
                <w:color w:val="auto"/>
              </w:rPr>
            </w:pPr>
          </w:p>
        </w:tc>
        <w:tc>
          <w:tcPr>
            <w:tcW w:w="114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color w:val="auto"/>
              </w:rPr>
              <w:t>4,927**</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27.99</w:t>
            </w:r>
          </w:p>
        </w:tc>
        <w:tc>
          <w:tcPr>
            <w:tcW w:w="18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0.58</w:t>
            </w:r>
          </w:p>
        </w:tc>
        <w:tc>
          <w:tcPr>
            <w:tcW w:w="16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auto"/>
            </w:tcBorders>
            <w:shd w:val="clear" w:color="auto" w:fill="EAEAEA"/>
          </w:tcPr>
          <w:p>
            <w:pPr>
              <w:spacing w:after="0"/>
              <w:rPr>
                <w:sz w:val="16"/>
                <w:szCs w:val="16"/>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97.71</w:t>
            </w:r>
          </w:p>
        </w:tc>
        <w:tc>
          <w:tcPr>
            <w:tcW w:w="120" w:type="dxa"/>
            <w:vAlign w:val="bottom"/>
            <w:tcBorders>
              <w:bottom w:val="single" w:sz="8" w:color="auto"/>
            </w:tcBorders>
            <w:shd w:val="clear" w:color="auto" w:fill="EAEAEA"/>
          </w:tcPr>
          <w:p>
            <w:pPr>
              <w:spacing w:after="0"/>
              <w:rPr>
                <w:sz w:val="16"/>
                <w:szCs w:val="16"/>
                <w:color w:val="auto"/>
              </w:rPr>
            </w:pPr>
          </w:p>
        </w:tc>
        <w:tc>
          <w:tcPr>
            <w:tcW w:w="9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962,834</w:t>
            </w: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3/11/2020</w:t>
            </w:r>
          </w:p>
        </w:tc>
        <w:tc>
          <w:tcPr>
            <w:tcW w:w="100" w:type="dxa"/>
            <w:vAlign w:val="bottom"/>
            <w:tcBorders>
              <w:bottom w:val="single" w:sz="8" w:color="auto"/>
            </w:tcBorders>
            <w:shd w:val="clear" w:color="auto" w:fill="EAEAEA"/>
          </w:tcPr>
          <w:p>
            <w:pPr>
              <w:spacing w:after="0"/>
              <w:rPr>
                <w:sz w:val="16"/>
                <w:szCs w:val="16"/>
                <w:color w:val="auto"/>
              </w:rPr>
            </w:pPr>
          </w:p>
        </w:tc>
        <w:tc>
          <w:tcPr>
            <w:tcW w:w="114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4,927***</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0.66</w:t>
            </w:r>
          </w:p>
        </w:tc>
        <w:tc>
          <w:tcPr>
            <w:tcW w:w="16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Borders>
              <w:bottom w:val="single" w:sz="8" w:color="auto"/>
            </w:tcBorders>
            <w:shd w:val="clear" w:color="auto" w:fill="EAEAEA"/>
          </w:tcPr>
          <w:p>
            <w:pPr>
              <w:spacing w:after="0"/>
              <w:rPr>
                <w:sz w:val="16"/>
                <w:szCs w:val="16"/>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88.28</w:t>
            </w:r>
          </w:p>
        </w:tc>
        <w:tc>
          <w:tcPr>
            <w:tcW w:w="120" w:type="dxa"/>
            <w:vAlign w:val="bottom"/>
            <w:tcBorders>
              <w:bottom w:val="single" w:sz="8" w:color="auto"/>
            </w:tcBorders>
            <w:shd w:val="clear" w:color="auto" w:fill="EAEAEA"/>
          </w:tcPr>
          <w:p>
            <w:pPr>
              <w:spacing w:after="0"/>
              <w:rPr>
                <w:sz w:val="16"/>
                <w:szCs w:val="16"/>
                <w:color w:val="auto"/>
              </w:rPr>
            </w:pPr>
          </w:p>
        </w:tc>
        <w:tc>
          <w:tcPr>
            <w:tcW w:w="9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869,911</w:t>
            </w: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3/11/2020</w:t>
            </w:r>
          </w:p>
        </w:tc>
        <w:tc>
          <w:tcPr>
            <w:tcW w:w="100" w:type="dxa"/>
            <w:vAlign w:val="bottom"/>
            <w:tcBorders>
              <w:bottom w:val="single" w:sz="8" w:color="auto"/>
            </w:tcBorders>
            <w:shd w:val="clear" w:color="auto" w:fill="EAEAEA"/>
          </w:tcPr>
          <w:p>
            <w:pPr>
              <w:spacing w:after="0"/>
              <w:rPr>
                <w:sz w:val="16"/>
                <w:szCs w:val="16"/>
                <w:color w:val="auto"/>
              </w:rPr>
            </w:pPr>
          </w:p>
        </w:tc>
        <w:tc>
          <w:tcPr>
            <w:tcW w:w="1140" w:type="dxa"/>
            <w:vAlign w:val="bottom"/>
            <w:tcBorders>
              <w:bottom w:val="single" w:sz="8" w:color="auto"/>
            </w:tcBorders>
          </w:tcPr>
          <w:p>
            <w:pPr>
              <w:jc w:val="right"/>
              <w:ind w:right="364"/>
              <w:spacing w:after="0"/>
              <w:rPr>
                <w:sz w:val="20"/>
                <w:szCs w:val="20"/>
                <w:color w:val="auto"/>
              </w:rPr>
            </w:pPr>
            <w:r>
              <w:rPr>
                <w:rFonts w:ascii="Arial" w:cs="Arial" w:eastAsia="Arial" w:hAnsi="Arial"/>
                <w:sz w:val="16"/>
                <w:szCs w:val="16"/>
                <w:color w:val="auto"/>
              </w:rPr>
              <w:t>24,232</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94.41</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29.49</w:t>
            </w:r>
          </w:p>
        </w:tc>
        <w:tc>
          <w:tcPr>
            <w:tcW w:w="18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5.0</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0.66</w:t>
            </w:r>
          </w:p>
        </w:tc>
        <w:tc>
          <w:tcPr>
            <w:tcW w:w="16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Borders>
              <w:bottom w:val="single" w:sz="8" w:color="auto"/>
            </w:tcBorders>
            <w:shd w:val="clear" w:color="auto" w:fill="EAEAEA"/>
          </w:tcPr>
          <w:p>
            <w:pPr>
              <w:spacing w:after="0"/>
              <w:rPr>
                <w:sz w:val="16"/>
                <w:szCs w:val="16"/>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18.46</w:t>
            </w:r>
          </w:p>
        </w:tc>
        <w:tc>
          <w:tcPr>
            <w:tcW w:w="120" w:type="dxa"/>
            <w:vAlign w:val="bottom"/>
            <w:tcBorders>
              <w:bottom w:val="single" w:sz="8" w:color="auto"/>
            </w:tcBorders>
            <w:shd w:val="clear" w:color="auto" w:fill="EAEAEA"/>
          </w:tcPr>
          <w:p>
            <w:pPr>
              <w:spacing w:after="0"/>
              <w:rPr>
                <w:sz w:val="16"/>
                <w:szCs w:val="16"/>
                <w:color w:val="auto"/>
              </w:rPr>
            </w:pPr>
          </w:p>
        </w:tc>
        <w:tc>
          <w:tcPr>
            <w:tcW w:w="90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4"/>
              </w:rPr>
              <w:t>12/15/2020</w:t>
            </w:r>
          </w:p>
        </w:tc>
        <w:tc>
          <w:tcPr>
            <w:tcW w:w="100" w:type="dxa"/>
            <w:vAlign w:val="bottom"/>
            <w:tcBorders>
              <w:bottom w:val="single" w:sz="8" w:color="auto"/>
            </w:tcBorders>
            <w:shd w:val="clear" w:color="auto" w:fill="EAEAEA"/>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13,460*****</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0.37</w:t>
            </w:r>
          </w:p>
        </w:tc>
        <w:tc>
          <w:tcPr>
            <w:tcW w:w="16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auto"/>
            </w:tcBorders>
            <w:shd w:val="clear" w:color="auto" w:fill="EAEAEA"/>
          </w:tcPr>
          <w:p>
            <w:pPr>
              <w:spacing w:after="0"/>
              <w:rPr>
                <w:sz w:val="16"/>
                <w:szCs w:val="16"/>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137.90</w:t>
            </w:r>
          </w:p>
        </w:tc>
        <w:tc>
          <w:tcPr>
            <w:tcW w:w="120" w:type="dxa"/>
            <w:vAlign w:val="bottom"/>
            <w:tcBorders>
              <w:bottom w:val="single" w:sz="8" w:color="auto"/>
            </w:tcBorders>
            <w:shd w:val="clear" w:color="auto" w:fill="EAEAEA"/>
          </w:tcPr>
          <w:p>
            <w:pPr>
              <w:spacing w:after="0"/>
              <w:rPr>
                <w:sz w:val="16"/>
                <w:szCs w:val="16"/>
                <w:color w:val="auto"/>
              </w:rPr>
            </w:pPr>
          </w:p>
        </w:tc>
        <w:tc>
          <w:tcPr>
            <w:tcW w:w="9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3,712,268</w:t>
            </w: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3/10/2021</w:t>
            </w:r>
          </w:p>
        </w:tc>
        <w:tc>
          <w:tcPr>
            <w:tcW w:w="100" w:type="dxa"/>
            <w:vAlign w:val="bottom"/>
            <w:tcBorders>
              <w:bottom w:val="single" w:sz="8" w:color="auto"/>
            </w:tcBorders>
            <w:shd w:val="clear" w:color="auto" w:fill="EAEAEA"/>
          </w:tcPr>
          <w:p>
            <w:pPr>
              <w:spacing w:after="0"/>
              <w:rPr>
                <w:sz w:val="16"/>
                <w:szCs w:val="16"/>
                <w:color w:val="auto"/>
              </w:rPr>
            </w:pPr>
          </w:p>
        </w:tc>
        <w:tc>
          <w:tcPr>
            <w:tcW w:w="1140" w:type="dxa"/>
            <w:vAlign w:val="bottom"/>
            <w:tcBorders>
              <w:bottom w:val="single" w:sz="8" w:color="auto"/>
            </w:tcBorders>
          </w:tcPr>
          <w:p>
            <w:pPr>
              <w:jc w:val="right"/>
              <w:ind w:right="364"/>
              <w:spacing w:after="0"/>
              <w:rPr>
                <w:sz w:val="20"/>
                <w:szCs w:val="20"/>
                <w:color w:val="auto"/>
              </w:rPr>
            </w:pPr>
            <w:r>
              <w:rPr>
                <w:rFonts w:ascii="Arial" w:cs="Arial" w:eastAsia="Arial" w:hAnsi="Arial"/>
                <w:sz w:val="16"/>
                <w:szCs w:val="16"/>
                <w:color w:val="auto"/>
              </w:rPr>
              <w:t>14,158</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3"/>
              </w:rPr>
              <w:t>147.11</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35.25</w:t>
            </w:r>
          </w:p>
        </w:tc>
        <w:tc>
          <w:tcPr>
            <w:tcW w:w="18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5.0</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0.80</w:t>
            </w:r>
          </w:p>
        </w:tc>
        <w:tc>
          <w:tcPr>
            <w:tcW w:w="16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auto"/>
            </w:tcBorders>
            <w:shd w:val="clear" w:color="auto" w:fill="EAEAEA"/>
          </w:tcPr>
          <w:p>
            <w:pPr>
              <w:spacing w:after="0"/>
              <w:rPr>
                <w:sz w:val="16"/>
                <w:szCs w:val="16"/>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38.58</w:t>
            </w:r>
          </w:p>
        </w:tc>
        <w:tc>
          <w:tcPr>
            <w:tcW w:w="120" w:type="dxa"/>
            <w:vAlign w:val="bottom"/>
            <w:tcBorders>
              <w:bottom w:val="single" w:sz="8" w:color="auto"/>
            </w:tcBorders>
            <w:shd w:val="clear" w:color="auto" w:fill="EAEAEA"/>
          </w:tcPr>
          <w:p>
            <w:pPr>
              <w:spacing w:after="0"/>
              <w:rPr>
                <w:sz w:val="16"/>
                <w:szCs w:val="16"/>
                <w:color w:val="auto"/>
              </w:rPr>
            </w:pPr>
          </w:p>
        </w:tc>
        <w:tc>
          <w:tcPr>
            <w:tcW w:w="90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3/10/2021</w:t>
            </w:r>
          </w:p>
        </w:tc>
        <w:tc>
          <w:tcPr>
            <w:tcW w:w="100" w:type="dxa"/>
            <w:vAlign w:val="bottom"/>
            <w:tcBorders>
              <w:bottom w:val="single" w:sz="8" w:color="auto"/>
            </w:tcBorders>
            <w:shd w:val="clear" w:color="auto" w:fill="EAEAEA"/>
          </w:tcPr>
          <w:p>
            <w:pPr>
              <w:spacing w:after="0"/>
              <w:rPr>
                <w:sz w:val="16"/>
                <w:szCs w:val="16"/>
                <w:color w:val="auto"/>
              </w:rPr>
            </w:pPr>
          </w:p>
        </w:tc>
        <w:tc>
          <w:tcPr>
            <w:tcW w:w="1140" w:type="dxa"/>
            <w:vAlign w:val="bottom"/>
            <w:tcBorders>
              <w:bottom w:val="single" w:sz="8" w:color="auto"/>
            </w:tcBorders>
          </w:tcPr>
          <w:p>
            <w:pPr>
              <w:jc w:val="right"/>
              <w:ind w:right="284"/>
              <w:spacing w:after="0"/>
              <w:rPr>
                <w:sz w:val="20"/>
                <w:szCs w:val="20"/>
                <w:color w:val="auto"/>
              </w:rPr>
            </w:pPr>
            <w:r>
              <w:rPr>
                <w:rFonts w:ascii="Arial" w:cs="Arial" w:eastAsia="Arial" w:hAnsi="Arial"/>
                <w:sz w:val="16"/>
                <w:szCs w:val="16"/>
                <w:color w:val="auto"/>
              </w:rPr>
              <w:t>3,873*</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0.80</w:t>
            </w:r>
          </w:p>
        </w:tc>
        <w:tc>
          <w:tcPr>
            <w:tcW w:w="16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auto"/>
            </w:tcBorders>
            <w:shd w:val="clear" w:color="auto" w:fill="EAEAEA"/>
          </w:tcPr>
          <w:p>
            <w:pPr>
              <w:spacing w:after="0"/>
              <w:rPr>
                <w:sz w:val="16"/>
                <w:szCs w:val="16"/>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140.30</w:t>
            </w:r>
          </w:p>
        </w:tc>
        <w:tc>
          <w:tcPr>
            <w:tcW w:w="120" w:type="dxa"/>
            <w:vAlign w:val="bottom"/>
            <w:tcBorders>
              <w:bottom w:val="single" w:sz="8" w:color="auto"/>
            </w:tcBorders>
            <w:shd w:val="clear" w:color="auto" w:fill="EAEAEA"/>
          </w:tcPr>
          <w:p>
            <w:pPr>
              <w:spacing w:after="0"/>
              <w:rPr>
                <w:sz w:val="16"/>
                <w:szCs w:val="16"/>
                <w:color w:val="auto"/>
              </w:rPr>
            </w:pPr>
          </w:p>
        </w:tc>
        <w:tc>
          <w:tcPr>
            <w:tcW w:w="90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120" w:type="dxa"/>
            <w:vAlign w:val="bottom"/>
            <w:tcBorders>
              <w:bottom w:val="single" w:sz="8" w:color="auto"/>
            </w:tcBorders>
            <w:shd w:val="clear" w:color="auto" w:fill="EAEAEA"/>
          </w:tcPr>
          <w:p>
            <w:pPr>
              <w:spacing w:after="0"/>
              <w:rPr>
                <w:sz w:val="16"/>
                <w:szCs w:val="16"/>
                <w:color w:val="auto"/>
              </w:rPr>
            </w:pPr>
          </w:p>
        </w:tc>
        <w:tc>
          <w:tcPr>
            <w:tcW w:w="7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3/10/2021</w:t>
            </w:r>
          </w:p>
        </w:tc>
        <w:tc>
          <w:tcPr>
            <w:tcW w:w="100" w:type="dxa"/>
            <w:vAlign w:val="bottom"/>
            <w:tcBorders>
              <w:bottom w:val="single" w:sz="8" w:color="auto"/>
            </w:tcBorders>
            <w:shd w:val="clear" w:color="auto" w:fill="EAEAEA"/>
          </w:tcPr>
          <w:p>
            <w:pPr>
              <w:spacing w:after="0"/>
              <w:rPr>
                <w:sz w:val="16"/>
                <w:szCs w:val="16"/>
                <w:color w:val="auto"/>
              </w:rPr>
            </w:pPr>
          </w:p>
        </w:tc>
        <w:tc>
          <w:tcPr>
            <w:tcW w:w="114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color w:val="auto"/>
              </w:rPr>
              <w:t>3,873**</w:t>
            </w:r>
          </w:p>
        </w:tc>
        <w:tc>
          <w:tcPr>
            <w:tcW w:w="120" w:type="dxa"/>
            <w:vAlign w:val="bottom"/>
            <w:tcBorders>
              <w:bottom w:val="single" w:sz="8" w:color="auto"/>
            </w:tcBorders>
            <w:shd w:val="clear" w:color="auto" w:fill="EAEAEA"/>
          </w:tcPr>
          <w:p>
            <w:pPr>
              <w:spacing w:after="0"/>
              <w:rPr>
                <w:sz w:val="16"/>
                <w:szCs w:val="16"/>
                <w:color w:val="auto"/>
              </w:rPr>
            </w:pPr>
          </w:p>
        </w:tc>
        <w:tc>
          <w:tcPr>
            <w:tcW w:w="4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37.47</w:t>
            </w:r>
          </w:p>
        </w:tc>
        <w:tc>
          <w:tcPr>
            <w:tcW w:w="18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0.32</w:t>
            </w:r>
          </w:p>
        </w:tc>
        <w:tc>
          <w:tcPr>
            <w:tcW w:w="16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auto"/>
            </w:tcBorders>
            <w:shd w:val="clear" w:color="auto" w:fill="EAEAEA"/>
          </w:tcPr>
          <w:p>
            <w:pPr>
              <w:spacing w:after="0"/>
              <w:rPr>
                <w:sz w:val="16"/>
                <w:szCs w:val="16"/>
                <w:color w:val="auto"/>
              </w:rPr>
            </w:pP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163.14</w:t>
            </w:r>
          </w:p>
        </w:tc>
        <w:tc>
          <w:tcPr>
            <w:tcW w:w="120" w:type="dxa"/>
            <w:vAlign w:val="bottom"/>
            <w:tcBorders>
              <w:bottom w:val="single" w:sz="8" w:color="auto"/>
            </w:tcBorders>
            <w:shd w:val="clear" w:color="auto" w:fill="EAEAEA"/>
          </w:tcPr>
          <w:p>
            <w:pPr>
              <w:spacing w:after="0"/>
              <w:rPr>
                <w:sz w:val="16"/>
                <w:szCs w:val="16"/>
                <w:color w:val="auto"/>
              </w:rPr>
            </w:pPr>
          </w:p>
        </w:tc>
        <w:tc>
          <w:tcPr>
            <w:tcW w:w="9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1,263,682</w:t>
            </w: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60" w:type="dxa"/>
            <w:vAlign w:val="bottom"/>
            <w:tcBorders>
              <w:bottom w:val="single" w:sz="8" w:color="0066BA"/>
            </w:tcBorders>
          </w:tcPr>
          <w:p>
            <w:pPr>
              <w:spacing w:after="0"/>
              <w:rPr>
                <w:sz w:val="16"/>
                <w:szCs w:val="16"/>
                <w:color w:val="auto"/>
              </w:rPr>
            </w:pPr>
          </w:p>
        </w:tc>
        <w:tc>
          <w:tcPr>
            <w:tcW w:w="120" w:type="dxa"/>
            <w:vAlign w:val="bottom"/>
            <w:tcBorders>
              <w:bottom w:val="single" w:sz="8" w:color="0066BA"/>
            </w:tcBorders>
            <w:shd w:val="clear" w:color="auto" w:fill="EAEAEA"/>
          </w:tcPr>
          <w:p>
            <w:pPr>
              <w:spacing w:after="0"/>
              <w:rPr>
                <w:sz w:val="16"/>
                <w:szCs w:val="16"/>
                <w:color w:val="auto"/>
              </w:rPr>
            </w:pPr>
          </w:p>
        </w:tc>
        <w:tc>
          <w:tcPr>
            <w:tcW w:w="78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3/10/2021</w:t>
            </w:r>
          </w:p>
        </w:tc>
        <w:tc>
          <w:tcPr>
            <w:tcW w:w="100" w:type="dxa"/>
            <w:vAlign w:val="bottom"/>
            <w:tcBorders>
              <w:bottom w:val="single" w:sz="8" w:color="0066BA"/>
            </w:tcBorders>
            <w:shd w:val="clear" w:color="auto" w:fill="EAEAEA"/>
          </w:tcPr>
          <w:p>
            <w:pPr>
              <w:spacing w:after="0"/>
              <w:rPr>
                <w:sz w:val="16"/>
                <w:szCs w:val="16"/>
                <w:color w:val="auto"/>
              </w:rPr>
            </w:pPr>
          </w:p>
        </w:tc>
        <w:tc>
          <w:tcPr>
            <w:tcW w:w="1140" w:type="dxa"/>
            <w:vAlign w:val="bottom"/>
            <w:tcBorders>
              <w:bottom w:val="single" w:sz="8" w:color="0066BA"/>
            </w:tcBorders>
          </w:tcPr>
          <w:p>
            <w:pPr>
              <w:jc w:val="right"/>
              <w:ind w:right="124"/>
              <w:spacing w:after="0"/>
              <w:rPr>
                <w:sz w:val="20"/>
                <w:szCs w:val="20"/>
                <w:color w:val="auto"/>
              </w:rPr>
            </w:pPr>
            <w:r>
              <w:rPr>
                <w:rFonts w:ascii="Arial" w:cs="Arial" w:eastAsia="Arial" w:hAnsi="Arial"/>
                <w:sz w:val="16"/>
                <w:szCs w:val="16"/>
                <w:color w:val="auto"/>
              </w:rPr>
              <w:t>3,873***</w:t>
            </w:r>
          </w:p>
        </w:tc>
        <w:tc>
          <w:tcPr>
            <w:tcW w:w="120" w:type="dxa"/>
            <w:vAlign w:val="bottom"/>
            <w:tcBorders>
              <w:bottom w:val="single" w:sz="8" w:color="0066BA"/>
            </w:tcBorders>
            <w:shd w:val="clear" w:color="auto" w:fill="EAEAEA"/>
          </w:tcPr>
          <w:p>
            <w:pPr>
              <w:spacing w:after="0"/>
              <w:rPr>
                <w:sz w:val="16"/>
                <w:szCs w:val="16"/>
                <w:color w:val="auto"/>
              </w:rPr>
            </w:pPr>
          </w:p>
        </w:tc>
        <w:tc>
          <w:tcPr>
            <w:tcW w:w="48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700" w:type="dxa"/>
            <w:vAlign w:val="bottom"/>
            <w:tcBorders>
              <w:bottom w:val="single" w:sz="8" w:color="0066BA"/>
            </w:tcBorders>
          </w:tcPr>
          <w:p>
            <w:pPr>
              <w:jc w:val="right"/>
              <w:ind w:right="3"/>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0066BA"/>
            </w:tcBorders>
            <w:shd w:val="clear" w:color="auto" w:fill="EAEAEA"/>
          </w:tcPr>
          <w:p>
            <w:pPr>
              <w:spacing w:after="0"/>
              <w:rPr>
                <w:sz w:val="16"/>
                <w:szCs w:val="16"/>
                <w:color w:val="auto"/>
              </w:rPr>
            </w:pPr>
          </w:p>
        </w:tc>
        <w:tc>
          <w:tcPr>
            <w:tcW w:w="44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700" w:type="dxa"/>
            <w:vAlign w:val="bottom"/>
            <w:tcBorders>
              <w:bottom w:val="single" w:sz="8" w:color="0066BA"/>
            </w:tcBorders>
          </w:tcPr>
          <w:p>
            <w:pPr>
              <w:jc w:val="right"/>
              <w:ind w:right="4"/>
              <w:spacing w:after="0"/>
              <w:rPr>
                <w:sz w:val="20"/>
                <w:szCs w:val="20"/>
                <w:color w:val="auto"/>
              </w:rPr>
            </w:pPr>
            <w:r>
              <w:rPr>
                <w:rFonts w:ascii="Arial" w:cs="Arial" w:eastAsia="Arial" w:hAnsi="Arial"/>
                <w:sz w:val="16"/>
                <w:szCs w:val="16"/>
                <w:color w:val="auto"/>
              </w:rPr>
              <w:t>0.80</w:t>
            </w:r>
          </w:p>
        </w:tc>
        <w:tc>
          <w:tcPr>
            <w:tcW w:w="160" w:type="dxa"/>
            <w:vAlign w:val="bottom"/>
            <w:tcBorders>
              <w:bottom w:val="single" w:sz="8" w:color="0066BA"/>
            </w:tcBorders>
            <w:shd w:val="clear" w:color="auto" w:fill="EAEAEA"/>
          </w:tcPr>
          <w:p>
            <w:pPr>
              <w:spacing w:after="0"/>
              <w:rPr>
                <w:sz w:val="16"/>
                <w:szCs w:val="16"/>
                <w:color w:val="auto"/>
              </w:rPr>
            </w:pPr>
          </w:p>
        </w:tc>
        <w:tc>
          <w:tcPr>
            <w:tcW w:w="50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0066BA"/>
            </w:tcBorders>
            <w:shd w:val="clear" w:color="auto" w:fill="EAEAEA"/>
          </w:tcPr>
          <w:p>
            <w:pPr>
              <w:spacing w:after="0"/>
              <w:rPr>
                <w:sz w:val="16"/>
                <w:szCs w:val="16"/>
                <w:color w:val="auto"/>
              </w:rPr>
            </w:pPr>
          </w:p>
        </w:tc>
        <w:tc>
          <w:tcPr>
            <w:tcW w:w="840" w:type="dxa"/>
            <w:vAlign w:val="bottom"/>
            <w:tcBorders>
              <w:bottom w:val="single" w:sz="8" w:color="0066BA"/>
            </w:tcBorders>
          </w:tcPr>
          <w:p>
            <w:pPr>
              <w:jc w:val="right"/>
              <w:ind w:right="4"/>
              <w:spacing w:after="0"/>
              <w:rPr>
                <w:sz w:val="20"/>
                <w:szCs w:val="20"/>
                <w:color w:val="auto"/>
              </w:rPr>
            </w:pPr>
            <w:r>
              <w:rPr>
                <w:rFonts w:ascii="Arial" w:cs="Arial" w:eastAsia="Arial" w:hAnsi="Arial"/>
                <w:sz w:val="16"/>
                <w:szCs w:val="16"/>
                <w:color w:val="auto"/>
              </w:rPr>
              <w:t>140.30</w:t>
            </w:r>
          </w:p>
        </w:tc>
        <w:tc>
          <w:tcPr>
            <w:tcW w:w="120" w:type="dxa"/>
            <w:vAlign w:val="bottom"/>
            <w:tcBorders>
              <w:bottom w:val="single" w:sz="8" w:color="0066BA"/>
            </w:tcBorders>
            <w:shd w:val="clear" w:color="auto" w:fill="EAEAEA"/>
          </w:tcPr>
          <w:p>
            <w:pPr>
              <w:spacing w:after="0"/>
              <w:rPr>
                <w:sz w:val="16"/>
                <w:szCs w:val="16"/>
                <w:color w:val="auto"/>
              </w:rPr>
            </w:pPr>
          </w:p>
        </w:tc>
        <w:tc>
          <w:tcPr>
            <w:tcW w:w="90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1,086,764</w:t>
            </w:r>
          </w:p>
        </w:tc>
        <w:tc>
          <w:tcPr>
            <w:tcW w:w="80" w:type="dxa"/>
            <w:vAlign w:val="bottom"/>
            <w:tcBorders>
              <w:bottom w:val="single" w:sz="8" w:color="0066BA"/>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0760"/>
          </w:cols>
          <w:pgMar w:left="320" w:top="447" w:right="81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17" w:lineRule="exact"/>
        <w:rPr>
          <w:sz w:val="20"/>
          <w:szCs w:val="20"/>
          <w:color w:val="auto"/>
        </w:rPr>
      </w:pPr>
    </w:p>
    <w:tbl>
      <w:tblPr>
        <w:tblLayout w:type="fixed"/>
        <w:tblInd w:w="480" w:type="dxa"/>
        <w:tblCellMar>
          <w:top w:w="0" w:type="dxa"/>
          <w:left w:w="0" w:type="dxa"/>
          <w:bottom w:w="0" w:type="dxa"/>
          <w:right w:w="0" w:type="dxa"/>
        </w:tblCellMar>
      </w:tblPr>
      <w:tr>
        <w:trPr>
          <w:trHeight w:val="138"/>
        </w:trPr>
        <w:tc>
          <w:tcPr>
            <w:tcW w:w="2760" w:type="dxa"/>
            <w:vAlign w:val="bottom"/>
            <w:shd w:val="clear" w:color="auto" w:fill="0066BA"/>
          </w:tcPr>
          <w:p>
            <w:pPr>
              <w:spacing w:after="0"/>
              <w:rPr>
                <w:sz w:val="12"/>
                <w:szCs w:val="12"/>
                <w:color w:val="auto"/>
              </w:rPr>
            </w:pPr>
          </w:p>
        </w:tc>
        <w:tc>
          <w:tcPr>
            <w:tcW w:w="1000" w:type="dxa"/>
            <w:vAlign w:val="bottom"/>
            <w:shd w:val="clear" w:color="auto" w:fill="0066BA"/>
          </w:tcPr>
          <w:p>
            <w:pPr>
              <w:spacing w:after="0"/>
              <w:rPr>
                <w:sz w:val="12"/>
                <w:szCs w:val="12"/>
                <w:color w:val="auto"/>
              </w:rPr>
            </w:pPr>
          </w:p>
        </w:tc>
        <w:tc>
          <w:tcPr>
            <w:tcW w:w="1120" w:type="dxa"/>
            <w:vAlign w:val="bottom"/>
            <w:shd w:val="clear" w:color="auto" w:fill="0066BA"/>
          </w:tcPr>
          <w:p>
            <w:pPr>
              <w:spacing w:after="0"/>
              <w:rPr>
                <w:sz w:val="12"/>
                <w:szCs w:val="12"/>
                <w:color w:val="auto"/>
              </w:rPr>
            </w:pPr>
          </w:p>
        </w:tc>
        <w:tc>
          <w:tcPr>
            <w:tcW w:w="660" w:type="dxa"/>
            <w:vAlign w:val="bottom"/>
            <w:shd w:val="clear" w:color="auto" w:fill="0066BA"/>
          </w:tcPr>
          <w:p>
            <w:pPr>
              <w:spacing w:after="0"/>
              <w:rPr>
                <w:sz w:val="12"/>
                <w:szCs w:val="12"/>
                <w:color w:val="auto"/>
              </w:rPr>
            </w:pPr>
          </w:p>
        </w:tc>
        <w:tc>
          <w:tcPr>
            <w:tcW w:w="700" w:type="dxa"/>
            <w:vAlign w:val="bottom"/>
            <w:shd w:val="clear" w:color="auto" w:fill="0066BA"/>
          </w:tcPr>
          <w:p>
            <w:pPr>
              <w:spacing w:after="0"/>
              <w:rPr>
                <w:sz w:val="12"/>
                <w:szCs w:val="12"/>
                <w:color w:val="auto"/>
              </w:rPr>
            </w:pPr>
          </w:p>
        </w:tc>
        <w:tc>
          <w:tcPr>
            <w:tcW w:w="680" w:type="dxa"/>
            <w:vAlign w:val="bottom"/>
            <w:shd w:val="clear" w:color="auto" w:fill="0066BA"/>
          </w:tcPr>
          <w:p>
            <w:pPr>
              <w:spacing w:after="0"/>
              <w:rPr>
                <w:sz w:val="12"/>
                <w:szCs w:val="12"/>
                <w:color w:val="auto"/>
              </w:rPr>
            </w:pPr>
          </w:p>
        </w:tc>
        <w:tc>
          <w:tcPr>
            <w:tcW w:w="700" w:type="dxa"/>
            <w:vAlign w:val="bottom"/>
            <w:shd w:val="clear" w:color="auto" w:fill="0066BA"/>
          </w:tcPr>
          <w:p>
            <w:pPr>
              <w:spacing w:after="0"/>
              <w:rPr>
                <w:sz w:val="12"/>
                <w:szCs w:val="12"/>
                <w:color w:val="auto"/>
              </w:rPr>
            </w:pPr>
          </w:p>
        </w:tc>
        <w:tc>
          <w:tcPr>
            <w:tcW w:w="740" w:type="dxa"/>
            <w:vAlign w:val="bottom"/>
            <w:shd w:val="clear" w:color="auto" w:fill="0066BA"/>
          </w:tcPr>
          <w:p>
            <w:pPr>
              <w:spacing w:after="0"/>
              <w:rPr>
                <w:sz w:val="12"/>
                <w:szCs w:val="12"/>
                <w:color w:val="auto"/>
              </w:rPr>
            </w:pPr>
          </w:p>
        </w:tc>
        <w:tc>
          <w:tcPr>
            <w:tcW w:w="820" w:type="dxa"/>
            <w:vAlign w:val="bottom"/>
            <w:shd w:val="clear" w:color="auto" w:fill="0066BA"/>
          </w:tcPr>
          <w:p>
            <w:pPr>
              <w:spacing w:after="0"/>
              <w:rPr>
                <w:sz w:val="12"/>
                <w:szCs w:val="12"/>
                <w:color w:val="auto"/>
              </w:rPr>
            </w:pPr>
          </w:p>
        </w:tc>
        <w:tc>
          <w:tcPr>
            <w:tcW w:w="1100" w:type="dxa"/>
            <w:vAlign w:val="bottom"/>
            <w:shd w:val="clear" w:color="auto" w:fill="0066BA"/>
          </w:tcPr>
          <w:p>
            <w:pPr>
              <w:jc w:val="right"/>
              <w:ind w:right="9"/>
              <w:spacing w:after="0"/>
              <w:rPr>
                <w:sz w:val="20"/>
                <w:szCs w:val="20"/>
                <w:color w:val="auto"/>
              </w:rPr>
            </w:pPr>
            <w:r>
              <w:rPr>
                <w:rFonts w:ascii="Arial" w:cs="Arial" w:eastAsia="Arial" w:hAnsi="Arial"/>
                <w:sz w:val="12"/>
                <w:szCs w:val="12"/>
                <w:b w:val="1"/>
                <w:bCs w:val="1"/>
                <w:color w:val="FFFFFF"/>
              </w:rPr>
              <w:t>Grant Date</w:t>
            </w:r>
          </w:p>
        </w:tc>
      </w:tr>
      <w:tr>
        <w:trPr>
          <w:trHeight w:val="130"/>
        </w:trPr>
        <w:tc>
          <w:tcPr>
            <w:tcW w:w="2760" w:type="dxa"/>
            <w:vAlign w:val="bottom"/>
            <w:shd w:val="clear" w:color="auto" w:fill="0066BA"/>
          </w:tcPr>
          <w:p>
            <w:pPr>
              <w:spacing w:after="0"/>
              <w:rPr>
                <w:sz w:val="11"/>
                <w:szCs w:val="11"/>
                <w:color w:val="auto"/>
              </w:rPr>
            </w:pPr>
          </w:p>
        </w:tc>
        <w:tc>
          <w:tcPr>
            <w:tcW w:w="1000" w:type="dxa"/>
            <w:vAlign w:val="bottom"/>
            <w:shd w:val="clear" w:color="auto" w:fill="0066BA"/>
          </w:tcPr>
          <w:p>
            <w:pPr>
              <w:spacing w:after="0"/>
              <w:rPr>
                <w:sz w:val="11"/>
                <w:szCs w:val="11"/>
                <w:color w:val="auto"/>
              </w:rPr>
            </w:pPr>
          </w:p>
        </w:tc>
        <w:tc>
          <w:tcPr>
            <w:tcW w:w="1120" w:type="dxa"/>
            <w:vAlign w:val="bottom"/>
            <w:shd w:val="clear" w:color="auto" w:fill="0066BA"/>
          </w:tcPr>
          <w:p>
            <w:pPr>
              <w:spacing w:after="0"/>
              <w:rPr>
                <w:sz w:val="11"/>
                <w:szCs w:val="11"/>
                <w:color w:val="auto"/>
              </w:rPr>
            </w:pPr>
          </w:p>
        </w:tc>
        <w:tc>
          <w:tcPr>
            <w:tcW w:w="660" w:type="dxa"/>
            <w:vAlign w:val="bottom"/>
            <w:shd w:val="clear" w:color="auto" w:fill="0066BA"/>
          </w:tcPr>
          <w:p>
            <w:pPr>
              <w:spacing w:after="0"/>
              <w:rPr>
                <w:sz w:val="11"/>
                <w:szCs w:val="11"/>
                <w:color w:val="auto"/>
              </w:rPr>
            </w:pPr>
          </w:p>
        </w:tc>
        <w:tc>
          <w:tcPr>
            <w:tcW w:w="700" w:type="dxa"/>
            <w:vAlign w:val="bottom"/>
            <w:shd w:val="clear" w:color="auto" w:fill="0066BA"/>
          </w:tcPr>
          <w:p>
            <w:pPr>
              <w:spacing w:after="0"/>
              <w:rPr>
                <w:sz w:val="11"/>
                <w:szCs w:val="11"/>
                <w:color w:val="auto"/>
              </w:rPr>
            </w:pPr>
          </w:p>
        </w:tc>
        <w:tc>
          <w:tcPr>
            <w:tcW w:w="680" w:type="dxa"/>
            <w:vAlign w:val="bottom"/>
            <w:shd w:val="clear" w:color="auto" w:fill="0066BA"/>
          </w:tcPr>
          <w:p>
            <w:pPr>
              <w:spacing w:after="0"/>
              <w:rPr>
                <w:sz w:val="11"/>
                <w:szCs w:val="11"/>
                <w:color w:val="auto"/>
              </w:rPr>
            </w:pPr>
          </w:p>
        </w:tc>
        <w:tc>
          <w:tcPr>
            <w:tcW w:w="700" w:type="dxa"/>
            <w:vAlign w:val="bottom"/>
            <w:shd w:val="clear" w:color="auto" w:fill="0066BA"/>
          </w:tcPr>
          <w:p>
            <w:pPr>
              <w:spacing w:after="0"/>
              <w:rPr>
                <w:sz w:val="11"/>
                <w:szCs w:val="11"/>
                <w:color w:val="auto"/>
              </w:rPr>
            </w:pPr>
          </w:p>
        </w:tc>
        <w:tc>
          <w:tcPr>
            <w:tcW w:w="740" w:type="dxa"/>
            <w:vAlign w:val="bottom"/>
            <w:shd w:val="clear" w:color="auto" w:fill="0066BA"/>
          </w:tcPr>
          <w:p>
            <w:pPr>
              <w:spacing w:after="0"/>
              <w:rPr>
                <w:sz w:val="11"/>
                <w:szCs w:val="11"/>
                <w:color w:val="auto"/>
              </w:rPr>
            </w:pPr>
          </w:p>
        </w:tc>
        <w:tc>
          <w:tcPr>
            <w:tcW w:w="820" w:type="dxa"/>
            <w:vAlign w:val="bottom"/>
            <w:shd w:val="clear" w:color="auto" w:fill="0066BA"/>
          </w:tcPr>
          <w:p>
            <w:pPr>
              <w:spacing w:after="0"/>
              <w:rPr>
                <w:sz w:val="11"/>
                <w:szCs w:val="11"/>
                <w:color w:val="auto"/>
              </w:rPr>
            </w:pPr>
          </w:p>
        </w:tc>
        <w:tc>
          <w:tcPr>
            <w:tcW w:w="1100" w:type="dxa"/>
            <w:vAlign w:val="bottom"/>
            <w:shd w:val="clear" w:color="auto" w:fill="0066BA"/>
          </w:tcPr>
          <w:p>
            <w:pPr>
              <w:jc w:val="right"/>
              <w:ind w:right="9"/>
              <w:spacing w:after="0" w:line="130" w:lineRule="exact"/>
              <w:rPr>
                <w:sz w:val="20"/>
                <w:szCs w:val="20"/>
                <w:color w:val="auto"/>
              </w:rPr>
            </w:pPr>
            <w:r>
              <w:rPr>
                <w:rFonts w:ascii="Arial" w:cs="Arial" w:eastAsia="Arial" w:hAnsi="Arial"/>
                <w:sz w:val="12"/>
                <w:szCs w:val="12"/>
                <w:b w:val="1"/>
                <w:bCs w:val="1"/>
                <w:color w:val="FFFFFF"/>
              </w:rPr>
              <w:t>Fair Value at</w:t>
            </w:r>
          </w:p>
        </w:tc>
      </w:tr>
      <w:tr>
        <w:trPr>
          <w:trHeight w:val="130"/>
        </w:trPr>
        <w:tc>
          <w:tcPr>
            <w:tcW w:w="2760" w:type="dxa"/>
            <w:vAlign w:val="bottom"/>
            <w:shd w:val="clear" w:color="auto" w:fill="0066BA"/>
          </w:tcPr>
          <w:p>
            <w:pPr>
              <w:spacing w:after="0"/>
              <w:rPr>
                <w:sz w:val="11"/>
                <w:szCs w:val="11"/>
                <w:color w:val="auto"/>
              </w:rPr>
            </w:pPr>
          </w:p>
        </w:tc>
        <w:tc>
          <w:tcPr>
            <w:tcW w:w="1000" w:type="dxa"/>
            <w:vAlign w:val="bottom"/>
            <w:shd w:val="clear" w:color="auto" w:fill="0066BA"/>
          </w:tcPr>
          <w:p>
            <w:pPr>
              <w:spacing w:after="0"/>
              <w:rPr>
                <w:sz w:val="11"/>
                <w:szCs w:val="11"/>
                <w:color w:val="auto"/>
              </w:rPr>
            </w:pPr>
          </w:p>
        </w:tc>
        <w:tc>
          <w:tcPr>
            <w:tcW w:w="1120" w:type="dxa"/>
            <w:vAlign w:val="bottom"/>
            <w:shd w:val="clear" w:color="auto" w:fill="0066BA"/>
          </w:tcPr>
          <w:p>
            <w:pPr>
              <w:spacing w:after="0"/>
              <w:rPr>
                <w:sz w:val="11"/>
                <w:szCs w:val="11"/>
                <w:color w:val="auto"/>
              </w:rPr>
            </w:pPr>
          </w:p>
        </w:tc>
        <w:tc>
          <w:tcPr>
            <w:tcW w:w="660" w:type="dxa"/>
            <w:vAlign w:val="bottom"/>
            <w:shd w:val="clear" w:color="auto" w:fill="0066BA"/>
          </w:tcPr>
          <w:p>
            <w:pPr>
              <w:spacing w:after="0"/>
              <w:rPr>
                <w:sz w:val="11"/>
                <w:szCs w:val="11"/>
                <w:color w:val="auto"/>
              </w:rPr>
            </w:pPr>
          </w:p>
        </w:tc>
        <w:tc>
          <w:tcPr>
            <w:tcW w:w="700" w:type="dxa"/>
            <w:vAlign w:val="bottom"/>
            <w:shd w:val="clear" w:color="auto" w:fill="0066BA"/>
          </w:tcPr>
          <w:p>
            <w:pPr>
              <w:spacing w:after="0"/>
              <w:rPr>
                <w:sz w:val="11"/>
                <w:szCs w:val="11"/>
                <w:color w:val="auto"/>
              </w:rPr>
            </w:pPr>
          </w:p>
        </w:tc>
        <w:tc>
          <w:tcPr>
            <w:tcW w:w="680" w:type="dxa"/>
            <w:vAlign w:val="bottom"/>
            <w:shd w:val="clear" w:color="auto" w:fill="0066BA"/>
          </w:tcPr>
          <w:p>
            <w:pPr>
              <w:spacing w:after="0"/>
              <w:rPr>
                <w:sz w:val="11"/>
                <w:szCs w:val="11"/>
                <w:color w:val="auto"/>
              </w:rPr>
            </w:pPr>
          </w:p>
        </w:tc>
        <w:tc>
          <w:tcPr>
            <w:tcW w:w="700" w:type="dxa"/>
            <w:vAlign w:val="bottom"/>
            <w:shd w:val="clear" w:color="auto" w:fill="0066BA"/>
          </w:tcPr>
          <w:p>
            <w:pPr>
              <w:spacing w:after="0"/>
              <w:rPr>
                <w:sz w:val="11"/>
                <w:szCs w:val="11"/>
                <w:color w:val="auto"/>
              </w:rPr>
            </w:pPr>
          </w:p>
        </w:tc>
        <w:tc>
          <w:tcPr>
            <w:tcW w:w="740" w:type="dxa"/>
            <w:vAlign w:val="bottom"/>
            <w:shd w:val="clear" w:color="auto" w:fill="0066BA"/>
          </w:tcPr>
          <w:p>
            <w:pPr>
              <w:spacing w:after="0"/>
              <w:rPr>
                <w:sz w:val="11"/>
                <w:szCs w:val="11"/>
                <w:color w:val="auto"/>
              </w:rPr>
            </w:pPr>
          </w:p>
        </w:tc>
        <w:tc>
          <w:tcPr>
            <w:tcW w:w="820" w:type="dxa"/>
            <w:vAlign w:val="bottom"/>
            <w:shd w:val="clear" w:color="auto" w:fill="0066BA"/>
          </w:tcPr>
          <w:p>
            <w:pPr>
              <w:spacing w:after="0"/>
              <w:rPr>
                <w:sz w:val="11"/>
                <w:szCs w:val="11"/>
                <w:color w:val="auto"/>
              </w:rPr>
            </w:pPr>
          </w:p>
        </w:tc>
        <w:tc>
          <w:tcPr>
            <w:tcW w:w="1100" w:type="dxa"/>
            <w:vAlign w:val="bottom"/>
            <w:shd w:val="clear" w:color="auto" w:fill="0066BA"/>
          </w:tcPr>
          <w:p>
            <w:pPr>
              <w:jc w:val="right"/>
              <w:ind w:right="9"/>
              <w:spacing w:after="0" w:line="130" w:lineRule="exact"/>
              <w:rPr>
                <w:sz w:val="20"/>
                <w:szCs w:val="20"/>
                <w:color w:val="auto"/>
              </w:rPr>
            </w:pPr>
            <w:r>
              <w:rPr>
                <w:rFonts w:ascii="Arial" w:cs="Arial" w:eastAsia="Arial" w:hAnsi="Arial"/>
                <w:sz w:val="12"/>
                <w:szCs w:val="12"/>
                <w:b w:val="1"/>
                <w:bCs w:val="1"/>
                <w:color w:val="FFFFFF"/>
              </w:rPr>
              <w:t>Maximum</w:t>
            </w:r>
          </w:p>
        </w:tc>
      </w:tr>
      <w:tr>
        <w:trPr>
          <w:trHeight w:val="130"/>
        </w:trPr>
        <w:tc>
          <w:tcPr>
            <w:tcW w:w="2760" w:type="dxa"/>
            <w:vAlign w:val="bottom"/>
            <w:shd w:val="clear" w:color="auto" w:fill="0066BA"/>
          </w:tcPr>
          <w:p>
            <w:pPr>
              <w:spacing w:after="0"/>
              <w:rPr>
                <w:sz w:val="11"/>
                <w:szCs w:val="11"/>
                <w:color w:val="auto"/>
              </w:rPr>
            </w:pPr>
          </w:p>
        </w:tc>
        <w:tc>
          <w:tcPr>
            <w:tcW w:w="1000" w:type="dxa"/>
            <w:vAlign w:val="bottom"/>
            <w:shd w:val="clear" w:color="auto" w:fill="0066BA"/>
          </w:tcPr>
          <w:p>
            <w:pPr>
              <w:spacing w:after="0"/>
              <w:rPr>
                <w:sz w:val="11"/>
                <w:szCs w:val="11"/>
                <w:color w:val="auto"/>
              </w:rPr>
            </w:pPr>
          </w:p>
        </w:tc>
        <w:tc>
          <w:tcPr>
            <w:tcW w:w="1120" w:type="dxa"/>
            <w:vAlign w:val="bottom"/>
            <w:shd w:val="clear" w:color="auto" w:fill="0066BA"/>
          </w:tcPr>
          <w:p>
            <w:pPr>
              <w:jc w:val="right"/>
              <w:ind w:right="365"/>
              <w:spacing w:after="0" w:line="130" w:lineRule="exact"/>
              <w:rPr>
                <w:sz w:val="20"/>
                <w:szCs w:val="20"/>
                <w:color w:val="auto"/>
              </w:rPr>
            </w:pPr>
            <w:r>
              <w:rPr>
                <w:rFonts w:ascii="Arial" w:cs="Arial" w:eastAsia="Arial" w:hAnsi="Arial"/>
                <w:sz w:val="12"/>
                <w:szCs w:val="12"/>
                <w:b w:val="1"/>
                <w:bCs w:val="1"/>
                <w:color w:val="FFFFFF"/>
              </w:rPr>
              <w:t>Options/</w:t>
            </w:r>
          </w:p>
        </w:tc>
        <w:tc>
          <w:tcPr>
            <w:tcW w:w="660" w:type="dxa"/>
            <w:vAlign w:val="bottom"/>
            <w:shd w:val="clear" w:color="auto" w:fill="0066BA"/>
          </w:tcPr>
          <w:p>
            <w:pPr>
              <w:spacing w:after="0"/>
              <w:rPr>
                <w:sz w:val="11"/>
                <w:szCs w:val="11"/>
                <w:color w:val="auto"/>
              </w:rPr>
            </w:pPr>
          </w:p>
        </w:tc>
        <w:tc>
          <w:tcPr>
            <w:tcW w:w="700" w:type="dxa"/>
            <w:vAlign w:val="bottom"/>
            <w:shd w:val="clear" w:color="auto" w:fill="0066BA"/>
          </w:tcPr>
          <w:p>
            <w:pPr>
              <w:spacing w:after="0"/>
              <w:rPr>
                <w:sz w:val="11"/>
                <w:szCs w:val="11"/>
                <w:color w:val="auto"/>
              </w:rPr>
            </w:pPr>
          </w:p>
        </w:tc>
        <w:tc>
          <w:tcPr>
            <w:tcW w:w="680" w:type="dxa"/>
            <w:vAlign w:val="bottom"/>
            <w:shd w:val="clear" w:color="auto" w:fill="0066BA"/>
          </w:tcPr>
          <w:p>
            <w:pPr>
              <w:spacing w:after="0"/>
              <w:rPr>
                <w:sz w:val="11"/>
                <w:szCs w:val="11"/>
                <w:color w:val="auto"/>
              </w:rPr>
            </w:pPr>
          </w:p>
        </w:tc>
        <w:tc>
          <w:tcPr>
            <w:tcW w:w="700" w:type="dxa"/>
            <w:vAlign w:val="bottom"/>
            <w:shd w:val="clear" w:color="auto" w:fill="0066BA"/>
          </w:tcPr>
          <w:p>
            <w:pPr>
              <w:jc w:val="right"/>
              <w:ind w:right="5"/>
              <w:spacing w:after="0" w:line="130" w:lineRule="exact"/>
              <w:rPr>
                <w:sz w:val="20"/>
                <w:szCs w:val="20"/>
                <w:color w:val="auto"/>
              </w:rPr>
            </w:pPr>
            <w:r>
              <w:rPr>
                <w:rFonts w:ascii="Arial" w:cs="Arial" w:eastAsia="Arial" w:hAnsi="Arial"/>
                <w:sz w:val="12"/>
                <w:szCs w:val="12"/>
                <w:b w:val="1"/>
                <w:bCs w:val="1"/>
                <w:color w:val="FFFFFF"/>
              </w:rPr>
              <w:t>Risk-</w:t>
            </w:r>
          </w:p>
        </w:tc>
        <w:tc>
          <w:tcPr>
            <w:tcW w:w="740" w:type="dxa"/>
            <w:vAlign w:val="bottom"/>
            <w:shd w:val="clear" w:color="auto" w:fill="0066BA"/>
          </w:tcPr>
          <w:p>
            <w:pPr>
              <w:spacing w:after="0"/>
              <w:rPr>
                <w:sz w:val="11"/>
                <w:szCs w:val="11"/>
                <w:color w:val="auto"/>
              </w:rPr>
            </w:pPr>
          </w:p>
        </w:tc>
        <w:tc>
          <w:tcPr>
            <w:tcW w:w="820" w:type="dxa"/>
            <w:vAlign w:val="bottom"/>
            <w:shd w:val="clear" w:color="auto" w:fill="0066BA"/>
          </w:tcPr>
          <w:p>
            <w:pPr>
              <w:jc w:val="right"/>
              <w:ind w:right="5"/>
              <w:spacing w:after="0" w:line="130" w:lineRule="exact"/>
              <w:rPr>
                <w:sz w:val="20"/>
                <w:szCs w:val="20"/>
                <w:color w:val="auto"/>
              </w:rPr>
            </w:pPr>
            <w:r>
              <w:rPr>
                <w:rFonts w:ascii="Arial" w:cs="Arial" w:eastAsia="Arial" w:hAnsi="Arial"/>
                <w:sz w:val="12"/>
                <w:szCs w:val="12"/>
                <w:b w:val="1"/>
                <w:bCs w:val="1"/>
                <w:color w:val="FFFFFF"/>
              </w:rPr>
              <w:t>Grant Date</w:t>
            </w:r>
          </w:p>
        </w:tc>
        <w:tc>
          <w:tcPr>
            <w:tcW w:w="1100" w:type="dxa"/>
            <w:vAlign w:val="bottom"/>
            <w:shd w:val="clear" w:color="auto" w:fill="0066BA"/>
          </w:tcPr>
          <w:p>
            <w:pPr>
              <w:jc w:val="right"/>
              <w:ind w:right="9"/>
              <w:spacing w:after="0" w:line="130" w:lineRule="exact"/>
              <w:rPr>
                <w:sz w:val="20"/>
                <w:szCs w:val="20"/>
                <w:color w:val="auto"/>
              </w:rPr>
            </w:pPr>
            <w:r>
              <w:rPr>
                <w:rFonts w:ascii="Arial" w:cs="Arial" w:eastAsia="Arial" w:hAnsi="Arial"/>
                <w:sz w:val="12"/>
                <w:szCs w:val="12"/>
                <w:b w:val="1"/>
                <w:bCs w:val="1"/>
                <w:color w:val="FFFFFF"/>
              </w:rPr>
              <w:t>Achievement</w:t>
            </w:r>
          </w:p>
        </w:tc>
      </w:tr>
      <w:tr>
        <w:trPr>
          <w:trHeight w:val="130"/>
        </w:trPr>
        <w:tc>
          <w:tcPr>
            <w:tcW w:w="2760" w:type="dxa"/>
            <w:vAlign w:val="bottom"/>
            <w:shd w:val="clear" w:color="auto" w:fill="0066BA"/>
          </w:tcPr>
          <w:p>
            <w:pPr>
              <w:spacing w:after="0"/>
              <w:rPr>
                <w:sz w:val="11"/>
                <w:szCs w:val="11"/>
                <w:color w:val="auto"/>
              </w:rPr>
            </w:pPr>
          </w:p>
        </w:tc>
        <w:tc>
          <w:tcPr>
            <w:tcW w:w="1000" w:type="dxa"/>
            <w:vAlign w:val="bottom"/>
            <w:shd w:val="clear" w:color="auto" w:fill="0066BA"/>
          </w:tcPr>
          <w:p>
            <w:pPr>
              <w:spacing w:after="0"/>
              <w:rPr>
                <w:sz w:val="11"/>
                <w:szCs w:val="11"/>
                <w:color w:val="auto"/>
              </w:rPr>
            </w:pPr>
          </w:p>
        </w:tc>
        <w:tc>
          <w:tcPr>
            <w:tcW w:w="1120" w:type="dxa"/>
            <w:vAlign w:val="bottom"/>
            <w:shd w:val="clear" w:color="auto" w:fill="0066BA"/>
          </w:tcPr>
          <w:p>
            <w:pPr>
              <w:jc w:val="right"/>
              <w:ind w:right="365"/>
              <w:spacing w:after="0" w:line="130" w:lineRule="exact"/>
              <w:rPr>
                <w:sz w:val="20"/>
                <w:szCs w:val="20"/>
                <w:color w:val="auto"/>
              </w:rPr>
            </w:pPr>
            <w:r>
              <w:rPr>
                <w:rFonts w:ascii="Arial" w:cs="Arial" w:eastAsia="Arial" w:hAnsi="Arial"/>
                <w:sz w:val="12"/>
                <w:szCs w:val="12"/>
                <w:b w:val="1"/>
                <w:bCs w:val="1"/>
                <w:color w:val="FFFFFF"/>
              </w:rPr>
              <w:t>Restricted</w:t>
            </w:r>
          </w:p>
        </w:tc>
        <w:tc>
          <w:tcPr>
            <w:tcW w:w="660" w:type="dxa"/>
            <w:vAlign w:val="bottom"/>
            <w:shd w:val="clear" w:color="auto" w:fill="0066BA"/>
          </w:tcPr>
          <w:p>
            <w:pPr>
              <w:spacing w:after="0"/>
              <w:rPr>
                <w:sz w:val="11"/>
                <w:szCs w:val="11"/>
                <w:color w:val="auto"/>
              </w:rPr>
            </w:pPr>
          </w:p>
        </w:tc>
        <w:tc>
          <w:tcPr>
            <w:tcW w:w="700" w:type="dxa"/>
            <w:vAlign w:val="bottom"/>
            <w:shd w:val="clear" w:color="auto" w:fill="0066BA"/>
          </w:tcPr>
          <w:p>
            <w:pPr>
              <w:spacing w:after="0"/>
              <w:rPr>
                <w:sz w:val="11"/>
                <w:szCs w:val="11"/>
                <w:color w:val="auto"/>
              </w:rPr>
            </w:pPr>
          </w:p>
        </w:tc>
        <w:tc>
          <w:tcPr>
            <w:tcW w:w="680" w:type="dxa"/>
            <w:vAlign w:val="bottom"/>
            <w:shd w:val="clear" w:color="auto" w:fill="0066BA"/>
          </w:tcPr>
          <w:p>
            <w:pPr>
              <w:jc w:val="right"/>
              <w:ind w:right="4"/>
              <w:spacing w:after="0" w:line="130" w:lineRule="exact"/>
              <w:rPr>
                <w:sz w:val="20"/>
                <w:szCs w:val="20"/>
                <w:color w:val="auto"/>
              </w:rPr>
            </w:pPr>
            <w:r>
              <w:rPr>
                <w:rFonts w:ascii="Arial" w:cs="Arial" w:eastAsia="Arial" w:hAnsi="Arial"/>
                <w:sz w:val="12"/>
                <w:szCs w:val="12"/>
                <w:b w:val="1"/>
                <w:bCs w:val="1"/>
                <w:color w:val="FFFFFF"/>
              </w:rPr>
              <w:t>Expected</w:t>
            </w:r>
          </w:p>
        </w:tc>
        <w:tc>
          <w:tcPr>
            <w:tcW w:w="700" w:type="dxa"/>
            <w:vAlign w:val="bottom"/>
            <w:shd w:val="clear" w:color="auto" w:fill="0066BA"/>
          </w:tcPr>
          <w:p>
            <w:pPr>
              <w:jc w:val="right"/>
              <w:ind w:right="5"/>
              <w:spacing w:after="0" w:line="130" w:lineRule="exact"/>
              <w:rPr>
                <w:sz w:val="20"/>
                <w:szCs w:val="20"/>
                <w:color w:val="auto"/>
              </w:rPr>
            </w:pPr>
            <w:r>
              <w:rPr>
                <w:rFonts w:ascii="Arial" w:cs="Arial" w:eastAsia="Arial" w:hAnsi="Arial"/>
                <w:sz w:val="12"/>
                <w:szCs w:val="12"/>
                <w:b w:val="1"/>
                <w:bCs w:val="1"/>
                <w:color w:val="FFFFFF"/>
              </w:rPr>
              <w:t>Free</w:t>
            </w:r>
          </w:p>
        </w:tc>
        <w:tc>
          <w:tcPr>
            <w:tcW w:w="740" w:type="dxa"/>
            <w:vAlign w:val="bottom"/>
            <w:shd w:val="clear" w:color="auto" w:fill="0066BA"/>
          </w:tcPr>
          <w:p>
            <w:pPr>
              <w:spacing w:after="0"/>
              <w:rPr>
                <w:sz w:val="11"/>
                <w:szCs w:val="11"/>
                <w:color w:val="auto"/>
              </w:rPr>
            </w:pPr>
          </w:p>
        </w:tc>
        <w:tc>
          <w:tcPr>
            <w:tcW w:w="820" w:type="dxa"/>
            <w:vAlign w:val="bottom"/>
            <w:shd w:val="clear" w:color="auto" w:fill="0066BA"/>
          </w:tcPr>
          <w:p>
            <w:pPr>
              <w:jc w:val="right"/>
              <w:ind w:right="5"/>
              <w:spacing w:after="0" w:line="130" w:lineRule="exact"/>
              <w:rPr>
                <w:sz w:val="20"/>
                <w:szCs w:val="20"/>
                <w:color w:val="auto"/>
              </w:rPr>
            </w:pPr>
            <w:r>
              <w:rPr>
                <w:rFonts w:ascii="Arial" w:cs="Arial" w:eastAsia="Arial" w:hAnsi="Arial"/>
                <w:sz w:val="12"/>
                <w:szCs w:val="12"/>
                <w:b w:val="1"/>
                <w:bCs w:val="1"/>
                <w:color w:val="FFFFFF"/>
              </w:rPr>
              <w:t>Fair Value</w:t>
            </w:r>
          </w:p>
        </w:tc>
        <w:tc>
          <w:tcPr>
            <w:tcW w:w="1100" w:type="dxa"/>
            <w:vAlign w:val="bottom"/>
            <w:shd w:val="clear" w:color="auto" w:fill="0066BA"/>
          </w:tcPr>
          <w:p>
            <w:pPr>
              <w:jc w:val="right"/>
              <w:ind w:right="9"/>
              <w:spacing w:after="0" w:line="130" w:lineRule="exact"/>
              <w:rPr>
                <w:sz w:val="20"/>
                <w:szCs w:val="20"/>
                <w:color w:val="auto"/>
              </w:rPr>
            </w:pPr>
            <w:r>
              <w:rPr>
                <w:rFonts w:ascii="Arial" w:cs="Arial" w:eastAsia="Arial" w:hAnsi="Arial"/>
                <w:sz w:val="12"/>
                <w:szCs w:val="12"/>
                <w:b w:val="1"/>
                <w:bCs w:val="1"/>
                <w:color w:val="FFFFFF"/>
              </w:rPr>
              <w:t>Level for</w:t>
            </w:r>
          </w:p>
        </w:tc>
      </w:tr>
      <w:tr>
        <w:trPr>
          <w:trHeight w:val="130"/>
        </w:trPr>
        <w:tc>
          <w:tcPr>
            <w:tcW w:w="2760" w:type="dxa"/>
            <w:vAlign w:val="bottom"/>
            <w:shd w:val="clear" w:color="auto" w:fill="0066BA"/>
          </w:tcPr>
          <w:p>
            <w:pPr>
              <w:spacing w:after="0"/>
              <w:rPr>
                <w:sz w:val="11"/>
                <w:szCs w:val="11"/>
                <w:color w:val="auto"/>
              </w:rPr>
            </w:pPr>
          </w:p>
        </w:tc>
        <w:tc>
          <w:tcPr>
            <w:tcW w:w="1000" w:type="dxa"/>
            <w:vAlign w:val="bottom"/>
            <w:shd w:val="clear" w:color="auto" w:fill="0066BA"/>
          </w:tcPr>
          <w:p>
            <w:pPr>
              <w:spacing w:after="0"/>
              <w:rPr>
                <w:sz w:val="11"/>
                <w:szCs w:val="11"/>
                <w:color w:val="auto"/>
              </w:rPr>
            </w:pPr>
          </w:p>
        </w:tc>
        <w:tc>
          <w:tcPr>
            <w:tcW w:w="1120" w:type="dxa"/>
            <w:vAlign w:val="bottom"/>
            <w:shd w:val="clear" w:color="auto" w:fill="0066BA"/>
          </w:tcPr>
          <w:p>
            <w:pPr>
              <w:jc w:val="right"/>
              <w:ind w:right="365"/>
              <w:spacing w:after="0" w:line="130" w:lineRule="exact"/>
              <w:rPr>
                <w:sz w:val="20"/>
                <w:szCs w:val="20"/>
                <w:color w:val="auto"/>
              </w:rPr>
            </w:pPr>
            <w:r>
              <w:rPr>
                <w:rFonts w:ascii="Arial" w:cs="Arial" w:eastAsia="Arial" w:hAnsi="Arial"/>
                <w:sz w:val="12"/>
                <w:szCs w:val="12"/>
                <w:b w:val="1"/>
                <w:bCs w:val="1"/>
                <w:color w:val="FFFFFF"/>
                <w:w w:val="99"/>
              </w:rPr>
              <w:t>Stock Units</w:t>
            </w:r>
          </w:p>
        </w:tc>
        <w:tc>
          <w:tcPr>
            <w:tcW w:w="660" w:type="dxa"/>
            <w:vAlign w:val="bottom"/>
            <w:shd w:val="clear" w:color="auto" w:fill="0066BA"/>
          </w:tcPr>
          <w:p>
            <w:pPr>
              <w:jc w:val="right"/>
              <w:ind w:right="3"/>
              <w:spacing w:after="0" w:line="130" w:lineRule="exact"/>
              <w:rPr>
                <w:sz w:val="20"/>
                <w:szCs w:val="20"/>
                <w:color w:val="auto"/>
              </w:rPr>
            </w:pPr>
            <w:r>
              <w:rPr>
                <w:rFonts w:ascii="Arial" w:cs="Arial" w:eastAsia="Arial" w:hAnsi="Arial"/>
                <w:sz w:val="12"/>
                <w:szCs w:val="12"/>
                <w:b w:val="1"/>
                <w:bCs w:val="1"/>
                <w:color w:val="FFFFFF"/>
              </w:rPr>
              <w:t>Exercise</w:t>
            </w:r>
          </w:p>
        </w:tc>
        <w:tc>
          <w:tcPr>
            <w:tcW w:w="700" w:type="dxa"/>
            <w:vAlign w:val="bottom"/>
            <w:shd w:val="clear" w:color="auto" w:fill="0066BA"/>
          </w:tcPr>
          <w:p>
            <w:pPr>
              <w:jc w:val="right"/>
              <w:ind w:right="3"/>
              <w:spacing w:after="0" w:line="130" w:lineRule="exact"/>
              <w:rPr>
                <w:sz w:val="20"/>
                <w:szCs w:val="20"/>
                <w:color w:val="auto"/>
              </w:rPr>
            </w:pPr>
            <w:r>
              <w:rPr>
                <w:rFonts w:ascii="Arial" w:cs="Arial" w:eastAsia="Arial" w:hAnsi="Arial"/>
                <w:sz w:val="12"/>
                <w:szCs w:val="12"/>
                <w:b w:val="1"/>
                <w:bCs w:val="1"/>
                <w:color w:val="FFFFFF"/>
              </w:rPr>
              <w:t>Volatility</w:t>
            </w:r>
          </w:p>
        </w:tc>
        <w:tc>
          <w:tcPr>
            <w:tcW w:w="680" w:type="dxa"/>
            <w:vAlign w:val="bottom"/>
            <w:shd w:val="clear" w:color="auto" w:fill="0066BA"/>
          </w:tcPr>
          <w:p>
            <w:pPr>
              <w:jc w:val="right"/>
              <w:ind w:right="4"/>
              <w:spacing w:after="0" w:line="130" w:lineRule="exact"/>
              <w:rPr>
                <w:sz w:val="20"/>
                <w:szCs w:val="20"/>
                <w:color w:val="auto"/>
              </w:rPr>
            </w:pPr>
            <w:r>
              <w:rPr>
                <w:rFonts w:ascii="Arial" w:cs="Arial" w:eastAsia="Arial" w:hAnsi="Arial"/>
                <w:sz w:val="12"/>
                <w:szCs w:val="12"/>
                <w:b w:val="1"/>
                <w:bCs w:val="1"/>
                <w:color w:val="FFFFFF"/>
              </w:rPr>
              <w:t>Life</w:t>
            </w:r>
          </w:p>
        </w:tc>
        <w:tc>
          <w:tcPr>
            <w:tcW w:w="700" w:type="dxa"/>
            <w:vAlign w:val="bottom"/>
            <w:shd w:val="clear" w:color="auto" w:fill="0066BA"/>
          </w:tcPr>
          <w:p>
            <w:pPr>
              <w:jc w:val="right"/>
              <w:ind w:right="5"/>
              <w:spacing w:after="0" w:line="130" w:lineRule="exact"/>
              <w:rPr>
                <w:sz w:val="20"/>
                <w:szCs w:val="20"/>
                <w:color w:val="auto"/>
              </w:rPr>
            </w:pPr>
            <w:r>
              <w:rPr>
                <w:rFonts w:ascii="Arial" w:cs="Arial" w:eastAsia="Arial" w:hAnsi="Arial"/>
                <w:sz w:val="12"/>
                <w:szCs w:val="12"/>
                <w:b w:val="1"/>
                <w:bCs w:val="1"/>
                <w:color w:val="FFFFFF"/>
              </w:rPr>
              <w:t>Interest</w:t>
            </w:r>
          </w:p>
        </w:tc>
        <w:tc>
          <w:tcPr>
            <w:tcW w:w="740" w:type="dxa"/>
            <w:vAlign w:val="bottom"/>
            <w:shd w:val="clear" w:color="auto" w:fill="0066BA"/>
          </w:tcPr>
          <w:p>
            <w:pPr>
              <w:jc w:val="right"/>
              <w:ind w:right="3"/>
              <w:spacing w:after="0" w:line="130" w:lineRule="exact"/>
              <w:rPr>
                <w:sz w:val="20"/>
                <w:szCs w:val="20"/>
                <w:color w:val="auto"/>
              </w:rPr>
            </w:pPr>
            <w:r>
              <w:rPr>
                <w:rFonts w:ascii="Arial" w:cs="Arial" w:eastAsia="Arial" w:hAnsi="Arial"/>
                <w:sz w:val="12"/>
                <w:szCs w:val="12"/>
                <w:b w:val="1"/>
                <w:bCs w:val="1"/>
                <w:color w:val="FFFFFF"/>
              </w:rPr>
              <w:t>Dividend</w:t>
            </w:r>
          </w:p>
        </w:tc>
        <w:tc>
          <w:tcPr>
            <w:tcW w:w="820" w:type="dxa"/>
            <w:vAlign w:val="bottom"/>
            <w:shd w:val="clear" w:color="auto" w:fill="0066BA"/>
          </w:tcPr>
          <w:p>
            <w:pPr>
              <w:jc w:val="right"/>
              <w:ind w:right="5"/>
              <w:spacing w:after="0" w:line="130" w:lineRule="exact"/>
              <w:rPr>
                <w:sz w:val="20"/>
                <w:szCs w:val="20"/>
                <w:color w:val="auto"/>
              </w:rPr>
            </w:pPr>
            <w:r>
              <w:rPr>
                <w:rFonts w:ascii="Arial" w:cs="Arial" w:eastAsia="Arial" w:hAnsi="Arial"/>
                <w:sz w:val="12"/>
                <w:szCs w:val="12"/>
                <w:b w:val="1"/>
                <w:bCs w:val="1"/>
                <w:color w:val="FFFFFF"/>
              </w:rPr>
              <w:t>($) Per</w:t>
            </w:r>
          </w:p>
        </w:tc>
        <w:tc>
          <w:tcPr>
            <w:tcW w:w="1100" w:type="dxa"/>
            <w:vAlign w:val="bottom"/>
            <w:shd w:val="clear" w:color="auto" w:fill="0066BA"/>
          </w:tcPr>
          <w:p>
            <w:pPr>
              <w:jc w:val="right"/>
              <w:ind w:right="9"/>
              <w:spacing w:after="0" w:line="130" w:lineRule="exact"/>
              <w:rPr>
                <w:sz w:val="20"/>
                <w:szCs w:val="20"/>
                <w:color w:val="auto"/>
              </w:rPr>
            </w:pPr>
            <w:r>
              <w:rPr>
                <w:rFonts w:ascii="Arial" w:cs="Arial" w:eastAsia="Arial" w:hAnsi="Arial"/>
                <w:sz w:val="12"/>
                <w:szCs w:val="12"/>
                <w:b w:val="1"/>
                <w:bCs w:val="1"/>
                <w:color w:val="FFFFFF"/>
              </w:rPr>
              <w:t>Performance</w:t>
            </w:r>
          </w:p>
        </w:tc>
      </w:tr>
      <w:tr>
        <w:trPr>
          <w:trHeight w:val="171"/>
        </w:trPr>
        <w:tc>
          <w:tcPr>
            <w:tcW w:w="2760" w:type="dxa"/>
            <w:vAlign w:val="bottom"/>
            <w:shd w:val="clear" w:color="auto" w:fill="0066BA"/>
          </w:tcPr>
          <w:p>
            <w:pPr>
              <w:ind w:left="60"/>
              <w:spacing w:after="0"/>
              <w:rPr>
                <w:sz w:val="20"/>
                <w:szCs w:val="20"/>
                <w:color w:val="auto"/>
              </w:rPr>
            </w:pPr>
            <w:r>
              <w:rPr>
                <w:rFonts w:ascii="Arial" w:cs="Arial" w:eastAsia="Arial" w:hAnsi="Arial"/>
                <w:sz w:val="12"/>
                <w:szCs w:val="12"/>
                <w:b w:val="1"/>
                <w:bCs w:val="1"/>
                <w:color w:val="FFFFFF"/>
              </w:rPr>
              <w:t>Name</w:t>
            </w:r>
          </w:p>
        </w:tc>
        <w:tc>
          <w:tcPr>
            <w:tcW w:w="1000" w:type="dxa"/>
            <w:vAlign w:val="bottom"/>
            <w:shd w:val="clear" w:color="auto" w:fill="0066BA"/>
          </w:tcPr>
          <w:p>
            <w:pPr>
              <w:ind w:left="320"/>
              <w:spacing w:after="0"/>
              <w:rPr>
                <w:sz w:val="20"/>
                <w:szCs w:val="20"/>
                <w:color w:val="auto"/>
              </w:rPr>
            </w:pPr>
            <w:r>
              <w:rPr>
                <w:rFonts w:ascii="Arial" w:cs="Arial" w:eastAsia="Arial" w:hAnsi="Arial"/>
                <w:sz w:val="12"/>
                <w:szCs w:val="12"/>
                <w:b w:val="1"/>
                <w:bCs w:val="1"/>
                <w:color w:val="FFFFFF"/>
              </w:rPr>
              <w:t>Grant Date</w:t>
            </w:r>
          </w:p>
        </w:tc>
        <w:tc>
          <w:tcPr>
            <w:tcW w:w="1120" w:type="dxa"/>
            <w:vAlign w:val="bottom"/>
            <w:shd w:val="clear" w:color="auto" w:fill="0066BA"/>
          </w:tcPr>
          <w:p>
            <w:pPr>
              <w:jc w:val="right"/>
              <w:ind w:right="365"/>
              <w:spacing w:after="0"/>
              <w:rPr>
                <w:sz w:val="20"/>
                <w:szCs w:val="20"/>
                <w:color w:val="auto"/>
              </w:rPr>
            </w:pPr>
            <w:r>
              <w:rPr>
                <w:rFonts w:ascii="Arial" w:cs="Arial" w:eastAsia="Arial" w:hAnsi="Arial"/>
                <w:sz w:val="12"/>
                <w:szCs w:val="12"/>
                <w:b w:val="1"/>
                <w:bCs w:val="1"/>
                <w:color w:val="FFFFFF"/>
              </w:rPr>
              <w:t>Granted (#)</w:t>
            </w:r>
          </w:p>
        </w:tc>
        <w:tc>
          <w:tcPr>
            <w:tcW w:w="660" w:type="dxa"/>
            <w:vAlign w:val="bottom"/>
            <w:shd w:val="clear" w:color="auto" w:fill="0066BA"/>
          </w:tcPr>
          <w:p>
            <w:pPr>
              <w:jc w:val="right"/>
              <w:ind w:right="3"/>
              <w:spacing w:after="0"/>
              <w:rPr>
                <w:sz w:val="20"/>
                <w:szCs w:val="20"/>
                <w:color w:val="auto"/>
              </w:rPr>
            </w:pPr>
            <w:r>
              <w:rPr>
                <w:rFonts w:ascii="Arial" w:cs="Arial" w:eastAsia="Arial" w:hAnsi="Arial"/>
                <w:sz w:val="12"/>
                <w:szCs w:val="12"/>
                <w:b w:val="1"/>
                <w:bCs w:val="1"/>
                <w:color w:val="FFFFFF"/>
              </w:rPr>
              <w:t>Price ($)</w:t>
            </w:r>
          </w:p>
        </w:tc>
        <w:tc>
          <w:tcPr>
            <w:tcW w:w="700" w:type="dxa"/>
            <w:vAlign w:val="bottom"/>
            <w:shd w:val="clear" w:color="auto" w:fill="0066BA"/>
          </w:tcPr>
          <w:p>
            <w:pPr>
              <w:jc w:val="right"/>
              <w:ind w:right="3"/>
              <w:spacing w:after="0"/>
              <w:rPr>
                <w:sz w:val="20"/>
                <w:szCs w:val="20"/>
                <w:color w:val="auto"/>
              </w:rPr>
            </w:pPr>
            <w:r>
              <w:rPr>
                <w:rFonts w:ascii="Arial" w:cs="Arial" w:eastAsia="Arial" w:hAnsi="Arial"/>
                <w:sz w:val="12"/>
                <w:szCs w:val="12"/>
                <w:b w:val="1"/>
                <w:bCs w:val="1"/>
                <w:color w:val="FFFFFF"/>
              </w:rPr>
              <w:t>(%)</w:t>
            </w:r>
          </w:p>
        </w:tc>
        <w:tc>
          <w:tcPr>
            <w:tcW w:w="680" w:type="dxa"/>
            <w:vAlign w:val="bottom"/>
            <w:shd w:val="clear" w:color="auto" w:fill="0066BA"/>
          </w:tcPr>
          <w:p>
            <w:pPr>
              <w:jc w:val="right"/>
              <w:ind w:right="4"/>
              <w:spacing w:after="0"/>
              <w:rPr>
                <w:sz w:val="20"/>
                <w:szCs w:val="20"/>
                <w:color w:val="auto"/>
              </w:rPr>
            </w:pPr>
            <w:r>
              <w:rPr>
                <w:rFonts w:ascii="Arial" w:cs="Arial" w:eastAsia="Arial" w:hAnsi="Arial"/>
                <w:sz w:val="12"/>
                <w:szCs w:val="12"/>
                <w:b w:val="1"/>
                <w:bCs w:val="1"/>
                <w:color w:val="FFFFFF"/>
              </w:rPr>
              <w:t>(Years)</w:t>
            </w:r>
          </w:p>
        </w:tc>
        <w:tc>
          <w:tcPr>
            <w:tcW w:w="700" w:type="dxa"/>
            <w:vAlign w:val="bottom"/>
            <w:shd w:val="clear" w:color="auto" w:fill="0066BA"/>
          </w:tcPr>
          <w:p>
            <w:pPr>
              <w:jc w:val="right"/>
              <w:ind w:right="5"/>
              <w:spacing w:after="0"/>
              <w:rPr>
                <w:sz w:val="20"/>
                <w:szCs w:val="20"/>
                <w:color w:val="auto"/>
              </w:rPr>
            </w:pPr>
            <w:r>
              <w:rPr>
                <w:rFonts w:ascii="Arial" w:cs="Arial" w:eastAsia="Arial" w:hAnsi="Arial"/>
                <w:sz w:val="12"/>
                <w:szCs w:val="12"/>
                <w:b w:val="1"/>
                <w:bCs w:val="1"/>
                <w:color w:val="FFFFFF"/>
              </w:rPr>
              <w:t>Rate (%)</w:t>
            </w:r>
          </w:p>
        </w:tc>
        <w:tc>
          <w:tcPr>
            <w:tcW w:w="740" w:type="dxa"/>
            <w:vAlign w:val="bottom"/>
            <w:shd w:val="clear" w:color="auto" w:fill="0066BA"/>
          </w:tcPr>
          <w:p>
            <w:pPr>
              <w:jc w:val="right"/>
              <w:ind w:right="3"/>
              <w:spacing w:after="0"/>
              <w:rPr>
                <w:sz w:val="20"/>
                <w:szCs w:val="20"/>
                <w:color w:val="auto"/>
              </w:rPr>
            </w:pPr>
            <w:r>
              <w:rPr>
                <w:rFonts w:ascii="Arial" w:cs="Arial" w:eastAsia="Arial" w:hAnsi="Arial"/>
                <w:sz w:val="12"/>
                <w:szCs w:val="12"/>
                <w:b w:val="1"/>
                <w:bCs w:val="1"/>
                <w:color w:val="FFFFFF"/>
              </w:rPr>
              <w:t>Yield (%)</w:t>
            </w:r>
          </w:p>
        </w:tc>
        <w:tc>
          <w:tcPr>
            <w:tcW w:w="820" w:type="dxa"/>
            <w:vAlign w:val="bottom"/>
            <w:shd w:val="clear" w:color="auto" w:fill="0066BA"/>
          </w:tcPr>
          <w:p>
            <w:pPr>
              <w:jc w:val="right"/>
              <w:ind w:right="5"/>
              <w:spacing w:after="0"/>
              <w:rPr>
                <w:sz w:val="20"/>
                <w:szCs w:val="20"/>
                <w:color w:val="auto"/>
              </w:rPr>
            </w:pPr>
            <w:r>
              <w:rPr>
                <w:rFonts w:ascii="Arial" w:cs="Arial" w:eastAsia="Arial" w:hAnsi="Arial"/>
                <w:sz w:val="12"/>
                <w:szCs w:val="12"/>
                <w:b w:val="1"/>
                <w:bCs w:val="1"/>
                <w:color w:val="FFFFFF"/>
              </w:rPr>
              <w:t>Share</w:t>
            </w:r>
          </w:p>
        </w:tc>
        <w:tc>
          <w:tcPr>
            <w:tcW w:w="1100" w:type="dxa"/>
            <w:vAlign w:val="bottom"/>
            <w:shd w:val="clear" w:color="auto" w:fill="0066BA"/>
          </w:tcPr>
          <w:p>
            <w:pPr>
              <w:jc w:val="right"/>
              <w:ind w:right="9"/>
              <w:spacing w:after="0"/>
              <w:rPr>
                <w:sz w:val="20"/>
                <w:szCs w:val="20"/>
                <w:color w:val="auto"/>
              </w:rPr>
            </w:pPr>
            <w:r>
              <w:rPr>
                <w:rFonts w:ascii="Arial" w:cs="Arial" w:eastAsia="Arial" w:hAnsi="Arial"/>
                <w:sz w:val="12"/>
                <w:szCs w:val="12"/>
                <w:b w:val="1"/>
                <w:bCs w:val="1"/>
                <w:color w:val="FFFFFF"/>
              </w:rPr>
              <w:t>Based RSUs ($)</w:t>
            </w:r>
          </w:p>
        </w:tc>
      </w:tr>
      <w:tr>
        <w:trPr>
          <w:trHeight w:val="94"/>
        </w:trPr>
        <w:tc>
          <w:tcPr>
            <w:tcW w:w="2760" w:type="dxa"/>
            <w:vAlign w:val="bottom"/>
            <w:shd w:val="clear" w:color="auto" w:fill="0066BA"/>
          </w:tcPr>
          <w:p>
            <w:pPr>
              <w:spacing w:after="0"/>
              <w:rPr>
                <w:sz w:val="8"/>
                <w:szCs w:val="8"/>
                <w:color w:val="auto"/>
              </w:rPr>
            </w:pPr>
          </w:p>
        </w:tc>
        <w:tc>
          <w:tcPr>
            <w:tcW w:w="1000" w:type="dxa"/>
            <w:vAlign w:val="bottom"/>
            <w:shd w:val="clear" w:color="auto" w:fill="0066BA"/>
          </w:tcPr>
          <w:p>
            <w:pPr>
              <w:spacing w:after="0"/>
              <w:rPr>
                <w:sz w:val="8"/>
                <w:szCs w:val="8"/>
                <w:color w:val="auto"/>
              </w:rPr>
            </w:pPr>
          </w:p>
        </w:tc>
        <w:tc>
          <w:tcPr>
            <w:tcW w:w="1120" w:type="dxa"/>
            <w:vAlign w:val="bottom"/>
            <w:shd w:val="clear" w:color="auto" w:fill="0066BA"/>
          </w:tcPr>
          <w:p>
            <w:pPr>
              <w:spacing w:after="0"/>
              <w:rPr>
                <w:sz w:val="8"/>
                <w:szCs w:val="8"/>
                <w:color w:val="auto"/>
              </w:rPr>
            </w:pPr>
          </w:p>
        </w:tc>
        <w:tc>
          <w:tcPr>
            <w:tcW w:w="660" w:type="dxa"/>
            <w:vAlign w:val="bottom"/>
            <w:shd w:val="clear" w:color="auto" w:fill="0066BA"/>
          </w:tcPr>
          <w:p>
            <w:pPr>
              <w:spacing w:after="0"/>
              <w:rPr>
                <w:sz w:val="8"/>
                <w:szCs w:val="8"/>
                <w:color w:val="auto"/>
              </w:rPr>
            </w:pPr>
          </w:p>
        </w:tc>
        <w:tc>
          <w:tcPr>
            <w:tcW w:w="700" w:type="dxa"/>
            <w:vAlign w:val="bottom"/>
            <w:shd w:val="clear" w:color="auto" w:fill="0066BA"/>
          </w:tcPr>
          <w:p>
            <w:pPr>
              <w:spacing w:after="0"/>
              <w:rPr>
                <w:sz w:val="8"/>
                <w:szCs w:val="8"/>
                <w:color w:val="auto"/>
              </w:rPr>
            </w:pPr>
          </w:p>
        </w:tc>
        <w:tc>
          <w:tcPr>
            <w:tcW w:w="680" w:type="dxa"/>
            <w:vAlign w:val="bottom"/>
            <w:shd w:val="clear" w:color="auto" w:fill="0066BA"/>
          </w:tcPr>
          <w:p>
            <w:pPr>
              <w:spacing w:after="0"/>
              <w:rPr>
                <w:sz w:val="8"/>
                <w:szCs w:val="8"/>
                <w:color w:val="auto"/>
              </w:rPr>
            </w:pPr>
          </w:p>
        </w:tc>
        <w:tc>
          <w:tcPr>
            <w:tcW w:w="700" w:type="dxa"/>
            <w:vAlign w:val="bottom"/>
            <w:shd w:val="clear" w:color="auto" w:fill="0066BA"/>
          </w:tcPr>
          <w:p>
            <w:pPr>
              <w:spacing w:after="0"/>
              <w:rPr>
                <w:sz w:val="8"/>
                <w:szCs w:val="8"/>
                <w:color w:val="auto"/>
              </w:rPr>
            </w:pPr>
          </w:p>
        </w:tc>
        <w:tc>
          <w:tcPr>
            <w:tcW w:w="740" w:type="dxa"/>
            <w:vAlign w:val="bottom"/>
            <w:shd w:val="clear" w:color="auto" w:fill="0066BA"/>
          </w:tcPr>
          <w:p>
            <w:pPr>
              <w:spacing w:after="0"/>
              <w:rPr>
                <w:sz w:val="8"/>
                <w:szCs w:val="8"/>
                <w:color w:val="auto"/>
              </w:rPr>
            </w:pPr>
          </w:p>
        </w:tc>
        <w:tc>
          <w:tcPr>
            <w:tcW w:w="820" w:type="dxa"/>
            <w:vAlign w:val="bottom"/>
            <w:shd w:val="clear" w:color="auto" w:fill="0066BA"/>
          </w:tcPr>
          <w:p>
            <w:pPr>
              <w:spacing w:after="0"/>
              <w:rPr>
                <w:sz w:val="8"/>
                <w:szCs w:val="8"/>
                <w:color w:val="auto"/>
              </w:rPr>
            </w:pPr>
          </w:p>
        </w:tc>
        <w:tc>
          <w:tcPr>
            <w:tcW w:w="1100" w:type="dxa"/>
            <w:vAlign w:val="bottom"/>
            <w:shd w:val="clear" w:color="auto" w:fill="0066BA"/>
          </w:tcPr>
          <w:p>
            <w:pPr>
              <w:spacing w:after="0"/>
              <w:rPr>
                <w:sz w:val="8"/>
                <w:szCs w:val="8"/>
                <w:color w:val="auto"/>
              </w:rPr>
            </w:pPr>
          </w:p>
        </w:tc>
      </w:tr>
      <w:tr>
        <w:trPr>
          <w:trHeight w:val="227"/>
        </w:trPr>
        <w:tc>
          <w:tcPr>
            <w:tcW w:w="2760" w:type="dxa"/>
            <w:vAlign w:val="bottom"/>
          </w:tcPr>
          <w:p>
            <w:pPr>
              <w:spacing w:after="0"/>
              <w:rPr>
                <w:sz w:val="19"/>
                <w:szCs w:val="19"/>
                <w:color w:val="auto"/>
              </w:rPr>
            </w:pPr>
          </w:p>
        </w:tc>
        <w:tc>
          <w:tcPr>
            <w:tcW w:w="1000" w:type="dxa"/>
            <w:vAlign w:val="bottom"/>
            <w:tcBorders>
              <w:bottom w:val="single" w:sz="8" w:color="auto"/>
            </w:tcBorders>
            <w:shd w:val="clear" w:color="auto" w:fill="EAEAEA"/>
          </w:tcPr>
          <w:p>
            <w:pPr>
              <w:ind w:left="280"/>
              <w:spacing w:after="0"/>
              <w:rPr>
                <w:sz w:val="20"/>
                <w:szCs w:val="20"/>
                <w:color w:val="auto"/>
              </w:rPr>
            </w:pPr>
            <w:r>
              <w:rPr>
                <w:rFonts w:ascii="Arial" w:cs="Arial" w:eastAsia="Arial" w:hAnsi="Arial"/>
                <w:sz w:val="16"/>
                <w:szCs w:val="16"/>
                <w:color w:val="auto"/>
                <w:w w:val="98"/>
              </w:rPr>
              <w:t>3/29/2018</w:t>
            </w:r>
          </w:p>
        </w:tc>
        <w:tc>
          <w:tcPr>
            <w:tcW w:w="1120" w:type="dxa"/>
            <w:vAlign w:val="bottom"/>
            <w:tcBorders>
              <w:bottom w:val="single" w:sz="8" w:color="auto"/>
            </w:tcBorders>
          </w:tcPr>
          <w:p>
            <w:pPr>
              <w:jc w:val="right"/>
              <w:ind w:right="285"/>
              <w:spacing w:after="0"/>
              <w:rPr>
                <w:sz w:val="20"/>
                <w:szCs w:val="20"/>
                <w:color w:val="auto"/>
              </w:rPr>
            </w:pPr>
            <w:r>
              <w:rPr>
                <w:rFonts w:ascii="Arial" w:cs="Arial" w:eastAsia="Arial" w:hAnsi="Arial"/>
                <w:sz w:val="16"/>
                <w:szCs w:val="16"/>
                <w:color w:val="auto"/>
              </w:rPr>
              <w:t>5,650*</w:t>
            </w:r>
          </w:p>
        </w:tc>
        <w:tc>
          <w:tcPr>
            <w:tcW w:w="660" w:type="dxa"/>
            <w:vAlign w:val="bottom"/>
            <w:tcBorders>
              <w:bottom w:val="single" w:sz="8" w:color="auto"/>
            </w:tcBorders>
            <w:shd w:val="clear" w:color="auto" w:fill="EAEAEA"/>
          </w:tcPr>
          <w:p>
            <w:pPr>
              <w:jc w:val="right"/>
              <w:ind w:right="3"/>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EAEAEA"/>
          </w:tcPr>
          <w:p>
            <w:pPr>
              <w:jc w:val="right"/>
              <w:ind w:right="4"/>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2.54</w:t>
            </w:r>
          </w:p>
        </w:tc>
        <w:tc>
          <w:tcPr>
            <w:tcW w:w="740" w:type="dxa"/>
            <w:vAlign w:val="bottom"/>
            <w:tcBorders>
              <w:bottom w:val="single" w:sz="8" w:color="auto"/>
            </w:tcBorders>
            <w:shd w:val="clear" w:color="auto" w:fill="EAEAEA"/>
          </w:tcPr>
          <w:p>
            <w:pPr>
              <w:ind w:left="380"/>
              <w:spacing w:after="0"/>
              <w:rPr>
                <w:sz w:val="20"/>
                <w:szCs w:val="20"/>
                <w:color w:val="auto"/>
              </w:rPr>
            </w:pPr>
            <w:r>
              <w:rPr>
                <w:rFonts w:ascii="Arial" w:cs="Arial" w:eastAsia="Arial" w:hAnsi="Arial"/>
                <w:sz w:val="16"/>
                <w:szCs w:val="16"/>
                <w:color w:val="auto"/>
              </w:rPr>
              <w:t>2.11</w:t>
            </w:r>
          </w:p>
        </w:tc>
        <w:tc>
          <w:tcPr>
            <w:tcW w:w="8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86.51</w:t>
            </w:r>
          </w:p>
        </w:tc>
        <w:tc>
          <w:tcPr>
            <w:tcW w:w="1100" w:type="dxa"/>
            <w:vAlign w:val="bottom"/>
            <w:tcBorders>
              <w:bottom w:val="single" w:sz="8" w:color="auto"/>
            </w:tcBorders>
            <w:shd w:val="clear" w:color="auto" w:fill="EAEAEA"/>
          </w:tcPr>
          <w:p>
            <w:pPr>
              <w:spacing w:after="0"/>
              <w:rPr>
                <w:sz w:val="19"/>
                <w:szCs w:val="19"/>
                <w:color w:val="auto"/>
              </w:rPr>
            </w:pPr>
          </w:p>
        </w:tc>
      </w:tr>
      <w:tr>
        <w:trPr>
          <w:trHeight w:val="227"/>
        </w:trPr>
        <w:tc>
          <w:tcPr>
            <w:tcW w:w="2760" w:type="dxa"/>
            <w:vAlign w:val="bottom"/>
          </w:tcPr>
          <w:p>
            <w:pPr>
              <w:spacing w:after="0"/>
              <w:rPr>
                <w:sz w:val="19"/>
                <w:szCs w:val="19"/>
                <w:color w:val="auto"/>
              </w:rPr>
            </w:pPr>
          </w:p>
        </w:tc>
        <w:tc>
          <w:tcPr>
            <w:tcW w:w="1000" w:type="dxa"/>
            <w:vAlign w:val="bottom"/>
            <w:tcBorders>
              <w:bottom w:val="single" w:sz="8" w:color="auto"/>
            </w:tcBorders>
            <w:shd w:val="clear" w:color="auto" w:fill="EAEAEA"/>
          </w:tcPr>
          <w:p>
            <w:pPr>
              <w:ind w:left="280"/>
              <w:spacing w:after="0"/>
              <w:rPr>
                <w:sz w:val="20"/>
                <w:szCs w:val="20"/>
                <w:color w:val="auto"/>
              </w:rPr>
            </w:pPr>
            <w:r>
              <w:rPr>
                <w:rFonts w:ascii="Arial" w:cs="Arial" w:eastAsia="Arial" w:hAnsi="Arial"/>
                <w:sz w:val="16"/>
                <w:szCs w:val="16"/>
                <w:color w:val="auto"/>
                <w:w w:val="98"/>
              </w:rPr>
              <w:t>3/29/2018</w:t>
            </w:r>
          </w:p>
        </w:tc>
        <w:tc>
          <w:tcPr>
            <w:tcW w:w="1120" w:type="dxa"/>
            <w:vAlign w:val="bottom"/>
            <w:tcBorders>
              <w:bottom w:val="single" w:sz="8" w:color="auto"/>
            </w:tcBorders>
          </w:tcPr>
          <w:p>
            <w:pPr>
              <w:jc w:val="right"/>
              <w:ind w:right="205"/>
              <w:spacing w:after="0"/>
              <w:rPr>
                <w:sz w:val="20"/>
                <w:szCs w:val="20"/>
                <w:color w:val="auto"/>
              </w:rPr>
            </w:pPr>
            <w:r>
              <w:rPr>
                <w:rFonts w:ascii="Arial" w:cs="Arial" w:eastAsia="Arial" w:hAnsi="Arial"/>
                <w:sz w:val="16"/>
                <w:szCs w:val="16"/>
                <w:color w:val="auto"/>
              </w:rPr>
              <w:t>5,650**</w:t>
            </w:r>
          </w:p>
        </w:tc>
        <w:tc>
          <w:tcPr>
            <w:tcW w:w="660" w:type="dxa"/>
            <w:vAlign w:val="bottom"/>
            <w:tcBorders>
              <w:bottom w:val="single" w:sz="8" w:color="auto"/>
            </w:tcBorders>
            <w:shd w:val="clear" w:color="auto" w:fill="EAEAEA"/>
          </w:tcPr>
          <w:p>
            <w:pPr>
              <w:jc w:val="right"/>
              <w:ind w:right="3"/>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25.63</w:t>
            </w:r>
          </w:p>
        </w:tc>
        <w:tc>
          <w:tcPr>
            <w:tcW w:w="680" w:type="dxa"/>
            <w:vAlign w:val="bottom"/>
            <w:tcBorders>
              <w:bottom w:val="single" w:sz="8" w:color="auto"/>
            </w:tcBorders>
            <w:shd w:val="clear" w:color="auto" w:fill="EAEAEA"/>
          </w:tcPr>
          <w:p>
            <w:pPr>
              <w:jc w:val="right"/>
              <w:ind w:right="4"/>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2.37</w:t>
            </w:r>
          </w:p>
        </w:tc>
        <w:tc>
          <w:tcPr>
            <w:tcW w:w="740" w:type="dxa"/>
            <w:vAlign w:val="bottom"/>
            <w:tcBorders>
              <w:bottom w:val="single" w:sz="8" w:color="auto"/>
            </w:tcBorders>
            <w:shd w:val="clear" w:color="auto" w:fill="EAEAEA"/>
          </w:tcPr>
          <w:p>
            <w:pPr>
              <w:ind w:left="380"/>
              <w:spacing w:after="0"/>
              <w:rPr>
                <w:sz w:val="20"/>
                <w:szCs w:val="20"/>
                <w:color w:val="auto"/>
              </w:rPr>
            </w:pPr>
            <w:r>
              <w:rPr>
                <w:rFonts w:ascii="Arial" w:cs="Arial" w:eastAsia="Arial" w:hAnsi="Arial"/>
                <w:sz w:val="16"/>
                <w:szCs w:val="16"/>
                <w:color w:val="auto"/>
              </w:rPr>
              <w:t>2.08</w:t>
            </w:r>
          </w:p>
        </w:tc>
        <w:tc>
          <w:tcPr>
            <w:tcW w:w="8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101.23</w:t>
            </w:r>
          </w:p>
        </w:tc>
        <w:tc>
          <w:tcPr>
            <w:tcW w:w="1100" w:type="dxa"/>
            <w:vAlign w:val="bottom"/>
            <w:tcBorders>
              <w:bottom w:val="single" w:sz="8" w:color="auto"/>
            </w:tcBorders>
            <w:shd w:val="clear" w:color="auto" w:fill="EAEAEA"/>
          </w:tcPr>
          <w:p>
            <w:pPr>
              <w:jc w:val="right"/>
              <w:ind w:right="9"/>
              <w:spacing w:after="0"/>
              <w:rPr>
                <w:sz w:val="20"/>
                <w:szCs w:val="20"/>
                <w:color w:val="auto"/>
              </w:rPr>
            </w:pPr>
            <w:r>
              <w:rPr>
                <w:rFonts w:ascii="Arial" w:cs="Arial" w:eastAsia="Arial" w:hAnsi="Arial"/>
                <w:sz w:val="16"/>
                <w:szCs w:val="16"/>
                <w:color w:val="auto"/>
              </w:rPr>
              <w:t>1,143,899</w:t>
            </w:r>
          </w:p>
        </w:tc>
      </w:tr>
      <w:tr>
        <w:trPr>
          <w:trHeight w:val="227"/>
        </w:trPr>
        <w:tc>
          <w:tcPr>
            <w:tcW w:w="2760" w:type="dxa"/>
            <w:vAlign w:val="bottom"/>
          </w:tcPr>
          <w:p>
            <w:pPr>
              <w:spacing w:after="0"/>
              <w:rPr>
                <w:sz w:val="19"/>
                <w:szCs w:val="19"/>
                <w:color w:val="auto"/>
              </w:rPr>
            </w:pPr>
          </w:p>
        </w:tc>
        <w:tc>
          <w:tcPr>
            <w:tcW w:w="1000" w:type="dxa"/>
            <w:vAlign w:val="bottom"/>
            <w:tcBorders>
              <w:bottom w:val="single" w:sz="8" w:color="auto"/>
            </w:tcBorders>
            <w:shd w:val="clear" w:color="auto" w:fill="EAEAEA"/>
          </w:tcPr>
          <w:p>
            <w:pPr>
              <w:ind w:left="280"/>
              <w:spacing w:after="0"/>
              <w:rPr>
                <w:sz w:val="20"/>
                <w:szCs w:val="20"/>
                <w:color w:val="auto"/>
              </w:rPr>
            </w:pPr>
            <w:r>
              <w:rPr>
                <w:rFonts w:ascii="Arial" w:cs="Arial" w:eastAsia="Arial" w:hAnsi="Arial"/>
                <w:sz w:val="16"/>
                <w:szCs w:val="16"/>
                <w:color w:val="auto"/>
                <w:w w:val="98"/>
              </w:rPr>
              <w:t>3/29/2018</w:t>
            </w:r>
          </w:p>
        </w:tc>
        <w:tc>
          <w:tcPr>
            <w:tcW w:w="1120" w:type="dxa"/>
            <w:vAlign w:val="bottom"/>
            <w:tcBorders>
              <w:bottom w:val="single" w:sz="8" w:color="auto"/>
            </w:tcBorders>
          </w:tcPr>
          <w:p>
            <w:pPr>
              <w:jc w:val="right"/>
              <w:ind w:right="365"/>
              <w:spacing w:after="0"/>
              <w:rPr>
                <w:sz w:val="20"/>
                <w:szCs w:val="20"/>
                <w:color w:val="auto"/>
              </w:rPr>
            </w:pPr>
            <w:r>
              <w:rPr>
                <w:rFonts w:ascii="Arial" w:cs="Arial" w:eastAsia="Arial" w:hAnsi="Arial"/>
                <w:sz w:val="16"/>
                <w:szCs w:val="16"/>
                <w:color w:val="auto"/>
              </w:rPr>
              <w:t>23,713</w:t>
            </w:r>
          </w:p>
        </w:tc>
        <w:tc>
          <w:tcPr>
            <w:tcW w:w="660" w:type="dxa"/>
            <w:vAlign w:val="bottom"/>
            <w:tcBorders>
              <w:bottom w:val="single" w:sz="8" w:color="auto"/>
            </w:tcBorders>
            <w:shd w:val="clear" w:color="auto" w:fill="EAEAEA"/>
          </w:tcPr>
          <w:p>
            <w:pPr>
              <w:jc w:val="right"/>
              <w:ind w:right="3"/>
              <w:spacing w:after="0"/>
              <w:rPr>
                <w:sz w:val="20"/>
                <w:szCs w:val="20"/>
                <w:color w:val="auto"/>
              </w:rPr>
            </w:pPr>
            <w:r>
              <w:rPr>
                <w:rFonts w:ascii="Arial" w:cs="Arial" w:eastAsia="Arial" w:hAnsi="Arial"/>
                <w:sz w:val="16"/>
                <w:szCs w:val="16"/>
                <w:color w:val="auto"/>
              </w:rPr>
              <w:t>91.13</w:t>
            </w: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27.77</w:t>
            </w:r>
          </w:p>
        </w:tc>
        <w:tc>
          <w:tcPr>
            <w:tcW w:w="680" w:type="dxa"/>
            <w:vAlign w:val="bottom"/>
            <w:tcBorders>
              <w:bottom w:val="single" w:sz="8" w:color="auto"/>
            </w:tcBorders>
            <w:shd w:val="clear" w:color="auto" w:fill="EAEAEA"/>
          </w:tcPr>
          <w:p>
            <w:pPr>
              <w:jc w:val="right"/>
              <w:ind w:right="4"/>
              <w:spacing w:after="0"/>
              <w:rPr>
                <w:sz w:val="20"/>
                <w:szCs w:val="20"/>
                <w:color w:val="auto"/>
              </w:rPr>
            </w:pPr>
            <w:r>
              <w:rPr>
                <w:rFonts w:ascii="Arial" w:cs="Arial" w:eastAsia="Arial" w:hAnsi="Arial"/>
                <w:sz w:val="16"/>
                <w:szCs w:val="16"/>
                <w:color w:val="auto"/>
              </w:rPr>
              <w:t>5.0</w:t>
            </w:r>
          </w:p>
        </w:tc>
        <w:tc>
          <w:tcPr>
            <w:tcW w:w="7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2.64</w:t>
            </w:r>
          </w:p>
        </w:tc>
        <w:tc>
          <w:tcPr>
            <w:tcW w:w="740" w:type="dxa"/>
            <w:vAlign w:val="bottom"/>
            <w:tcBorders>
              <w:bottom w:val="single" w:sz="8" w:color="auto"/>
            </w:tcBorders>
            <w:shd w:val="clear" w:color="auto" w:fill="EAEAEA"/>
          </w:tcPr>
          <w:p>
            <w:pPr>
              <w:ind w:left="380"/>
              <w:spacing w:after="0"/>
              <w:rPr>
                <w:sz w:val="20"/>
                <w:szCs w:val="20"/>
                <w:color w:val="auto"/>
              </w:rPr>
            </w:pPr>
            <w:r>
              <w:rPr>
                <w:rFonts w:ascii="Arial" w:cs="Arial" w:eastAsia="Arial" w:hAnsi="Arial"/>
                <w:sz w:val="16"/>
                <w:szCs w:val="16"/>
                <w:color w:val="auto"/>
              </w:rPr>
              <w:t>2.11</w:t>
            </w:r>
          </w:p>
        </w:tc>
        <w:tc>
          <w:tcPr>
            <w:tcW w:w="8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20.83</w:t>
            </w:r>
          </w:p>
        </w:tc>
        <w:tc>
          <w:tcPr>
            <w:tcW w:w="1100" w:type="dxa"/>
            <w:vAlign w:val="bottom"/>
            <w:tcBorders>
              <w:bottom w:val="single" w:sz="8" w:color="auto"/>
            </w:tcBorders>
            <w:shd w:val="clear" w:color="auto" w:fill="EAEAEA"/>
          </w:tcPr>
          <w:p>
            <w:pPr>
              <w:spacing w:after="0"/>
              <w:rPr>
                <w:sz w:val="19"/>
                <w:szCs w:val="19"/>
                <w:color w:val="auto"/>
              </w:rPr>
            </w:pPr>
          </w:p>
        </w:tc>
      </w:tr>
      <w:tr>
        <w:trPr>
          <w:trHeight w:val="227"/>
        </w:trPr>
        <w:tc>
          <w:tcPr>
            <w:tcW w:w="2760" w:type="dxa"/>
            <w:vAlign w:val="bottom"/>
          </w:tcPr>
          <w:p>
            <w:pPr>
              <w:spacing w:after="0"/>
              <w:rPr>
                <w:sz w:val="19"/>
                <w:szCs w:val="19"/>
                <w:color w:val="auto"/>
              </w:rPr>
            </w:pPr>
          </w:p>
        </w:tc>
        <w:tc>
          <w:tcPr>
            <w:tcW w:w="1000" w:type="dxa"/>
            <w:vAlign w:val="bottom"/>
            <w:tcBorders>
              <w:bottom w:val="single" w:sz="8" w:color="auto"/>
            </w:tcBorders>
            <w:shd w:val="clear" w:color="auto" w:fill="EAEAEA"/>
          </w:tcPr>
          <w:p>
            <w:pPr>
              <w:ind w:left="280"/>
              <w:spacing w:after="0"/>
              <w:rPr>
                <w:sz w:val="20"/>
                <w:szCs w:val="20"/>
                <w:color w:val="auto"/>
              </w:rPr>
            </w:pPr>
            <w:r>
              <w:rPr>
                <w:rFonts w:ascii="Arial" w:cs="Arial" w:eastAsia="Arial" w:hAnsi="Arial"/>
                <w:sz w:val="16"/>
                <w:szCs w:val="16"/>
                <w:color w:val="auto"/>
                <w:w w:val="98"/>
              </w:rPr>
              <w:t>6/15/2018</w:t>
            </w:r>
          </w:p>
        </w:tc>
        <w:tc>
          <w:tcPr>
            <w:tcW w:w="1120" w:type="dxa"/>
            <w:vAlign w:val="bottom"/>
            <w:tcBorders>
              <w:bottom w:val="single" w:sz="8" w:color="auto"/>
            </w:tcBorders>
          </w:tcPr>
          <w:p>
            <w:pPr>
              <w:jc w:val="right"/>
              <w:ind w:right="285"/>
              <w:spacing w:after="0"/>
              <w:rPr>
                <w:sz w:val="20"/>
                <w:szCs w:val="20"/>
                <w:color w:val="auto"/>
              </w:rPr>
            </w:pPr>
            <w:r>
              <w:rPr>
                <w:rFonts w:ascii="Arial" w:cs="Arial" w:eastAsia="Arial" w:hAnsi="Arial"/>
                <w:sz w:val="16"/>
                <w:szCs w:val="16"/>
                <w:color w:val="auto"/>
              </w:rPr>
              <w:t>4,028*</w:t>
            </w:r>
          </w:p>
        </w:tc>
        <w:tc>
          <w:tcPr>
            <w:tcW w:w="660" w:type="dxa"/>
            <w:vAlign w:val="bottom"/>
            <w:tcBorders>
              <w:bottom w:val="single" w:sz="8" w:color="auto"/>
            </w:tcBorders>
            <w:shd w:val="clear" w:color="auto" w:fill="EAEAEA"/>
          </w:tcPr>
          <w:p>
            <w:pPr>
              <w:jc w:val="right"/>
              <w:ind w:right="3"/>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EAEAEA"/>
          </w:tcPr>
          <w:p>
            <w:pPr>
              <w:jc w:val="right"/>
              <w:ind w:right="4"/>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2.75</w:t>
            </w:r>
          </w:p>
        </w:tc>
        <w:tc>
          <w:tcPr>
            <w:tcW w:w="740" w:type="dxa"/>
            <w:vAlign w:val="bottom"/>
            <w:tcBorders>
              <w:bottom w:val="single" w:sz="8" w:color="auto"/>
            </w:tcBorders>
            <w:shd w:val="clear" w:color="auto" w:fill="EAEAEA"/>
          </w:tcPr>
          <w:p>
            <w:pPr>
              <w:ind w:left="380"/>
              <w:spacing w:after="0"/>
              <w:rPr>
                <w:sz w:val="20"/>
                <w:szCs w:val="20"/>
                <w:color w:val="auto"/>
              </w:rPr>
            </w:pPr>
            <w:r>
              <w:rPr>
                <w:rFonts w:ascii="Arial" w:cs="Arial" w:eastAsia="Arial" w:hAnsi="Arial"/>
                <w:sz w:val="16"/>
                <w:szCs w:val="16"/>
                <w:color w:val="auto"/>
              </w:rPr>
              <w:t>1.89</w:t>
            </w:r>
          </w:p>
        </w:tc>
        <w:tc>
          <w:tcPr>
            <w:tcW w:w="8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96.90</w:t>
            </w:r>
          </w:p>
        </w:tc>
        <w:tc>
          <w:tcPr>
            <w:tcW w:w="1100" w:type="dxa"/>
            <w:vAlign w:val="bottom"/>
            <w:tcBorders>
              <w:bottom w:val="single" w:sz="8" w:color="auto"/>
            </w:tcBorders>
            <w:shd w:val="clear" w:color="auto" w:fill="EAEAEA"/>
          </w:tcPr>
          <w:p>
            <w:pPr>
              <w:spacing w:after="0"/>
              <w:rPr>
                <w:sz w:val="19"/>
                <w:szCs w:val="19"/>
                <w:color w:val="auto"/>
              </w:rPr>
            </w:pPr>
          </w:p>
        </w:tc>
      </w:tr>
      <w:tr>
        <w:trPr>
          <w:trHeight w:val="227"/>
        </w:trPr>
        <w:tc>
          <w:tcPr>
            <w:tcW w:w="2760" w:type="dxa"/>
            <w:vAlign w:val="bottom"/>
          </w:tcPr>
          <w:p>
            <w:pPr>
              <w:spacing w:after="0"/>
              <w:rPr>
                <w:sz w:val="19"/>
                <w:szCs w:val="19"/>
                <w:color w:val="auto"/>
              </w:rPr>
            </w:pPr>
          </w:p>
        </w:tc>
        <w:tc>
          <w:tcPr>
            <w:tcW w:w="1000" w:type="dxa"/>
            <w:vAlign w:val="bottom"/>
            <w:tcBorders>
              <w:bottom w:val="single" w:sz="8" w:color="auto"/>
            </w:tcBorders>
            <w:shd w:val="clear" w:color="auto" w:fill="EAEAEA"/>
          </w:tcPr>
          <w:p>
            <w:pPr>
              <w:ind w:left="280"/>
              <w:spacing w:after="0"/>
              <w:rPr>
                <w:sz w:val="20"/>
                <w:szCs w:val="20"/>
                <w:color w:val="auto"/>
              </w:rPr>
            </w:pPr>
            <w:r>
              <w:rPr>
                <w:rFonts w:ascii="Arial" w:cs="Arial" w:eastAsia="Arial" w:hAnsi="Arial"/>
                <w:sz w:val="16"/>
                <w:szCs w:val="16"/>
                <w:color w:val="auto"/>
                <w:w w:val="98"/>
              </w:rPr>
              <w:t>3/13/2019</w:t>
            </w:r>
          </w:p>
        </w:tc>
        <w:tc>
          <w:tcPr>
            <w:tcW w:w="1120" w:type="dxa"/>
            <w:vAlign w:val="bottom"/>
            <w:tcBorders>
              <w:bottom w:val="single" w:sz="8" w:color="auto"/>
            </w:tcBorders>
          </w:tcPr>
          <w:p>
            <w:pPr>
              <w:jc w:val="right"/>
              <w:ind w:right="285"/>
              <w:spacing w:after="0"/>
              <w:rPr>
                <w:sz w:val="20"/>
                <w:szCs w:val="20"/>
                <w:color w:val="auto"/>
              </w:rPr>
            </w:pPr>
            <w:r>
              <w:rPr>
                <w:rFonts w:ascii="Arial" w:cs="Arial" w:eastAsia="Arial" w:hAnsi="Arial"/>
                <w:sz w:val="16"/>
                <w:szCs w:val="16"/>
                <w:color w:val="auto"/>
              </w:rPr>
              <w:t>3,992*</w:t>
            </w:r>
          </w:p>
        </w:tc>
        <w:tc>
          <w:tcPr>
            <w:tcW w:w="660" w:type="dxa"/>
            <w:vAlign w:val="bottom"/>
            <w:tcBorders>
              <w:bottom w:val="single" w:sz="8" w:color="auto"/>
            </w:tcBorders>
            <w:shd w:val="clear" w:color="auto" w:fill="EAEAEA"/>
          </w:tcPr>
          <w:p>
            <w:pPr>
              <w:jc w:val="right"/>
              <w:ind w:right="3"/>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EAEAEA"/>
          </w:tcPr>
          <w:p>
            <w:pPr>
              <w:jc w:val="right"/>
              <w:ind w:right="4"/>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2.42</w:t>
            </w:r>
          </w:p>
        </w:tc>
        <w:tc>
          <w:tcPr>
            <w:tcW w:w="740" w:type="dxa"/>
            <w:vAlign w:val="bottom"/>
            <w:tcBorders>
              <w:bottom w:val="single" w:sz="8" w:color="auto"/>
            </w:tcBorders>
            <w:shd w:val="clear" w:color="auto" w:fill="EAEAEA"/>
          </w:tcPr>
          <w:p>
            <w:pPr>
              <w:ind w:left="380"/>
              <w:spacing w:after="0"/>
              <w:rPr>
                <w:sz w:val="20"/>
                <w:szCs w:val="20"/>
                <w:color w:val="auto"/>
              </w:rPr>
            </w:pPr>
            <w:r>
              <w:rPr>
                <w:rFonts w:ascii="Arial" w:cs="Arial" w:eastAsia="Arial" w:hAnsi="Arial"/>
                <w:sz w:val="16"/>
                <w:szCs w:val="16"/>
                <w:color w:val="auto"/>
              </w:rPr>
              <w:t>2.00</w:t>
            </w:r>
          </w:p>
        </w:tc>
        <w:tc>
          <w:tcPr>
            <w:tcW w:w="8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102.89</w:t>
            </w:r>
          </w:p>
        </w:tc>
        <w:tc>
          <w:tcPr>
            <w:tcW w:w="1100" w:type="dxa"/>
            <w:vAlign w:val="bottom"/>
            <w:tcBorders>
              <w:bottom w:val="single" w:sz="8" w:color="auto"/>
            </w:tcBorders>
            <w:shd w:val="clear" w:color="auto" w:fill="EAEAEA"/>
          </w:tcPr>
          <w:p>
            <w:pPr>
              <w:spacing w:after="0"/>
              <w:rPr>
                <w:sz w:val="19"/>
                <w:szCs w:val="19"/>
                <w:color w:val="auto"/>
              </w:rPr>
            </w:pPr>
          </w:p>
        </w:tc>
      </w:tr>
      <w:tr>
        <w:trPr>
          <w:trHeight w:val="227"/>
        </w:trPr>
        <w:tc>
          <w:tcPr>
            <w:tcW w:w="2760" w:type="dxa"/>
            <w:vAlign w:val="bottom"/>
          </w:tcPr>
          <w:p>
            <w:pPr>
              <w:spacing w:after="0"/>
              <w:rPr>
                <w:sz w:val="19"/>
                <w:szCs w:val="19"/>
                <w:color w:val="auto"/>
              </w:rPr>
            </w:pPr>
          </w:p>
        </w:tc>
        <w:tc>
          <w:tcPr>
            <w:tcW w:w="1000" w:type="dxa"/>
            <w:vAlign w:val="bottom"/>
            <w:tcBorders>
              <w:bottom w:val="single" w:sz="8" w:color="auto"/>
            </w:tcBorders>
            <w:shd w:val="clear" w:color="auto" w:fill="EAEAEA"/>
          </w:tcPr>
          <w:p>
            <w:pPr>
              <w:ind w:left="280"/>
              <w:spacing w:after="0"/>
              <w:rPr>
                <w:sz w:val="20"/>
                <w:szCs w:val="20"/>
                <w:color w:val="auto"/>
              </w:rPr>
            </w:pPr>
            <w:r>
              <w:rPr>
                <w:rFonts w:ascii="Arial" w:cs="Arial" w:eastAsia="Arial" w:hAnsi="Arial"/>
                <w:sz w:val="16"/>
                <w:szCs w:val="16"/>
                <w:color w:val="auto"/>
                <w:w w:val="98"/>
              </w:rPr>
              <w:t>3/13/2019</w:t>
            </w:r>
          </w:p>
        </w:tc>
        <w:tc>
          <w:tcPr>
            <w:tcW w:w="1120" w:type="dxa"/>
            <w:vAlign w:val="bottom"/>
            <w:tcBorders>
              <w:bottom w:val="single" w:sz="8" w:color="auto"/>
            </w:tcBorders>
          </w:tcPr>
          <w:p>
            <w:pPr>
              <w:jc w:val="right"/>
              <w:ind w:right="205"/>
              <w:spacing w:after="0"/>
              <w:rPr>
                <w:sz w:val="20"/>
                <w:szCs w:val="20"/>
                <w:color w:val="auto"/>
              </w:rPr>
            </w:pPr>
            <w:r>
              <w:rPr>
                <w:rFonts w:ascii="Arial" w:cs="Arial" w:eastAsia="Arial" w:hAnsi="Arial"/>
                <w:sz w:val="16"/>
                <w:szCs w:val="16"/>
                <w:color w:val="auto"/>
              </w:rPr>
              <w:t>3,992**</w:t>
            </w:r>
          </w:p>
        </w:tc>
        <w:tc>
          <w:tcPr>
            <w:tcW w:w="660" w:type="dxa"/>
            <w:vAlign w:val="bottom"/>
            <w:tcBorders>
              <w:bottom w:val="single" w:sz="8" w:color="auto"/>
            </w:tcBorders>
            <w:shd w:val="clear" w:color="auto" w:fill="EAEAEA"/>
          </w:tcPr>
          <w:p>
            <w:pPr>
              <w:jc w:val="right"/>
              <w:ind w:right="3"/>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24.07</w:t>
            </w:r>
          </w:p>
        </w:tc>
        <w:tc>
          <w:tcPr>
            <w:tcW w:w="680" w:type="dxa"/>
            <w:vAlign w:val="bottom"/>
            <w:tcBorders>
              <w:bottom w:val="single" w:sz="8" w:color="auto"/>
            </w:tcBorders>
            <w:shd w:val="clear" w:color="auto" w:fill="EAEAEA"/>
          </w:tcPr>
          <w:p>
            <w:pPr>
              <w:jc w:val="right"/>
              <w:ind w:right="4"/>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2.38</w:t>
            </w:r>
          </w:p>
        </w:tc>
        <w:tc>
          <w:tcPr>
            <w:tcW w:w="740" w:type="dxa"/>
            <w:vAlign w:val="bottom"/>
            <w:tcBorders>
              <w:bottom w:val="single" w:sz="8" w:color="auto"/>
            </w:tcBorders>
            <w:shd w:val="clear" w:color="auto" w:fill="EAEAEA"/>
          </w:tcPr>
          <w:p>
            <w:pPr>
              <w:ind w:left="380"/>
              <w:spacing w:after="0"/>
              <w:rPr>
                <w:sz w:val="20"/>
                <w:szCs w:val="20"/>
                <w:color w:val="auto"/>
              </w:rPr>
            </w:pPr>
            <w:r>
              <w:rPr>
                <w:rFonts w:ascii="Arial" w:cs="Arial" w:eastAsia="Arial" w:hAnsi="Arial"/>
                <w:sz w:val="16"/>
                <w:szCs w:val="16"/>
                <w:color w:val="auto"/>
              </w:rPr>
              <w:t>2.00</w:t>
            </w:r>
          </w:p>
        </w:tc>
        <w:tc>
          <w:tcPr>
            <w:tcW w:w="8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114.36</w:t>
            </w:r>
          </w:p>
        </w:tc>
        <w:tc>
          <w:tcPr>
            <w:tcW w:w="1100" w:type="dxa"/>
            <w:vAlign w:val="bottom"/>
            <w:tcBorders>
              <w:bottom w:val="single" w:sz="8" w:color="auto"/>
            </w:tcBorders>
            <w:shd w:val="clear" w:color="auto" w:fill="EAEAEA"/>
          </w:tcPr>
          <w:p>
            <w:pPr>
              <w:jc w:val="right"/>
              <w:ind w:right="9"/>
              <w:spacing w:after="0"/>
              <w:rPr>
                <w:sz w:val="20"/>
                <w:szCs w:val="20"/>
                <w:color w:val="auto"/>
              </w:rPr>
            </w:pPr>
            <w:r>
              <w:rPr>
                <w:rFonts w:ascii="Arial" w:cs="Arial" w:eastAsia="Arial" w:hAnsi="Arial"/>
                <w:sz w:val="16"/>
                <w:szCs w:val="16"/>
                <w:color w:val="auto"/>
              </w:rPr>
              <w:t>913,050</w:t>
            </w:r>
          </w:p>
        </w:tc>
      </w:tr>
      <w:tr>
        <w:trPr>
          <w:trHeight w:val="227"/>
        </w:trPr>
        <w:tc>
          <w:tcPr>
            <w:tcW w:w="2760" w:type="dxa"/>
            <w:vAlign w:val="bottom"/>
          </w:tcPr>
          <w:p>
            <w:pPr>
              <w:spacing w:after="0"/>
              <w:rPr>
                <w:sz w:val="19"/>
                <w:szCs w:val="19"/>
                <w:color w:val="auto"/>
              </w:rPr>
            </w:pPr>
          </w:p>
        </w:tc>
        <w:tc>
          <w:tcPr>
            <w:tcW w:w="1000" w:type="dxa"/>
            <w:vAlign w:val="bottom"/>
            <w:tcBorders>
              <w:bottom w:val="single" w:sz="8" w:color="auto"/>
            </w:tcBorders>
            <w:shd w:val="clear" w:color="auto" w:fill="EAEAEA"/>
          </w:tcPr>
          <w:p>
            <w:pPr>
              <w:ind w:left="280"/>
              <w:spacing w:after="0"/>
              <w:rPr>
                <w:sz w:val="20"/>
                <w:szCs w:val="20"/>
                <w:color w:val="auto"/>
              </w:rPr>
            </w:pPr>
            <w:r>
              <w:rPr>
                <w:rFonts w:ascii="Arial" w:cs="Arial" w:eastAsia="Arial" w:hAnsi="Arial"/>
                <w:sz w:val="16"/>
                <w:szCs w:val="16"/>
                <w:color w:val="auto"/>
                <w:w w:val="98"/>
              </w:rPr>
              <w:t>3/13/2019</w:t>
            </w:r>
          </w:p>
        </w:tc>
        <w:tc>
          <w:tcPr>
            <w:tcW w:w="112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color w:val="auto"/>
              </w:rPr>
              <w:t>3,992***</w:t>
            </w:r>
          </w:p>
        </w:tc>
        <w:tc>
          <w:tcPr>
            <w:tcW w:w="660" w:type="dxa"/>
            <w:vAlign w:val="bottom"/>
            <w:tcBorders>
              <w:bottom w:val="single" w:sz="8" w:color="auto"/>
            </w:tcBorders>
            <w:shd w:val="clear" w:color="auto" w:fill="EAEAEA"/>
          </w:tcPr>
          <w:p>
            <w:pPr>
              <w:jc w:val="right"/>
              <w:ind w:right="3"/>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EAEAEA"/>
          </w:tcPr>
          <w:p>
            <w:pPr>
              <w:jc w:val="right"/>
              <w:ind w:right="4"/>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2.42</w:t>
            </w:r>
          </w:p>
        </w:tc>
        <w:tc>
          <w:tcPr>
            <w:tcW w:w="740" w:type="dxa"/>
            <w:vAlign w:val="bottom"/>
            <w:tcBorders>
              <w:bottom w:val="single" w:sz="8" w:color="auto"/>
            </w:tcBorders>
            <w:shd w:val="clear" w:color="auto" w:fill="EAEAEA"/>
          </w:tcPr>
          <w:p>
            <w:pPr>
              <w:ind w:left="380"/>
              <w:spacing w:after="0"/>
              <w:rPr>
                <w:sz w:val="20"/>
                <w:szCs w:val="20"/>
                <w:color w:val="auto"/>
              </w:rPr>
            </w:pPr>
            <w:r>
              <w:rPr>
                <w:rFonts w:ascii="Arial" w:cs="Arial" w:eastAsia="Arial" w:hAnsi="Arial"/>
                <w:sz w:val="16"/>
                <w:szCs w:val="16"/>
                <w:color w:val="auto"/>
              </w:rPr>
              <w:t>2.00</w:t>
            </w:r>
          </w:p>
        </w:tc>
        <w:tc>
          <w:tcPr>
            <w:tcW w:w="8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92.00</w:t>
            </w:r>
          </w:p>
        </w:tc>
        <w:tc>
          <w:tcPr>
            <w:tcW w:w="1100" w:type="dxa"/>
            <w:vAlign w:val="bottom"/>
            <w:tcBorders>
              <w:bottom w:val="single" w:sz="8" w:color="auto"/>
            </w:tcBorders>
            <w:shd w:val="clear" w:color="auto" w:fill="EAEAEA"/>
          </w:tcPr>
          <w:p>
            <w:pPr>
              <w:jc w:val="right"/>
              <w:ind w:right="9"/>
              <w:spacing w:after="0"/>
              <w:rPr>
                <w:sz w:val="20"/>
                <w:szCs w:val="20"/>
                <w:color w:val="auto"/>
              </w:rPr>
            </w:pPr>
            <w:r>
              <w:rPr>
                <w:rFonts w:ascii="Arial" w:cs="Arial" w:eastAsia="Arial" w:hAnsi="Arial"/>
                <w:sz w:val="16"/>
                <w:szCs w:val="16"/>
                <w:color w:val="auto"/>
              </w:rPr>
              <w:t>813,170</w:t>
            </w:r>
          </w:p>
        </w:tc>
      </w:tr>
      <w:tr>
        <w:trPr>
          <w:trHeight w:val="227"/>
        </w:trPr>
        <w:tc>
          <w:tcPr>
            <w:tcW w:w="2760" w:type="dxa"/>
            <w:vAlign w:val="bottom"/>
          </w:tcPr>
          <w:p>
            <w:pPr>
              <w:spacing w:after="0"/>
              <w:rPr>
                <w:sz w:val="19"/>
                <w:szCs w:val="19"/>
                <w:color w:val="auto"/>
              </w:rPr>
            </w:pPr>
          </w:p>
        </w:tc>
        <w:tc>
          <w:tcPr>
            <w:tcW w:w="1000" w:type="dxa"/>
            <w:vAlign w:val="bottom"/>
            <w:tcBorders>
              <w:bottom w:val="single" w:sz="8" w:color="auto"/>
            </w:tcBorders>
            <w:shd w:val="clear" w:color="auto" w:fill="EAEAEA"/>
          </w:tcPr>
          <w:p>
            <w:pPr>
              <w:ind w:left="280"/>
              <w:spacing w:after="0"/>
              <w:rPr>
                <w:sz w:val="20"/>
                <w:szCs w:val="20"/>
                <w:color w:val="auto"/>
              </w:rPr>
            </w:pPr>
            <w:r>
              <w:rPr>
                <w:rFonts w:ascii="Arial" w:cs="Arial" w:eastAsia="Arial" w:hAnsi="Arial"/>
                <w:sz w:val="16"/>
                <w:szCs w:val="16"/>
                <w:color w:val="auto"/>
                <w:w w:val="98"/>
              </w:rPr>
              <w:t>3/13/2019</w:t>
            </w:r>
          </w:p>
        </w:tc>
        <w:tc>
          <w:tcPr>
            <w:tcW w:w="1120" w:type="dxa"/>
            <w:vAlign w:val="bottom"/>
            <w:tcBorders>
              <w:bottom w:val="single" w:sz="8" w:color="auto"/>
            </w:tcBorders>
          </w:tcPr>
          <w:p>
            <w:pPr>
              <w:jc w:val="right"/>
              <w:ind w:right="365"/>
              <w:spacing w:after="0"/>
              <w:rPr>
                <w:sz w:val="20"/>
                <w:szCs w:val="20"/>
                <w:color w:val="auto"/>
              </w:rPr>
            </w:pPr>
            <w:r>
              <w:rPr>
                <w:rFonts w:ascii="Arial" w:cs="Arial" w:eastAsia="Arial" w:hAnsi="Arial"/>
                <w:sz w:val="16"/>
                <w:szCs w:val="16"/>
                <w:color w:val="auto"/>
              </w:rPr>
              <w:t>17,676</w:t>
            </w:r>
          </w:p>
        </w:tc>
        <w:tc>
          <w:tcPr>
            <w:tcW w:w="660" w:type="dxa"/>
            <w:vAlign w:val="bottom"/>
            <w:tcBorders>
              <w:bottom w:val="single" w:sz="8" w:color="auto"/>
            </w:tcBorders>
            <w:shd w:val="clear" w:color="auto" w:fill="EAEAEA"/>
          </w:tcPr>
          <w:p>
            <w:pPr>
              <w:jc w:val="right"/>
              <w:ind w:right="3"/>
              <w:spacing w:after="0"/>
              <w:rPr>
                <w:sz w:val="20"/>
                <w:szCs w:val="20"/>
                <w:color w:val="auto"/>
              </w:rPr>
            </w:pPr>
            <w:r>
              <w:rPr>
                <w:rFonts w:ascii="Arial" w:cs="Arial" w:eastAsia="Arial" w:hAnsi="Arial"/>
                <w:sz w:val="16"/>
                <w:szCs w:val="16"/>
                <w:color w:val="auto"/>
              </w:rPr>
              <w:t>108.08</w:t>
            </w: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26.32</w:t>
            </w:r>
          </w:p>
        </w:tc>
        <w:tc>
          <w:tcPr>
            <w:tcW w:w="680" w:type="dxa"/>
            <w:vAlign w:val="bottom"/>
            <w:tcBorders>
              <w:bottom w:val="single" w:sz="8" w:color="auto"/>
            </w:tcBorders>
            <w:shd w:val="clear" w:color="auto" w:fill="EAEAEA"/>
          </w:tcPr>
          <w:p>
            <w:pPr>
              <w:jc w:val="right"/>
              <w:ind w:right="4"/>
              <w:spacing w:after="0"/>
              <w:rPr>
                <w:sz w:val="20"/>
                <w:szCs w:val="20"/>
                <w:color w:val="auto"/>
              </w:rPr>
            </w:pPr>
            <w:r>
              <w:rPr>
                <w:rFonts w:ascii="Arial" w:cs="Arial" w:eastAsia="Arial" w:hAnsi="Arial"/>
                <w:sz w:val="16"/>
                <w:szCs w:val="16"/>
                <w:color w:val="auto"/>
              </w:rPr>
              <w:t>5.0</w:t>
            </w:r>
          </w:p>
        </w:tc>
        <w:tc>
          <w:tcPr>
            <w:tcW w:w="7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2.42</w:t>
            </w:r>
          </w:p>
        </w:tc>
        <w:tc>
          <w:tcPr>
            <w:tcW w:w="740" w:type="dxa"/>
            <w:vAlign w:val="bottom"/>
            <w:tcBorders>
              <w:bottom w:val="single" w:sz="8" w:color="auto"/>
            </w:tcBorders>
            <w:shd w:val="clear" w:color="auto" w:fill="EAEAEA"/>
          </w:tcPr>
          <w:p>
            <w:pPr>
              <w:ind w:left="380"/>
              <w:spacing w:after="0"/>
              <w:rPr>
                <w:sz w:val="20"/>
                <w:szCs w:val="20"/>
                <w:color w:val="auto"/>
              </w:rPr>
            </w:pPr>
            <w:r>
              <w:rPr>
                <w:rFonts w:ascii="Arial" w:cs="Arial" w:eastAsia="Arial" w:hAnsi="Arial"/>
                <w:sz w:val="16"/>
                <w:szCs w:val="16"/>
                <w:color w:val="auto"/>
              </w:rPr>
              <w:t>2.00</w:t>
            </w:r>
          </w:p>
        </w:tc>
        <w:tc>
          <w:tcPr>
            <w:tcW w:w="8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23.43</w:t>
            </w:r>
          </w:p>
        </w:tc>
        <w:tc>
          <w:tcPr>
            <w:tcW w:w="1100" w:type="dxa"/>
            <w:vAlign w:val="bottom"/>
            <w:tcBorders>
              <w:bottom w:val="single" w:sz="8" w:color="auto"/>
            </w:tcBorders>
            <w:shd w:val="clear" w:color="auto" w:fill="EAEAEA"/>
          </w:tcPr>
          <w:p>
            <w:pPr>
              <w:spacing w:after="0"/>
              <w:rPr>
                <w:sz w:val="19"/>
                <w:szCs w:val="19"/>
                <w:color w:val="auto"/>
              </w:rPr>
            </w:pPr>
          </w:p>
        </w:tc>
      </w:tr>
      <w:tr>
        <w:trPr>
          <w:trHeight w:val="228"/>
        </w:trPr>
        <w:tc>
          <w:tcPr>
            <w:tcW w:w="2760" w:type="dxa"/>
            <w:vAlign w:val="bottom"/>
          </w:tcPr>
          <w:p>
            <w:pPr>
              <w:ind w:left="60"/>
              <w:spacing w:after="0"/>
              <w:rPr>
                <w:sz w:val="20"/>
                <w:szCs w:val="20"/>
                <w:color w:val="auto"/>
              </w:rPr>
            </w:pPr>
            <w:r>
              <w:rPr>
                <w:rFonts w:ascii="Arial" w:cs="Arial" w:eastAsia="Arial" w:hAnsi="Arial"/>
                <w:sz w:val="16"/>
                <w:szCs w:val="16"/>
                <w:b w:val="1"/>
                <w:bCs w:val="1"/>
                <w:color w:val="0066BA"/>
              </w:rPr>
              <w:t>Greg</w:t>
            </w:r>
          </w:p>
        </w:tc>
        <w:tc>
          <w:tcPr>
            <w:tcW w:w="1000" w:type="dxa"/>
            <w:vAlign w:val="bottom"/>
            <w:tcBorders>
              <w:bottom w:val="single" w:sz="8" w:color="auto"/>
            </w:tcBorders>
            <w:shd w:val="clear" w:color="auto" w:fill="EAEAEA"/>
          </w:tcPr>
          <w:p>
            <w:pPr>
              <w:ind w:left="280"/>
              <w:spacing w:after="0"/>
              <w:rPr>
                <w:sz w:val="20"/>
                <w:szCs w:val="20"/>
                <w:color w:val="auto"/>
              </w:rPr>
            </w:pPr>
            <w:r>
              <w:rPr>
                <w:rFonts w:ascii="Arial" w:cs="Arial" w:eastAsia="Arial" w:hAnsi="Arial"/>
                <w:sz w:val="16"/>
                <w:szCs w:val="16"/>
                <w:color w:val="auto"/>
                <w:w w:val="98"/>
              </w:rPr>
              <w:t>6/17/2019</w:t>
            </w:r>
          </w:p>
        </w:tc>
        <w:tc>
          <w:tcPr>
            <w:tcW w:w="1120" w:type="dxa"/>
            <w:vAlign w:val="bottom"/>
            <w:tcBorders>
              <w:bottom w:val="single" w:sz="8" w:color="auto"/>
            </w:tcBorders>
          </w:tcPr>
          <w:p>
            <w:pPr>
              <w:jc w:val="right"/>
              <w:ind w:right="285"/>
              <w:spacing w:after="0"/>
              <w:rPr>
                <w:sz w:val="20"/>
                <w:szCs w:val="20"/>
                <w:color w:val="auto"/>
              </w:rPr>
            </w:pPr>
            <w:r>
              <w:rPr>
                <w:rFonts w:ascii="Arial" w:cs="Arial" w:eastAsia="Arial" w:hAnsi="Arial"/>
                <w:sz w:val="16"/>
                <w:szCs w:val="16"/>
                <w:color w:val="auto"/>
              </w:rPr>
              <w:t>3,849*</w:t>
            </w:r>
          </w:p>
        </w:tc>
        <w:tc>
          <w:tcPr>
            <w:tcW w:w="660" w:type="dxa"/>
            <w:vAlign w:val="bottom"/>
            <w:tcBorders>
              <w:bottom w:val="single" w:sz="8" w:color="auto"/>
            </w:tcBorders>
            <w:shd w:val="clear" w:color="auto" w:fill="EAEAEA"/>
          </w:tcPr>
          <w:p>
            <w:pPr>
              <w:jc w:val="right"/>
              <w:ind w:right="3"/>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EAEAEA"/>
          </w:tcPr>
          <w:p>
            <w:pPr>
              <w:jc w:val="right"/>
              <w:ind w:right="4"/>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1.83</w:t>
            </w:r>
          </w:p>
        </w:tc>
        <w:tc>
          <w:tcPr>
            <w:tcW w:w="740" w:type="dxa"/>
            <w:vAlign w:val="bottom"/>
            <w:tcBorders>
              <w:bottom w:val="single" w:sz="8" w:color="auto"/>
            </w:tcBorders>
            <w:shd w:val="clear" w:color="auto" w:fill="EAEAEA"/>
          </w:tcPr>
          <w:p>
            <w:pPr>
              <w:ind w:left="380"/>
              <w:spacing w:after="0"/>
              <w:rPr>
                <w:sz w:val="20"/>
                <w:szCs w:val="20"/>
                <w:color w:val="auto"/>
              </w:rPr>
            </w:pPr>
            <w:r>
              <w:rPr>
                <w:rFonts w:ascii="Arial" w:cs="Arial" w:eastAsia="Arial" w:hAnsi="Arial"/>
                <w:sz w:val="16"/>
                <w:szCs w:val="16"/>
                <w:color w:val="auto"/>
              </w:rPr>
              <w:t>2.06</w:t>
            </w:r>
          </w:p>
        </w:tc>
        <w:tc>
          <w:tcPr>
            <w:tcW w:w="8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99.85</w:t>
            </w:r>
          </w:p>
        </w:tc>
        <w:tc>
          <w:tcPr>
            <w:tcW w:w="1100" w:type="dxa"/>
            <w:vAlign w:val="bottom"/>
            <w:tcBorders>
              <w:bottom w:val="single" w:sz="8" w:color="auto"/>
            </w:tcBorders>
            <w:shd w:val="clear" w:color="auto" w:fill="EAEAEA"/>
          </w:tcPr>
          <w:p>
            <w:pPr>
              <w:spacing w:after="0"/>
              <w:rPr>
                <w:sz w:val="19"/>
                <w:szCs w:val="19"/>
                <w:color w:val="auto"/>
              </w:rPr>
            </w:pPr>
          </w:p>
        </w:tc>
      </w:tr>
      <w:tr>
        <w:trPr>
          <w:trHeight w:val="226"/>
        </w:trPr>
        <w:tc>
          <w:tcPr>
            <w:tcW w:w="2760" w:type="dxa"/>
            <w:vAlign w:val="bottom"/>
          </w:tcPr>
          <w:p>
            <w:pPr>
              <w:ind w:left="60"/>
              <w:spacing w:after="0"/>
              <w:rPr>
                <w:sz w:val="20"/>
                <w:szCs w:val="20"/>
                <w:color w:val="auto"/>
              </w:rPr>
            </w:pPr>
            <w:r>
              <w:rPr>
                <w:rFonts w:ascii="Arial" w:cs="Arial" w:eastAsia="Arial" w:hAnsi="Arial"/>
                <w:sz w:val="16"/>
                <w:szCs w:val="16"/>
                <w:b w:val="1"/>
                <w:bCs w:val="1"/>
                <w:color w:val="0066BA"/>
              </w:rPr>
              <w:t>Henderson</w:t>
            </w:r>
          </w:p>
        </w:tc>
        <w:tc>
          <w:tcPr>
            <w:tcW w:w="1000" w:type="dxa"/>
            <w:vAlign w:val="bottom"/>
            <w:tcBorders>
              <w:bottom w:val="single" w:sz="8" w:color="auto"/>
            </w:tcBorders>
            <w:shd w:val="clear" w:color="auto" w:fill="EAEAEA"/>
          </w:tcPr>
          <w:p>
            <w:pPr>
              <w:ind w:left="280"/>
              <w:spacing w:after="0"/>
              <w:rPr>
                <w:sz w:val="20"/>
                <w:szCs w:val="20"/>
                <w:color w:val="auto"/>
              </w:rPr>
            </w:pPr>
            <w:r>
              <w:rPr>
                <w:rFonts w:ascii="Arial" w:cs="Arial" w:eastAsia="Arial" w:hAnsi="Arial"/>
                <w:sz w:val="16"/>
                <w:szCs w:val="16"/>
                <w:color w:val="auto"/>
                <w:w w:val="98"/>
              </w:rPr>
              <w:t>3/11/2020</w:t>
            </w:r>
          </w:p>
        </w:tc>
        <w:tc>
          <w:tcPr>
            <w:tcW w:w="1120" w:type="dxa"/>
            <w:vAlign w:val="bottom"/>
            <w:tcBorders>
              <w:bottom w:val="single" w:sz="8" w:color="auto"/>
            </w:tcBorders>
          </w:tcPr>
          <w:p>
            <w:pPr>
              <w:jc w:val="right"/>
              <w:ind w:right="285"/>
              <w:spacing w:after="0"/>
              <w:rPr>
                <w:sz w:val="20"/>
                <w:szCs w:val="20"/>
                <w:color w:val="auto"/>
              </w:rPr>
            </w:pPr>
            <w:r>
              <w:rPr>
                <w:rFonts w:ascii="Arial" w:cs="Arial" w:eastAsia="Arial" w:hAnsi="Arial"/>
                <w:sz w:val="16"/>
                <w:szCs w:val="16"/>
                <w:color w:val="auto"/>
              </w:rPr>
              <w:t>4,927*</w:t>
            </w:r>
          </w:p>
        </w:tc>
        <w:tc>
          <w:tcPr>
            <w:tcW w:w="660" w:type="dxa"/>
            <w:vAlign w:val="bottom"/>
            <w:tcBorders>
              <w:bottom w:val="single" w:sz="8" w:color="auto"/>
            </w:tcBorders>
            <w:shd w:val="clear" w:color="auto" w:fill="EAEAEA"/>
          </w:tcPr>
          <w:p>
            <w:pPr>
              <w:jc w:val="right"/>
              <w:ind w:right="3"/>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EAEAEA"/>
          </w:tcPr>
          <w:p>
            <w:pPr>
              <w:jc w:val="right"/>
              <w:ind w:right="4"/>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0.66</w:t>
            </w:r>
          </w:p>
        </w:tc>
        <w:tc>
          <w:tcPr>
            <w:tcW w:w="740" w:type="dxa"/>
            <w:vAlign w:val="bottom"/>
            <w:tcBorders>
              <w:bottom w:val="single" w:sz="8" w:color="auto"/>
            </w:tcBorders>
            <w:shd w:val="clear" w:color="auto" w:fill="EAEAEA"/>
          </w:tcPr>
          <w:p>
            <w:pPr>
              <w:ind w:left="380"/>
              <w:spacing w:after="0"/>
              <w:rPr>
                <w:sz w:val="20"/>
                <w:szCs w:val="20"/>
                <w:color w:val="auto"/>
              </w:rPr>
            </w:pPr>
            <w:r>
              <w:rPr>
                <w:rFonts w:ascii="Arial" w:cs="Arial" w:eastAsia="Arial" w:hAnsi="Arial"/>
                <w:sz w:val="16"/>
                <w:szCs w:val="16"/>
                <w:color w:val="auto"/>
              </w:rPr>
              <w:t>2.63</w:t>
            </w:r>
          </w:p>
        </w:tc>
        <w:tc>
          <w:tcPr>
            <w:tcW w:w="8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88.28</w:t>
            </w:r>
          </w:p>
        </w:tc>
        <w:tc>
          <w:tcPr>
            <w:tcW w:w="1100" w:type="dxa"/>
            <w:vAlign w:val="bottom"/>
            <w:tcBorders>
              <w:bottom w:val="single" w:sz="8" w:color="auto"/>
            </w:tcBorders>
            <w:shd w:val="clear" w:color="auto" w:fill="EAEAEA"/>
          </w:tcPr>
          <w:p>
            <w:pPr>
              <w:spacing w:after="0"/>
              <w:rPr>
                <w:sz w:val="19"/>
                <w:szCs w:val="19"/>
                <w:color w:val="auto"/>
              </w:rPr>
            </w:pPr>
          </w:p>
        </w:tc>
      </w:tr>
      <w:tr>
        <w:trPr>
          <w:trHeight w:val="227"/>
        </w:trPr>
        <w:tc>
          <w:tcPr>
            <w:tcW w:w="2760" w:type="dxa"/>
            <w:vAlign w:val="bottom"/>
          </w:tcPr>
          <w:p>
            <w:pPr>
              <w:spacing w:after="0"/>
              <w:rPr>
                <w:sz w:val="19"/>
                <w:szCs w:val="19"/>
                <w:color w:val="auto"/>
              </w:rPr>
            </w:pPr>
          </w:p>
        </w:tc>
        <w:tc>
          <w:tcPr>
            <w:tcW w:w="1000" w:type="dxa"/>
            <w:vAlign w:val="bottom"/>
            <w:tcBorders>
              <w:bottom w:val="single" w:sz="8" w:color="auto"/>
            </w:tcBorders>
            <w:shd w:val="clear" w:color="auto" w:fill="EAEAEA"/>
          </w:tcPr>
          <w:p>
            <w:pPr>
              <w:ind w:left="280"/>
              <w:spacing w:after="0"/>
              <w:rPr>
                <w:sz w:val="20"/>
                <w:szCs w:val="20"/>
                <w:color w:val="auto"/>
              </w:rPr>
            </w:pPr>
            <w:r>
              <w:rPr>
                <w:rFonts w:ascii="Arial" w:cs="Arial" w:eastAsia="Arial" w:hAnsi="Arial"/>
                <w:sz w:val="16"/>
                <w:szCs w:val="16"/>
                <w:color w:val="auto"/>
                <w:w w:val="98"/>
              </w:rPr>
              <w:t>3/11/2020</w:t>
            </w:r>
          </w:p>
        </w:tc>
        <w:tc>
          <w:tcPr>
            <w:tcW w:w="1120" w:type="dxa"/>
            <w:vAlign w:val="bottom"/>
            <w:tcBorders>
              <w:bottom w:val="single" w:sz="8" w:color="auto"/>
            </w:tcBorders>
          </w:tcPr>
          <w:p>
            <w:pPr>
              <w:jc w:val="right"/>
              <w:ind w:right="205"/>
              <w:spacing w:after="0"/>
              <w:rPr>
                <w:sz w:val="20"/>
                <w:szCs w:val="20"/>
                <w:color w:val="auto"/>
              </w:rPr>
            </w:pPr>
            <w:r>
              <w:rPr>
                <w:rFonts w:ascii="Arial" w:cs="Arial" w:eastAsia="Arial" w:hAnsi="Arial"/>
                <w:sz w:val="16"/>
                <w:szCs w:val="16"/>
                <w:color w:val="auto"/>
              </w:rPr>
              <w:t>4,927**</w:t>
            </w:r>
          </w:p>
        </w:tc>
        <w:tc>
          <w:tcPr>
            <w:tcW w:w="660" w:type="dxa"/>
            <w:vAlign w:val="bottom"/>
            <w:tcBorders>
              <w:bottom w:val="single" w:sz="8" w:color="auto"/>
            </w:tcBorders>
            <w:shd w:val="clear" w:color="auto" w:fill="EAEAEA"/>
          </w:tcPr>
          <w:p>
            <w:pPr>
              <w:jc w:val="right"/>
              <w:ind w:right="3"/>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27.99</w:t>
            </w:r>
          </w:p>
        </w:tc>
        <w:tc>
          <w:tcPr>
            <w:tcW w:w="680" w:type="dxa"/>
            <w:vAlign w:val="bottom"/>
            <w:tcBorders>
              <w:bottom w:val="single" w:sz="8" w:color="auto"/>
            </w:tcBorders>
            <w:shd w:val="clear" w:color="auto" w:fill="EAEAEA"/>
          </w:tcPr>
          <w:p>
            <w:pPr>
              <w:jc w:val="right"/>
              <w:ind w:right="4"/>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0.58</w:t>
            </w:r>
          </w:p>
        </w:tc>
        <w:tc>
          <w:tcPr>
            <w:tcW w:w="740" w:type="dxa"/>
            <w:vAlign w:val="bottom"/>
            <w:tcBorders>
              <w:bottom w:val="single" w:sz="8" w:color="auto"/>
            </w:tcBorders>
            <w:shd w:val="clear" w:color="auto" w:fill="EAEAEA"/>
          </w:tcPr>
          <w:p>
            <w:pPr>
              <w:ind w:left="380"/>
              <w:spacing w:after="0"/>
              <w:rPr>
                <w:sz w:val="20"/>
                <w:szCs w:val="20"/>
                <w:color w:val="auto"/>
              </w:rPr>
            </w:pPr>
            <w:r>
              <w:rPr>
                <w:rFonts w:ascii="Arial" w:cs="Arial" w:eastAsia="Arial" w:hAnsi="Arial"/>
                <w:sz w:val="16"/>
                <w:szCs w:val="16"/>
                <w:color w:val="auto"/>
              </w:rPr>
              <w:t>2.59</w:t>
            </w:r>
          </w:p>
        </w:tc>
        <w:tc>
          <w:tcPr>
            <w:tcW w:w="8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97.71</w:t>
            </w:r>
          </w:p>
        </w:tc>
        <w:tc>
          <w:tcPr>
            <w:tcW w:w="1100" w:type="dxa"/>
            <w:vAlign w:val="bottom"/>
            <w:tcBorders>
              <w:bottom w:val="single" w:sz="8" w:color="auto"/>
            </w:tcBorders>
            <w:shd w:val="clear" w:color="auto" w:fill="EAEAEA"/>
          </w:tcPr>
          <w:p>
            <w:pPr>
              <w:jc w:val="right"/>
              <w:ind w:right="9"/>
              <w:spacing w:after="0"/>
              <w:rPr>
                <w:sz w:val="20"/>
                <w:szCs w:val="20"/>
                <w:color w:val="auto"/>
              </w:rPr>
            </w:pPr>
            <w:r>
              <w:rPr>
                <w:rFonts w:ascii="Arial" w:cs="Arial" w:eastAsia="Arial" w:hAnsi="Arial"/>
                <w:sz w:val="16"/>
                <w:szCs w:val="16"/>
                <w:color w:val="auto"/>
              </w:rPr>
              <w:t>962,834</w:t>
            </w:r>
          </w:p>
        </w:tc>
      </w:tr>
      <w:tr>
        <w:trPr>
          <w:trHeight w:val="227"/>
        </w:trPr>
        <w:tc>
          <w:tcPr>
            <w:tcW w:w="2760" w:type="dxa"/>
            <w:vAlign w:val="bottom"/>
          </w:tcPr>
          <w:p>
            <w:pPr>
              <w:spacing w:after="0"/>
              <w:rPr>
                <w:sz w:val="19"/>
                <w:szCs w:val="19"/>
                <w:color w:val="auto"/>
              </w:rPr>
            </w:pPr>
          </w:p>
        </w:tc>
        <w:tc>
          <w:tcPr>
            <w:tcW w:w="1000" w:type="dxa"/>
            <w:vAlign w:val="bottom"/>
            <w:tcBorders>
              <w:bottom w:val="single" w:sz="8" w:color="auto"/>
            </w:tcBorders>
            <w:shd w:val="clear" w:color="auto" w:fill="EAEAEA"/>
          </w:tcPr>
          <w:p>
            <w:pPr>
              <w:ind w:left="280"/>
              <w:spacing w:after="0"/>
              <w:rPr>
                <w:sz w:val="20"/>
                <w:szCs w:val="20"/>
                <w:color w:val="auto"/>
              </w:rPr>
            </w:pPr>
            <w:r>
              <w:rPr>
                <w:rFonts w:ascii="Arial" w:cs="Arial" w:eastAsia="Arial" w:hAnsi="Arial"/>
                <w:sz w:val="16"/>
                <w:szCs w:val="16"/>
                <w:color w:val="auto"/>
                <w:w w:val="98"/>
              </w:rPr>
              <w:t>3/11/2020</w:t>
            </w:r>
          </w:p>
        </w:tc>
        <w:tc>
          <w:tcPr>
            <w:tcW w:w="112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color w:val="auto"/>
              </w:rPr>
              <w:t>4,927***</w:t>
            </w:r>
          </w:p>
        </w:tc>
        <w:tc>
          <w:tcPr>
            <w:tcW w:w="660" w:type="dxa"/>
            <w:vAlign w:val="bottom"/>
            <w:tcBorders>
              <w:bottom w:val="single" w:sz="8" w:color="auto"/>
            </w:tcBorders>
            <w:shd w:val="clear" w:color="auto" w:fill="EAEAEA"/>
          </w:tcPr>
          <w:p>
            <w:pPr>
              <w:jc w:val="right"/>
              <w:ind w:right="3"/>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EAEAEA"/>
          </w:tcPr>
          <w:p>
            <w:pPr>
              <w:jc w:val="right"/>
              <w:ind w:right="4"/>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0.66</w:t>
            </w:r>
          </w:p>
        </w:tc>
        <w:tc>
          <w:tcPr>
            <w:tcW w:w="740" w:type="dxa"/>
            <w:vAlign w:val="bottom"/>
            <w:tcBorders>
              <w:bottom w:val="single" w:sz="8" w:color="auto"/>
            </w:tcBorders>
            <w:shd w:val="clear" w:color="auto" w:fill="EAEAEA"/>
          </w:tcPr>
          <w:p>
            <w:pPr>
              <w:ind w:left="380"/>
              <w:spacing w:after="0"/>
              <w:rPr>
                <w:sz w:val="20"/>
                <w:szCs w:val="20"/>
                <w:color w:val="auto"/>
              </w:rPr>
            </w:pPr>
            <w:r>
              <w:rPr>
                <w:rFonts w:ascii="Arial" w:cs="Arial" w:eastAsia="Arial" w:hAnsi="Arial"/>
                <w:sz w:val="16"/>
                <w:szCs w:val="16"/>
                <w:color w:val="auto"/>
              </w:rPr>
              <w:t>2.63</w:t>
            </w:r>
          </w:p>
        </w:tc>
        <w:tc>
          <w:tcPr>
            <w:tcW w:w="8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88.28</w:t>
            </w:r>
          </w:p>
        </w:tc>
        <w:tc>
          <w:tcPr>
            <w:tcW w:w="1100" w:type="dxa"/>
            <w:vAlign w:val="bottom"/>
            <w:tcBorders>
              <w:bottom w:val="single" w:sz="8" w:color="auto"/>
            </w:tcBorders>
            <w:shd w:val="clear" w:color="auto" w:fill="EAEAEA"/>
          </w:tcPr>
          <w:p>
            <w:pPr>
              <w:jc w:val="right"/>
              <w:ind w:right="9"/>
              <w:spacing w:after="0"/>
              <w:rPr>
                <w:sz w:val="20"/>
                <w:szCs w:val="20"/>
                <w:color w:val="auto"/>
              </w:rPr>
            </w:pPr>
            <w:r>
              <w:rPr>
                <w:rFonts w:ascii="Arial" w:cs="Arial" w:eastAsia="Arial" w:hAnsi="Arial"/>
                <w:sz w:val="16"/>
                <w:szCs w:val="16"/>
                <w:color w:val="auto"/>
              </w:rPr>
              <w:t>869,911</w:t>
            </w:r>
          </w:p>
        </w:tc>
      </w:tr>
      <w:tr>
        <w:trPr>
          <w:trHeight w:val="227"/>
        </w:trPr>
        <w:tc>
          <w:tcPr>
            <w:tcW w:w="2760" w:type="dxa"/>
            <w:vAlign w:val="bottom"/>
          </w:tcPr>
          <w:p>
            <w:pPr>
              <w:spacing w:after="0"/>
              <w:rPr>
                <w:sz w:val="19"/>
                <w:szCs w:val="19"/>
                <w:color w:val="auto"/>
              </w:rPr>
            </w:pPr>
          </w:p>
        </w:tc>
        <w:tc>
          <w:tcPr>
            <w:tcW w:w="1000" w:type="dxa"/>
            <w:vAlign w:val="bottom"/>
            <w:tcBorders>
              <w:bottom w:val="single" w:sz="8" w:color="auto"/>
            </w:tcBorders>
            <w:shd w:val="clear" w:color="auto" w:fill="EAEAEA"/>
          </w:tcPr>
          <w:p>
            <w:pPr>
              <w:ind w:left="280"/>
              <w:spacing w:after="0"/>
              <w:rPr>
                <w:sz w:val="20"/>
                <w:szCs w:val="20"/>
                <w:color w:val="auto"/>
              </w:rPr>
            </w:pPr>
            <w:r>
              <w:rPr>
                <w:rFonts w:ascii="Arial" w:cs="Arial" w:eastAsia="Arial" w:hAnsi="Arial"/>
                <w:sz w:val="16"/>
                <w:szCs w:val="16"/>
                <w:color w:val="auto"/>
                <w:w w:val="98"/>
              </w:rPr>
              <w:t>3/11/2020</w:t>
            </w:r>
          </w:p>
        </w:tc>
        <w:tc>
          <w:tcPr>
            <w:tcW w:w="1120" w:type="dxa"/>
            <w:vAlign w:val="bottom"/>
            <w:tcBorders>
              <w:bottom w:val="single" w:sz="8" w:color="auto"/>
            </w:tcBorders>
          </w:tcPr>
          <w:p>
            <w:pPr>
              <w:jc w:val="right"/>
              <w:ind w:right="365"/>
              <w:spacing w:after="0"/>
              <w:rPr>
                <w:sz w:val="20"/>
                <w:szCs w:val="20"/>
                <w:color w:val="auto"/>
              </w:rPr>
            </w:pPr>
            <w:r>
              <w:rPr>
                <w:rFonts w:ascii="Arial" w:cs="Arial" w:eastAsia="Arial" w:hAnsi="Arial"/>
                <w:sz w:val="16"/>
                <w:szCs w:val="16"/>
                <w:color w:val="auto"/>
              </w:rPr>
              <w:t>24,232</w:t>
            </w:r>
          </w:p>
        </w:tc>
        <w:tc>
          <w:tcPr>
            <w:tcW w:w="660" w:type="dxa"/>
            <w:vAlign w:val="bottom"/>
            <w:tcBorders>
              <w:bottom w:val="single" w:sz="8" w:color="auto"/>
            </w:tcBorders>
            <w:shd w:val="clear" w:color="auto" w:fill="EAEAEA"/>
          </w:tcPr>
          <w:p>
            <w:pPr>
              <w:jc w:val="right"/>
              <w:ind w:right="3"/>
              <w:spacing w:after="0"/>
              <w:rPr>
                <w:sz w:val="20"/>
                <w:szCs w:val="20"/>
                <w:color w:val="auto"/>
              </w:rPr>
            </w:pPr>
            <w:r>
              <w:rPr>
                <w:rFonts w:ascii="Arial" w:cs="Arial" w:eastAsia="Arial" w:hAnsi="Arial"/>
                <w:sz w:val="16"/>
                <w:szCs w:val="16"/>
                <w:color w:val="auto"/>
              </w:rPr>
              <w:t>94.41</w:t>
            </w: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29.49</w:t>
            </w:r>
          </w:p>
        </w:tc>
        <w:tc>
          <w:tcPr>
            <w:tcW w:w="680" w:type="dxa"/>
            <w:vAlign w:val="bottom"/>
            <w:tcBorders>
              <w:bottom w:val="single" w:sz="8" w:color="auto"/>
            </w:tcBorders>
            <w:shd w:val="clear" w:color="auto" w:fill="EAEAEA"/>
          </w:tcPr>
          <w:p>
            <w:pPr>
              <w:jc w:val="right"/>
              <w:ind w:right="4"/>
              <w:spacing w:after="0"/>
              <w:rPr>
                <w:sz w:val="20"/>
                <w:szCs w:val="20"/>
                <w:color w:val="auto"/>
              </w:rPr>
            </w:pPr>
            <w:r>
              <w:rPr>
                <w:rFonts w:ascii="Arial" w:cs="Arial" w:eastAsia="Arial" w:hAnsi="Arial"/>
                <w:sz w:val="16"/>
                <w:szCs w:val="16"/>
                <w:color w:val="auto"/>
              </w:rPr>
              <w:t>5.0</w:t>
            </w:r>
          </w:p>
        </w:tc>
        <w:tc>
          <w:tcPr>
            <w:tcW w:w="7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0.66</w:t>
            </w:r>
          </w:p>
        </w:tc>
        <w:tc>
          <w:tcPr>
            <w:tcW w:w="740" w:type="dxa"/>
            <w:vAlign w:val="bottom"/>
            <w:tcBorders>
              <w:bottom w:val="single" w:sz="8" w:color="auto"/>
            </w:tcBorders>
            <w:shd w:val="clear" w:color="auto" w:fill="EAEAEA"/>
          </w:tcPr>
          <w:p>
            <w:pPr>
              <w:ind w:left="380"/>
              <w:spacing w:after="0"/>
              <w:rPr>
                <w:sz w:val="20"/>
                <w:szCs w:val="20"/>
                <w:color w:val="auto"/>
              </w:rPr>
            </w:pPr>
            <w:r>
              <w:rPr>
                <w:rFonts w:ascii="Arial" w:cs="Arial" w:eastAsia="Arial" w:hAnsi="Arial"/>
                <w:sz w:val="16"/>
                <w:szCs w:val="16"/>
                <w:color w:val="auto"/>
              </w:rPr>
              <w:t>2.63</w:t>
            </w:r>
          </w:p>
        </w:tc>
        <w:tc>
          <w:tcPr>
            <w:tcW w:w="8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18.46</w:t>
            </w:r>
          </w:p>
        </w:tc>
        <w:tc>
          <w:tcPr>
            <w:tcW w:w="1100" w:type="dxa"/>
            <w:vAlign w:val="bottom"/>
            <w:tcBorders>
              <w:bottom w:val="single" w:sz="8" w:color="auto"/>
            </w:tcBorders>
            <w:shd w:val="clear" w:color="auto" w:fill="EAEAEA"/>
          </w:tcPr>
          <w:p>
            <w:pPr>
              <w:spacing w:after="0"/>
              <w:rPr>
                <w:sz w:val="19"/>
                <w:szCs w:val="19"/>
                <w:color w:val="auto"/>
              </w:rPr>
            </w:pPr>
          </w:p>
        </w:tc>
      </w:tr>
      <w:tr>
        <w:trPr>
          <w:trHeight w:val="227"/>
        </w:trPr>
        <w:tc>
          <w:tcPr>
            <w:tcW w:w="2760" w:type="dxa"/>
            <w:vAlign w:val="bottom"/>
          </w:tcPr>
          <w:p>
            <w:pPr>
              <w:spacing w:after="0"/>
              <w:rPr>
                <w:sz w:val="19"/>
                <w:szCs w:val="19"/>
                <w:color w:val="auto"/>
              </w:rPr>
            </w:pPr>
          </w:p>
        </w:tc>
        <w:tc>
          <w:tcPr>
            <w:tcW w:w="1000" w:type="dxa"/>
            <w:vAlign w:val="bottom"/>
            <w:tcBorders>
              <w:bottom w:val="single" w:sz="8" w:color="auto"/>
            </w:tcBorders>
            <w:shd w:val="clear" w:color="auto" w:fill="EAEAEA"/>
          </w:tcPr>
          <w:p>
            <w:pPr>
              <w:ind w:left="200"/>
              <w:spacing w:after="0"/>
              <w:rPr>
                <w:sz w:val="20"/>
                <w:szCs w:val="20"/>
                <w:color w:val="auto"/>
              </w:rPr>
            </w:pPr>
            <w:r>
              <w:rPr>
                <w:rFonts w:ascii="Arial" w:cs="Arial" w:eastAsia="Arial" w:hAnsi="Arial"/>
                <w:sz w:val="16"/>
                <w:szCs w:val="16"/>
                <w:color w:val="auto"/>
                <w:w w:val="97"/>
              </w:rPr>
              <w:t>12/15/2020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13,460*****</w:t>
            </w:r>
          </w:p>
        </w:tc>
        <w:tc>
          <w:tcPr>
            <w:tcW w:w="660" w:type="dxa"/>
            <w:vAlign w:val="bottom"/>
            <w:tcBorders>
              <w:bottom w:val="single" w:sz="8" w:color="auto"/>
            </w:tcBorders>
            <w:shd w:val="clear" w:color="auto" w:fill="EAEAEA"/>
          </w:tcPr>
          <w:p>
            <w:pPr>
              <w:jc w:val="right"/>
              <w:ind w:right="3"/>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EAEAEA"/>
          </w:tcPr>
          <w:p>
            <w:pPr>
              <w:jc w:val="right"/>
              <w:ind w:right="4"/>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0.37</w:t>
            </w:r>
          </w:p>
        </w:tc>
        <w:tc>
          <w:tcPr>
            <w:tcW w:w="740" w:type="dxa"/>
            <w:vAlign w:val="bottom"/>
            <w:tcBorders>
              <w:bottom w:val="single" w:sz="8" w:color="auto"/>
            </w:tcBorders>
            <w:shd w:val="clear" w:color="auto" w:fill="EAEAEA"/>
          </w:tcPr>
          <w:p>
            <w:pPr>
              <w:ind w:left="380"/>
              <w:spacing w:after="0"/>
              <w:rPr>
                <w:sz w:val="20"/>
                <w:szCs w:val="20"/>
                <w:color w:val="auto"/>
              </w:rPr>
            </w:pPr>
            <w:r>
              <w:rPr>
                <w:rFonts w:ascii="Arial" w:cs="Arial" w:eastAsia="Arial" w:hAnsi="Arial"/>
                <w:sz w:val="16"/>
                <w:szCs w:val="16"/>
                <w:color w:val="auto"/>
              </w:rPr>
              <w:t>1.72</w:t>
            </w:r>
          </w:p>
        </w:tc>
        <w:tc>
          <w:tcPr>
            <w:tcW w:w="8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137.90</w:t>
            </w:r>
          </w:p>
        </w:tc>
        <w:tc>
          <w:tcPr>
            <w:tcW w:w="1100" w:type="dxa"/>
            <w:vAlign w:val="bottom"/>
            <w:tcBorders>
              <w:bottom w:val="single" w:sz="8" w:color="auto"/>
            </w:tcBorders>
            <w:shd w:val="clear" w:color="auto" w:fill="EAEAEA"/>
          </w:tcPr>
          <w:p>
            <w:pPr>
              <w:jc w:val="right"/>
              <w:ind w:right="9"/>
              <w:spacing w:after="0"/>
              <w:rPr>
                <w:sz w:val="20"/>
                <w:szCs w:val="20"/>
                <w:color w:val="auto"/>
              </w:rPr>
            </w:pPr>
            <w:r>
              <w:rPr>
                <w:rFonts w:ascii="Arial" w:cs="Arial" w:eastAsia="Arial" w:hAnsi="Arial"/>
                <w:sz w:val="16"/>
                <w:szCs w:val="16"/>
                <w:color w:val="auto"/>
              </w:rPr>
              <w:t>3,712,268</w:t>
            </w:r>
          </w:p>
        </w:tc>
      </w:tr>
      <w:tr>
        <w:trPr>
          <w:trHeight w:val="227"/>
        </w:trPr>
        <w:tc>
          <w:tcPr>
            <w:tcW w:w="2760" w:type="dxa"/>
            <w:vAlign w:val="bottom"/>
          </w:tcPr>
          <w:p>
            <w:pPr>
              <w:spacing w:after="0"/>
              <w:rPr>
                <w:sz w:val="19"/>
                <w:szCs w:val="19"/>
                <w:color w:val="auto"/>
              </w:rPr>
            </w:pPr>
          </w:p>
        </w:tc>
        <w:tc>
          <w:tcPr>
            <w:tcW w:w="1000" w:type="dxa"/>
            <w:vAlign w:val="bottom"/>
            <w:tcBorders>
              <w:bottom w:val="single" w:sz="8" w:color="auto"/>
            </w:tcBorders>
            <w:shd w:val="clear" w:color="auto" w:fill="EAEAEA"/>
          </w:tcPr>
          <w:p>
            <w:pPr>
              <w:ind w:left="280"/>
              <w:spacing w:after="0"/>
              <w:rPr>
                <w:sz w:val="20"/>
                <w:szCs w:val="20"/>
                <w:color w:val="auto"/>
              </w:rPr>
            </w:pPr>
            <w:r>
              <w:rPr>
                <w:rFonts w:ascii="Arial" w:cs="Arial" w:eastAsia="Arial" w:hAnsi="Arial"/>
                <w:sz w:val="16"/>
                <w:szCs w:val="16"/>
                <w:color w:val="auto"/>
                <w:w w:val="98"/>
              </w:rPr>
              <w:t>3/10/2021</w:t>
            </w:r>
          </w:p>
        </w:tc>
        <w:tc>
          <w:tcPr>
            <w:tcW w:w="1120" w:type="dxa"/>
            <w:vAlign w:val="bottom"/>
            <w:tcBorders>
              <w:bottom w:val="single" w:sz="8" w:color="auto"/>
            </w:tcBorders>
          </w:tcPr>
          <w:p>
            <w:pPr>
              <w:jc w:val="right"/>
              <w:ind w:right="365"/>
              <w:spacing w:after="0"/>
              <w:rPr>
                <w:sz w:val="20"/>
                <w:szCs w:val="20"/>
                <w:color w:val="auto"/>
              </w:rPr>
            </w:pPr>
            <w:r>
              <w:rPr>
                <w:rFonts w:ascii="Arial" w:cs="Arial" w:eastAsia="Arial" w:hAnsi="Arial"/>
                <w:sz w:val="16"/>
                <w:szCs w:val="16"/>
                <w:color w:val="auto"/>
              </w:rPr>
              <w:t>14,158</w:t>
            </w:r>
          </w:p>
        </w:tc>
        <w:tc>
          <w:tcPr>
            <w:tcW w:w="660" w:type="dxa"/>
            <w:vAlign w:val="bottom"/>
            <w:tcBorders>
              <w:bottom w:val="single" w:sz="8" w:color="auto"/>
            </w:tcBorders>
            <w:shd w:val="clear" w:color="auto" w:fill="EAEAEA"/>
          </w:tcPr>
          <w:p>
            <w:pPr>
              <w:jc w:val="right"/>
              <w:ind w:right="3"/>
              <w:spacing w:after="0"/>
              <w:rPr>
                <w:sz w:val="20"/>
                <w:szCs w:val="20"/>
                <w:color w:val="auto"/>
              </w:rPr>
            </w:pPr>
            <w:r>
              <w:rPr>
                <w:rFonts w:ascii="Arial" w:cs="Arial" w:eastAsia="Arial" w:hAnsi="Arial"/>
                <w:sz w:val="16"/>
                <w:szCs w:val="16"/>
                <w:color w:val="auto"/>
              </w:rPr>
              <w:t>147.11</w:t>
            </w: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35.25</w:t>
            </w:r>
          </w:p>
        </w:tc>
        <w:tc>
          <w:tcPr>
            <w:tcW w:w="680" w:type="dxa"/>
            <w:vAlign w:val="bottom"/>
            <w:tcBorders>
              <w:bottom w:val="single" w:sz="8" w:color="auto"/>
            </w:tcBorders>
            <w:shd w:val="clear" w:color="auto" w:fill="EAEAEA"/>
          </w:tcPr>
          <w:p>
            <w:pPr>
              <w:jc w:val="right"/>
              <w:ind w:right="4"/>
              <w:spacing w:after="0"/>
              <w:rPr>
                <w:sz w:val="20"/>
                <w:szCs w:val="20"/>
                <w:color w:val="auto"/>
              </w:rPr>
            </w:pPr>
            <w:r>
              <w:rPr>
                <w:rFonts w:ascii="Arial" w:cs="Arial" w:eastAsia="Arial" w:hAnsi="Arial"/>
                <w:sz w:val="16"/>
                <w:szCs w:val="16"/>
                <w:color w:val="auto"/>
              </w:rPr>
              <w:t>5.0</w:t>
            </w:r>
          </w:p>
        </w:tc>
        <w:tc>
          <w:tcPr>
            <w:tcW w:w="7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0.80</w:t>
            </w:r>
          </w:p>
        </w:tc>
        <w:tc>
          <w:tcPr>
            <w:tcW w:w="740" w:type="dxa"/>
            <w:vAlign w:val="bottom"/>
            <w:tcBorders>
              <w:bottom w:val="single" w:sz="8" w:color="auto"/>
            </w:tcBorders>
            <w:shd w:val="clear" w:color="auto" w:fill="EAEAEA"/>
          </w:tcPr>
          <w:p>
            <w:pPr>
              <w:ind w:left="380"/>
              <w:spacing w:after="0"/>
              <w:rPr>
                <w:sz w:val="20"/>
                <w:szCs w:val="20"/>
                <w:color w:val="auto"/>
              </w:rPr>
            </w:pPr>
            <w:r>
              <w:rPr>
                <w:rFonts w:ascii="Arial" w:cs="Arial" w:eastAsia="Arial" w:hAnsi="Arial"/>
                <w:sz w:val="16"/>
                <w:szCs w:val="16"/>
                <w:color w:val="auto"/>
              </w:rPr>
              <w:t>1.88</w:t>
            </w:r>
          </w:p>
        </w:tc>
        <w:tc>
          <w:tcPr>
            <w:tcW w:w="8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38.58</w:t>
            </w:r>
          </w:p>
        </w:tc>
        <w:tc>
          <w:tcPr>
            <w:tcW w:w="1100" w:type="dxa"/>
            <w:vAlign w:val="bottom"/>
            <w:tcBorders>
              <w:bottom w:val="single" w:sz="8" w:color="auto"/>
            </w:tcBorders>
            <w:shd w:val="clear" w:color="auto" w:fill="EAEAEA"/>
          </w:tcPr>
          <w:p>
            <w:pPr>
              <w:spacing w:after="0"/>
              <w:rPr>
                <w:sz w:val="19"/>
                <w:szCs w:val="19"/>
                <w:color w:val="auto"/>
              </w:rPr>
            </w:pPr>
          </w:p>
        </w:tc>
      </w:tr>
      <w:tr>
        <w:trPr>
          <w:trHeight w:val="227"/>
        </w:trPr>
        <w:tc>
          <w:tcPr>
            <w:tcW w:w="2760" w:type="dxa"/>
            <w:vAlign w:val="bottom"/>
          </w:tcPr>
          <w:p>
            <w:pPr>
              <w:spacing w:after="0"/>
              <w:rPr>
                <w:sz w:val="19"/>
                <w:szCs w:val="19"/>
                <w:color w:val="auto"/>
              </w:rPr>
            </w:pPr>
          </w:p>
        </w:tc>
        <w:tc>
          <w:tcPr>
            <w:tcW w:w="1000" w:type="dxa"/>
            <w:vAlign w:val="bottom"/>
            <w:tcBorders>
              <w:bottom w:val="single" w:sz="8" w:color="auto"/>
            </w:tcBorders>
            <w:shd w:val="clear" w:color="auto" w:fill="EAEAEA"/>
          </w:tcPr>
          <w:p>
            <w:pPr>
              <w:ind w:left="280"/>
              <w:spacing w:after="0"/>
              <w:rPr>
                <w:sz w:val="20"/>
                <w:szCs w:val="20"/>
                <w:color w:val="auto"/>
              </w:rPr>
            </w:pPr>
            <w:r>
              <w:rPr>
                <w:rFonts w:ascii="Arial" w:cs="Arial" w:eastAsia="Arial" w:hAnsi="Arial"/>
                <w:sz w:val="16"/>
                <w:szCs w:val="16"/>
                <w:color w:val="auto"/>
                <w:w w:val="98"/>
              </w:rPr>
              <w:t>3/10/2021</w:t>
            </w:r>
          </w:p>
        </w:tc>
        <w:tc>
          <w:tcPr>
            <w:tcW w:w="1120" w:type="dxa"/>
            <w:vAlign w:val="bottom"/>
            <w:tcBorders>
              <w:bottom w:val="single" w:sz="8" w:color="auto"/>
            </w:tcBorders>
          </w:tcPr>
          <w:p>
            <w:pPr>
              <w:jc w:val="right"/>
              <w:ind w:right="285"/>
              <w:spacing w:after="0"/>
              <w:rPr>
                <w:sz w:val="20"/>
                <w:szCs w:val="20"/>
                <w:color w:val="auto"/>
              </w:rPr>
            </w:pPr>
            <w:r>
              <w:rPr>
                <w:rFonts w:ascii="Arial" w:cs="Arial" w:eastAsia="Arial" w:hAnsi="Arial"/>
                <w:sz w:val="16"/>
                <w:szCs w:val="16"/>
                <w:color w:val="auto"/>
              </w:rPr>
              <w:t>3,873*</w:t>
            </w:r>
          </w:p>
        </w:tc>
        <w:tc>
          <w:tcPr>
            <w:tcW w:w="660" w:type="dxa"/>
            <w:vAlign w:val="bottom"/>
            <w:tcBorders>
              <w:bottom w:val="single" w:sz="8" w:color="auto"/>
            </w:tcBorders>
            <w:shd w:val="clear" w:color="auto" w:fill="EAEAEA"/>
          </w:tcPr>
          <w:p>
            <w:pPr>
              <w:jc w:val="right"/>
              <w:ind w:right="3"/>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EAEAEA"/>
          </w:tcPr>
          <w:p>
            <w:pPr>
              <w:jc w:val="right"/>
              <w:ind w:right="4"/>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0.80</w:t>
            </w:r>
          </w:p>
        </w:tc>
        <w:tc>
          <w:tcPr>
            <w:tcW w:w="740" w:type="dxa"/>
            <w:vAlign w:val="bottom"/>
            <w:tcBorders>
              <w:bottom w:val="single" w:sz="8" w:color="auto"/>
            </w:tcBorders>
            <w:shd w:val="clear" w:color="auto" w:fill="EAEAEA"/>
          </w:tcPr>
          <w:p>
            <w:pPr>
              <w:ind w:left="380"/>
              <w:spacing w:after="0"/>
              <w:rPr>
                <w:sz w:val="20"/>
                <w:szCs w:val="20"/>
                <w:color w:val="auto"/>
              </w:rPr>
            </w:pPr>
            <w:r>
              <w:rPr>
                <w:rFonts w:ascii="Arial" w:cs="Arial" w:eastAsia="Arial" w:hAnsi="Arial"/>
                <w:sz w:val="16"/>
                <w:szCs w:val="16"/>
                <w:color w:val="auto"/>
              </w:rPr>
              <w:t>1.88</w:t>
            </w:r>
          </w:p>
        </w:tc>
        <w:tc>
          <w:tcPr>
            <w:tcW w:w="8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140.30</w:t>
            </w:r>
          </w:p>
        </w:tc>
        <w:tc>
          <w:tcPr>
            <w:tcW w:w="1100" w:type="dxa"/>
            <w:vAlign w:val="bottom"/>
            <w:tcBorders>
              <w:bottom w:val="single" w:sz="8" w:color="auto"/>
            </w:tcBorders>
            <w:shd w:val="clear" w:color="auto" w:fill="EAEAEA"/>
          </w:tcPr>
          <w:p>
            <w:pPr>
              <w:spacing w:after="0"/>
              <w:rPr>
                <w:sz w:val="19"/>
                <w:szCs w:val="19"/>
                <w:color w:val="auto"/>
              </w:rPr>
            </w:pPr>
          </w:p>
        </w:tc>
      </w:tr>
      <w:tr>
        <w:trPr>
          <w:trHeight w:val="227"/>
        </w:trPr>
        <w:tc>
          <w:tcPr>
            <w:tcW w:w="2760" w:type="dxa"/>
            <w:vAlign w:val="bottom"/>
          </w:tcPr>
          <w:p>
            <w:pPr>
              <w:spacing w:after="0"/>
              <w:rPr>
                <w:sz w:val="19"/>
                <w:szCs w:val="19"/>
                <w:color w:val="auto"/>
              </w:rPr>
            </w:pPr>
          </w:p>
        </w:tc>
        <w:tc>
          <w:tcPr>
            <w:tcW w:w="1000" w:type="dxa"/>
            <w:vAlign w:val="bottom"/>
            <w:tcBorders>
              <w:bottom w:val="single" w:sz="8" w:color="auto"/>
            </w:tcBorders>
            <w:shd w:val="clear" w:color="auto" w:fill="EAEAEA"/>
          </w:tcPr>
          <w:p>
            <w:pPr>
              <w:ind w:left="280"/>
              <w:spacing w:after="0"/>
              <w:rPr>
                <w:sz w:val="20"/>
                <w:szCs w:val="20"/>
                <w:color w:val="auto"/>
              </w:rPr>
            </w:pPr>
            <w:r>
              <w:rPr>
                <w:rFonts w:ascii="Arial" w:cs="Arial" w:eastAsia="Arial" w:hAnsi="Arial"/>
                <w:sz w:val="16"/>
                <w:szCs w:val="16"/>
                <w:color w:val="auto"/>
                <w:w w:val="98"/>
              </w:rPr>
              <w:t>3/10/2021</w:t>
            </w:r>
          </w:p>
        </w:tc>
        <w:tc>
          <w:tcPr>
            <w:tcW w:w="1120" w:type="dxa"/>
            <w:vAlign w:val="bottom"/>
            <w:tcBorders>
              <w:bottom w:val="single" w:sz="8" w:color="auto"/>
            </w:tcBorders>
          </w:tcPr>
          <w:p>
            <w:pPr>
              <w:jc w:val="right"/>
              <w:ind w:right="205"/>
              <w:spacing w:after="0"/>
              <w:rPr>
                <w:sz w:val="20"/>
                <w:szCs w:val="20"/>
                <w:color w:val="auto"/>
              </w:rPr>
            </w:pPr>
            <w:r>
              <w:rPr>
                <w:rFonts w:ascii="Arial" w:cs="Arial" w:eastAsia="Arial" w:hAnsi="Arial"/>
                <w:sz w:val="16"/>
                <w:szCs w:val="16"/>
                <w:color w:val="auto"/>
              </w:rPr>
              <w:t>3,873**</w:t>
            </w:r>
          </w:p>
        </w:tc>
        <w:tc>
          <w:tcPr>
            <w:tcW w:w="660" w:type="dxa"/>
            <w:vAlign w:val="bottom"/>
            <w:tcBorders>
              <w:bottom w:val="single" w:sz="8" w:color="auto"/>
            </w:tcBorders>
            <w:shd w:val="clear" w:color="auto" w:fill="EAEAEA"/>
          </w:tcPr>
          <w:p>
            <w:pPr>
              <w:jc w:val="right"/>
              <w:ind w:right="3"/>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37.47</w:t>
            </w:r>
          </w:p>
        </w:tc>
        <w:tc>
          <w:tcPr>
            <w:tcW w:w="680" w:type="dxa"/>
            <w:vAlign w:val="bottom"/>
            <w:tcBorders>
              <w:bottom w:val="single" w:sz="8" w:color="auto"/>
            </w:tcBorders>
            <w:shd w:val="clear" w:color="auto" w:fill="EAEAEA"/>
          </w:tcPr>
          <w:p>
            <w:pPr>
              <w:jc w:val="right"/>
              <w:ind w:right="4"/>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0.32</w:t>
            </w:r>
          </w:p>
        </w:tc>
        <w:tc>
          <w:tcPr>
            <w:tcW w:w="740" w:type="dxa"/>
            <w:vAlign w:val="bottom"/>
            <w:tcBorders>
              <w:bottom w:val="single" w:sz="8" w:color="auto"/>
            </w:tcBorders>
            <w:shd w:val="clear" w:color="auto" w:fill="EAEAEA"/>
          </w:tcPr>
          <w:p>
            <w:pPr>
              <w:ind w:left="380"/>
              <w:spacing w:after="0"/>
              <w:rPr>
                <w:sz w:val="20"/>
                <w:szCs w:val="20"/>
                <w:color w:val="auto"/>
              </w:rPr>
            </w:pPr>
            <w:r>
              <w:rPr>
                <w:rFonts w:ascii="Arial" w:cs="Arial" w:eastAsia="Arial" w:hAnsi="Arial"/>
                <w:sz w:val="16"/>
                <w:szCs w:val="16"/>
                <w:color w:val="auto"/>
              </w:rPr>
              <w:t>1.86</w:t>
            </w:r>
          </w:p>
        </w:tc>
        <w:tc>
          <w:tcPr>
            <w:tcW w:w="8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163.14</w:t>
            </w:r>
          </w:p>
        </w:tc>
        <w:tc>
          <w:tcPr>
            <w:tcW w:w="1100" w:type="dxa"/>
            <w:vAlign w:val="bottom"/>
            <w:tcBorders>
              <w:bottom w:val="single" w:sz="8" w:color="auto"/>
            </w:tcBorders>
            <w:shd w:val="clear" w:color="auto" w:fill="EAEAEA"/>
          </w:tcPr>
          <w:p>
            <w:pPr>
              <w:jc w:val="right"/>
              <w:ind w:right="9"/>
              <w:spacing w:after="0"/>
              <w:rPr>
                <w:sz w:val="20"/>
                <w:szCs w:val="20"/>
                <w:color w:val="auto"/>
              </w:rPr>
            </w:pPr>
            <w:r>
              <w:rPr>
                <w:rFonts w:ascii="Arial" w:cs="Arial" w:eastAsia="Arial" w:hAnsi="Arial"/>
                <w:sz w:val="16"/>
                <w:szCs w:val="16"/>
                <w:color w:val="auto"/>
              </w:rPr>
              <w:t>1,263,682</w:t>
            </w:r>
          </w:p>
        </w:tc>
      </w:tr>
      <w:tr>
        <w:trPr>
          <w:trHeight w:val="227"/>
        </w:trPr>
        <w:tc>
          <w:tcPr>
            <w:tcW w:w="2760" w:type="dxa"/>
            <w:vAlign w:val="bottom"/>
            <w:tcBorders>
              <w:bottom w:val="single" w:sz="8" w:color="0066BA"/>
            </w:tcBorders>
          </w:tcPr>
          <w:p>
            <w:pPr>
              <w:spacing w:after="0"/>
              <w:rPr>
                <w:sz w:val="19"/>
                <w:szCs w:val="19"/>
                <w:color w:val="auto"/>
              </w:rPr>
            </w:pPr>
          </w:p>
        </w:tc>
        <w:tc>
          <w:tcPr>
            <w:tcW w:w="1000" w:type="dxa"/>
            <w:vAlign w:val="bottom"/>
            <w:tcBorders>
              <w:bottom w:val="single" w:sz="8" w:color="0066BA"/>
            </w:tcBorders>
            <w:shd w:val="clear" w:color="auto" w:fill="EAEAEA"/>
          </w:tcPr>
          <w:p>
            <w:pPr>
              <w:ind w:left="280"/>
              <w:spacing w:after="0"/>
              <w:rPr>
                <w:sz w:val="20"/>
                <w:szCs w:val="20"/>
                <w:color w:val="auto"/>
              </w:rPr>
            </w:pPr>
            <w:r>
              <w:rPr>
                <w:rFonts w:ascii="Arial" w:cs="Arial" w:eastAsia="Arial" w:hAnsi="Arial"/>
                <w:sz w:val="16"/>
                <w:szCs w:val="16"/>
                <w:color w:val="auto"/>
                <w:w w:val="98"/>
              </w:rPr>
              <w:t>3/10/2021</w:t>
            </w:r>
          </w:p>
        </w:tc>
        <w:tc>
          <w:tcPr>
            <w:tcW w:w="1120" w:type="dxa"/>
            <w:vAlign w:val="bottom"/>
            <w:tcBorders>
              <w:bottom w:val="single" w:sz="8" w:color="0066BA"/>
            </w:tcBorders>
          </w:tcPr>
          <w:p>
            <w:pPr>
              <w:jc w:val="right"/>
              <w:ind w:right="125"/>
              <w:spacing w:after="0"/>
              <w:rPr>
                <w:sz w:val="20"/>
                <w:szCs w:val="20"/>
                <w:color w:val="auto"/>
              </w:rPr>
            </w:pPr>
            <w:r>
              <w:rPr>
                <w:rFonts w:ascii="Arial" w:cs="Arial" w:eastAsia="Arial" w:hAnsi="Arial"/>
                <w:sz w:val="16"/>
                <w:szCs w:val="16"/>
                <w:color w:val="auto"/>
              </w:rPr>
              <w:t>3,873***</w:t>
            </w:r>
          </w:p>
        </w:tc>
        <w:tc>
          <w:tcPr>
            <w:tcW w:w="660" w:type="dxa"/>
            <w:vAlign w:val="bottom"/>
            <w:tcBorders>
              <w:bottom w:val="single" w:sz="8" w:color="0066BA"/>
            </w:tcBorders>
            <w:shd w:val="clear" w:color="auto" w:fill="EAEAEA"/>
          </w:tcPr>
          <w:p>
            <w:pPr>
              <w:jc w:val="right"/>
              <w:ind w:right="3"/>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0066BA"/>
            </w:tcBorders>
          </w:tcPr>
          <w:p>
            <w:pPr>
              <w:jc w:val="right"/>
              <w:ind w:right="3"/>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0066BA"/>
            </w:tcBorders>
            <w:shd w:val="clear" w:color="auto" w:fill="EAEAEA"/>
          </w:tcPr>
          <w:p>
            <w:pPr>
              <w:jc w:val="right"/>
              <w:ind w:right="4"/>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0066BA"/>
            </w:tcBorders>
          </w:tcPr>
          <w:p>
            <w:pPr>
              <w:jc w:val="right"/>
              <w:ind w:right="5"/>
              <w:spacing w:after="0"/>
              <w:rPr>
                <w:sz w:val="20"/>
                <w:szCs w:val="20"/>
                <w:color w:val="auto"/>
              </w:rPr>
            </w:pPr>
            <w:r>
              <w:rPr>
                <w:rFonts w:ascii="Arial" w:cs="Arial" w:eastAsia="Arial" w:hAnsi="Arial"/>
                <w:sz w:val="16"/>
                <w:szCs w:val="16"/>
                <w:color w:val="auto"/>
              </w:rPr>
              <w:t>0.80</w:t>
            </w:r>
          </w:p>
        </w:tc>
        <w:tc>
          <w:tcPr>
            <w:tcW w:w="740" w:type="dxa"/>
            <w:vAlign w:val="bottom"/>
            <w:tcBorders>
              <w:bottom w:val="single" w:sz="8" w:color="0066BA"/>
            </w:tcBorders>
            <w:shd w:val="clear" w:color="auto" w:fill="EAEAEA"/>
          </w:tcPr>
          <w:p>
            <w:pPr>
              <w:ind w:left="380"/>
              <w:spacing w:after="0"/>
              <w:rPr>
                <w:sz w:val="20"/>
                <w:szCs w:val="20"/>
                <w:color w:val="auto"/>
              </w:rPr>
            </w:pPr>
            <w:r>
              <w:rPr>
                <w:rFonts w:ascii="Arial" w:cs="Arial" w:eastAsia="Arial" w:hAnsi="Arial"/>
                <w:sz w:val="16"/>
                <w:szCs w:val="16"/>
                <w:color w:val="auto"/>
              </w:rPr>
              <w:t>1.88</w:t>
            </w:r>
          </w:p>
        </w:tc>
        <w:tc>
          <w:tcPr>
            <w:tcW w:w="820" w:type="dxa"/>
            <w:vAlign w:val="bottom"/>
            <w:tcBorders>
              <w:bottom w:val="single" w:sz="8" w:color="0066BA"/>
            </w:tcBorders>
          </w:tcPr>
          <w:p>
            <w:pPr>
              <w:jc w:val="right"/>
              <w:ind w:right="5"/>
              <w:spacing w:after="0"/>
              <w:rPr>
                <w:sz w:val="20"/>
                <w:szCs w:val="20"/>
                <w:color w:val="auto"/>
              </w:rPr>
            </w:pPr>
            <w:r>
              <w:rPr>
                <w:rFonts w:ascii="Arial" w:cs="Arial" w:eastAsia="Arial" w:hAnsi="Arial"/>
                <w:sz w:val="16"/>
                <w:szCs w:val="16"/>
                <w:color w:val="auto"/>
              </w:rPr>
              <w:t>140.30</w:t>
            </w:r>
          </w:p>
        </w:tc>
        <w:tc>
          <w:tcPr>
            <w:tcW w:w="1100" w:type="dxa"/>
            <w:vAlign w:val="bottom"/>
            <w:tcBorders>
              <w:bottom w:val="single" w:sz="8" w:color="0066BA"/>
            </w:tcBorders>
            <w:shd w:val="clear" w:color="auto" w:fill="EAEAEA"/>
          </w:tcPr>
          <w:p>
            <w:pPr>
              <w:jc w:val="right"/>
              <w:ind w:right="9"/>
              <w:spacing w:after="0"/>
              <w:rPr>
                <w:sz w:val="20"/>
                <w:szCs w:val="20"/>
                <w:color w:val="auto"/>
              </w:rPr>
            </w:pPr>
            <w:r>
              <w:rPr>
                <w:rFonts w:ascii="Arial" w:cs="Arial" w:eastAsia="Arial" w:hAnsi="Arial"/>
                <w:sz w:val="16"/>
                <w:szCs w:val="16"/>
                <w:color w:val="auto"/>
              </w:rPr>
              <w:t>1,086,764</w:t>
            </w:r>
          </w:p>
        </w:tc>
      </w:tr>
      <w:tr>
        <w:trPr>
          <w:trHeight w:val="227"/>
        </w:trPr>
        <w:tc>
          <w:tcPr>
            <w:tcW w:w="2760" w:type="dxa"/>
            <w:vAlign w:val="bottom"/>
          </w:tcPr>
          <w:p>
            <w:pPr>
              <w:spacing w:after="0"/>
              <w:rPr>
                <w:sz w:val="19"/>
                <w:szCs w:val="19"/>
                <w:color w:val="auto"/>
              </w:rPr>
            </w:pPr>
          </w:p>
        </w:tc>
        <w:tc>
          <w:tcPr>
            <w:tcW w:w="1000" w:type="dxa"/>
            <w:vAlign w:val="bottom"/>
            <w:tcBorders>
              <w:bottom w:val="single" w:sz="8" w:color="auto"/>
            </w:tcBorders>
            <w:shd w:val="clear" w:color="auto" w:fill="EAEAEA"/>
          </w:tcPr>
          <w:p>
            <w:pPr>
              <w:ind w:left="280"/>
              <w:spacing w:after="0"/>
              <w:rPr>
                <w:sz w:val="20"/>
                <w:szCs w:val="20"/>
                <w:color w:val="auto"/>
              </w:rPr>
            </w:pPr>
            <w:r>
              <w:rPr>
                <w:rFonts w:ascii="Arial" w:cs="Arial" w:eastAsia="Arial" w:hAnsi="Arial"/>
                <w:sz w:val="16"/>
                <w:szCs w:val="16"/>
                <w:color w:val="auto"/>
                <w:w w:val="98"/>
              </w:rPr>
              <w:t>3/15/2021</w:t>
            </w:r>
          </w:p>
        </w:tc>
        <w:tc>
          <w:tcPr>
            <w:tcW w:w="1120" w:type="dxa"/>
            <w:vAlign w:val="bottom"/>
            <w:tcBorders>
              <w:bottom w:val="single" w:sz="8" w:color="auto"/>
            </w:tcBorders>
          </w:tcPr>
          <w:p>
            <w:pPr>
              <w:jc w:val="right"/>
              <w:ind w:right="285"/>
              <w:spacing w:after="0"/>
              <w:rPr>
                <w:sz w:val="20"/>
                <w:szCs w:val="20"/>
                <w:color w:val="auto"/>
              </w:rPr>
            </w:pPr>
            <w:r>
              <w:rPr>
                <w:rFonts w:ascii="Arial" w:cs="Arial" w:eastAsia="Arial" w:hAnsi="Arial"/>
                <w:sz w:val="16"/>
                <w:szCs w:val="16"/>
                <w:color w:val="auto"/>
              </w:rPr>
              <w:t>2,289*</w:t>
            </w:r>
          </w:p>
        </w:tc>
        <w:tc>
          <w:tcPr>
            <w:tcW w:w="660" w:type="dxa"/>
            <w:vAlign w:val="bottom"/>
            <w:tcBorders>
              <w:bottom w:val="single" w:sz="8" w:color="auto"/>
            </w:tcBorders>
            <w:shd w:val="clear" w:color="auto" w:fill="EAEAEA"/>
          </w:tcPr>
          <w:p>
            <w:pPr>
              <w:jc w:val="right"/>
              <w:ind w:right="3"/>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EAEAEA"/>
          </w:tcPr>
          <w:p>
            <w:pPr>
              <w:jc w:val="right"/>
              <w:ind w:right="4"/>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0.84</w:t>
            </w:r>
          </w:p>
        </w:tc>
        <w:tc>
          <w:tcPr>
            <w:tcW w:w="740" w:type="dxa"/>
            <w:vAlign w:val="bottom"/>
            <w:tcBorders>
              <w:bottom w:val="single" w:sz="8" w:color="auto"/>
            </w:tcBorders>
            <w:shd w:val="clear" w:color="auto" w:fill="EAEAEA"/>
          </w:tcPr>
          <w:p>
            <w:pPr>
              <w:ind w:left="380"/>
              <w:spacing w:after="0"/>
              <w:rPr>
                <w:sz w:val="20"/>
                <w:szCs w:val="20"/>
                <w:color w:val="auto"/>
              </w:rPr>
            </w:pPr>
            <w:r>
              <w:rPr>
                <w:rFonts w:ascii="Arial" w:cs="Arial" w:eastAsia="Arial" w:hAnsi="Arial"/>
                <w:sz w:val="16"/>
                <w:szCs w:val="16"/>
                <w:color w:val="auto"/>
              </w:rPr>
              <w:t>1.83</w:t>
            </w:r>
          </w:p>
        </w:tc>
        <w:tc>
          <w:tcPr>
            <w:tcW w:w="8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144.19</w:t>
            </w:r>
          </w:p>
        </w:tc>
        <w:tc>
          <w:tcPr>
            <w:tcW w:w="1100" w:type="dxa"/>
            <w:vAlign w:val="bottom"/>
            <w:tcBorders>
              <w:bottom w:val="single" w:sz="8" w:color="auto"/>
            </w:tcBorders>
            <w:shd w:val="clear" w:color="auto" w:fill="EAEAEA"/>
          </w:tcPr>
          <w:p>
            <w:pPr>
              <w:spacing w:after="0"/>
              <w:rPr>
                <w:sz w:val="19"/>
                <w:szCs w:val="19"/>
                <w:color w:val="auto"/>
              </w:rPr>
            </w:pPr>
          </w:p>
        </w:tc>
      </w:tr>
      <w:tr>
        <w:trPr>
          <w:trHeight w:val="227"/>
        </w:trPr>
        <w:tc>
          <w:tcPr>
            <w:tcW w:w="2760" w:type="dxa"/>
            <w:vAlign w:val="bottom"/>
          </w:tcPr>
          <w:p>
            <w:pPr>
              <w:spacing w:after="0"/>
              <w:rPr>
                <w:sz w:val="19"/>
                <w:szCs w:val="19"/>
                <w:color w:val="auto"/>
              </w:rPr>
            </w:pPr>
          </w:p>
        </w:tc>
        <w:tc>
          <w:tcPr>
            <w:tcW w:w="1000" w:type="dxa"/>
            <w:vAlign w:val="bottom"/>
            <w:tcBorders>
              <w:bottom w:val="single" w:sz="8" w:color="auto"/>
            </w:tcBorders>
            <w:shd w:val="clear" w:color="auto" w:fill="EAEAEA"/>
          </w:tcPr>
          <w:p>
            <w:pPr>
              <w:ind w:left="280"/>
              <w:spacing w:after="0"/>
              <w:rPr>
                <w:sz w:val="20"/>
                <w:szCs w:val="20"/>
                <w:color w:val="auto"/>
              </w:rPr>
            </w:pPr>
            <w:r>
              <w:rPr>
                <w:rFonts w:ascii="Arial" w:cs="Arial" w:eastAsia="Arial" w:hAnsi="Arial"/>
                <w:sz w:val="16"/>
                <w:szCs w:val="16"/>
                <w:color w:val="auto"/>
                <w:w w:val="98"/>
              </w:rPr>
              <w:t>3/15/2021</w:t>
            </w:r>
          </w:p>
        </w:tc>
        <w:tc>
          <w:tcPr>
            <w:tcW w:w="1120" w:type="dxa"/>
            <w:vAlign w:val="bottom"/>
            <w:tcBorders>
              <w:bottom w:val="single" w:sz="8" w:color="auto"/>
            </w:tcBorders>
          </w:tcPr>
          <w:p>
            <w:pPr>
              <w:jc w:val="right"/>
              <w:ind w:right="205"/>
              <w:spacing w:after="0"/>
              <w:rPr>
                <w:sz w:val="20"/>
                <w:szCs w:val="20"/>
                <w:color w:val="auto"/>
              </w:rPr>
            </w:pPr>
            <w:r>
              <w:rPr>
                <w:rFonts w:ascii="Arial" w:cs="Arial" w:eastAsia="Arial" w:hAnsi="Arial"/>
                <w:sz w:val="16"/>
                <w:szCs w:val="16"/>
                <w:color w:val="auto"/>
              </w:rPr>
              <w:t>2,289**</w:t>
            </w:r>
          </w:p>
        </w:tc>
        <w:tc>
          <w:tcPr>
            <w:tcW w:w="660" w:type="dxa"/>
            <w:vAlign w:val="bottom"/>
            <w:tcBorders>
              <w:bottom w:val="single" w:sz="8" w:color="auto"/>
            </w:tcBorders>
            <w:shd w:val="clear" w:color="auto" w:fill="EAEAEA"/>
          </w:tcPr>
          <w:p>
            <w:pPr>
              <w:jc w:val="right"/>
              <w:ind w:right="3"/>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37.47</w:t>
            </w:r>
          </w:p>
        </w:tc>
        <w:tc>
          <w:tcPr>
            <w:tcW w:w="680" w:type="dxa"/>
            <w:vAlign w:val="bottom"/>
            <w:tcBorders>
              <w:bottom w:val="single" w:sz="8" w:color="auto"/>
            </w:tcBorders>
            <w:shd w:val="clear" w:color="auto" w:fill="EAEAEA"/>
          </w:tcPr>
          <w:p>
            <w:pPr>
              <w:jc w:val="right"/>
              <w:ind w:right="4"/>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0.32</w:t>
            </w:r>
          </w:p>
        </w:tc>
        <w:tc>
          <w:tcPr>
            <w:tcW w:w="740" w:type="dxa"/>
            <w:vAlign w:val="bottom"/>
            <w:tcBorders>
              <w:bottom w:val="single" w:sz="8" w:color="auto"/>
            </w:tcBorders>
            <w:shd w:val="clear" w:color="auto" w:fill="EAEAEA"/>
          </w:tcPr>
          <w:p>
            <w:pPr>
              <w:ind w:left="380"/>
              <w:spacing w:after="0"/>
              <w:rPr>
                <w:sz w:val="20"/>
                <w:szCs w:val="20"/>
                <w:color w:val="auto"/>
              </w:rPr>
            </w:pPr>
            <w:r>
              <w:rPr>
                <w:rFonts w:ascii="Arial" w:cs="Arial" w:eastAsia="Arial" w:hAnsi="Arial"/>
                <w:sz w:val="16"/>
                <w:szCs w:val="16"/>
                <w:color w:val="auto"/>
              </w:rPr>
              <w:t>1.86</w:t>
            </w:r>
          </w:p>
        </w:tc>
        <w:tc>
          <w:tcPr>
            <w:tcW w:w="8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163.14</w:t>
            </w:r>
          </w:p>
        </w:tc>
        <w:tc>
          <w:tcPr>
            <w:tcW w:w="1100" w:type="dxa"/>
            <w:vAlign w:val="bottom"/>
            <w:tcBorders>
              <w:bottom w:val="single" w:sz="8" w:color="auto"/>
            </w:tcBorders>
            <w:shd w:val="clear" w:color="auto" w:fill="EAEAEA"/>
          </w:tcPr>
          <w:p>
            <w:pPr>
              <w:jc w:val="right"/>
              <w:ind w:right="9"/>
              <w:spacing w:after="0"/>
              <w:rPr>
                <w:sz w:val="20"/>
                <w:szCs w:val="20"/>
                <w:color w:val="auto"/>
              </w:rPr>
            </w:pPr>
            <w:r>
              <w:rPr>
                <w:rFonts w:ascii="Arial" w:cs="Arial" w:eastAsia="Arial" w:hAnsi="Arial"/>
                <w:sz w:val="16"/>
                <w:szCs w:val="16"/>
                <w:color w:val="auto"/>
              </w:rPr>
              <w:t>746,854</w:t>
            </w:r>
          </w:p>
        </w:tc>
      </w:tr>
      <w:tr>
        <w:trPr>
          <w:trHeight w:val="227"/>
        </w:trPr>
        <w:tc>
          <w:tcPr>
            <w:tcW w:w="2760" w:type="dxa"/>
            <w:vAlign w:val="bottom"/>
          </w:tcPr>
          <w:p>
            <w:pPr>
              <w:ind w:left="60"/>
              <w:spacing w:after="0"/>
              <w:rPr>
                <w:sz w:val="20"/>
                <w:szCs w:val="20"/>
                <w:color w:val="auto"/>
              </w:rPr>
            </w:pPr>
            <w:r>
              <w:rPr>
                <w:rFonts w:ascii="Arial" w:cs="Arial" w:eastAsia="Arial" w:hAnsi="Arial"/>
                <w:sz w:val="16"/>
                <w:szCs w:val="16"/>
                <w:b w:val="1"/>
                <w:bCs w:val="1"/>
                <w:color w:val="0066BA"/>
              </w:rPr>
              <w:t>Anelise Sacks</w:t>
            </w:r>
          </w:p>
        </w:tc>
        <w:tc>
          <w:tcPr>
            <w:tcW w:w="1000" w:type="dxa"/>
            <w:vAlign w:val="bottom"/>
            <w:tcBorders>
              <w:bottom w:val="single" w:sz="8" w:color="auto"/>
            </w:tcBorders>
            <w:shd w:val="clear" w:color="auto" w:fill="EAEAEA"/>
          </w:tcPr>
          <w:p>
            <w:pPr>
              <w:ind w:left="280"/>
              <w:spacing w:after="0"/>
              <w:rPr>
                <w:sz w:val="20"/>
                <w:szCs w:val="20"/>
                <w:color w:val="auto"/>
              </w:rPr>
            </w:pPr>
            <w:r>
              <w:rPr>
                <w:rFonts w:ascii="Arial" w:cs="Arial" w:eastAsia="Arial" w:hAnsi="Arial"/>
                <w:sz w:val="16"/>
                <w:szCs w:val="16"/>
                <w:color w:val="auto"/>
                <w:w w:val="98"/>
              </w:rPr>
              <w:t>3/15/2021</w:t>
            </w:r>
          </w:p>
        </w:tc>
        <w:tc>
          <w:tcPr>
            <w:tcW w:w="1120" w:type="dxa"/>
            <w:vAlign w:val="bottom"/>
            <w:tcBorders>
              <w:bottom w:val="single" w:sz="8" w:color="auto"/>
            </w:tcBorders>
          </w:tcPr>
          <w:p>
            <w:pPr>
              <w:jc w:val="right"/>
              <w:ind w:right="365"/>
              <w:spacing w:after="0"/>
              <w:rPr>
                <w:sz w:val="20"/>
                <w:szCs w:val="20"/>
                <w:color w:val="auto"/>
              </w:rPr>
            </w:pPr>
            <w:r>
              <w:rPr>
                <w:rFonts w:ascii="Arial" w:cs="Arial" w:eastAsia="Arial" w:hAnsi="Arial"/>
                <w:sz w:val="16"/>
                <w:szCs w:val="16"/>
                <w:color w:val="auto"/>
              </w:rPr>
              <w:t>8,366</w:t>
            </w:r>
          </w:p>
        </w:tc>
        <w:tc>
          <w:tcPr>
            <w:tcW w:w="660" w:type="dxa"/>
            <w:vAlign w:val="bottom"/>
            <w:tcBorders>
              <w:bottom w:val="single" w:sz="8" w:color="auto"/>
            </w:tcBorders>
            <w:shd w:val="clear" w:color="auto" w:fill="EAEAEA"/>
          </w:tcPr>
          <w:p>
            <w:pPr>
              <w:jc w:val="right"/>
              <w:ind w:right="3"/>
              <w:spacing w:after="0"/>
              <w:rPr>
                <w:sz w:val="20"/>
                <w:szCs w:val="20"/>
                <w:color w:val="auto"/>
              </w:rPr>
            </w:pPr>
            <w:r>
              <w:rPr>
                <w:rFonts w:ascii="Arial" w:cs="Arial" w:eastAsia="Arial" w:hAnsi="Arial"/>
                <w:sz w:val="16"/>
                <w:szCs w:val="16"/>
                <w:color w:val="auto"/>
              </w:rPr>
              <w:t>151.00</w:t>
            </w: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35.25</w:t>
            </w:r>
          </w:p>
        </w:tc>
        <w:tc>
          <w:tcPr>
            <w:tcW w:w="680" w:type="dxa"/>
            <w:vAlign w:val="bottom"/>
            <w:tcBorders>
              <w:bottom w:val="single" w:sz="8" w:color="auto"/>
            </w:tcBorders>
            <w:shd w:val="clear" w:color="auto" w:fill="EAEAEA"/>
          </w:tcPr>
          <w:p>
            <w:pPr>
              <w:jc w:val="right"/>
              <w:ind w:right="4"/>
              <w:spacing w:after="0"/>
              <w:rPr>
                <w:sz w:val="20"/>
                <w:szCs w:val="20"/>
                <w:color w:val="auto"/>
              </w:rPr>
            </w:pPr>
            <w:r>
              <w:rPr>
                <w:rFonts w:ascii="Arial" w:cs="Arial" w:eastAsia="Arial" w:hAnsi="Arial"/>
                <w:sz w:val="16"/>
                <w:szCs w:val="16"/>
                <w:color w:val="auto"/>
              </w:rPr>
              <w:t>5.0</w:t>
            </w:r>
          </w:p>
        </w:tc>
        <w:tc>
          <w:tcPr>
            <w:tcW w:w="7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0.84</w:t>
            </w:r>
          </w:p>
        </w:tc>
        <w:tc>
          <w:tcPr>
            <w:tcW w:w="740" w:type="dxa"/>
            <w:vAlign w:val="bottom"/>
            <w:tcBorders>
              <w:bottom w:val="single" w:sz="8" w:color="auto"/>
            </w:tcBorders>
            <w:shd w:val="clear" w:color="auto" w:fill="EAEAEA"/>
          </w:tcPr>
          <w:p>
            <w:pPr>
              <w:ind w:left="380"/>
              <w:spacing w:after="0"/>
              <w:rPr>
                <w:sz w:val="20"/>
                <w:szCs w:val="20"/>
                <w:color w:val="auto"/>
              </w:rPr>
            </w:pPr>
            <w:r>
              <w:rPr>
                <w:rFonts w:ascii="Arial" w:cs="Arial" w:eastAsia="Arial" w:hAnsi="Arial"/>
                <w:sz w:val="16"/>
                <w:szCs w:val="16"/>
                <w:color w:val="auto"/>
              </w:rPr>
              <w:t>1.83</w:t>
            </w:r>
          </w:p>
        </w:tc>
        <w:tc>
          <w:tcPr>
            <w:tcW w:w="8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39.90</w:t>
            </w:r>
          </w:p>
        </w:tc>
        <w:tc>
          <w:tcPr>
            <w:tcW w:w="1100" w:type="dxa"/>
            <w:vAlign w:val="bottom"/>
            <w:tcBorders>
              <w:bottom w:val="single" w:sz="8" w:color="auto"/>
            </w:tcBorders>
            <w:shd w:val="clear" w:color="auto" w:fill="EAEAEA"/>
          </w:tcPr>
          <w:p>
            <w:pPr>
              <w:spacing w:after="0"/>
              <w:rPr>
                <w:sz w:val="19"/>
                <w:szCs w:val="19"/>
                <w:color w:val="auto"/>
              </w:rPr>
            </w:pPr>
          </w:p>
        </w:tc>
      </w:tr>
      <w:tr>
        <w:trPr>
          <w:trHeight w:val="227"/>
        </w:trPr>
        <w:tc>
          <w:tcPr>
            <w:tcW w:w="2760" w:type="dxa"/>
            <w:vAlign w:val="bottom"/>
          </w:tcPr>
          <w:p>
            <w:pPr>
              <w:spacing w:after="0"/>
              <w:rPr>
                <w:sz w:val="19"/>
                <w:szCs w:val="19"/>
                <w:color w:val="auto"/>
              </w:rPr>
            </w:pPr>
          </w:p>
        </w:tc>
        <w:tc>
          <w:tcPr>
            <w:tcW w:w="1000" w:type="dxa"/>
            <w:vAlign w:val="bottom"/>
            <w:tcBorders>
              <w:bottom w:val="single" w:sz="8" w:color="auto"/>
            </w:tcBorders>
            <w:shd w:val="clear" w:color="auto" w:fill="EAEAEA"/>
          </w:tcPr>
          <w:p>
            <w:pPr>
              <w:ind w:left="280"/>
              <w:spacing w:after="0"/>
              <w:rPr>
                <w:sz w:val="20"/>
                <w:szCs w:val="20"/>
                <w:color w:val="auto"/>
              </w:rPr>
            </w:pPr>
            <w:r>
              <w:rPr>
                <w:rFonts w:ascii="Arial" w:cs="Arial" w:eastAsia="Arial" w:hAnsi="Arial"/>
                <w:sz w:val="16"/>
                <w:szCs w:val="16"/>
                <w:color w:val="auto"/>
                <w:w w:val="98"/>
              </w:rPr>
              <w:t>3/15/2021</w:t>
            </w:r>
          </w:p>
        </w:tc>
        <w:tc>
          <w:tcPr>
            <w:tcW w:w="112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color w:val="auto"/>
              </w:rPr>
              <w:t>2,289***</w:t>
            </w:r>
          </w:p>
        </w:tc>
        <w:tc>
          <w:tcPr>
            <w:tcW w:w="660" w:type="dxa"/>
            <w:vAlign w:val="bottom"/>
            <w:tcBorders>
              <w:bottom w:val="single" w:sz="8" w:color="auto"/>
            </w:tcBorders>
            <w:shd w:val="clear" w:color="auto" w:fill="EAEAEA"/>
          </w:tcPr>
          <w:p>
            <w:pPr>
              <w:jc w:val="right"/>
              <w:ind w:right="3"/>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35.25</w:t>
            </w:r>
          </w:p>
        </w:tc>
        <w:tc>
          <w:tcPr>
            <w:tcW w:w="680" w:type="dxa"/>
            <w:vAlign w:val="bottom"/>
            <w:tcBorders>
              <w:bottom w:val="single" w:sz="8" w:color="auto"/>
            </w:tcBorders>
            <w:shd w:val="clear" w:color="auto" w:fill="EAEAEA"/>
          </w:tcPr>
          <w:p>
            <w:pPr>
              <w:jc w:val="right"/>
              <w:ind w:right="4"/>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0.84</w:t>
            </w:r>
          </w:p>
        </w:tc>
        <w:tc>
          <w:tcPr>
            <w:tcW w:w="740" w:type="dxa"/>
            <w:vAlign w:val="bottom"/>
            <w:tcBorders>
              <w:bottom w:val="single" w:sz="8" w:color="auto"/>
            </w:tcBorders>
            <w:shd w:val="clear" w:color="auto" w:fill="EAEAEA"/>
          </w:tcPr>
          <w:p>
            <w:pPr>
              <w:ind w:left="380"/>
              <w:spacing w:after="0"/>
              <w:rPr>
                <w:sz w:val="20"/>
                <w:szCs w:val="20"/>
                <w:color w:val="auto"/>
              </w:rPr>
            </w:pPr>
            <w:r>
              <w:rPr>
                <w:rFonts w:ascii="Arial" w:cs="Arial" w:eastAsia="Arial" w:hAnsi="Arial"/>
                <w:sz w:val="16"/>
                <w:szCs w:val="16"/>
                <w:color w:val="auto"/>
              </w:rPr>
              <w:t>1.83</w:t>
            </w:r>
          </w:p>
        </w:tc>
        <w:tc>
          <w:tcPr>
            <w:tcW w:w="8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144.19</w:t>
            </w:r>
          </w:p>
        </w:tc>
        <w:tc>
          <w:tcPr>
            <w:tcW w:w="1100" w:type="dxa"/>
            <w:vAlign w:val="bottom"/>
            <w:tcBorders>
              <w:bottom w:val="single" w:sz="8" w:color="auto"/>
            </w:tcBorders>
            <w:shd w:val="clear" w:color="auto" w:fill="EAEAEA"/>
          </w:tcPr>
          <w:p>
            <w:pPr>
              <w:jc w:val="right"/>
              <w:ind w:right="9"/>
              <w:spacing w:after="0"/>
              <w:rPr>
                <w:sz w:val="20"/>
                <w:szCs w:val="20"/>
                <w:color w:val="auto"/>
              </w:rPr>
            </w:pPr>
            <w:r>
              <w:rPr>
                <w:rFonts w:ascii="Arial" w:cs="Arial" w:eastAsia="Arial" w:hAnsi="Arial"/>
                <w:sz w:val="16"/>
                <w:szCs w:val="16"/>
                <w:color w:val="auto"/>
              </w:rPr>
              <w:t>660,102</w:t>
            </w:r>
          </w:p>
        </w:tc>
      </w:tr>
      <w:tr>
        <w:trPr>
          <w:trHeight w:val="227"/>
        </w:trPr>
        <w:tc>
          <w:tcPr>
            <w:tcW w:w="2760" w:type="dxa"/>
            <w:vAlign w:val="bottom"/>
            <w:tcBorders>
              <w:bottom w:val="single" w:sz="8" w:color="0066BA"/>
            </w:tcBorders>
          </w:tcPr>
          <w:p>
            <w:pPr>
              <w:spacing w:after="0"/>
              <w:rPr>
                <w:sz w:val="19"/>
                <w:szCs w:val="19"/>
                <w:color w:val="auto"/>
              </w:rPr>
            </w:pPr>
          </w:p>
        </w:tc>
        <w:tc>
          <w:tcPr>
            <w:tcW w:w="1000" w:type="dxa"/>
            <w:vAlign w:val="bottom"/>
            <w:tcBorders>
              <w:bottom w:val="single" w:sz="8" w:color="0066BA"/>
            </w:tcBorders>
            <w:shd w:val="clear" w:color="auto" w:fill="EAEAEA"/>
          </w:tcPr>
          <w:p>
            <w:pPr>
              <w:ind w:left="280"/>
              <w:spacing w:after="0"/>
              <w:rPr>
                <w:sz w:val="20"/>
                <w:szCs w:val="20"/>
                <w:color w:val="auto"/>
              </w:rPr>
            </w:pPr>
            <w:r>
              <w:rPr>
                <w:rFonts w:ascii="Arial" w:cs="Arial" w:eastAsia="Arial" w:hAnsi="Arial"/>
                <w:sz w:val="16"/>
                <w:szCs w:val="16"/>
                <w:color w:val="auto"/>
                <w:w w:val="98"/>
              </w:rPr>
              <w:t>3/15/2021</w:t>
            </w:r>
          </w:p>
        </w:tc>
        <w:tc>
          <w:tcPr>
            <w:tcW w:w="1120" w:type="dxa"/>
            <w:vAlign w:val="bottom"/>
            <w:tcBorders>
              <w:bottom w:val="single" w:sz="8" w:color="0066BA"/>
            </w:tcBorders>
          </w:tcPr>
          <w:p>
            <w:pPr>
              <w:jc w:val="right"/>
              <w:spacing w:after="0"/>
              <w:rPr>
                <w:sz w:val="20"/>
                <w:szCs w:val="20"/>
                <w:color w:val="auto"/>
              </w:rPr>
            </w:pPr>
            <w:r>
              <w:rPr>
                <w:rFonts w:ascii="Arial" w:cs="Arial" w:eastAsia="Arial" w:hAnsi="Arial"/>
                <w:sz w:val="16"/>
                <w:szCs w:val="16"/>
                <w:color w:val="auto"/>
              </w:rPr>
              <w:t>11,377*****</w:t>
            </w:r>
          </w:p>
        </w:tc>
        <w:tc>
          <w:tcPr>
            <w:tcW w:w="660" w:type="dxa"/>
            <w:vAlign w:val="bottom"/>
            <w:tcBorders>
              <w:bottom w:val="single" w:sz="8" w:color="0066BA"/>
            </w:tcBorders>
            <w:shd w:val="clear" w:color="auto" w:fill="EAEAEA"/>
          </w:tcPr>
          <w:p>
            <w:pPr>
              <w:jc w:val="right"/>
              <w:ind w:right="3"/>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0066BA"/>
            </w:tcBorders>
          </w:tcPr>
          <w:p>
            <w:pPr>
              <w:jc w:val="right"/>
              <w:ind w:right="3"/>
              <w:spacing w:after="0"/>
              <w:rPr>
                <w:sz w:val="20"/>
                <w:szCs w:val="20"/>
                <w:color w:val="auto"/>
              </w:rPr>
            </w:pPr>
            <w:r>
              <w:rPr>
                <w:rFonts w:ascii="Arial" w:cs="Arial" w:eastAsia="Arial" w:hAnsi="Arial"/>
                <w:sz w:val="16"/>
                <w:szCs w:val="16"/>
                <w:color w:val="auto"/>
              </w:rPr>
              <w:t>35.25</w:t>
            </w:r>
          </w:p>
        </w:tc>
        <w:tc>
          <w:tcPr>
            <w:tcW w:w="680" w:type="dxa"/>
            <w:vAlign w:val="bottom"/>
            <w:tcBorders>
              <w:bottom w:val="single" w:sz="8" w:color="0066BA"/>
            </w:tcBorders>
            <w:shd w:val="clear" w:color="auto" w:fill="EAEAEA"/>
          </w:tcPr>
          <w:p>
            <w:pPr>
              <w:jc w:val="right"/>
              <w:ind w:right="4"/>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0066BA"/>
            </w:tcBorders>
          </w:tcPr>
          <w:p>
            <w:pPr>
              <w:jc w:val="right"/>
              <w:ind w:right="5"/>
              <w:spacing w:after="0"/>
              <w:rPr>
                <w:sz w:val="20"/>
                <w:szCs w:val="20"/>
                <w:color w:val="auto"/>
              </w:rPr>
            </w:pPr>
            <w:r>
              <w:rPr>
                <w:rFonts w:ascii="Arial" w:cs="Arial" w:eastAsia="Arial" w:hAnsi="Arial"/>
                <w:sz w:val="16"/>
                <w:szCs w:val="16"/>
                <w:color w:val="auto"/>
              </w:rPr>
              <w:t>0.84</w:t>
            </w:r>
          </w:p>
        </w:tc>
        <w:tc>
          <w:tcPr>
            <w:tcW w:w="740" w:type="dxa"/>
            <w:vAlign w:val="bottom"/>
            <w:tcBorders>
              <w:bottom w:val="single" w:sz="8" w:color="0066BA"/>
            </w:tcBorders>
            <w:shd w:val="clear" w:color="auto" w:fill="EAEAEA"/>
          </w:tcPr>
          <w:p>
            <w:pPr>
              <w:ind w:left="380"/>
              <w:spacing w:after="0"/>
              <w:rPr>
                <w:sz w:val="20"/>
                <w:szCs w:val="20"/>
                <w:color w:val="auto"/>
              </w:rPr>
            </w:pPr>
            <w:r>
              <w:rPr>
                <w:rFonts w:ascii="Arial" w:cs="Arial" w:eastAsia="Arial" w:hAnsi="Arial"/>
                <w:sz w:val="16"/>
                <w:szCs w:val="16"/>
                <w:color w:val="auto"/>
              </w:rPr>
              <w:t>1.83</w:t>
            </w:r>
          </w:p>
        </w:tc>
        <w:tc>
          <w:tcPr>
            <w:tcW w:w="820" w:type="dxa"/>
            <w:vAlign w:val="bottom"/>
            <w:tcBorders>
              <w:bottom w:val="single" w:sz="8" w:color="0066BA"/>
            </w:tcBorders>
          </w:tcPr>
          <w:p>
            <w:pPr>
              <w:jc w:val="right"/>
              <w:ind w:right="5"/>
              <w:spacing w:after="0"/>
              <w:rPr>
                <w:sz w:val="20"/>
                <w:szCs w:val="20"/>
                <w:color w:val="auto"/>
              </w:rPr>
            </w:pPr>
            <w:r>
              <w:rPr>
                <w:rFonts w:ascii="Arial" w:cs="Arial" w:eastAsia="Arial" w:hAnsi="Arial"/>
                <w:sz w:val="16"/>
                <w:szCs w:val="16"/>
                <w:color w:val="auto"/>
              </w:rPr>
              <w:t>144.19</w:t>
            </w:r>
          </w:p>
        </w:tc>
        <w:tc>
          <w:tcPr>
            <w:tcW w:w="1100" w:type="dxa"/>
            <w:vAlign w:val="bottom"/>
            <w:tcBorders>
              <w:bottom w:val="single" w:sz="8" w:color="0066BA"/>
            </w:tcBorders>
            <w:shd w:val="clear" w:color="auto" w:fill="EAEAEA"/>
          </w:tcPr>
          <w:p>
            <w:pPr>
              <w:jc w:val="right"/>
              <w:ind w:right="9"/>
              <w:spacing w:after="0"/>
              <w:rPr>
                <w:sz w:val="20"/>
                <w:szCs w:val="20"/>
                <w:color w:val="auto"/>
              </w:rPr>
            </w:pPr>
            <w:r>
              <w:rPr>
                <w:rFonts w:ascii="Arial" w:cs="Arial" w:eastAsia="Arial" w:hAnsi="Arial"/>
                <w:sz w:val="16"/>
                <w:szCs w:val="16"/>
                <w:color w:val="auto"/>
              </w:rPr>
              <w:t>3,280,900</w:t>
            </w:r>
          </w:p>
        </w:tc>
      </w:tr>
    </w:tbl>
    <w:p>
      <w:pPr>
        <w:spacing w:after="0" w:line="9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Entries above with single asterisks (*) are time-based RSUs, entries with double asterisks (**) are relative TSR PRSUs, entries with triple asterisks</w:t>
      </w:r>
    </w:p>
    <w:p>
      <w:pPr>
        <w:spacing w:after="0" w:line="37" w:lineRule="exact"/>
        <w:rPr>
          <w:sz w:val="20"/>
          <w:szCs w:val="20"/>
          <w:color w:val="auto"/>
        </w:rPr>
      </w:pPr>
    </w:p>
    <w:p>
      <w:pPr>
        <w:ind w:left="480" w:right="200" w:hanging="5"/>
        <w:spacing w:after="0" w:line="293" w:lineRule="auto"/>
        <w:tabs>
          <w:tab w:leader="none" w:pos="899" w:val="left"/>
        </w:tabs>
        <w:numPr>
          <w:ilvl w:val="0"/>
          <w:numId w:val="60"/>
        </w:numPr>
        <w:rPr>
          <w:rFonts w:ascii="Arial" w:cs="Arial" w:eastAsia="Arial" w:hAnsi="Arial"/>
          <w:sz w:val="15"/>
          <w:szCs w:val="15"/>
          <w:color w:val="auto"/>
        </w:rPr>
      </w:pPr>
      <w:r>
        <w:rPr>
          <w:rFonts w:ascii="Arial" w:cs="Arial" w:eastAsia="Arial" w:hAnsi="Arial"/>
          <w:sz w:val="15"/>
          <w:szCs w:val="15"/>
          <w:color w:val="auto"/>
        </w:rPr>
        <w:t>are financial metric PRSUs, entries with quadruple asterisks (****) are performance-based stock options, entries with quintuple asterisks (*****) are Maxim Integration PRSUs and entries without asterisks are stock options. The grant date fair value of time-based RSUs represents the value of our common stock on the date of grant, reduced by the present value of dividends expected to be paid on our common stock prior to vesting. The grant date fair value of the relative TSR PRSUs was calculated using the Monte Carlo simulation model which utilizes multiple input variables that determine the probability of satisfying the performance conditions stipulated in the award grant to calculate the fair market value. The Monte Carlo simulation model also uses stock price volatility and other variables to estimate the probability of satisfying the performance conditions, including the possibility that the market condition may not be satisfied, and the resulting fair value of the award. The grant date fair value of the financial metric PRSUs and Maxim Integration PRSUs represents the value at the grant date based upon the probable outcome of the performance conditions at the date of grant. The grant date fair value of stock options is computed using a Black-Scholes valuation methodology. The grant date fair value of the performance-based stock options is computed using a Monte Carlo simulation with a derived service period. For a more detailed description of the assumptions used for purposes of determining grant date fair value, see Note 2r and Note 3 to the Consolidated Financial Statements and “Management’s Discussion and Analysis of Financial Condition and Results of Operations—Critical Accounting Policies and Estimates—Stock-Based Compensation,” included in our Annual Report on Form 10-K for the year ended October 30, 2021.</w:t>
      </w: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0940"/>
          </w:cols>
          <w:pgMar w:left="320" w:top="447" w:right="63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880" w:right="460" w:hanging="405"/>
        <w:spacing w:after="0" w:line="286" w:lineRule="auto"/>
        <w:tabs>
          <w:tab w:leader="none" w:pos="8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Reflects the amounts earned under our executive performance incentive plan in fiscal 2021, 2020 and 2019, paid on a semi-annual basis following the end of the second and fourth quarters of each fiscal year.</w:t>
      </w:r>
    </w:p>
    <w:p>
      <w:pPr>
        <w:spacing w:after="0" w:line="67" w:lineRule="exact"/>
        <w:rPr>
          <w:rFonts w:ascii="Arial" w:cs="Arial" w:eastAsia="Arial" w:hAnsi="Arial"/>
          <w:sz w:val="17"/>
          <w:szCs w:val="17"/>
          <w:color w:val="auto"/>
        </w:rPr>
      </w:pPr>
    </w:p>
    <w:p>
      <w:pPr>
        <w:ind w:left="880" w:hanging="405"/>
        <w:spacing w:after="0"/>
        <w:tabs>
          <w:tab w:leader="none" w:pos="8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amounts shown in the “All Other Compensation” column are comprised of the following:</w:t>
      </w:r>
    </w:p>
    <w:p>
      <w:pPr>
        <w:spacing w:after="0" w:line="259" w:lineRule="exact"/>
        <w:rPr>
          <w:sz w:val="20"/>
          <w:szCs w:val="20"/>
          <w:color w:val="auto"/>
        </w:rPr>
      </w:pPr>
    </w:p>
    <w:tbl>
      <w:tblPr>
        <w:tblLayout w:type="fixed"/>
        <w:tblInd w:w="480" w:type="dxa"/>
        <w:tblCellMar>
          <w:top w:w="0" w:type="dxa"/>
          <w:left w:w="0" w:type="dxa"/>
          <w:bottom w:w="0" w:type="dxa"/>
          <w:right w:w="0" w:type="dxa"/>
        </w:tblCellMar>
      </w:tblPr>
      <w:tr>
        <w:trPr>
          <w:trHeight w:val="138"/>
        </w:trPr>
        <w:tc>
          <w:tcPr>
            <w:tcW w:w="4120" w:type="dxa"/>
            <w:vAlign w:val="bottom"/>
            <w:shd w:val="clear" w:color="auto" w:fill="0066BA"/>
          </w:tcPr>
          <w:p>
            <w:pPr>
              <w:spacing w:after="0"/>
              <w:rPr>
                <w:sz w:val="12"/>
                <w:szCs w:val="12"/>
                <w:color w:val="auto"/>
              </w:rPr>
            </w:pPr>
          </w:p>
        </w:tc>
        <w:tc>
          <w:tcPr>
            <w:tcW w:w="120" w:type="dxa"/>
            <w:vAlign w:val="bottom"/>
            <w:shd w:val="clear" w:color="auto" w:fill="0066BA"/>
          </w:tcPr>
          <w:p>
            <w:pPr>
              <w:spacing w:after="0"/>
              <w:rPr>
                <w:sz w:val="12"/>
                <w:szCs w:val="12"/>
                <w:color w:val="auto"/>
              </w:rPr>
            </w:pPr>
          </w:p>
        </w:tc>
        <w:tc>
          <w:tcPr>
            <w:tcW w:w="320" w:type="dxa"/>
            <w:vAlign w:val="bottom"/>
            <w:shd w:val="clear" w:color="auto" w:fill="0066BA"/>
          </w:tcPr>
          <w:p>
            <w:pPr>
              <w:spacing w:after="0"/>
              <w:rPr>
                <w:sz w:val="12"/>
                <w:szCs w:val="12"/>
                <w:color w:val="auto"/>
              </w:rPr>
            </w:pPr>
          </w:p>
        </w:tc>
        <w:tc>
          <w:tcPr>
            <w:tcW w:w="80" w:type="dxa"/>
            <w:vAlign w:val="bottom"/>
            <w:shd w:val="clear" w:color="auto" w:fill="0066BA"/>
          </w:tcPr>
          <w:p>
            <w:pPr>
              <w:spacing w:after="0"/>
              <w:rPr>
                <w:sz w:val="12"/>
                <w:szCs w:val="12"/>
                <w:color w:val="auto"/>
              </w:rPr>
            </w:pPr>
          </w:p>
        </w:tc>
        <w:tc>
          <w:tcPr>
            <w:tcW w:w="880" w:type="dxa"/>
            <w:vAlign w:val="bottom"/>
            <w:shd w:val="clear" w:color="auto" w:fill="0066BA"/>
          </w:tcPr>
          <w:p>
            <w:pPr>
              <w:jc w:val="right"/>
              <w:ind w:right="6"/>
              <w:spacing w:after="0"/>
              <w:rPr>
                <w:sz w:val="20"/>
                <w:szCs w:val="20"/>
                <w:color w:val="auto"/>
              </w:rPr>
            </w:pPr>
            <w:r>
              <w:rPr>
                <w:rFonts w:ascii="Arial" w:cs="Arial" w:eastAsia="Arial" w:hAnsi="Arial"/>
                <w:sz w:val="12"/>
                <w:szCs w:val="12"/>
                <w:b w:val="1"/>
                <w:bCs w:val="1"/>
                <w:color w:val="FFFFFF"/>
              </w:rPr>
              <w:t>Company</w:t>
            </w:r>
          </w:p>
        </w:tc>
        <w:tc>
          <w:tcPr>
            <w:tcW w:w="160" w:type="dxa"/>
            <w:vAlign w:val="bottom"/>
            <w:shd w:val="clear" w:color="auto" w:fill="0066BA"/>
          </w:tcPr>
          <w:p>
            <w:pPr>
              <w:spacing w:after="0"/>
              <w:rPr>
                <w:sz w:val="12"/>
                <w:szCs w:val="12"/>
                <w:color w:val="auto"/>
              </w:rPr>
            </w:pPr>
          </w:p>
        </w:tc>
        <w:tc>
          <w:tcPr>
            <w:tcW w:w="460" w:type="dxa"/>
            <w:vAlign w:val="bottom"/>
            <w:shd w:val="clear" w:color="auto" w:fill="0066BA"/>
          </w:tcPr>
          <w:p>
            <w:pPr>
              <w:spacing w:after="0"/>
              <w:rPr>
                <w:sz w:val="12"/>
                <w:szCs w:val="12"/>
                <w:color w:val="auto"/>
              </w:rPr>
            </w:pPr>
          </w:p>
        </w:tc>
        <w:tc>
          <w:tcPr>
            <w:tcW w:w="80" w:type="dxa"/>
            <w:vAlign w:val="bottom"/>
            <w:shd w:val="clear" w:color="auto" w:fill="0066BA"/>
          </w:tcPr>
          <w:p>
            <w:pPr>
              <w:spacing w:after="0"/>
              <w:rPr>
                <w:sz w:val="12"/>
                <w:szCs w:val="12"/>
                <w:color w:val="auto"/>
              </w:rPr>
            </w:pPr>
          </w:p>
        </w:tc>
        <w:tc>
          <w:tcPr>
            <w:tcW w:w="780" w:type="dxa"/>
            <w:vAlign w:val="bottom"/>
            <w:shd w:val="clear" w:color="auto" w:fill="0066BA"/>
          </w:tcPr>
          <w:p>
            <w:pPr>
              <w:spacing w:after="0"/>
              <w:rPr>
                <w:sz w:val="12"/>
                <w:szCs w:val="12"/>
                <w:color w:val="auto"/>
              </w:rPr>
            </w:pPr>
          </w:p>
        </w:tc>
        <w:tc>
          <w:tcPr>
            <w:tcW w:w="140" w:type="dxa"/>
            <w:vAlign w:val="bottom"/>
            <w:shd w:val="clear" w:color="auto" w:fill="0066BA"/>
          </w:tcPr>
          <w:p>
            <w:pPr>
              <w:spacing w:after="0"/>
              <w:rPr>
                <w:sz w:val="12"/>
                <w:szCs w:val="12"/>
                <w:color w:val="auto"/>
              </w:rPr>
            </w:pPr>
          </w:p>
        </w:tc>
        <w:tc>
          <w:tcPr>
            <w:tcW w:w="560" w:type="dxa"/>
            <w:vAlign w:val="bottom"/>
            <w:shd w:val="clear" w:color="auto" w:fill="0066BA"/>
          </w:tcPr>
          <w:p>
            <w:pPr>
              <w:spacing w:after="0"/>
              <w:rPr>
                <w:sz w:val="12"/>
                <w:szCs w:val="12"/>
                <w:color w:val="auto"/>
              </w:rPr>
            </w:pPr>
          </w:p>
        </w:tc>
        <w:tc>
          <w:tcPr>
            <w:tcW w:w="100" w:type="dxa"/>
            <w:vAlign w:val="bottom"/>
            <w:shd w:val="clear" w:color="auto" w:fill="0066BA"/>
          </w:tcPr>
          <w:p>
            <w:pPr>
              <w:spacing w:after="0"/>
              <w:rPr>
                <w:sz w:val="12"/>
                <w:szCs w:val="12"/>
                <w:color w:val="auto"/>
              </w:rPr>
            </w:pPr>
          </w:p>
        </w:tc>
        <w:tc>
          <w:tcPr>
            <w:tcW w:w="840" w:type="dxa"/>
            <w:vAlign w:val="bottom"/>
            <w:shd w:val="clear" w:color="auto" w:fill="0066BA"/>
          </w:tcPr>
          <w:p>
            <w:pPr>
              <w:spacing w:after="0"/>
              <w:rPr>
                <w:sz w:val="12"/>
                <w:szCs w:val="12"/>
                <w:color w:val="auto"/>
              </w:rPr>
            </w:pPr>
          </w:p>
        </w:tc>
        <w:tc>
          <w:tcPr>
            <w:tcW w:w="140" w:type="dxa"/>
            <w:vAlign w:val="bottom"/>
            <w:shd w:val="clear" w:color="auto" w:fill="0066BA"/>
          </w:tcPr>
          <w:p>
            <w:pPr>
              <w:spacing w:after="0"/>
              <w:rPr>
                <w:sz w:val="12"/>
                <w:szCs w:val="12"/>
                <w:color w:val="auto"/>
              </w:rPr>
            </w:pPr>
          </w:p>
        </w:tc>
        <w:tc>
          <w:tcPr>
            <w:tcW w:w="600" w:type="dxa"/>
            <w:vAlign w:val="bottom"/>
            <w:shd w:val="clear" w:color="auto" w:fill="0066BA"/>
          </w:tcPr>
          <w:p>
            <w:pPr>
              <w:spacing w:after="0"/>
              <w:rPr>
                <w:sz w:val="12"/>
                <w:szCs w:val="12"/>
                <w:color w:val="auto"/>
              </w:rPr>
            </w:pPr>
          </w:p>
        </w:tc>
        <w:tc>
          <w:tcPr>
            <w:tcW w:w="80" w:type="dxa"/>
            <w:vAlign w:val="bottom"/>
            <w:shd w:val="clear" w:color="auto" w:fill="0066BA"/>
          </w:tcPr>
          <w:p>
            <w:pPr>
              <w:spacing w:after="0"/>
              <w:rPr>
                <w:sz w:val="12"/>
                <w:szCs w:val="12"/>
                <w:color w:val="auto"/>
              </w:rPr>
            </w:pPr>
          </w:p>
        </w:tc>
        <w:tc>
          <w:tcPr>
            <w:tcW w:w="820" w:type="dxa"/>
            <w:vAlign w:val="bottom"/>
            <w:shd w:val="clear" w:color="auto" w:fill="0066BA"/>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120" w:type="dxa"/>
            <w:vAlign w:val="bottom"/>
            <w:shd w:val="clear" w:color="auto" w:fill="0066BA"/>
          </w:tcPr>
          <w:p>
            <w:pPr>
              <w:spacing w:after="0"/>
              <w:rPr>
                <w:sz w:val="11"/>
                <w:szCs w:val="11"/>
                <w:color w:val="auto"/>
              </w:rPr>
            </w:pPr>
          </w:p>
        </w:tc>
        <w:tc>
          <w:tcPr>
            <w:tcW w:w="120" w:type="dxa"/>
            <w:vAlign w:val="bottom"/>
            <w:shd w:val="clear" w:color="auto" w:fill="0066BA"/>
          </w:tcPr>
          <w:p>
            <w:pPr>
              <w:spacing w:after="0"/>
              <w:rPr>
                <w:sz w:val="11"/>
                <w:szCs w:val="11"/>
                <w:color w:val="auto"/>
              </w:rPr>
            </w:pPr>
          </w:p>
        </w:tc>
        <w:tc>
          <w:tcPr>
            <w:tcW w:w="32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880" w:type="dxa"/>
            <w:vAlign w:val="bottom"/>
            <w:shd w:val="clear" w:color="auto" w:fill="0066BA"/>
          </w:tcPr>
          <w:p>
            <w:pPr>
              <w:jc w:val="right"/>
              <w:ind w:right="6"/>
              <w:spacing w:after="0" w:line="130" w:lineRule="exact"/>
              <w:rPr>
                <w:sz w:val="20"/>
                <w:szCs w:val="20"/>
                <w:color w:val="auto"/>
              </w:rPr>
            </w:pPr>
            <w:r>
              <w:rPr>
                <w:rFonts w:ascii="Arial" w:cs="Arial" w:eastAsia="Arial" w:hAnsi="Arial"/>
                <w:sz w:val="12"/>
                <w:szCs w:val="12"/>
                <w:b w:val="1"/>
                <w:bCs w:val="1"/>
                <w:color w:val="FFFFFF"/>
              </w:rPr>
              <w:t>401(k)</w:t>
            </w:r>
          </w:p>
        </w:tc>
        <w:tc>
          <w:tcPr>
            <w:tcW w:w="700" w:type="dxa"/>
            <w:vAlign w:val="bottom"/>
            <w:gridSpan w:val="3"/>
            <w:shd w:val="clear" w:color="auto" w:fill="0066BA"/>
          </w:tcPr>
          <w:p>
            <w:pPr>
              <w:jc w:val="right"/>
              <w:ind w:right="80"/>
              <w:spacing w:after="0" w:line="130" w:lineRule="exact"/>
              <w:rPr>
                <w:sz w:val="20"/>
                <w:szCs w:val="20"/>
                <w:color w:val="auto"/>
              </w:rPr>
            </w:pPr>
            <w:r>
              <w:rPr>
                <w:rFonts w:ascii="Arial" w:cs="Arial" w:eastAsia="Arial" w:hAnsi="Arial"/>
                <w:sz w:val="12"/>
                <w:szCs w:val="12"/>
                <w:b w:val="1"/>
                <w:bCs w:val="1"/>
                <w:color w:val="FFFFFF"/>
              </w:rPr>
              <w:t>Employee</w:t>
            </w:r>
          </w:p>
        </w:tc>
        <w:tc>
          <w:tcPr>
            <w:tcW w:w="780" w:type="dxa"/>
            <w:vAlign w:val="bottom"/>
            <w:shd w:val="clear" w:color="auto" w:fill="0066BA"/>
          </w:tcPr>
          <w:p>
            <w:pPr>
              <w:spacing w:after="0"/>
              <w:rPr>
                <w:sz w:val="11"/>
                <w:szCs w:val="11"/>
                <w:color w:val="auto"/>
              </w:rPr>
            </w:pPr>
          </w:p>
        </w:tc>
        <w:tc>
          <w:tcPr>
            <w:tcW w:w="140" w:type="dxa"/>
            <w:vAlign w:val="bottom"/>
            <w:shd w:val="clear" w:color="auto" w:fill="0066BA"/>
          </w:tcPr>
          <w:p>
            <w:pPr>
              <w:spacing w:after="0"/>
              <w:rPr>
                <w:sz w:val="11"/>
                <w:szCs w:val="11"/>
                <w:color w:val="auto"/>
              </w:rPr>
            </w:pPr>
          </w:p>
        </w:tc>
        <w:tc>
          <w:tcPr>
            <w:tcW w:w="56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840" w:type="dxa"/>
            <w:vAlign w:val="bottom"/>
            <w:shd w:val="clear" w:color="auto" w:fill="0066BA"/>
          </w:tcPr>
          <w:p>
            <w:pPr>
              <w:spacing w:after="0"/>
              <w:rPr>
                <w:sz w:val="11"/>
                <w:szCs w:val="11"/>
                <w:color w:val="auto"/>
              </w:rPr>
            </w:pPr>
          </w:p>
        </w:tc>
        <w:tc>
          <w:tcPr>
            <w:tcW w:w="140" w:type="dxa"/>
            <w:vAlign w:val="bottom"/>
            <w:shd w:val="clear" w:color="auto" w:fill="0066BA"/>
          </w:tcPr>
          <w:p>
            <w:pPr>
              <w:spacing w:after="0"/>
              <w:rPr>
                <w:sz w:val="11"/>
                <w:szCs w:val="11"/>
                <w:color w:val="auto"/>
              </w:rPr>
            </w:pPr>
          </w:p>
        </w:tc>
        <w:tc>
          <w:tcPr>
            <w:tcW w:w="680" w:type="dxa"/>
            <w:vAlign w:val="bottom"/>
            <w:gridSpan w:val="2"/>
            <w:shd w:val="clear" w:color="auto" w:fill="0066BA"/>
          </w:tcPr>
          <w:p>
            <w:pPr>
              <w:jc w:val="right"/>
              <w:ind w:right="80"/>
              <w:spacing w:after="0" w:line="130" w:lineRule="exact"/>
              <w:rPr>
                <w:sz w:val="20"/>
                <w:szCs w:val="20"/>
                <w:color w:val="auto"/>
              </w:rPr>
            </w:pPr>
            <w:r>
              <w:rPr>
                <w:rFonts w:ascii="Arial" w:cs="Arial" w:eastAsia="Arial" w:hAnsi="Arial"/>
                <w:sz w:val="12"/>
                <w:szCs w:val="12"/>
                <w:b w:val="1"/>
                <w:bCs w:val="1"/>
                <w:color w:val="FFFFFF"/>
                <w:w w:val="99"/>
              </w:rPr>
              <w:t>Expatriate</w:t>
            </w:r>
          </w:p>
        </w:tc>
        <w:tc>
          <w:tcPr>
            <w:tcW w:w="820" w:type="dxa"/>
            <w:vAlign w:val="bottom"/>
            <w:shd w:val="clear" w:color="auto" w:fill="0066BA"/>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120" w:type="dxa"/>
            <w:vAlign w:val="bottom"/>
            <w:shd w:val="clear" w:color="auto" w:fill="0066BA"/>
          </w:tcPr>
          <w:p>
            <w:pPr>
              <w:spacing w:after="0"/>
              <w:rPr>
                <w:sz w:val="11"/>
                <w:szCs w:val="11"/>
                <w:color w:val="auto"/>
              </w:rPr>
            </w:pPr>
          </w:p>
        </w:tc>
        <w:tc>
          <w:tcPr>
            <w:tcW w:w="120" w:type="dxa"/>
            <w:vAlign w:val="bottom"/>
            <w:shd w:val="clear" w:color="auto" w:fill="0066BA"/>
          </w:tcPr>
          <w:p>
            <w:pPr>
              <w:spacing w:after="0"/>
              <w:rPr>
                <w:sz w:val="11"/>
                <w:szCs w:val="11"/>
                <w:color w:val="auto"/>
              </w:rPr>
            </w:pPr>
          </w:p>
        </w:tc>
        <w:tc>
          <w:tcPr>
            <w:tcW w:w="32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880" w:type="dxa"/>
            <w:vAlign w:val="bottom"/>
            <w:shd w:val="clear" w:color="auto" w:fill="0066BA"/>
          </w:tcPr>
          <w:p>
            <w:pPr>
              <w:jc w:val="right"/>
              <w:ind w:right="6"/>
              <w:spacing w:after="0" w:line="130" w:lineRule="exact"/>
              <w:rPr>
                <w:sz w:val="20"/>
                <w:szCs w:val="20"/>
                <w:color w:val="auto"/>
              </w:rPr>
            </w:pPr>
            <w:r>
              <w:rPr>
                <w:rFonts w:ascii="Arial" w:cs="Arial" w:eastAsia="Arial" w:hAnsi="Arial"/>
                <w:sz w:val="12"/>
                <w:szCs w:val="12"/>
                <w:b w:val="1"/>
                <w:bCs w:val="1"/>
                <w:color w:val="FFFFFF"/>
              </w:rPr>
              <w:t>and DCP</w:t>
            </w:r>
          </w:p>
        </w:tc>
        <w:tc>
          <w:tcPr>
            <w:tcW w:w="160" w:type="dxa"/>
            <w:vAlign w:val="bottom"/>
            <w:shd w:val="clear" w:color="auto" w:fill="0066BA"/>
          </w:tcPr>
          <w:p>
            <w:pPr>
              <w:spacing w:after="0"/>
              <w:rPr>
                <w:sz w:val="11"/>
                <w:szCs w:val="11"/>
                <w:color w:val="auto"/>
              </w:rPr>
            </w:pPr>
          </w:p>
        </w:tc>
        <w:tc>
          <w:tcPr>
            <w:tcW w:w="540" w:type="dxa"/>
            <w:vAlign w:val="bottom"/>
            <w:gridSpan w:val="2"/>
            <w:shd w:val="clear" w:color="auto" w:fill="0066BA"/>
          </w:tcPr>
          <w:p>
            <w:pPr>
              <w:jc w:val="right"/>
              <w:ind w:right="80"/>
              <w:spacing w:after="0" w:line="130" w:lineRule="exact"/>
              <w:rPr>
                <w:sz w:val="20"/>
                <w:szCs w:val="20"/>
                <w:color w:val="auto"/>
              </w:rPr>
            </w:pPr>
            <w:r>
              <w:rPr>
                <w:rFonts w:ascii="Arial" w:cs="Arial" w:eastAsia="Arial" w:hAnsi="Arial"/>
                <w:sz w:val="12"/>
                <w:szCs w:val="12"/>
                <w:b w:val="1"/>
                <w:bCs w:val="1"/>
                <w:color w:val="FFFFFF"/>
              </w:rPr>
              <w:t>Service</w:t>
            </w:r>
          </w:p>
        </w:tc>
        <w:tc>
          <w:tcPr>
            <w:tcW w:w="780" w:type="dxa"/>
            <w:vAlign w:val="bottom"/>
            <w:shd w:val="clear" w:color="auto" w:fill="0066BA"/>
          </w:tcPr>
          <w:p>
            <w:pPr>
              <w:jc w:val="right"/>
              <w:ind w:right="5"/>
              <w:spacing w:after="0" w:line="130" w:lineRule="exact"/>
              <w:rPr>
                <w:sz w:val="20"/>
                <w:szCs w:val="20"/>
                <w:color w:val="auto"/>
              </w:rPr>
            </w:pPr>
            <w:r>
              <w:rPr>
                <w:rFonts w:ascii="Arial" w:cs="Arial" w:eastAsia="Arial" w:hAnsi="Arial"/>
                <w:sz w:val="12"/>
                <w:szCs w:val="12"/>
                <w:b w:val="1"/>
                <w:bCs w:val="1"/>
                <w:color w:val="FFFFFF"/>
              </w:rPr>
              <w:t>Executive</w:t>
            </w:r>
          </w:p>
        </w:tc>
        <w:tc>
          <w:tcPr>
            <w:tcW w:w="800" w:type="dxa"/>
            <w:vAlign w:val="bottom"/>
            <w:gridSpan w:val="3"/>
            <w:shd w:val="clear" w:color="auto" w:fill="0066BA"/>
          </w:tcPr>
          <w:p>
            <w:pPr>
              <w:jc w:val="right"/>
              <w:ind w:right="80"/>
              <w:spacing w:after="0" w:line="130" w:lineRule="exact"/>
              <w:rPr>
                <w:sz w:val="20"/>
                <w:szCs w:val="20"/>
                <w:color w:val="auto"/>
              </w:rPr>
            </w:pPr>
            <w:r>
              <w:rPr>
                <w:rFonts w:ascii="Arial" w:cs="Arial" w:eastAsia="Arial" w:hAnsi="Arial"/>
                <w:sz w:val="12"/>
                <w:szCs w:val="12"/>
                <w:b w:val="1"/>
                <w:bCs w:val="1"/>
                <w:color w:val="FFFFFF"/>
              </w:rPr>
              <w:t>Healthcare</w:t>
            </w:r>
          </w:p>
        </w:tc>
        <w:tc>
          <w:tcPr>
            <w:tcW w:w="840" w:type="dxa"/>
            <w:vAlign w:val="bottom"/>
            <w:shd w:val="clear" w:color="auto" w:fill="0066BA"/>
          </w:tcPr>
          <w:p>
            <w:pPr>
              <w:jc w:val="right"/>
              <w:ind w:right="5"/>
              <w:spacing w:after="0" w:line="130" w:lineRule="exact"/>
              <w:rPr>
                <w:sz w:val="20"/>
                <w:szCs w:val="20"/>
                <w:color w:val="auto"/>
              </w:rPr>
            </w:pPr>
            <w:r>
              <w:rPr>
                <w:rFonts w:ascii="Arial" w:cs="Arial" w:eastAsia="Arial" w:hAnsi="Arial"/>
                <w:sz w:val="12"/>
                <w:szCs w:val="12"/>
                <w:b w:val="1"/>
                <w:bCs w:val="1"/>
                <w:color w:val="FFFFFF"/>
              </w:rPr>
              <w:t>Relocation</w:t>
            </w:r>
          </w:p>
        </w:tc>
        <w:tc>
          <w:tcPr>
            <w:tcW w:w="820" w:type="dxa"/>
            <w:vAlign w:val="bottom"/>
            <w:gridSpan w:val="3"/>
            <w:shd w:val="clear" w:color="auto" w:fill="0066BA"/>
          </w:tcPr>
          <w:p>
            <w:pPr>
              <w:jc w:val="right"/>
              <w:ind w:right="80"/>
              <w:spacing w:after="0" w:line="130" w:lineRule="exact"/>
              <w:rPr>
                <w:sz w:val="20"/>
                <w:szCs w:val="20"/>
                <w:color w:val="auto"/>
              </w:rPr>
            </w:pPr>
            <w:r>
              <w:rPr>
                <w:rFonts w:ascii="Arial" w:cs="Arial" w:eastAsia="Arial" w:hAnsi="Arial"/>
                <w:sz w:val="12"/>
                <w:szCs w:val="12"/>
                <w:b w:val="1"/>
                <w:bCs w:val="1"/>
                <w:color w:val="FFFFFF"/>
              </w:rPr>
              <w:t>Assignment</w:t>
            </w:r>
          </w:p>
        </w:tc>
        <w:tc>
          <w:tcPr>
            <w:tcW w:w="820" w:type="dxa"/>
            <w:vAlign w:val="bottom"/>
            <w:shd w:val="clear" w:color="auto" w:fill="0066BA"/>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4120" w:type="dxa"/>
            <w:vAlign w:val="bottom"/>
            <w:shd w:val="clear" w:color="auto" w:fill="0066BA"/>
          </w:tcPr>
          <w:p>
            <w:pPr>
              <w:spacing w:after="0"/>
              <w:rPr>
                <w:sz w:val="11"/>
                <w:szCs w:val="11"/>
                <w:color w:val="auto"/>
              </w:rPr>
            </w:pPr>
          </w:p>
        </w:tc>
        <w:tc>
          <w:tcPr>
            <w:tcW w:w="120" w:type="dxa"/>
            <w:vAlign w:val="bottom"/>
            <w:shd w:val="clear" w:color="auto" w:fill="0066BA"/>
          </w:tcPr>
          <w:p>
            <w:pPr>
              <w:spacing w:after="0"/>
              <w:rPr>
                <w:sz w:val="11"/>
                <w:szCs w:val="11"/>
                <w:color w:val="auto"/>
              </w:rPr>
            </w:pPr>
          </w:p>
        </w:tc>
        <w:tc>
          <w:tcPr>
            <w:tcW w:w="1280" w:type="dxa"/>
            <w:vAlign w:val="bottom"/>
            <w:gridSpan w:val="3"/>
            <w:shd w:val="clear" w:color="auto" w:fill="0066BA"/>
          </w:tcPr>
          <w:p>
            <w:pPr>
              <w:jc w:val="right"/>
              <w:ind w:right="6"/>
              <w:spacing w:after="0" w:line="130" w:lineRule="exact"/>
              <w:rPr>
                <w:sz w:val="20"/>
                <w:szCs w:val="20"/>
                <w:color w:val="auto"/>
              </w:rPr>
            </w:pPr>
            <w:r>
              <w:rPr>
                <w:rFonts w:ascii="Arial" w:cs="Arial" w:eastAsia="Arial" w:hAnsi="Arial"/>
                <w:sz w:val="12"/>
                <w:szCs w:val="12"/>
                <w:b w:val="1"/>
                <w:bCs w:val="1"/>
                <w:color w:val="FFFFFF"/>
                <w:w w:val="99"/>
              </w:rPr>
              <w:t>Fiscal   Payments ($)</w:t>
            </w:r>
          </w:p>
        </w:tc>
        <w:tc>
          <w:tcPr>
            <w:tcW w:w="700" w:type="dxa"/>
            <w:vAlign w:val="bottom"/>
            <w:gridSpan w:val="3"/>
            <w:shd w:val="clear" w:color="auto" w:fill="0066BA"/>
          </w:tcPr>
          <w:p>
            <w:pPr>
              <w:jc w:val="right"/>
              <w:ind w:right="80"/>
              <w:spacing w:after="0" w:line="130" w:lineRule="exact"/>
              <w:rPr>
                <w:sz w:val="20"/>
                <w:szCs w:val="20"/>
                <w:color w:val="auto"/>
              </w:rPr>
            </w:pPr>
            <w:r>
              <w:rPr>
                <w:rFonts w:ascii="Arial" w:cs="Arial" w:eastAsia="Arial" w:hAnsi="Arial"/>
                <w:sz w:val="12"/>
                <w:szCs w:val="12"/>
                <w:b w:val="1"/>
                <w:bCs w:val="1"/>
                <w:color w:val="FFFFFF"/>
              </w:rPr>
              <w:t>Award ($)</w:t>
            </w:r>
          </w:p>
        </w:tc>
        <w:tc>
          <w:tcPr>
            <w:tcW w:w="780" w:type="dxa"/>
            <w:vAlign w:val="bottom"/>
            <w:shd w:val="clear" w:color="auto" w:fill="0066BA"/>
          </w:tcPr>
          <w:p>
            <w:pPr>
              <w:jc w:val="right"/>
              <w:ind w:right="5"/>
              <w:spacing w:after="0" w:line="130" w:lineRule="exact"/>
              <w:rPr>
                <w:sz w:val="20"/>
                <w:szCs w:val="20"/>
                <w:color w:val="auto"/>
              </w:rPr>
            </w:pPr>
            <w:r>
              <w:rPr>
                <w:rFonts w:ascii="Arial" w:cs="Arial" w:eastAsia="Arial" w:hAnsi="Arial"/>
                <w:sz w:val="12"/>
                <w:szCs w:val="12"/>
                <w:b w:val="1"/>
                <w:bCs w:val="1"/>
                <w:color w:val="FFFFFF"/>
              </w:rPr>
              <w:t>Health</w:t>
            </w:r>
          </w:p>
        </w:tc>
        <w:tc>
          <w:tcPr>
            <w:tcW w:w="140" w:type="dxa"/>
            <w:vAlign w:val="bottom"/>
            <w:shd w:val="clear" w:color="auto" w:fill="0066BA"/>
          </w:tcPr>
          <w:p>
            <w:pPr>
              <w:spacing w:after="0"/>
              <w:rPr>
                <w:sz w:val="11"/>
                <w:szCs w:val="11"/>
                <w:color w:val="auto"/>
              </w:rPr>
            </w:pPr>
          </w:p>
        </w:tc>
        <w:tc>
          <w:tcPr>
            <w:tcW w:w="660" w:type="dxa"/>
            <w:vAlign w:val="bottom"/>
            <w:gridSpan w:val="2"/>
            <w:shd w:val="clear" w:color="auto" w:fill="0066BA"/>
          </w:tcPr>
          <w:p>
            <w:pPr>
              <w:jc w:val="right"/>
              <w:ind w:right="80"/>
              <w:spacing w:after="0" w:line="130" w:lineRule="exact"/>
              <w:rPr>
                <w:sz w:val="20"/>
                <w:szCs w:val="20"/>
                <w:color w:val="auto"/>
              </w:rPr>
            </w:pPr>
            <w:r>
              <w:rPr>
                <w:rFonts w:ascii="Arial" w:cs="Arial" w:eastAsia="Arial" w:hAnsi="Arial"/>
                <w:sz w:val="12"/>
                <w:szCs w:val="12"/>
                <w:b w:val="1"/>
                <w:bCs w:val="1"/>
                <w:color w:val="FFFFFF"/>
              </w:rPr>
              <w:t>Savings</w:t>
            </w:r>
          </w:p>
        </w:tc>
        <w:tc>
          <w:tcPr>
            <w:tcW w:w="840" w:type="dxa"/>
            <w:vAlign w:val="bottom"/>
            <w:shd w:val="clear" w:color="auto" w:fill="0066BA"/>
          </w:tcPr>
          <w:p>
            <w:pPr>
              <w:jc w:val="right"/>
              <w:ind w:right="5"/>
              <w:spacing w:after="0" w:line="130" w:lineRule="exact"/>
              <w:rPr>
                <w:sz w:val="20"/>
                <w:szCs w:val="20"/>
                <w:color w:val="auto"/>
              </w:rPr>
            </w:pPr>
            <w:r>
              <w:rPr>
                <w:rFonts w:ascii="Arial" w:cs="Arial" w:eastAsia="Arial" w:hAnsi="Arial"/>
                <w:sz w:val="12"/>
                <w:szCs w:val="12"/>
                <w:b w:val="1"/>
                <w:bCs w:val="1"/>
                <w:color w:val="FFFFFF"/>
                <w:w w:val="99"/>
              </w:rPr>
              <w:t>Expenses ($)</w:t>
            </w:r>
          </w:p>
        </w:tc>
        <w:tc>
          <w:tcPr>
            <w:tcW w:w="820" w:type="dxa"/>
            <w:vAlign w:val="bottom"/>
            <w:gridSpan w:val="3"/>
            <w:shd w:val="clear" w:color="auto" w:fill="0066BA"/>
          </w:tcPr>
          <w:p>
            <w:pPr>
              <w:jc w:val="right"/>
              <w:ind w:right="80"/>
              <w:spacing w:after="0" w:line="130" w:lineRule="exact"/>
              <w:rPr>
                <w:sz w:val="20"/>
                <w:szCs w:val="20"/>
                <w:color w:val="auto"/>
              </w:rPr>
            </w:pPr>
            <w:r>
              <w:rPr>
                <w:rFonts w:ascii="Arial" w:cs="Arial" w:eastAsia="Arial" w:hAnsi="Arial"/>
                <w:sz w:val="12"/>
                <w:szCs w:val="12"/>
                <w:b w:val="1"/>
                <w:bCs w:val="1"/>
                <w:color w:val="FFFFFF"/>
              </w:rPr>
              <w:t>Payment ($)</w:t>
            </w:r>
          </w:p>
        </w:tc>
        <w:tc>
          <w:tcPr>
            <w:tcW w:w="820" w:type="dxa"/>
            <w:vAlign w:val="bottom"/>
            <w:shd w:val="clear" w:color="auto" w:fill="0066BA"/>
          </w:tcPr>
          <w:p>
            <w:pPr>
              <w:jc w:val="right"/>
              <w:ind w:right="3"/>
              <w:spacing w:after="0" w:line="130" w:lineRule="exact"/>
              <w:rPr>
                <w:sz w:val="20"/>
                <w:szCs w:val="20"/>
                <w:color w:val="auto"/>
              </w:rPr>
            </w:pPr>
            <w:r>
              <w:rPr>
                <w:rFonts w:ascii="Arial" w:cs="Arial" w:eastAsia="Arial" w:hAnsi="Arial"/>
                <w:sz w:val="12"/>
                <w:szCs w:val="12"/>
                <w:b w:val="1"/>
                <w:bCs w:val="1"/>
                <w:color w:val="FFFFFF"/>
              </w:rPr>
              <w:t>Tax</w:t>
            </w:r>
          </w:p>
        </w:tc>
        <w:tc>
          <w:tcPr>
            <w:tcW w:w="0" w:type="dxa"/>
            <w:vAlign w:val="bottom"/>
          </w:tcPr>
          <w:p>
            <w:pPr>
              <w:spacing w:after="0"/>
              <w:rPr>
                <w:sz w:val="1"/>
                <w:szCs w:val="1"/>
                <w:color w:val="auto"/>
              </w:rPr>
            </w:pPr>
          </w:p>
        </w:tc>
      </w:tr>
      <w:tr>
        <w:trPr>
          <w:trHeight w:val="171"/>
        </w:trPr>
        <w:tc>
          <w:tcPr>
            <w:tcW w:w="4120" w:type="dxa"/>
            <w:vAlign w:val="bottom"/>
            <w:shd w:val="clear" w:color="auto" w:fill="0066BA"/>
          </w:tcPr>
          <w:p>
            <w:pPr>
              <w:ind w:left="60"/>
              <w:spacing w:after="0"/>
              <w:rPr>
                <w:sz w:val="20"/>
                <w:szCs w:val="20"/>
                <w:color w:val="auto"/>
              </w:rPr>
            </w:pPr>
            <w:r>
              <w:rPr>
                <w:rFonts w:ascii="Arial" w:cs="Arial" w:eastAsia="Arial" w:hAnsi="Arial"/>
                <w:sz w:val="12"/>
                <w:szCs w:val="12"/>
                <w:b w:val="1"/>
                <w:bCs w:val="1"/>
                <w:color w:val="FFFFFF"/>
              </w:rPr>
              <w:t>Name</w:t>
            </w:r>
          </w:p>
        </w:tc>
        <w:tc>
          <w:tcPr>
            <w:tcW w:w="120" w:type="dxa"/>
            <w:vAlign w:val="bottom"/>
            <w:shd w:val="clear" w:color="auto" w:fill="0066BA"/>
          </w:tcPr>
          <w:p>
            <w:pPr>
              <w:spacing w:after="0"/>
              <w:rPr>
                <w:sz w:val="14"/>
                <w:szCs w:val="14"/>
                <w:color w:val="auto"/>
              </w:rPr>
            </w:pPr>
          </w:p>
        </w:tc>
        <w:tc>
          <w:tcPr>
            <w:tcW w:w="400" w:type="dxa"/>
            <w:vAlign w:val="bottom"/>
            <w:gridSpan w:val="2"/>
            <w:shd w:val="clear" w:color="auto" w:fill="0066BA"/>
          </w:tcPr>
          <w:p>
            <w:pPr>
              <w:jc w:val="right"/>
              <w:ind w:right="80"/>
              <w:spacing w:after="0"/>
              <w:rPr>
                <w:sz w:val="20"/>
                <w:szCs w:val="20"/>
                <w:color w:val="auto"/>
              </w:rPr>
            </w:pPr>
            <w:r>
              <w:rPr>
                <w:rFonts w:ascii="Arial" w:cs="Arial" w:eastAsia="Arial" w:hAnsi="Arial"/>
                <w:sz w:val="12"/>
                <w:szCs w:val="12"/>
                <w:b w:val="1"/>
                <w:bCs w:val="1"/>
                <w:color w:val="FFFFFF"/>
              </w:rPr>
              <w:t>Year</w:t>
            </w:r>
          </w:p>
        </w:tc>
        <w:tc>
          <w:tcPr>
            <w:tcW w:w="880" w:type="dxa"/>
            <w:vAlign w:val="bottom"/>
            <w:shd w:val="clear" w:color="auto" w:fill="0066BA"/>
          </w:tcPr>
          <w:p>
            <w:pPr>
              <w:jc w:val="right"/>
              <w:ind w:right="6"/>
              <w:spacing w:after="0"/>
              <w:rPr>
                <w:sz w:val="20"/>
                <w:szCs w:val="20"/>
                <w:color w:val="auto"/>
              </w:rPr>
            </w:pPr>
            <w:r>
              <w:rPr>
                <w:rFonts w:ascii="Arial" w:cs="Arial" w:eastAsia="Arial" w:hAnsi="Arial"/>
                <w:sz w:val="12"/>
                <w:szCs w:val="12"/>
                <w:b w:val="1"/>
                <w:bCs w:val="1"/>
                <w:color w:val="FFFFFF"/>
              </w:rPr>
              <w:t>(a)</w:t>
            </w:r>
          </w:p>
        </w:tc>
        <w:tc>
          <w:tcPr>
            <w:tcW w:w="160" w:type="dxa"/>
            <w:vAlign w:val="bottom"/>
            <w:shd w:val="clear" w:color="auto" w:fill="0066BA"/>
          </w:tcPr>
          <w:p>
            <w:pPr>
              <w:spacing w:after="0"/>
              <w:rPr>
                <w:sz w:val="14"/>
                <w:szCs w:val="14"/>
                <w:color w:val="auto"/>
              </w:rPr>
            </w:pPr>
          </w:p>
        </w:tc>
        <w:tc>
          <w:tcPr>
            <w:tcW w:w="540" w:type="dxa"/>
            <w:vAlign w:val="bottom"/>
            <w:gridSpan w:val="2"/>
            <w:shd w:val="clear" w:color="auto" w:fill="0066BA"/>
          </w:tcPr>
          <w:p>
            <w:pPr>
              <w:jc w:val="right"/>
              <w:ind w:right="80"/>
              <w:spacing w:after="0"/>
              <w:rPr>
                <w:sz w:val="20"/>
                <w:szCs w:val="20"/>
                <w:color w:val="auto"/>
              </w:rPr>
            </w:pPr>
            <w:r>
              <w:rPr>
                <w:rFonts w:ascii="Arial" w:cs="Arial" w:eastAsia="Arial" w:hAnsi="Arial"/>
                <w:sz w:val="12"/>
                <w:szCs w:val="12"/>
                <w:b w:val="1"/>
                <w:bCs w:val="1"/>
                <w:color w:val="FFFFFF"/>
              </w:rPr>
              <w:t>(b)</w:t>
            </w:r>
          </w:p>
        </w:tc>
        <w:tc>
          <w:tcPr>
            <w:tcW w:w="1580" w:type="dxa"/>
            <w:vAlign w:val="bottom"/>
            <w:gridSpan w:val="4"/>
            <w:shd w:val="clear" w:color="auto" w:fill="0066BA"/>
          </w:tcPr>
          <w:p>
            <w:pPr>
              <w:jc w:val="right"/>
              <w:ind w:right="80"/>
              <w:spacing w:after="0"/>
              <w:rPr>
                <w:sz w:val="20"/>
                <w:szCs w:val="20"/>
                <w:color w:val="auto"/>
              </w:rPr>
            </w:pPr>
            <w:r>
              <w:rPr>
                <w:rFonts w:ascii="Arial" w:cs="Arial" w:eastAsia="Arial" w:hAnsi="Arial"/>
                <w:sz w:val="12"/>
                <w:szCs w:val="12"/>
                <w:b w:val="1"/>
                <w:bCs w:val="1"/>
                <w:color w:val="FFFFFF"/>
              </w:rPr>
              <w:t>Services ($)   Account ($)</w:t>
            </w:r>
          </w:p>
        </w:tc>
        <w:tc>
          <w:tcPr>
            <w:tcW w:w="840" w:type="dxa"/>
            <w:vAlign w:val="bottom"/>
            <w:shd w:val="clear" w:color="auto" w:fill="0066BA"/>
          </w:tcPr>
          <w:p>
            <w:pPr>
              <w:jc w:val="right"/>
              <w:ind w:right="5"/>
              <w:spacing w:after="0"/>
              <w:rPr>
                <w:sz w:val="20"/>
                <w:szCs w:val="20"/>
                <w:color w:val="auto"/>
              </w:rPr>
            </w:pPr>
            <w:r>
              <w:rPr>
                <w:rFonts w:ascii="Arial" w:cs="Arial" w:eastAsia="Arial" w:hAnsi="Arial"/>
                <w:sz w:val="12"/>
                <w:szCs w:val="12"/>
                <w:b w:val="1"/>
                <w:bCs w:val="1"/>
                <w:color w:val="FFFFFF"/>
              </w:rPr>
              <w:t>(c)</w:t>
            </w:r>
          </w:p>
        </w:tc>
        <w:tc>
          <w:tcPr>
            <w:tcW w:w="140" w:type="dxa"/>
            <w:vAlign w:val="bottom"/>
            <w:shd w:val="clear" w:color="auto" w:fill="0066BA"/>
          </w:tcPr>
          <w:p>
            <w:pPr>
              <w:spacing w:after="0"/>
              <w:rPr>
                <w:sz w:val="14"/>
                <w:szCs w:val="14"/>
                <w:color w:val="auto"/>
              </w:rPr>
            </w:pPr>
          </w:p>
        </w:tc>
        <w:tc>
          <w:tcPr>
            <w:tcW w:w="1500" w:type="dxa"/>
            <w:vAlign w:val="bottom"/>
            <w:gridSpan w:val="3"/>
            <w:shd w:val="clear" w:color="auto" w:fill="0066BA"/>
          </w:tcPr>
          <w:p>
            <w:pPr>
              <w:jc w:val="right"/>
              <w:ind w:right="3"/>
              <w:spacing w:after="0"/>
              <w:rPr>
                <w:sz w:val="20"/>
                <w:szCs w:val="20"/>
                <w:color w:val="auto"/>
              </w:rPr>
            </w:pPr>
            <w:r>
              <w:rPr>
                <w:rFonts w:ascii="Arial" w:cs="Arial" w:eastAsia="Arial" w:hAnsi="Arial"/>
                <w:sz w:val="12"/>
                <w:szCs w:val="12"/>
                <w:b w:val="1"/>
                <w:bCs w:val="1"/>
                <w:color w:val="FFFFFF"/>
              </w:rPr>
              <w:t>(d)   Planning ($)</w:t>
            </w:r>
          </w:p>
        </w:tc>
        <w:tc>
          <w:tcPr>
            <w:tcW w:w="0" w:type="dxa"/>
            <w:vAlign w:val="bottom"/>
          </w:tcPr>
          <w:p>
            <w:pPr>
              <w:spacing w:after="0"/>
              <w:rPr>
                <w:sz w:val="1"/>
                <w:szCs w:val="1"/>
                <w:color w:val="auto"/>
              </w:rPr>
            </w:pPr>
          </w:p>
        </w:tc>
      </w:tr>
      <w:tr>
        <w:trPr>
          <w:trHeight w:val="94"/>
        </w:trPr>
        <w:tc>
          <w:tcPr>
            <w:tcW w:w="4120" w:type="dxa"/>
            <w:vAlign w:val="bottom"/>
            <w:shd w:val="clear" w:color="auto" w:fill="0066BA"/>
          </w:tcPr>
          <w:p>
            <w:pPr>
              <w:spacing w:after="0"/>
              <w:rPr>
                <w:sz w:val="8"/>
                <w:szCs w:val="8"/>
                <w:color w:val="auto"/>
              </w:rPr>
            </w:pPr>
          </w:p>
        </w:tc>
        <w:tc>
          <w:tcPr>
            <w:tcW w:w="120" w:type="dxa"/>
            <w:vAlign w:val="bottom"/>
            <w:shd w:val="clear" w:color="auto" w:fill="0066BA"/>
          </w:tcPr>
          <w:p>
            <w:pPr>
              <w:spacing w:after="0"/>
              <w:rPr>
                <w:sz w:val="8"/>
                <w:szCs w:val="8"/>
                <w:color w:val="auto"/>
              </w:rPr>
            </w:pPr>
          </w:p>
        </w:tc>
        <w:tc>
          <w:tcPr>
            <w:tcW w:w="320" w:type="dxa"/>
            <w:vAlign w:val="bottom"/>
            <w:shd w:val="clear" w:color="auto" w:fill="0066BA"/>
          </w:tcPr>
          <w:p>
            <w:pPr>
              <w:spacing w:after="0"/>
              <w:rPr>
                <w:sz w:val="8"/>
                <w:szCs w:val="8"/>
                <w:color w:val="auto"/>
              </w:rPr>
            </w:pPr>
          </w:p>
        </w:tc>
        <w:tc>
          <w:tcPr>
            <w:tcW w:w="80" w:type="dxa"/>
            <w:vAlign w:val="bottom"/>
            <w:shd w:val="clear" w:color="auto" w:fill="0066BA"/>
          </w:tcPr>
          <w:p>
            <w:pPr>
              <w:spacing w:after="0"/>
              <w:rPr>
                <w:sz w:val="8"/>
                <w:szCs w:val="8"/>
                <w:color w:val="auto"/>
              </w:rPr>
            </w:pPr>
          </w:p>
        </w:tc>
        <w:tc>
          <w:tcPr>
            <w:tcW w:w="880" w:type="dxa"/>
            <w:vAlign w:val="bottom"/>
            <w:shd w:val="clear" w:color="auto" w:fill="0066BA"/>
          </w:tcPr>
          <w:p>
            <w:pPr>
              <w:spacing w:after="0"/>
              <w:rPr>
                <w:sz w:val="8"/>
                <w:szCs w:val="8"/>
                <w:color w:val="auto"/>
              </w:rPr>
            </w:pPr>
          </w:p>
        </w:tc>
        <w:tc>
          <w:tcPr>
            <w:tcW w:w="160" w:type="dxa"/>
            <w:vAlign w:val="bottom"/>
            <w:shd w:val="clear" w:color="auto" w:fill="0066BA"/>
          </w:tcPr>
          <w:p>
            <w:pPr>
              <w:spacing w:after="0"/>
              <w:rPr>
                <w:sz w:val="8"/>
                <w:szCs w:val="8"/>
                <w:color w:val="auto"/>
              </w:rPr>
            </w:pPr>
          </w:p>
        </w:tc>
        <w:tc>
          <w:tcPr>
            <w:tcW w:w="460" w:type="dxa"/>
            <w:vAlign w:val="bottom"/>
            <w:shd w:val="clear" w:color="auto" w:fill="0066BA"/>
          </w:tcPr>
          <w:p>
            <w:pPr>
              <w:spacing w:after="0"/>
              <w:rPr>
                <w:sz w:val="8"/>
                <w:szCs w:val="8"/>
                <w:color w:val="auto"/>
              </w:rPr>
            </w:pPr>
          </w:p>
        </w:tc>
        <w:tc>
          <w:tcPr>
            <w:tcW w:w="80" w:type="dxa"/>
            <w:vAlign w:val="bottom"/>
            <w:shd w:val="clear" w:color="auto" w:fill="0066BA"/>
          </w:tcPr>
          <w:p>
            <w:pPr>
              <w:spacing w:after="0"/>
              <w:rPr>
                <w:sz w:val="8"/>
                <w:szCs w:val="8"/>
                <w:color w:val="auto"/>
              </w:rPr>
            </w:pPr>
          </w:p>
        </w:tc>
        <w:tc>
          <w:tcPr>
            <w:tcW w:w="780" w:type="dxa"/>
            <w:vAlign w:val="bottom"/>
            <w:shd w:val="clear" w:color="auto" w:fill="0066BA"/>
          </w:tcPr>
          <w:p>
            <w:pPr>
              <w:spacing w:after="0"/>
              <w:rPr>
                <w:sz w:val="8"/>
                <w:szCs w:val="8"/>
                <w:color w:val="auto"/>
              </w:rPr>
            </w:pPr>
          </w:p>
        </w:tc>
        <w:tc>
          <w:tcPr>
            <w:tcW w:w="140" w:type="dxa"/>
            <w:vAlign w:val="bottom"/>
            <w:shd w:val="clear" w:color="auto" w:fill="0066BA"/>
          </w:tcPr>
          <w:p>
            <w:pPr>
              <w:spacing w:after="0"/>
              <w:rPr>
                <w:sz w:val="8"/>
                <w:szCs w:val="8"/>
                <w:color w:val="auto"/>
              </w:rPr>
            </w:pPr>
          </w:p>
        </w:tc>
        <w:tc>
          <w:tcPr>
            <w:tcW w:w="560" w:type="dxa"/>
            <w:vAlign w:val="bottom"/>
            <w:shd w:val="clear" w:color="auto" w:fill="0066BA"/>
          </w:tcPr>
          <w:p>
            <w:pPr>
              <w:spacing w:after="0"/>
              <w:rPr>
                <w:sz w:val="8"/>
                <w:szCs w:val="8"/>
                <w:color w:val="auto"/>
              </w:rPr>
            </w:pPr>
          </w:p>
        </w:tc>
        <w:tc>
          <w:tcPr>
            <w:tcW w:w="100" w:type="dxa"/>
            <w:vAlign w:val="bottom"/>
            <w:shd w:val="clear" w:color="auto" w:fill="0066BA"/>
          </w:tcPr>
          <w:p>
            <w:pPr>
              <w:spacing w:after="0"/>
              <w:rPr>
                <w:sz w:val="8"/>
                <w:szCs w:val="8"/>
                <w:color w:val="auto"/>
              </w:rPr>
            </w:pPr>
          </w:p>
        </w:tc>
        <w:tc>
          <w:tcPr>
            <w:tcW w:w="840" w:type="dxa"/>
            <w:vAlign w:val="bottom"/>
            <w:shd w:val="clear" w:color="auto" w:fill="0066BA"/>
          </w:tcPr>
          <w:p>
            <w:pPr>
              <w:spacing w:after="0"/>
              <w:rPr>
                <w:sz w:val="8"/>
                <w:szCs w:val="8"/>
                <w:color w:val="auto"/>
              </w:rPr>
            </w:pPr>
          </w:p>
        </w:tc>
        <w:tc>
          <w:tcPr>
            <w:tcW w:w="140" w:type="dxa"/>
            <w:vAlign w:val="bottom"/>
            <w:shd w:val="clear" w:color="auto" w:fill="0066BA"/>
          </w:tcPr>
          <w:p>
            <w:pPr>
              <w:spacing w:after="0"/>
              <w:rPr>
                <w:sz w:val="8"/>
                <w:szCs w:val="8"/>
                <w:color w:val="auto"/>
              </w:rPr>
            </w:pPr>
          </w:p>
        </w:tc>
        <w:tc>
          <w:tcPr>
            <w:tcW w:w="600" w:type="dxa"/>
            <w:vAlign w:val="bottom"/>
            <w:shd w:val="clear" w:color="auto" w:fill="0066BA"/>
          </w:tcPr>
          <w:p>
            <w:pPr>
              <w:spacing w:after="0"/>
              <w:rPr>
                <w:sz w:val="8"/>
                <w:szCs w:val="8"/>
                <w:color w:val="auto"/>
              </w:rPr>
            </w:pPr>
          </w:p>
        </w:tc>
        <w:tc>
          <w:tcPr>
            <w:tcW w:w="80" w:type="dxa"/>
            <w:vAlign w:val="bottom"/>
            <w:shd w:val="clear" w:color="auto" w:fill="0066BA"/>
          </w:tcPr>
          <w:p>
            <w:pPr>
              <w:spacing w:after="0"/>
              <w:rPr>
                <w:sz w:val="8"/>
                <w:szCs w:val="8"/>
                <w:color w:val="auto"/>
              </w:rPr>
            </w:pPr>
          </w:p>
        </w:tc>
        <w:tc>
          <w:tcPr>
            <w:tcW w:w="820" w:type="dxa"/>
            <w:vAlign w:val="bottom"/>
            <w:shd w:val="clear" w:color="auto" w:fill="0066BA"/>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4120" w:type="dxa"/>
            <w:vAlign w:val="bottom"/>
          </w:tcPr>
          <w:p>
            <w:pPr>
              <w:spacing w:after="0"/>
              <w:rPr>
                <w:sz w:val="19"/>
                <w:szCs w:val="19"/>
                <w:color w:val="auto"/>
              </w:rPr>
            </w:pPr>
          </w:p>
        </w:tc>
        <w:tc>
          <w:tcPr>
            <w:tcW w:w="520" w:type="dxa"/>
            <w:vAlign w:val="bottom"/>
            <w:tcBorders>
              <w:bottom w:val="single" w:sz="8" w:color="auto"/>
            </w:tcBorders>
            <w:gridSpan w:val="3"/>
            <w:shd w:val="clear" w:color="auto" w:fill="EAEAEA"/>
          </w:tcPr>
          <w:p>
            <w:pPr>
              <w:jc w:val="right"/>
              <w:ind w:right="80"/>
              <w:spacing w:after="0"/>
              <w:rPr>
                <w:sz w:val="20"/>
                <w:szCs w:val="20"/>
                <w:color w:val="auto"/>
              </w:rPr>
            </w:pPr>
            <w:r>
              <w:rPr>
                <w:rFonts w:ascii="Arial" w:cs="Arial" w:eastAsia="Arial" w:hAnsi="Arial"/>
                <w:sz w:val="16"/>
                <w:szCs w:val="16"/>
                <w:color w:val="auto"/>
              </w:rPr>
              <w:t>2021</w:t>
            </w: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84,000</w:t>
            </w:r>
          </w:p>
        </w:tc>
        <w:tc>
          <w:tcPr>
            <w:tcW w:w="160" w:type="dxa"/>
            <w:vAlign w:val="bottom"/>
            <w:tcBorders>
              <w:bottom w:val="single" w:sz="8" w:color="auto"/>
            </w:tcBorders>
            <w:shd w:val="clear" w:color="auto" w:fill="EAEAEA"/>
          </w:tcPr>
          <w:p>
            <w:pPr>
              <w:spacing w:after="0"/>
              <w:rPr>
                <w:sz w:val="19"/>
                <w:szCs w:val="19"/>
                <w:color w:val="auto"/>
              </w:rPr>
            </w:pPr>
          </w:p>
        </w:tc>
        <w:tc>
          <w:tcPr>
            <w:tcW w:w="540" w:type="dxa"/>
            <w:vAlign w:val="bottom"/>
            <w:tcBorders>
              <w:bottom w:val="single" w:sz="8" w:color="auto"/>
            </w:tcBorders>
            <w:gridSpan w:val="2"/>
            <w:shd w:val="clear" w:color="auto" w:fill="EAEAEA"/>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EAEAEA"/>
          </w:tcPr>
          <w:p>
            <w:pPr>
              <w:spacing w:after="0"/>
              <w:rPr>
                <w:sz w:val="19"/>
                <w:szCs w:val="19"/>
                <w:color w:val="auto"/>
              </w:rPr>
            </w:pPr>
          </w:p>
        </w:tc>
        <w:tc>
          <w:tcPr>
            <w:tcW w:w="660" w:type="dxa"/>
            <w:vAlign w:val="bottom"/>
            <w:tcBorders>
              <w:bottom w:val="single" w:sz="8" w:color="auto"/>
            </w:tcBorders>
            <w:gridSpan w:val="2"/>
            <w:shd w:val="clear" w:color="auto" w:fill="EAEAEA"/>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EAEAEA"/>
          </w:tcPr>
          <w:p>
            <w:pPr>
              <w:spacing w:after="0"/>
              <w:rPr>
                <w:sz w:val="19"/>
                <w:szCs w:val="19"/>
                <w:color w:val="auto"/>
              </w:rPr>
            </w:pPr>
          </w:p>
        </w:tc>
        <w:tc>
          <w:tcPr>
            <w:tcW w:w="680" w:type="dxa"/>
            <w:vAlign w:val="bottom"/>
            <w:tcBorders>
              <w:bottom w:val="single" w:sz="8" w:color="auto"/>
            </w:tcBorders>
            <w:gridSpan w:val="2"/>
            <w:shd w:val="clear" w:color="auto" w:fill="EAEAEA"/>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120" w:type="dxa"/>
            <w:vAlign w:val="bottom"/>
          </w:tcPr>
          <w:p>
            <w:pPr>
              <w:ind w:left="60"/>
              <w:spacing w:after="0"/>
              <w:rPr>
                <w:sz w:val="20"/>
                <w:szCs w:val="20"/>
                <w:color w:val="auto"/>
              </w:rPr>
            </w:pPr>
            <w:r>
              <w:rPr>
                <w:rFonts w:ascii="Arial" w:cs="Arial" w:eastAsia="Arial" w:hAnsi="Arial"/>
                <w:sz w:val="16"/>
                <w:szCs w:val="16"/>
                <w:b w:val="1"/>
                <w:bCs w:val="1"/>
                <w:color w:val="0066BA"/>
              </w:rPr>
              <w:t>Vincent Roche</w:t>
            </w:r>
          </w:p>
        </w:tc>
        <w:tc>
          <w:tcPr>
            <w:tcW w:w="120" w:type="dxa"/>
            <w:vAlign w:val="bottom"/>
            <w:tcBorders>
              <w:bottom w:val="single" w:sz="8" w:color="auto"/>
            </w:tcBorders>
            <w:shd w:val="clear" w:color="auto" w:fill="EAEAEA"/>
          </w:tcPr>
          <w:p>
            <w:pPr>
              <w:spacing w:after="0"/>
              <w:rPr>
                <w:sz w:val="19"/>
                <w:szCs w:val="19"/>
                <w:color w:val="auto"/>
              </w:rPr>
            </w:pPr>
          </w:p>
        </w:tc>
        <w:tc>
          <w:tcPr>
            <w:tcW w:w="400" w:type="dxa"/>
            <w:vAlign w:val="bottom"/>
            <w:tcBorders>
              <w:bottom w:val="single" w:sz="8" w:color="auto"/>
            </w:tcBorders>
            <w:gridSpan w:val="2"/>
            <w:shd w:val="clear" w:color="auto" w:fill="EAEAEA"/>
          </w:tcPr>
          <w:p>
            <w:pPr>
              <w:jc w:val="right"/>
              <w:ind w:right="80"/>
              <w:spacing w:after="0"/>
              <w:rPr>
                <w:sz w:val="20"/>
                <w:szCs w:val="20"/>
                <w:color w:val="auto"/>
              </w:rPr>
            </w:pPr>
            <w:r>
              <w:rPr>
                <w:rFonts w:ascii="Arial" w:cs="Arial" w:eastAsia="Arial" w:hAnsi="Arial"/>
                <w:sz w:val="16"/>
                <w:szCs w:val="16"/>
                <w:color w:val="auto"/>
                <w:w w:val="84"/>
                <w:shd w:val="clear" w:color="auto" w:fill="EAEAEA"/>
              </w:rPr>
              <w:t>2020</w:t>
            </w: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84,000</w:t>
            </w:r>
          </w:p>
        </w:tc>
        <w:tc>
          <w:tcPr>
            <w:tcW w:w="160" w:type="dxa"/>
            <w:vAlign w:val="bottom"/>
            <w:tcBorders>
              <w:bottom w:val="single" w:sz="8" w:color="auto"/>
            </w:tcBorders>
            <w:shd w:val="clear" w:color="auto" w:fill="EAEAEA"/>
          </w:tcPr>
          <w:p>
            <w:pPr>
              <w:spacing w:after="0"/>
              <w:rPr>
                <w:sz w:val="19"/>
                <w:szCs w:val="19"/>
                <w:color w:val="auto"/>
              </w:rPr>
            </w:pPr>
          </w:p>
        </w:tc>
        <w:tc>
          <w:tcPr>
            <w:tcW w:w="540" w:type="dxa"/>
            <w:vAlign w:val="bottom"/>
            <w:tcBorders>
              <w:bottom w:val="single" w:sz="8" w:color="auto"/>
            </w:tcBorders>
            <w:gridSpan w:val="2"/>
            <w:shd w:val="clear" w:color="auto" w:fill="EAEAEA"/>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EAEAEA"/>
          </w:tcPr>
          <w:p>
            <w:pPr>
              <w:spacing w:after="0"/>
              <w:rPr>
                <w:sz w:val="19"/>
                <w:szCs w:val="19"/>
                <w:color w:val="auto"/>
              </w:rPr>
            </w:pPr>
          </w:p>
        </w:tc>
        <w:tc>
          <w:tcPr>
            <w:tcW w:w="660" w:type="dxa"/>
            <w:vAlign w:val="bottom"/>
            <w:tcBorders>
              <w:bottom w:val="single" w:sz="8" w:color="auto"/>
            </w:tcBorders>
            <w:gridSpan w:val="2"/>
            <w:shd w:val="clear" w:color="auto" w:fill="EAEAEA"/>
          </w:tcPr>
          <w:p>
            <w:pPr>
              <w:jc w:val="right"/>
              <w:ind w:right="8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EAEAEA"/>
          </w:tcPr>
          <w:p>
            <w:pPr>
              <w:spacing w:after="0"/>
              <w:rPr>
                <w:sz w:val="19"/>
                <w:szCs w:val="19"/>
                <w:color w:val="auto"/>
              </w:rPr>
            </w:pPr>
          </w:p>
        </w:tc>
        <w:tc>
          <w:tcPr>
            <w:tcW w:w="680" w:type="dxa"/>
            <w:vAlign w:val="bottom"/>
            <w:tcBorders>
              <w:bottom w:val="single" w:sz="8" w:color="auto"/>
            </w:tcBorders>
            <w:gridSpan w:val="2"/>
            <w:shd w:val="clear" w:color="auto" w:fill="EAEAEA"/>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3,825</w:t>
            </w:r>
          </w:p>
        </w:tc>
        <w:tc>
          <w:tcPr>
            <w:tcW w:w="0" w:type="dxa"/>
            <w:vAlign w:val="bottom"/>
          </w:tcPr>
          <w:p>
            <w:pPr>
              <w:spacing w:after="0"/>
              <w:rPr>
                <w:sz w:val="1"/>
                <w:szCs w:val="1"/>
                <w:color w:val="auto"/>
              </w:rPr>
            </w:pPr>
          </w:p>
        </w:tc>
      </w:tr>
      <w:tr>
        <w:trPr>
          <w:trHeight w:val="227"/>
        </w:trPr>
        <w:tc>
          <w:tcPr>
            <w:tcW w:w="4120" w:type="dxa"/>
            <w:vAlign w:val="bottom"/>
            <w:tcBorders>
              <w:bottom w:val="single" w:sz="8" w:color="0066BA"/>
            </w:tcBorders>
          </w:tcPr>
          <w:p>
            <w:pPr>
              <w:spacing w:after="0"/>
              <w:rPr>
                <w:sz w:val="19"/>
                <w:szCs w:val="19"/>
                <w:color w:val="auto"/>
              </w:rPr>
            </w:pPr>
          </w:p>
        </w:tc>
        <w:tc>
          <w:tcPr>
            <w:tcW w:w="120" w:type="dxa"/>
            <w:vAlign w:val="bottom"/>
            <w:tcBorders>
              <w:bottom w:val="single" w:sz="8" w:color="0066BA"/>
            </w:tcBorders>
            <w:shd w:val="clear" w:color="auto" w:fill="EAEAEA"/>
          </w:tcPr>
          <w:p>
            <w:pPr>
              <w:spacing w:after="0"/>
              <w:rPr>
                <w:sz w:val="19"/>
                <w:szCs w:val="19"/>
                <w:color w:val="auto"/>
              </w:rPr>
            </w:pPr>
          </w:p>
        </w:tc>
        <w:tc>
          <w:tcPr>
            <w:tcW w:w="32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w w:val="84"/>
                <w:shd w:val="clear" w:color="auto" w:fill="EAEAEA"/>
              </w:rPr>
              <w:t>2019</w:t>
            </w:r>
          </w:p>
        </w:tc>
        <w:tc>
          <w:tcPr>
            <w:tcW w:w="80" w:type="dxa"/>
            <w:vAlign w:val="bottom"/>
            <w:tcBorders>
              <w:bottom w:val="single" w:sz="8" w:color="0066BA"/>
            </w:tcBorders>
            <w:shd w:val="clear" w:color="auto" w:fill="EAEAEA"/>
          </w:tcPr>
          <w:p>
            <w:pPr>
              <w:spacing w:after="0"/>
              <w:rPr>
                <w:sz w:val="19"/>
                <w:szCs w:val="19"/>
                <w:color w:val="auto"/>
              </w:rPr>
            </w:pPr>
          </w:p>
        </w:tc>
        <w:tc>
          <w:tcPr>
            <w:tcW w:w="880" w:type="dxa"/>
            <w:vAlign w:val="bottom"/>
            <w:tcBorders>
              <w:bottom w:val="single" w:sz="8" w:color="0066BA"/>
            </w:tcBorders>
          </w:tcPr>
          <w:p>
            <w:pPr>
              <w:jc w:val="right"/>
              <w:ind w:right="6"/>
              <w:spacing w:after="0"/>
              <w:rPr>
                <w:sz w:val="20"/>
                <w:szCs w:val="20"/>
                <w:color w:val="auto"/>
              </w:rPr>
            </w:pPr>
            <w:r>
              <w:rPr>
                <w:rFonts w:ascii="Arial" w:cs="Arial" w:eastAsia="Arial" w:hAnsi="Arial"/>
                <w:sz w:val="16"/>
                <w:szCs w:val="16"/>
                <w:color w:val="auto"/>
              </w:rPr>
              <w:t>82,462</w:t>
            </w:r>
          </w:p>
        </w:tc>
        <w:tc>
          <w:tcPr>
            <w:tcW w:w="160" w:type="dxa"/>
            <w:vAlign w:val="bottom"/>
            <w:tcBorders>
              <w:bottom w:val="single" w:sz="8" w:color="0066BA"/>
            </w:tcBorders>
            <w:shd w:val="clear" w:color="auto" w:fill="EAEAEA"/>
          </w:tcPr>
          <w:p>
            <w:pPr>
              <w:spacing w:after="0"/>
              <w:rPr>
                <w:sz w:val="19"/>
                <w:szCs w:val="19"/>
                <w:color w:val="auto"/>
              </w:rPr>
            </w:pPr>
          </w:p>
        </w:tc>
        <w:tc>
          <w:tcPr>
            <w:tcW w:w="46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9"/>
                <w:szCs w:val="19"/>
                <w:color w:val="auto"/>
              </w:rPr>
            </w:pPr>
          </w:p>
        </w:tc>
        <w:tc>
          <w:tcPr>
            <w:tcW w:w="780" w:type="dxa"/>
            <w:vAlign w:val="bottom"/>
            <w:tcBorders>
              <w:bottom w:val="single" w:sz="8" w:color="0066BA"/>
            </w:tcBorders>
          </w:tcPr>
          <w:p>
            <w:pPr>
              <w:jc w:val="right"/>
              <w:ind w:right="5"/>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0066BA"/>
            </w:tcBorders>
            <w:shd w:val="clear" w:color="auto" w:fill="EAEAEA"/>
          </w:tcPr>
          <w:p>
            <w:pPr>
              <w:spacing w:after="0"/>
              <w:rPr>
                <w:sz w:val="19"/>
                <w:szCs w:val="19"/>
                <w:color w:val="auto"/>
              </w:rPr>
            </w:pPr>
          </w:p>
        </w:tc>
        <w:tc>
          <w:tcPr>
            <w:tcW w:w="56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0066BA"/>
            </w:tcBorders>
            <w:shd w:val="clear" w:color="auto" w:fill="EAEAEA"/>
          </w:tcPr>
          <w:p>
            <w:pPr>
              <w:spacing w:after="0"/>
              <w:rPr>
                <w:sz w:val="19"/>
                <w:szCs w:val="19"/>
                <w:color w:val="auto"/>
              </w:rPr>
            </w:pPr>
          </w:p>
        </w:tc>
        <w:tc>
          <w:tcPr>
            <w:tcW w:w="840" w:type="dxa"/>
            <w:vAlign w:val="bottom"/>
            <w:tcBorders>
              <w:bottom w:val="single" w:sz="8" w:color="0066BA"/>
            </w:tcBorders>
          </w:tcPr>
          <w:p>
            <w:pPr>
              <w:jc w:val="right"/>
              <w:ind w:right="5"/>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0066BA"/>
            </w:tcBorders>
            <w:shd w:val="clear" w:color="auto" w:fill="EAEAEA"/>
          </w:tcPr>
          <w:p>
            <w:pPr>
              <w:spacing w:after="0"/>
              <w:rPr>
                <w:sz w:val="19"/>
                <w:szCs w:val="19"/>
                <w:color w:val="auto"/>
              </w:rPr>
            </w:pPr>
          </w:p>
        </w:tc>
        <w:tc>
          <w:tcPr>
            <w:tcW w:w="60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9"/>
                <w:szCs w:val="19"/>
                <w:color w:val="auto"/>
              </w:rPr>
            </w:pPr>
          </w:p>
        </w:tc>
        <w:tc>
          <w:tcPr>
            <w:tcW w:w="820" w:type="dxa"/>
            <w:vAlign w:val="bottom"/>
            <w:tcBorders>
              <w:bottom w:val="single" w:sz="8" w:color="0066BA"/>
            </w:tcBorders>
          </w:tcPr>
          <w:p>
            <w:pPr>
              <w:jc w:val="right"/>
              <w:ind w:right="3"/>
              <w:spacing w:after="0"/>
              <w:rPr>
                <w:sz w:val="20"/>
                <w:szCs w:val="20"/>
                <w:color w:val="auto"/>
              </w:rPr>
            </w:pPr>
            <w:r>
              <w:rPr>
                <w:rFonts w:ascii="Arial" w:cs="Arial" w:eastAsia="Arial" w:hAnsi="Arial"/>
                <w:sz w:val="16"/>
                <w:szCs w:val="16"/>
                <w:color w:val="auto"/>
              </w:rPr>
              <w:t>3,129</w:t>
            </w:r>
          </w:p>
        </w:tc>
        <w:tc>
          <w:tcPr>
            <w:tcW w:w="0" w:type="dxa"/>
            <w:vAlign w:val="bottom"/>
          </w:tcPr>
          <w:p>
            <w:pPr>
              <w:spacing w:after="0"/>
              <w:rPr>
                <w:sz w:val="1"/>
                <w:szCs w:val="1"/>
                <w:color w:val="auto"/>
              </w:rPr>
            </w:pPr>
          </w:p>
        </w:tc>
      </w:tr>
      <w:tr>
        <w:trPr>
          <w:trHeight w:val="227"/>
        </w:trPr>
        <w:tc>
          <w:tcPr>
            <w:tcW w:w="4120" w:type="dxa"/>
            <w:vAlign w:val="bottom"/>
            <w:vMerge w:val="restart"/>
          </w:tcPr>
          <w:p>
            <w:pPr>
              <w:ind w:left="60"/>
              <w:spacing w:after="0"/>
              <w:rPr>
                <w:sz w:val="20"/>
                <w:szCs w:val="20"/>
                <w:color w:val="auto"/>
              </w:rPr>
            </w:pPr>
            <w:r>
              <w:rPr>
                <w:rFonts w:ascii="Arial" w:cs="Arial" w:eastAsia="Arial" w:hAnsi="Arial"/>
                <w:sz w:val="16"/>
                <w:szCs w:val="16"/>
                <w:b w:val="1"/>
                <w:bCs w:val="1"/>
                <w:color w:val="0066BA"/>
              </w:rPr>
              <w:t>Prashanth</w:t>
            </w:r>
          </w:p>
        </w:tc>
        <w:tc>
          <w:tcPr>
            <w:tcW w:w="120" w:type="dxa"/>
            <w:vAlign w:val="bottom"/>
            <w:tcBorders>
              <w:bottom w:val="single" w:sz="8" w:color="auto"/>
            </w:tcBorders>
            <w:shd w:val="clear" w:color="auto" w:fill="EAEAEA"/>
          </w:tcPr>
          <w:p>
            <w:pPr>
              <w:spacing w:after="0"/>
              <w:rPr>
                <w:sz w:val="19"/>
                <w:szCs w:val="19"/>
                <w:color w:val="auto"/>
              </w:rPr>
            </w:pPr>
          </w:p>
        </w:tc>
        <w:tc>
          <w:tcPr>
            <w:tcW w:w="3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4"/>
              </w:rPr>
              <w:t>2021</w:t>
            </w:r>
          </w:p>
        </w:tc>
        <w:tc>
          <w:tcPr>
            <w:tcW w:w="80" w:type="dxa"/>
            <w:vAlign w:val="bottom"/>
            <w:tcBorders>
              <w:bottom w:val="single" w:sz="8" w:color="auto"/>
            </w:tcBorders>
            <w:shd w:val="clear" w:color="auto" w:fill="EAEAEA"/>
          </w:tcPr>
          <w:p>
            <w:pPr>
              <w:spacing w:after="0"/>
              <w:rPr>
                <w:sz w:val="19"/>
                <w:szCs w:val="19"/>
                <w:color w:val="auto"/>
              </w:rPr>
            </w:pP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46,000</w:t>
            </w:r>
          </w:p>
        </w:tc>
        <w:tc>
          <w:tcPr>
            <w:tcW w:w="160" w:type="dxa"/>
            <w:vAlign w:val="bottom"/>
            <w:tcBorders>
              <w:bottom w:val="single" w:sz="8" w:color="auto"/>
            </w:tcBorders>
            <w:shd w:val="clear" w:color="auto" w:fill="EAEAEA"/>
          </w:tcPr>
          <w:p>
            <w:pPr>
              <w:spacing w:after="0"/>
              <w:rPr>
                <w:sz w:val="19"/>
                <w:szCs w:val="19"/>
                <w:color w:val="auto"/>
              </w:rPr>
            </w:pPr>
          </w:p>
        </w:tc>
        <w:tc>
          <w:tcPr>
            <w:tcW w:w="4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9"/>
                <w:szCs w:val="19"/>
                <w:color w:val="auto"/>
              </w:rPr>
            </w:pPr>
          </w:p>
        </w:tc>
        <w:tc>
          <w:tcPr>
            <w:tcW w:w="7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EAEAEA"/>
          </w:tcPr>
          <w:p>
            <w:pPr>
              <w:spacing w:after="0"/>
              <w:rPr>
                <w:sz w:val="19"/>
                <w:szCs w:val="19"/>
                <w:color w:val="auto"/>
              </w:rPr>
            </w:pPr>
          </w:p>
        </w:tc>
        <w:tc>
          <w:tcPr>
            <w:tcW w:w="5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1,200</w:t>
            </w:r>
          </w:p>
        </w:tc>
        <w:tc>
          <w:tcPr>
            <w:tcW w:w="100" w:type="dxa"/>
            <w:vAlign w:val="bottom"/>
            <w:tcBorders>
              <w:bottom w:val="single" w:sz="8" w:color="auto"/>
            </w:tcBorders>
            <w:shd w:val="clear" w:color="auto" w:fill="EAEAEA"/>
          </w:tcPr>
          <w:p>
            <w:pPr>
              <w:spacing w:after="0"/>
              <w:rPr>
                <w:sz w:val="19"/>
                <w:szCs w:val="19"/>
                <w:color w:val="auto"/>
              </w:rPr>
            </w:pPr>
          </w:p>
        </w:tc>
        <w:tc>
          <w:tcPr>
            <w:tcW w:w="8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EAEAEA"/>
          </w:tcPr>
          <w:p>
            <w:pPr>
              <w:spacing w:after="0"/>
              <w:rPr>
                <w:sz w:val="19"/>
                <w:szCs w:val="19"/>
                <w:color w:val="auto"/>
              </w:rPr>
            </w:pPr>
          </w:p>
        </w:tc>
        <w:tc>
          <w:tcPr>
            <w:tcW w:w="6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9"/>
                <w:szCs w:val="19"/>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90"/>
        </w:trPr>
        <w:tc>
          <w:tcPr>
            <w:tcW w:w="4120" w:type="dxa"/>
            <w:vAlign w:val="bottom"/>
            <w:vMerge w:val="continue"/>
          </w:tcPr>
          <w:p>
            <w:pPr>
              <w:spacing w:after="0"/>
              <w:rPr>
                <w:sz w:val="7"/>
                <w:szCs w:val="7"/>
                <w:color w:val="auto"/>
              </w:rPr>
            </w:pPr>
          </w:p>
        </w:tc>
        <w:tc>
          <w:tcPr>
            <w:tcW w:w="120" w:type="dxa"/>
            <w:vAlign w:val="bottom"/>
            <w:shd w:val="clear" w:color="auto" w:fill="EAEAEA"/>
          </w:tcPr>
          <w:p>
            <w:pPr>
              <w:spacing w:after="0"/>
              <w:rPr>
                <w:sz w:val="7"/>
                <w:szCs w:val="7"/>
                <w:color w:val="auto"/>
              </w:rPr>
            </w:pPr>
          </w:p>
        </w:tc>
        <w:tc>
          <w:tcPr>
            <w:tcW w:w="32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w w:val="84"/>
              </w:rPr>
              <w:t>2020</w:t>
            </w:r>
          </w:p>
        </w:tc>
        <w:tc>
          <w:tcPr>
            <w:tcW w:w="80" w:type="dxa"/>
            <w:vAlign w:val="bottom"/>
            <w:shd w:val="clear" w:color="auto" w:fill="EAEAEA"/>
          </w:tcPr>
          <w:p>
            <w:pPr>
              <w:spacing w:after="0"/>
              <w:rPr>
                <w:sz w:val="7"/>
                <w:szCs w:val="7"/>
                <w:color w:val="auto"/>
              </w:rPr>
            </w:pPr>
          </w:p>
        </w:tc>
        <w:tc>
          <w:tcPr>
            <w:tcW w:w="880" w:type="dxa"/>
            <w:vAlign w:val="bottom"/>
            <w:vMerge w:val="restart"/>
          </w:tcPr>
          <w:p>
            <w:pPr>
              <w:jc w:val="right"/>
              <w:ind w:right="6"/>
              <w:spacing w:after="0"/>
              <w:rPr>
                <w:sz w:val="20"/>
                <w:szCs w:val="20"/>
                <w:color w:val="auto"/>
              </w:rPr>
            </w:pPr>
            <w:r>
              <w:rPr>
                <w:rFonts w:ascii="Arial" w:cs="Arial" w:eastAsia="Arial" w:hAnsi="Arial"/>
                <w:sz w:val="16"/>
                <w:szCs w:val="16"/>
                <w:color w:val="auto"/>
              </w:rPr>
              <w:t>46,000</w:t>
            </w:r>
          </w:p>
        </w:tc>
        <w:tc>
          <w:tcPr>
            <w:tcW w:w="160" w:type="dxa"/>
            <w:vAlign w:val="bottom"/>
            <w:shd w:val="clear" w:color="auto" w:fill="EAEAEA"/>
          </w:tcPr>
          <w:p>
            <w:pPr>
              <w:spacing w:after="0"/>
              <w:rPr>
                <w:sz w:val="7"/>
                <w:szCs w:val="7"/>
                <w:color w:val="auto"/>
              </w:rPr>
            </w:pPr>
          </w:p>
        </w:tc>
        <w:tc>
          <w:tcPr>
            <w:tcW w:w="46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7"/>
                <w:szCs w:val="7"/>
                <w:color w:val="auto"/>
              </w:rPr>
            </w:pPr>
          </w:p>
        </w:tc>
        <w:tc>
          <w:tcPr>
            <w:tcW w:w="780" w:type="dxa"/>
            <w:vAlign w:val="bottom"/>
            <w:vMerge w:val="restart"/>
          </w:tcPr>
          <w:p>
            <w:pPr>
              <w:jc w:val="right"/>
              <w:ind w:right="5"/>
              <w:spacing w:after="0"/>
              <w:rPr>
                <w:sz w:val="20"/>
                <w:szCs w:val="20"/>
                <w:color w:val="auto"/>
              </w:rPr>
            </w:pPr>
            <w:r>
              <w:rPr>
                <w:rFonts w:ascii="Arial" w:cs="Arial" w:eastAsia="Arial" w:hAnsi="Arial"/>
                <w:sz w:val="16"/>
                <w:szCs w:val="16"/>
                <w:color w:val="auto"/>
              </w:rPr>
              <w:t>—</w:t>
            </w:r>
          </w:p>
        </w:tc>
        <w:tc>
          <w:tcPr>
            <w:tcW w:w="140" w:type="dxa"/>
            <w:vAlign w:val="bottom"/>
            <w:shd w:val="clear" w:color="auto" w:fill="EAEAEA"/>
          </w:tcPr>
          <w:p>
            <w:pPr>
              <w:spacing w:after="0"/>
              <w:rPr>
                <w:sz w:val="7"/>
                <w:szCs w:val="7"/>
                <w:color w:val="auto"/>
              </w:rPr>
            </w:pPr>
          </w:p>
        </w:tc>
        <w:tc>
          <w:tcPr>
            <w:tcW w:w="56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1,200</w:t>
            </w:r>
          </w:p>
        </w:tc>
        <w:tc>
          <w:tcPr>
            <w:tcW w:w="100" w:type="dxa"/>
            <w:vAlign w:val="bottom"/>
            <w:shd w:val="clear" w:color="auto" w:fill="EAEAEA"/>
          </w:tcPr>
          <w:p>
            <w:pPr>
              <w:spacing w:after="0"/>
              <w:rPr>
                <w:sz w:val="7"/>
                <w:szCs w:val="7"/>
                <w:color w:val="auto"/>
              </w:rPr>
            </w:pPr>
          </w:p>
        </w:tc>
        <w:tc>
          <w:tcPr>
            <w:tcW w:w="840" w:type="dxa"/>
            <w:vAlign w:val="bottom"/>
            <w:vMerge w:val="restart"/>
          </w:tcPr>
          <w:p>
            <w:pPr>
              <w:jc w:val="right"/>
              <w:ind w:right="5"/>
              <w:spacing w:after="0"/>
              <w:rPr>
                <w:sz w:val="20"/>
                <w:szCs w:val="20"/>
                <w:color w:val="auto"/>
              </w:rPr>
            </w:pPr>
            <w:r>
              <w:rPr>
                <w:rFonts w:ascii="Arial" w:cs="Arial" w:eastAsia="Arial" w:hAnsi="Arial"/>
                <w:sz w:val="16"/>
                <w:szCs w:val="16"/>
                <w:color w:val="auto"/>
              </w:rPr>
              <w:t>—</w:t>
            </w:r>
          </w:p>
        </w:tc>
        <w:tc>
          <w:tcPr>
            <w:tcW w:w="140" w:type="dxa"/>
            <w:vAlign w:val="bottom"/>
            <w:shd w:val="clear" w:color="auto" w:fill="EAEAEA"/>
          </w:tcPr>
          <w:p>
            <w:pPr>
              <w:spacing w:after="0"/>
              <w:rPr>
                <w:sz w:val="7"/>
                <w:szCs w:val="7"/>
                <w:color w:val="auto"/>
              </w:rPr>
            </w:pPr>
          </w:p>
        </w:tc>
        <w:tc>
          <w:tcPr>
            <w:tcW w:w="60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7"/>
                <w:szCs w:val="7"/>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37"/>
        </w:trPr>
        <w:tc>
          <w:tcPr>
            <w:tcW w:w="4120" w:type="dxa"/>
            <w:vAlign w:val="bottom"/>
          </w:tcPr>
          <w:p>
            <w:pPr>
              <w:ind w:left="60"/>
              <w:spacing w:after="0" w:line="137" w:lineRule="exact"/>
              <w:rPr>
                <w:sz w:val="20"/>
                <w:szCs w:val="20"/>
                <w:color w:val="auto"/>
              </w:rPr>
            </w:pPr>
            <w:r>
              <w:rPr>
                <w:rFonts w:ascii="Arial" w:cs="Arial" w:eastAsia="Arial" w:hAnsi="Arial"/>
                <w:sz w:val="14"/>
                <w:szCs w:val="14"/>
                <w:b w:val="1"/>
                <w:bCs w:val="1"/>
                <w:color w:val="0066BA"/>
              </w:rPr>
              <w:t>Mahendra-Rajah</w:t>
            </w:r>
          </w:p>
        </w:tc>
        <w:tc>
          <w:tcPr>
            <w:tcW w:w="120" w:type="dxa"/>
            <w:vAlign w:val="bottom"/>
            <w:tcBorders>
              <w:bottom w:val="single" w:sz="8" w:color="auto"/>
            </w:tcBorders>
            <w:shd w:val="clear" w:color="auto" w:fill="EAEAEA"/>
          </w:tcPr>
          <w:p>
            <w:pPr>
              <w:spacing w:after="0"/>
              <w:rPr>
                <w:sz w:val="11"/>
                <w:szCs w:val="11"/>
                <w:color w:val="auto"/>
              </w:rPr>
            </w:pPr>
          </w:p>
        </w:tc>
        <w:tc>
          <w:tcPr>
            <w:tcW w:w="320" w:type="dxa"/>
            <w:vAlign w:val="bottom"/>
            <w:tcBorders>
              <w:bottom w:val="single" w:sz="8" w:color="auto"/>
            </w:tcBorders>
            <w:vMerge w:val="continue"/>
            <w:shd w:val="clear" w:color="auto" w:fill="EAEAEA"/>
          </w:tcPr>
          <w:p>
            <w:pPr>
              <w:spacing w:after="0"/>
              <w:rPr>
                <w:sz w:val="11"/>
                <w:szCs w:val="11"/>
                <w:color w:val="auto"/>
              </w:rPr>
            </w:pPr>
          </w:p>
        </w:tc>
        <w:tc>
          <w:tcPr>
            <w:tcW w:w="80" w:type="dxa"/>
            <w:vAlign w:val="bottom"/>
            <w:tcBorders>
              <w:bottom w:val="single" w:sz="8" w:color="auto"/>
            </w:tcBorders>
            <w:shd w:val="clear" w:color="auto" w:fill="EAEAEA"/>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auto"/>
            </w:tcBorders>
            <w:shd w:val="clear" w:color="auto" w:fill="EAEAEA"/>
          </w:tcPr>
          <w:p>
            <w:pPr>
              <w:spacing w:after="0"/>
              <w:rPr>
                <w:sz w:val="11"/>
                <w:szCs w:val="11"/>
                <w:color w:val="auto"/>
              </w:rPr>
            </w:pPr>
          </w:p>
        </w:tc>
        <w:tc>
          <w:tcPr>
            <w:tcW w:w="460" w:type="dxa"/>
            <w:vAlign w:val="bottom"/>
            <w:tcBorders>
              <w:bottom w:val="single" w:sz="8" w:color="auto"/>
            </w:tcBorders>
            <w:vMerge w:val="continue"/>
            <w:shd w:val="clear" w:color="auto" w:fill="EAEAEA"/>
          </w:tcPr>
          <w:p>
            <w:pPr>
              <w:spacing w:after="0"/>
              <w:rPr>
                <w:sz w:val="11"/>
                <w:szCs w:val="11"/>
                <w:color w:val="auto"/>
              </w:rPr>
            </w:pPr>
          </w:p>
        </w:tc>
        <w:tc>
          <w:tcPr>
            <w:tcW w:w="80" w:type="dxa"/>
            <w:vAlign w:val="bottom"/>
            <w:tcBorders>
              <w:bottom w:val="single" w:sz="8" w:color="auto"/>
            </w:tcBorders>
            <w:shd w:val="clear" w:color="auto" w:fill="EAEAEA"/>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tcBorders>
            <w:shd w:val="clear" w:color="auto" w:fill="EAEAEA"/>
          </w:tcPr>
          <w:p>
            <w:pPr>
              <w:spacing w:after="0"/>
              <w:rPr>
                <w:sz w:val="11"/>
                <w:szCs w:val="11"/>
                <w:color w:val="auto"/>
              </w:rPr>
            </w:pPr>
          </w:p>
        </w:tc>
        <w:tc>
          <w:tcPr>
            <w:tcW w:w="560" w:type="dxa"/>
            <w:vAlign w:val="bottom"/>
            <w:tcBorders>
              <w:bottom w:val="single" w:sz="8" w:color="auto"/>
            </w:tcBorders>
            <w:vMerge w:val="continue"/>
            <w:shd w:val="clear" w:color="auto" w:fill="EAEAEA"/>
          </w:tcPr>
          <w:p>
            <w:pPr>
              <w:spacing w:after="0"/>
              <w:rPr>
                <w:sz w:val="11"/>
                <w:szCs w:val="11"/>
                <w:color w:val="auto"/>
              </w:rPr>
            </w:pPr>
          </w:p>
        </w:tc>
        <w:tc>
          <w:tcPr>
            <w:tcW w:w="100" w:type="dxa"/>
            <w:vAlign w:val="bottom"/>
            <w:tcBorders>
              <w:bottom w:val="single" w:sz="8" w:color="auto"/>
            </w:tcBorders>
            <w:shd w:val="clear" w:color="auto" w:fill="EAEAEA"/>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140" w:type="dxa"/>
            <w:vAlign w:val="bottom"/>
            <w:tcBorders>
              <w:bottom w:val="single" w:sz="8" w:color="auto"/>
            </w:tcBorders>
            <w:shd w:val="clear" w:color="auto" w:fill="EAEAEA"/>
          </w:tcPr>
          <w:p>
            <w:pPr>
              <w:spacing w:after="0"/>
              <w:rPr>
                <w:sz w:val="11"/>
                <w:szCs w:val="11"/>
                <w:color w:val="auto"/>
              </w:rPr>
            </w:pPr>
          </w:p>
        </w:tc>
        <w:tc>
          <w:tcPr>
            <w:tcW w:w="600" w:type="dxa"/>
            <w:vAlign w:val="bottom"/>
            <w:tcBorders>
              <w:bottom w:val="single" w:sz="8" w:color="auto"/>
            </w:tcBorders>
            <w:vMerge w:val="continue"/>
            <w:shd w:val="clear" w:color="auto" w:fill="EAEAEA"/>
          </w:tcPr>
          <w:p>
            <w:pPr>
              <w:spacing w:after="0"/>
              <w:rPr>
                <w:sz w:val="11"/>
                <w:szCs w:val="11"/>
                <w:color w:val="auto"/>
              </w:rPr>
            </w:pPr>
          </w:p>
        </w:tc>
        <w:tc>
          <w:tcPr>
            <w:tcW w:w="80" w:type="dxa"/>
            <w:vAlign w:val="bottom"/>
            <w:tcBorders>
              <w:bottom w:val="single" w:sz="8" w:color="auto"/>
            </w:tcBorders>
            <w:shd w:val="clear" w:color="auto" w:fill="EAEAEA"/>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4120" w:type="dxa"/>
            <w:vAlign w:val="bottom"/>
            <w:tcBorders>
              <w:bottom w:val="single" w:sz="8" w:color="0066BA"/>
            </w:tcBorders>
          </w:tcPr>
          <w:p>
            <w:pPr>
              <w:spacing w:after="0"/>
              <w:rPr>
                <w:sz w:val="19"/>
                <w:szCs w:val="19"/>
                <w:color w:val="auto"/>
              </w:rPr>
            </w:pPr>
          </w:p>
        </w:tc>
        <w:tc>
          <w:tcPr>
            <w:tcW w:w="120" w:type="dxa"/>
            <w:vAlign w:val="bottom"/>
            <w:tcBorders>
              <w:bottom w:val="single" w:sz="8" w:color="0066BA"/>
            </w:tcBorders>
            <w:shd w:val="clear" w:color="auto" w:fill="EAEAEA"/>
          </w:tcPr>
          <w:p>
            <w:pPr>
              <w:spacing w:after="0"/>
              <w:rPr>
                <w:sz w:val="19"/>
                <w:szCs w:val="19"/>
                <w:color w:val="auto"/>
              </w:rPr>
            </w:pPr>
          </w:p>
        </w:tc>
        <w:tc>
          <w:tcPr>
            <w:tcW w:w="32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w w:val="84"/>
              </w:rPr>
              <w:t>2019</w:t>
            </w:r>
          </w:p>
        </w:tc>
        <w:tc>
          <w:tcPr>
            <w:tcW w:w="80" w:type="dxa"/>
            <w:vAlign w:val="bottom"/>
            <w:tcBorders>
              <w:bottom w:val="single" w:sz="8" w:color="0066BA"/>
            </w:tcBorders>
            <w:shd w:val="clear" w:color="auto" w:fill="EAEAEA"/>
          </w:tcPr>
          <w:p>
            <w:pPr>
              <w:spacing w:after="0"/>
              <w:rPr>
                <w:sz w:val="19"/>
                <w:szCs w:val="19"/>
                <w:color w:val="auto"/>
              </w:rPr>
            </w:pPr>
          </w:p>
        </w:tc>
        <w:tc>
          <w:tcPr>
            <w:tcW w:w="880" w:type="dxa"/>
            <w:vAlign w:val="bottom"/>
            <w:tcBorders>
              <w:bottom w:val="single" w:sz="8" w:color="0066BA"/>
            </w:tcBorders>
          </w:tcPr>
          <w:p>
            <w:pPr>
              <w:jc w:val="right"/>
              <w:ind w:right="6"/>
              <w:spacing w:after="0"/>
              <w:rPr>
                <w:sz w:val="20"/>
                <w:szCs w:val="20"/>
                <w:color w:val="auto"/>
              </w:rPr>
            </w:pPr>
            <w:r>
              <w:rPr>
                <w:rFonts w:ascii="Arial" w:cs="Arial" w:eastAsia="Arial" w:hAnsi="Arial"/>
                <w:sz w:val="16"/>
                <w:szCs w:val="16"/>
                <w:color w:val="auto"/>
              </w:rPr>
              <w:t>45,231</w:t>
            </w:r>
          </w:p>
        </w:tc>
        <w:tc>
          <w:tcPr>
            <w:tcW w:w="160" w:type="dxa"/>
            <w:vAlign w:val="bottom"/>
            <w:tcBorders>
              <w:bottom w:val="single" w:sz="8" w:color="0066BA"/>
            </w:tcBorders>
            <w:shd w:val="clear" w:color="auto" w:fill="EAEAEA"/>
          </w:tcPr>
          <w:p>
            <w:pPr>
              <w:spacing w:after="0"/>
              <w:rPr>
                <w:sz w:val="19"/>
                <w:szCs w:val="19"/>
                <w:color w:val="auto"/>
              </w:rPr>
            </w:pPr>
          </w:p>
        </w:tc>
        <w:tc>
          <w:tcPr>
            <w:tcW w:w="46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9"/>
                <w:szCs w:val="19"/>
                <w:color w:val="auto"/>
              </w:rPr>
            </w:pPr>
          </w:p>
        </w:tc>
        <w:tc>
          <w:tcPr>
            <w:tcW w:w="780" w:type="dxa"/>
            <w:vAlign w:val="bottom"/>
            <w:tcBorders>
              <w:bottom w:val="single" w:sz="8" w:color="0066BA"/>
            </w:tcBorders>
          </w:tcPr>
          <w:p>
            <w:pPr>
              <w:jc w:val="right"/>
              <w:ind w:right="5"/>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0066BA"/>
            </w:tcBorders>
            <w:shd w:val="clear" w:color="auto" w:fill="EAEAEA"/>
          </w:tcPr>
          <w:p>
            <w:pPr>
              <w:spacing w:after="0"/>
              <w:rPr>
                <w:sz w:val="19"/>
                <w:szCs w:val="19"/>
                <w:color w:val="auto"/>
              </w:rPr>
            </w:pPr>
          </w:p>
        </w:tc>
        <w:tc>
          <w:tcPr>
            <w:tcW w:w="56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1,200</w:t>
            </w:r>
          </w:p>
        </w:tc>
        <w:tc>
          <w:tcPr>
            <w:tcW w:w="100" w:type="dxa"/>
            <w:vAlign w:val="bottom"/>
            <w:tcBorders>
              <w:bottom w:val="single" w:sz="8" w:color="0066BA"/>
            </w:tcBorders>
            <w:shd w:val="clear" w:color="auto" w:fill="EAEAEA"/>
          </w:tcPr>
          <w:p>
            <w:pPr>
              <w:spacing w:after="0"/>
              <w:rPr>
                <w:sz w:val="19"/>
                <w:szCs w:val="19"/>
                <w:color w:val="auto"/>
              </w:rPr>
            </w:pPr>
          </w:p>
        </w:tc>
        <w:tc>
          <w:tcPr>
            <w:tcW w:w="840" w:type="dxa"/>
            <w:vAlign w:val="bottom"/>
            <w:tcBorders>
              <w:bottom w:val="single" w:sz="8" w:color="0066BA"/>
            </w:tcBorders>
          </w:tcPr>
          <w:p>
            <w:pPr>
              <w:jc w:val="right"/>
              <w:ind w:right="5"/>
              <w:spacing w:after="0"/>
              <w:rPr>
                <w:sz w:val="20"/>
                <w:szCs w:val="20"/>
                <w:color w:val="auto"/>
              </w:rPr>
            </w:pPr>
            <w:r>
              <w:rPr>
                <w:rFonts w:ascii="Arial" w:cs="Arial" w:eastAsia="Arial" w:hAnsi="Arial"/>
                <w:sz w:val="16"/>
                <w:szCs w:val="16"/>
                <w:color w:val="auto"/>
              </w:rPr>
              <w:t>106,705</w:t>
            </w:r>
          </w:p>
        </w:tc>
        <w:tc>
          <w:tcPr>
            <w:tcW w:w="140" w:type="dxa"/>
            <w:vAlign w:val="bottom"/>
            <w:tcBorders>
              <w:bottom w:val="single" w:sz="8" w:color="0066BA"/>
            </w:tcBorders>
            <w:shd w:val="clear" w:color="auto" w:fill="EAEAEA"/>
          </w:tcPr>
          <w:p>
            <w:pPr>
              <w:spacing w:after="0"/>
              <w:rPr>
                <w:sz w:val="19"/>
                <w:szCs w:val="19"/>
                <w:color w:val="auto"/>
              </w:rPr>
            </w:pPr>
          </w:p>
        </w:tc>
        <w:tc>
          <w:tcPr>
            <w:tcW w:w="60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9"/>
                <w:szCs w:val="19"/>
                <w:color w:val="auto"/>
              </w:rPr>
            </w:pPr>
          </w:p>
        </w:tc>
        <w:tc>
          <w:tcPr>
            <w:tcW w:w="820" w:type="dxa"/>
            <w:vAlign w:val="bottom"/>
            <w:tcBorders>
              <w:bottom w:val="single" w:sz="8" w:color="0066BA"/>
            </w:tcBorders>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120" w:type="dxa"/>
            <w:vAlign w:val="bottom"/>
          </w:tcPr>
          <w:p>
            <w:pPr>
              <w:spacing w:after="0"/>
              <w:rPr>
                <w:sz w:val="19"/>
                <w:szCs w:val="19"/>
                <w:color w:val="auto"/>
              </w:rPr>
            </w:pPr>
          </w:p>
        </w:tc>
        <w:tc>
          <w:tcPr>
            <w:tcW w:w="120" w:type="dxa"/>
            <w:vAlign w:val="bottom"/>
            <w:tcBorders>
              <w:bottom w:val="single" w:sz="8" w:color="auto"/>
            </w:tcBorders>
            <w:shd w:val="clear" w:color="auto" w:fill="EAEAEA"/>
          </w:tcPr>
          <w:p>
            <w:pPr>
              <w:spacing w:after="0"/>
              <w:rPr>
                <w:sz w:val="19"/>
                <w:szCs w:val="19"/>
                <w:color w:val="auto"/>
              </w:rPr>
            </w:pPr>
          </w:p>
        </w:tc>
        <w:tc>
          <w:tcPr>
            <w:tcW w:w="3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4"/>
              </w:rPr>
              <w:t>2021</w:t>
            </w:r>
          </w:p>
        </w:tc>
        <w:tc>
          <w:tcPr>
            <w:tcW w:w="80" w:type="dxa"/>
            <w:vAlign w:val="bottom"/>
            <w:tcBorders>
              <w:bottom w:val="single" w:sz="8" w:color="auto"/>
            </w:tcBorders>
            <w:shd w:val="clear" w:color="auto" w:fill="EAEAEA"/>
          </w:tcPr>
          <w:p>
            <w:pPr>
              <w:spacing w:after="0"/>
              <w:rPr>
                <w:sz w:val="19"/>
                <w:szCs w:val="19"/>
                <w:color w:val="auto"/>
              </w:rPr>
            </w:pP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36,800</w:t>
            </w:r>
          </w:p>
        </w:tc>
        <w:tc>
          <w:tcPr>
            <w:tcW w:w="160" w:type="dxa"/>
            <w:vAlign w:val="bottom"/>
            <w:tcBorders>
              <w:bottom w:val="single" w:sz="8" w:color="auto"/>
            </w:tcBorders>
            <w:shd w:val="clear" w:color="auto" w:fill="EAEAEA"/>
          </w:tcPr>
          <w:p>
            <w:pPr>
              <w:spacing w:after="0"/>
              <w:rPr>
                <w:sz w:val="19"/>
                <w:szCs w:val="19"/>
                <w:color w:val="auto"/>
              </w:rPr>
            </w:pPr>
          </w:p>
        </w:tc>
        <w:tc>
          <w:tcPr>
            <w:tcW w:w="4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876</w:t>
            </w:r>
          </w:p>
        </w:tc>
        <w:tc>
          <w:tcPr>
            <w:tcW w:w="80" w:type="dxa"/>
            <w:vAlign w:val="bottom"/>
            <w:tcBorders>
              <w:bottom w:val="single" w:sz="8" w:color="auto"/>
            </w:tcBorders>
            <w:shd w:val="clear" w:color="auto" w:fill="EAEAEA"/>
          </w:tcPr>
          <w:p>
            <w:pPr>
              <w:spacing w:after="0"/>
              <w:rPr>
                <w:sz w:val="19"/>
                <w:szCs w:val="19"/>
                <w:color w:val="auto"/>
              </w:rPr>
            </w:pPr>
          </w:p>
        </w:tc>
        <w:tc>
          <w:tcPr>
            <w:tcW w:w="7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EAEAEA"/>
          </w:tcPr>
          <w:p>
            <w:pPr>
              <w:spacing w:after="0"/>
              <w:rPr>
                <w:sz w:val="19"/>
                <w:szCs w:val="19"/>
                <w:color w:val="auto"/>
              </w:rPr>
            </w:pPr>
          </w:p>
        </w:tc>
        <w:tc>
          <w:tcPr>
            <w:tcW w:w="5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EAEAEA"/>
          </w:tcPr>
          <w:p>
            <w:pPr>
              <w:spacing w:after="0"/>
              <w:rPr>
                <w:sz w:val="19"/>
                <w:szCs w:val="19"/>
                <w:color w:val="auto"/>
              </w:rPr>
            </w:pPr>
          </w:p>
        </w:tc>
        <w:tc>
          <w:tcPr>
            <w:tcW w:w="8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EAEAEA"/>
          </w:tcPr>
          <w:p>
            <w:pPr>
              <w:spacing w:after="0"/>
              <w:rPr>
                <w:sz w:val="19"/>
                <w:szCs w:val="19"/>
                <w:color w:val="auto"/>
              </w:rPr>
            </w:pPr>
          </w:p>
        </w:tc>
        <w:tc>
          <w:tcPr>
            <w:tcW w:w="6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9"/>
                <w:szCs w:val="19"/>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120" w:type="dxa"/>
            <w:vAlign w:val="bottom"/>
          </w:tcPr>
          <w:p>
            <w:pPr>
              <w:ind w:left="60"/>
              <w:spacing w:after="0"/>
              <w:rPr>
                <w:sz w:val="20"/>
                <w:szCs w:val="20"/>
                <w:color w:val="auto"/>
              </w:rPr>
            </w:pPr>
            <w:r>
              <w:rPr>
                <w:rFonts w:ascii="Arial" w:cs="Arial" w:eastAsia="Arial" w:hAnsi="Arial"/>
                <w:sz w:val="16"/>
                <w:szCs w:val="16"/>
                <w:b w:val="1"/>
                <w:bCs w:val="1"/>
                <w:color w:val="0066BA"/>
              </w:rPr>
              <w:t>Martin Cotter</w:t>
            </w:r>
          </w:p>
        </w:tc>
        <w:tc>
          <w:tcPr>
            <w:tcW w:w="120" w:type="dxa"/>
            <w:vAlign w:val="bottom"/>
            <w:tcBorders>
              <w:bottom w:val="single" w:sz="8" w:color="auto"/>
            </w:tcBorders>
            <w:shd w:val="clear" w:color="auto" w:fill="EAEAEA"/>
          </w:tcPr>
          <w:p>
            <w:pPr>
              <w:spacing w:after="0"/>
              <w:rPr>
                <w:sz w:val="19"/>
                <w:szCs w:val="19"/>
                <w:color w:val="auto"/>
              </w:rPr>
            </w:pPr>
          </w:p>
        </w:tc>
        <w:tc>
          <w:tcPr>
            <w:tcW w:w="3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4"/>
              </w:rPr>
              <w:t>2020</w:t>
            </w:r>
          </w:p>
        </w:tc>
        <w:tc>
          <w:tcPr>
            <w:tcW w:w="80" w:type="dxa"/>
            <w:vAlign w:val="bottom"/>
            <w:tcBorders>
              <w:bottom w:val="single" w:sz="8" w:color="auto"/>
            </w:tcBorders>
            <w:shd w:val="clear" w:color="auto" w:fill="EAEAEA"/>
          </w:tcPr>
          <w:p>
            <w:pPr>
              <w:spacing w:after="0"/>
              <w:rPr>
                <w:sz w:val="19"/>
                <w:szCs w:val="19"/>
                <w:color w:val="auto"/>
              </w:rPr>
            </w:pP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36,800</w:t>
            </w:r>
          </w:p>
        </w:tc>
        <w:tc>
          <w:tcPr>
            <w:tcW w:w="160" w:type="dxa"/>
            <w:vAlign w:val="bottom"/>
            <w:tcBorders>
              <w:bottom w:val="single" w:sz="8" w:color="auto"/>
            </w:tcBorders>
            <w:shd w:val="clear" w:color="auto" w:fill="EAEAEA"/>
          </w:tcPr>
          <w:p>
            <w:pPr>
              <w:spacing w:after="0"/>
              <w:rPr>
                <w:sz w:val="19"/>
                <w:szCs w:val="19"/>
                <w:color w:val="auto"/>
              </w:rPr>
            </w:pPr>
          </w:p>
        </w:tc>
        <w:tc>
          <w:tcPr>
            <w:tcW w:w="4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9"/>
                <w:szCs w:val="19"/>
                <w:color w:val="auto"/>
              </w:rPr>
            </w:pPr>
          </w:p>
        </w:tc>
        <w:tc>
          <w:tcPr>
            <w:tcW w:w="7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EAEAEA"/>
          </w:tcPr>
          <w:p>
            <w:pPr>
              <w:spacing w:after="0"/>
              <w:rPr>
                <w:sz w:val="19"/>
                <w:szCs w:val="19"/>
                <w:color w:val="auto"/>
              </w:rPr>
            </w:pPr>
          </w:p>
        </w:tc>
        <w:tc>
          <w:tcPr>
            <w:tcW w:w="5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EAEAEA"/>
          </w:tcPr>
          <w:p>
            <w:pPr>
              <w:spacing w:after="0"/>
              <w:rPr>
                <w:sz w:val="19"/>
                <w:szCs w:val="19"/>
                <w:color w:val="auto"/>
              </w:rPr>
            </w:pPr>
          </w:p>
        </w:tc>
        <w:tc>
          <w:tcPr>
            <w:tcW w:w="8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EAEAEA"/>
          </w:tcPr>
          <w:p>
            <w:pPr>
              <w:spacing w:after="0"/>
              <w:rPr>
                <w:sz w:val="19"/>
                <w:szCs w:val="19"/>
                <w:color w:val="auto"/>
              </w:rPr>
            </w:pPr>
          </w:p>
        </w:tc>
        <w:tc>
          <w:tcPr>
            <w:tcW w:w="6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9"/>
                <w:szCs w:val="19"/>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120" w:type="dxa"/>
            <w:vAlign w:val="bottom"/>
            <w:tcBorders>
              <w:bottom w:val="single" w:sz="8" w:color="0066BA"/>
            </w:tcBorders>
          </w:tcPr>
          <w:p>
            <w:pPr>
              <w:spacing w:after="0"/>
              <w:rPr>
                <w:sz w:val="19"/>
                <w:szCs w:val="19"/>
                <w:color w:val="auto"/>
              </w:rPr>
            </w:pPr>
          </w:p>
        </w:tc>
        <w:tc>
          <w:tcPr>
            <w:tcW w:w="120" w:type="dxa"/>
            <w:vAlign w:val="bottom"/>
            <w:tcBorders>
              <w:bottom w:val="single" w:sz="8" w:color="0066BA"/>
            </w:tcBorders>
            <w:shd w:val="clear" w:color="auto" w:fill="EAEAEA"/>
          </w:tcPr>
          <w:p>
            <w:pPr>
              <w:spacing w:after="0"/>
              <w:rPr>
                <w:sz w:val="19"/>
                <w:szCs w:val="19"/>
                <w:color w:val="auto"/>
              </w:rPr>
            </w:pPr>
          </w:p>
        </w:tc>
        <w:tc>
          <w:tcPr>
            <w:tcW w:w="32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w w:val="84"/>
              </w:rPr>
              <w:t>2019</w:t>
            </w:r>
          </w:p>
        </w:tc>
        <w:tc>
          <w:tcPr>
            <w:tcW w:w="80" w:type="dxa"/>
            <w:vAlign w:val="bottom"/>
            <w:tcBorders>
              <w:bottom w:val="single" w:sz="8" w:color="0066BA"/>
            </w:tcBorders>
            <w:shd w:val="clear" w:color="auto" w:fill="EAEAEA"/>
          </w:tcPr>
          <w:p>
            <w:pPr>
              <w:spacing w:after="0"/>
              <w:rPr>
                <w:sz w:val="19"/>
                <w:szCs w:val="19"/>
                <w:color w:val="auto"/>
              </w:rPr>
            </w:pPr>
          </w:p>
        </w:tc>
        <w:tc>
          <w:tcPr>
            <w:tcW w:w="880" w:type="dxa"/>
            <w:vAlign w:val="bottom"/>
            <w:tcBorders>
              <w:bottom w:val="single" w:sz="8" w:color="0066BA"/>
            </w:tcBorders>
          </w:tcPr>
          <w:p>
            <w:pPr>
              <w:jc w:val="right"/>
              <w:ind w:right="6"/>
              <w:spacing w:after="0"/>
              <w:rPr>
                <w:sz w:val="20"/>
                <w:szCs w:val="20"/>
                <w:color w:val="auto"/>
              </w:rPr>
            </w:pPr>
            <w:r>
              <w:rPr>
                <w:rFonts w:ascii="Arial" w:cs="Arial" w:eastAsia="Arial" w:hAnsi="Arial"/>
                <w:sz w:val="16"/>
                <w:szCs w:val="16"/>
                <w:color w:val="auto"/>
              </w:rPr>
              <w:t>36,492</w:t>
            </w:r>
          </w:p>
        </w:tc>
        <w:tc>
          <w:tcPr>
            <w:tcW w:w="160" w:type="dxa"/>
            <w:vAlign w:val="bottom"/>
            <w:tcBorders>
              <w:bottom w:val="single" w:sz="8" w:color="0066BA"/>
            </w:tcBorders>
            <w:shd w:val="clear" w:color="auto" w:fill="EAEAEA"/>
          </w:tcPr>
          <w:p>
            <w:pPr>
              <w:spacing w:after="0"/>
              <w:rPr>
                <w:sz w:val="19"/>
                <w:szCs w:val="19"/>
                <w:color w:val="auto"/>
              </w:rPr>
            </w:pPr>
          </w:p>
        </w:tc>
        <w:tc>
          <w:tcPr>
            <w:tcW w:w="46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9"/>
                <w:szCs w:val="19"/>
                <w:color w:val="auto"/>
              </w:rPr>
            </w:pPr>
          </w:p>
        </w:tc>
        <w:tc>
          <w:tcPr>
            <w:tcW w:w="780" w:type="dxa"/>
            <w:vAlign w:val="bottom"/>
            <w:tcBorders>
              <w:bottom w:val="single" w:sz="8" w:color="0066BA"/>
            </w:tcBorders>
          </w:tcPr>
          <w:p>
            <w:pPr>
              <w:jc w:val="right"/>
              <w:ind w:right="5"/>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0066BA"/>
            </w:tcBorders>
            <w:shd w:val="clear" w:color="auto" w:fill="EAEAEA"/>
          </w:tcPr>
          <w:p>
            <w:pPr>
              <w:spacing w:after="0"/>
              <w:rPr>
                <w:sz w:val="19"/>
                <w:szCs w:val="19"/>
                <w:color w:val="auto"/>
              </w:rPr>
            </w:pPr>
          </w:p>
        </w:tc>
        <w:tc>
          <w:tcPr>
            <w:tcW w:w="56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0066BA"/>
            </w:tcBorders>
            <w:shd w:val="clear" w:color="auto" w:fill="EAEAEA"/>
          </w:tcPr>
          <w:p>
            <w:pPr>
              <w:spacing w:after="0"/>
              <w:rPr>
                <w:sz w:val="19"/>
                <w:szCs w:val="19"/>
                <w:color w:val="auto"/>
              </w:rPr>
            </w:pPr>
          </w:p>
        </w:tc>
        <w:tc>
          <w:tcPr>
            <w:tcW w:w="840" w:type="dxa"/>
            <w:vAlign w:val="bottom"/>
            <w:tcBorders>
              <w:bottom w:val="single" w:sz="8" w:color="0066BA"/>
            </w:tcBorders>
          </w:tcPr>
          <w:p>
            <w:pPr>
              <w:jc w:val="right"/>
              <w:ind w:right="5"/>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0066BA"/>
            </w:tcBorders>
            <w:shd w:val="clear" w:color="auto" w:fill="EAEAEA"/>
          </w:tcPr>
          <w:p>
            <w:pPr>
              <w:spacing w:after="0"/>
              <w:rPr>
                <w:sz w:val="19"/>
                <w:szCs w:val="19"/>
                <w:color w:val="auto"/>
              </w:rPr>
            </w:pPr>
          </w:p>
        </w:tc>
        <w:tc>
          <w:tcPr>
            <w:tcW w:w="60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66,606</w:t>
            </w:r>
          </w:p>
        </w:tc>
        <w:tc>
          <w:tcPr>
            <w:tcW w:w="80" w:type="dxa"/>
            <w:vAlign w:val="bottom"/>
            <w:tcBorders>
              <w:bottom w:val="single" w:sz="8" w:color="0066BA"/>
            </w:tcBorders>
            <w:shd w:val="clear" w:color="auto" w:fill="EAEAEA"/>
          </w:tcPr>
          <w:p>
            <w:pPr>
              <w:spacing w:after="0"/>
              <w:rPr>
                <w:sz w:val="19"/>
                <w:szCs w:val="19"/>
                <w:color w:val="auto"/>
              </w:rPr>
            </w:pPr>
          </w:p>
        </w:tc>
        <w:tc>
          <w:tcPr>
            <w:tcW w:w="820" w:type="dxa"/>
            <w:vAlign w:val="bottom"/>
            <w:tcBorders>
              <w:bottom w:val="single" w:sz="8" w:color="0066BA"/>
            </w:tcBorders>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120" w:type="dxa"/>
            <w:vAlign w:val="bottom"/>
          </w:tcPr>
          <w:p>
            <w:pPr>
              <w:spacing w:after="0"/>
              <w:rPr>
                <w:sz w:val="19"/>
                <w:szCs w:val="19"/>
                <w:color w:val="auto"/>
              </w:rPr>
            </w:pPr>
          </w:p>
        </w:tc>
        <w:tc>
          <w:tcPr>
            <w:tcW w:w="120" w:type="dxa"/>
            <w:vAlign w:val="bottom"/>
            <w:tcBorders>
              <w:bottom w:val="single" w:sz="8" w:color="auto"/>
            </w:tcBorders>
            <w:shd w:val="clear" w:color="auto" w:fill="EAEAEA"/>
          </w:tcPr>
          <w:p>
            <w:pPr>
              <w:spacing w:after="0"/>
              <w:rPr>
                <w:sz w:val="19"/>
                <w:szCs w:val="19"/>
                <w:color w:val="auto"/>
              </w:rPr>
            </w:pPr>
          </w:p>
        </w:tc>
        <w:tc>
          <w:tcPr>
            <w:tcW w:w="3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4"/>
              </w:rPr>
              <w:t>2021</w:t>
            </w:r>
          </w:p>
        </w:tc>
        <w:tc>
          <w:tcPr>
            <w:tcW w:w="80" w:type="dxa"/>
            <w:vAlign w:val="bottom"/>
            <w:tcBorders>
              <w:bottom w:val="single" w:sz="8" w:color="auto"/>
            </w:tcBorders>
            <w:shd w:val="clear" w:color="auto" w:fill="EAEAEA"/>
          </w:tcPr>
          <w:p>
            <w:pPr>
              <w:spacing w:after="0"/>
              <w:rPr>
                <w:sz w:val="19"/>
                <w:szCs w:val="19"/>
                <w:color w:val="auto"/>
              </w:rPr>
            </w:pP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38,000</w:t>
            </w:r>
          </w:p>
        </w:tc>
        <w:tc>
          <w:tcPr>
            <w:tcW w:w="160" w:type="dxa"/>
            <w:vAlign w:val="bottom"/>
            <w:tcBorders>
              <w:bottom w:val="single" w:sz="8" w:color="auto"/>
            </w:tcBorders>
            <w:shd w:val="clear" w:color="auto" w:fill="EAEAEA"/>
          </w:tcPr>
          <w:p>
            <w:pPr>
              <w:spacing w:after="0"/>
              <w:rPr>
                <w:sz w:val="19"/>
                <w:szCs w:val="19"/>
                <w:color w:val="auto"/>
              </w:rPr>
            </w:pPr>
          </w:p>
        </w:tc>
        <w:tc>
          <w:tcPr>
            <w:tcW w:w="4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9"/>
                <w:szCs w:val="19"/>
                <w:color w:val="auto"/>
              </w:rPr>
            </w:pPr>
          </w:p>
        </w:tc>
        <w:tc>
          <w:tcPr>
            <w:tcW w:w="7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4,769</w:t>
            </w:r>
          </w:p>
        </w:tc>
        <w:tc>
          <w:tcPr>
            <w:tcW w:w="140" w:type="dxa"/>
            <w:vAlign w:val="bottom"/>
            <w:tcBorders>
              <w:bottom w:val="single" w:sz="8" w:color="auto"/>
            </w:tcBorders>
            <w:shd w:val="clear" w:color="auto" w:fill="EAEAEA"/>
          </w:tcPr>
          <w:p>
            <w:pPr>
              <w:spacing w:after="0"/>
              <w:rPr>
                <w:sz w:val="19"/>
                <w:szCs w:val="19"/>
                <w:color w:val="auto"/>
              </w:rPr>
            </w:pPr>
          </w:p>
        </w:tc>
        <w:tc>
          <w:tcPr>
            <w:tcW w:w="5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1,200</w:t>
            </w:r>
          </w:p>
        </w:tc>
        <w:tc>
          <w:tcPr>
            <w:tcW w:w="100" w:type="dxa"/>
            <w:vAlign w:val="bottom"/>
            <w:tcBorders>
              <w:bottom w:val="single" w:sz="8" w:color="auto"/>
            </w:tcBorders>
            <w:shd w:val="clear" w:color="auto" w:fill="EAEAEA"/>
          </w:tcPr>
          <w:p>
            <w:pPr>
              <w:spacing w:after="0"/>
              <w:rPr>
                <w:sz w:val="19"/>
                <w:szCs w:val="19"/>
                <w:color w:val="auto"/>
              </w:rPr>
            </w:pPr>
          </w:p>
        </w:tc>
        <w:tc>
          <w:tcPr>
            <w:tcW w:w="8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EAEAEA"/>
          </w:tcPr>
          <w:p>
            <w:pPr>
              <w:spacing w:after="0"/>
              <w:rPr>
                <w:sz w:val="19"/>
                <w:szCs w:val="19"/>
                <w:color w:val="auto"/>
              </w:rPr>
            </w:pPr>
          </w:p>
        </w:tc>
        <w:tc>
          <w:tcPr>
            <w:tcW w:w="6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9"/>
                <w:szCs w:val="19"/>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9,994</w:t>
            </w:r>
          </w:p>
        </w:tc>
        <w:tc>
          <w:tcPr>
            <w:tcW w:w="0" w:type="dxa"/>
            <w:vAlign w:val="bottom"/>
          </w:tcPr>
          <w:p>
            <w:pPr>
              <w:spacing w:after="0"/>
              <w:rPr>
                <w:sz w:val="1"/>
                <w:szCs w:val="1"/>
                <w:color w:val="auto"/>
              </w:rPr>
            </w:pPr>
          </w:p>
        </w:tc>
      </w:tr>
      <w:tr>
        <w:trPr>
          <w:trHeight w:val="227"/>
        </w:trPr>
        <w:tc>
          <w:tcPr>
            <w:tcW w:w="4120" w:type="dxa"/>
            <w:vAlign w:val="bottom"/>
          </w:tcPr>
          <w:p>
            <w:pPr>
              <w:ind w:left="60"/>
              <w:spacing w:after="0"/>
              <w:rPr>
                <w:sz w:val="20"/>
                <w:szCs w:val="20"/>
                <w:color w:val="auto"/>
              </w:rPr>
            </w:pPr>
            <w:r>
              <w:rPr>
                <w:rFonts w:ascii="Arial" w:cs="Arial" w:eastAsia="Arial" w:hAnsi="Arial"/>
                <w:sz w:val="16"/>
                <w:szCs w:val="16"/>
                <w:b w:val="1"/>
                <w:bCs w:val="1"/>
                <w:color w:val="0066BA"/>
              </w:rPr>
              <w:t>John Hassett</w:t>
            </w:r>
          </w:p>
        </w:tc>
        <w:tc>
          <w:tcPr>
            <w:tcW w:w="120" w:type="dxa"/>
            <w:vAlign w:val="bottom"/>
            <w:tcBorders>
              <w:bottom w:val="single" w:sz="8" w:color="auto"/>
            </w:tcBorders>
            <w:shd w:val="clear" w:color="auto" w:fill="EAEAEA"/>
          </w:tcPr>
          <w:p>
            <w:pPr>
              <w:spacing w:after="0"/>
              <w:rPr>
                <w:sz w:val="19"/>
                <w:szCs w:val="19"/>
                <w:color w:val="auto"/>
              </w:rPr>
            </w:pPr>
          </w:p>
        </w:tc>
        <w:tc>
          <w:tcPr>
            <w:tcW w:w="3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4"/>
              </w:rPr>
              <w:t>2020</w:t>
            </w:r>
          </w:p>
        </w:tc>
        <w:tc>
          <w:tcPr>
            <w:tcW w:w="80" w:type="dxa"/>
            <w:vAlign w:val="bottom"/>
            <w:tcBorders>
              <w:bottom w:val="single" w:sz="8" w:color="auto"/>
            </w:tcBorders>
            <w:shd w:val="clear" w:color="auto" w:fill="EAEAEA"/>
          </w:tcPr>
          <w:p>
            <w:pPr>
              <w:spacing w:after="0"/>
              <w:rPr>
                <w:sz w:val="19"/>
                <w:szCs w:val="19"/>
                <w:color w:val="auto"/>
              </w:rPr>
            </w:pP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38,000</w:t>
            </w:r>
          </w:p>
        </w:tc>
        <w:tc>
          <w:tcPr>
            <w:tcW w:w="160" w:type="dxa"/>
            <w:vAlign w:val="bottom"/>
            <w:tcBorders>
              <w:bottom w:val="single" w:sz="8" w:color="auto"/>
            </w:tcBorders>
            <w:shd w:val="clear" w:color="auto" w:fill="EAEAEA"/>
          </w:tcPr>
          <w:p>
            <w:pPr>
              <w:spacing w:after="0"/>
              <w:rPr>
                <w:sz w:val="19"/>
                <w:szCs w:val="19"/>
                <w:color w:val="auto"/>
              </w:rPr>
            </w:pPr>
          </w:p>
        </w:tc>
        <w:tc>
          <w:tcPr>
            <w:tcW w:w="4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9"/>
                <w:szCs w:val="19"/>
                <w:color w:val="auto"/>
              </w:rPr>
            </w:pPr>
          </w:p>
        </w:tc>
        <w:tc>
          <w:tcPr>
            <w:tcW w:w="7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4,589</w:t>
            </w:r>
          </w:p>
        </w:tc>
        <w:tc>
          <w:tcPr>
            <w:tcW w:w="140" w:type="dxa"/>
            <w:vAlign w:val="bottom"/>
            <w:tcBorders>
              <w:bottom w:val="single" w:sz="8" w:color="auto"/>
            </w:tcBorders>
            <w:shd w:val="clear" w:color="auto" w:fill="EAEAEA"/>
          </w:tcPr>
          <w:p>
            <w:pPr>
              <w:spacing w:after="0"/>
              <w:rPr>
                <w:sz w:val="19"/>
                <w:szCs w:val="19"/>
                <w:color w:val="auto"/>
              </w:rPr>
            </w:pPr>
          </w:p>
        </w:tc>
        <w:tc>
          <w:tcPr>
            <w:tcW w:w="5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1,200</w:t>
            </w:r>
          </w:p>
        </w:tc>
        <w:tc>
          <w:tcPr>
            <w:tcW w:w="100" w:type="dxa"/>
            <w:vAlign w:val="bottom"/>
            <w:tcBorders>
              <w:bottom w:val="single" w:sz="8" w:color="auto"/>
            </w:tcBorders>
            <w:shd w:val="clear" w:color="auto" w:fill="EAEAEA"/>
          </w:tcPr>
          <w:p>
            <w:pPr>
              <w:spacing w:after="0"/>
              <w:rPr>
                <w:sz w:val="19"/>
                <w:szCs w:val="19"/>
                <w:color w:val="auto"/>
              </w:rPr>
            </w:pPr>
          </w:p>
        </w:tc>
        <w:tc>
          <w:tcPr>
            <w:tcW w:w="8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EAEAEA"/>
          </w:tcPr>
          <w:p>
            <w:pPr>
              <w:spacing w:after="0"/>
              <w:rPr>
                <w:sz w:val="19"/>
                <w:szCs w:val="19"/>
                <w:color w:val="auto"/>
              </w:rPr>
            </w:pPr>
          </w:p>
        </w:tc>
        <w:tc>
          <w:tcPr>
            <w:tcW w:w="6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9"/>
                <w:szCs w:val="19"/>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7,978</w:t>
            </w:r>
          </w:p>
        </w:tc>
        <w:tc>
          <w:tcPr>
            <w:tcW w:w="0" w:type="dxa"/>
            <w:vAlign w:val="bottom"/>
          </w:tcPr>
          <w:p>
            <w:pPr>
              <w:spacing w:after="0"/>
              <w:rPr>
                <w:sz w:val="1"/>
                <w:szCs w:val="1"/>
                <w:color w:val="auto"/>
              </w:rPr>
            </w:pPr>
          </w:p>
        </w:tc>
      </w:tr>
      <w:tr>
        <w:trPr>
          <w:trHeight w:val="227"/>
        </w:trPr>
        <w:tc>
          <w:tcPr>
            <w:tcW w:w="4120" w:type="dxa"/>
            <w:vAlign w:val="bottom"/>
            <w:tcBorders>
              <w:bottom w:val="single" w:sz="8" w:color="0066BA"/>
            </w:tcBorders>
          </w:tcPr>
          <w:p>
            <w:pPr>
              <w:spacing w:after="0"/>
              <w:rPr>
                <w:sz w:val="19"/>
                <w:szCs w:val="19"/>
                <w:color w:val="auto"/>
              </w:rPr>
            </w:pPr>
          </w:p>
        </w:tc>
        <w:tc>
          <w:tcPr>
            <w:tcW w:w="120" w:type="dxa"/>
            <w:vAlign w:val="bottom"/>
            <w:tcBorders>
              <w:bottom w:val="single" w:sz="8" w:color="0066BA"/>
            </w:tcBorders>
            <w:shd w:val="clear" w:color="auto" w:fill="EAEAEA"/>
          </w:tcPr>
          <w:p>
            <w:pPr>
              <w:spacing w:after="0"/>
              <w:rPr>
                <w:sz w:val="19"/>
                <w:szCs w:val="19"/>
                <w:color w:val="auto"/>
              </w:rPr>
            </w:pPr>
          </w:p>
        </w:tc>
        <w:tc>
          <w:tcPr>
            <w:tcW w:w="32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w w:val="84"/>
              </w:rPr>
              <w:t>2019</w:t>
            </w:r>
          </w:p>
        </w:tc>
        <w:tc>
          <w:tcPr>
            <w:tcW w:w="80" w:type="dxa"/>
            <w:vAlign w:val="bottom"/>
            <w:tcBorders>
              <w:bottom w:val="single" w:sz="8" w:color="0066BA"/>
            </w:tcBorders>
            <w:shd w:val="clear" w:color="auto" w:fill="EAEAEA"/>
          </w:tcPr>
          <w:p>
            <w:pPr>
              <w:spacing w:after="0"/>
              <w:rPr>
                <w:sz w:val="19"/>
                <w:szCs w:val="19"/>
                <w:color w:val="auto"/>
              </w:rPr>
            </w:pPr>
          </w:p>
        </w:tc>
        <w:tc>
          <w:tcPr>
            <w:tcW w:w="880" w:type="dxa"/>
            <w:vAlign w:val="bottom"/>
            <w:tcBorders>
              <w:bottom w:val="single" w:sz="8" w:color="0066BA"/>
            </w:tcBorders>
          </w:tcPr>
          <w:p>
            <w:pPr>
              <w:jc w:val="right"/>
              <w:ind w:right="6"/>
              <w:spacing w:after="0"/>
              <w:rPr>
                <w:sz w:val="20"/>
                <w:szCs w:val="20"/>
                <w:color w:val="auto"/>
              </w:rPr>
            </w:pPr>
            <w:r>
              <w:rPr>
                <w:rFonts w:ascii="Arial" w:cs="Arial" w:eastAsia="Arial" w:hAnsi="Arial"/>
                <w:sz w:val="16"/>
                <w:szCs w:val="16"/>
                <w:color w:val="auto"/>
              </w:rPr>
              <w:t>37,692</w:t>
            </w:r>
          </w:p>
        </w:tc>
        <w:tc>
          <w:tcPr>
            <w:tcW w:w="160" w:type="dxa"/>
            <w:vAlign w:val="bottom"/>
            <w:tcBorders>
              <w:bottom w:val="single" w:sz="8" w:color="0066BA"/>
            </w:tcBorders>
            <w:shd w:val="clear" w:color="auto" w:fill="EAEAEA"/>
          </w:tcPr>
          <w:p>
            <w:pPr>
              <w:spacing w:after="0"/>
              <w:rPr>
                <w:sz w:val="19"/>
                <w:szCs w:val="19"/>
                <w:color w:val="auto"/>
              </w:rPr>
            </w:pPr>
          </w:p>
        </w:tc>
        <w:tc>
          <w:tcPr>
            <w:tcW w:w="46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9"/>
                <w:szCs w:val="19"/>
                <w:color w:val="auto"/>
              </w:rPr>
            </w:pPr>
          </w:p>
        </w:tc>
        <w:tc>
          <w:tcPr>
            <w:tcW w:w="780" w:type="dxa"/>
            <w:vAlign w:val="bottom"/>
            <w:tcBorders>
              <w:bottom w:val="single" w:sz="8" w:color="0066BA"/>
            </w:tcBorders>
          </w:tcPr>
          <w:p>
            <w:pPr>
              <w:jc w:val="right"/>
              <w:ind w:right="5"/>
              <w:spacing w:after="0"/>
              <w:rPr>
                <w:sz w:val="20"/>
                <w:szCs w:val="20"/>
                <w:color w:val="auto"/>
              </w:rPr>
            </w:pPr>
            <w:r>
              <w:rPr>
                <w:rFonts w:ascii="Arial" w:cs="Arial" w:eastAsia="Arial" w:hAnsi="Arial"/>
                <w:sz w:val="16"/>
                <w:szCs w:val="16"/>
                <w:color w:val="auto"/>
              </w:rPr>
              <w:t>4,507</w:t>
            </w:r>
          </w:p>
        </w:tc>
        <w:tc>
          <w:tcPr>
            <w:tcW w:w="140" w:type="dxa"/>
            <w:vAlign w:val="bottom"/>
            <w:tcBorders>
              <w:bottom w:val="single" w:sz="8" w:color="0066BA"/>
            </w:tcBorders>
            <w:shd w:val="clear" w:color="auto" w:fill="EAEAEA"/>
          </w:tcPr>
          <w:p>
            <w:pPr>
              <w:spacing w:after="0"/>
              <w:rPr>
                <w:sz w:val="19"/>
                <w:szCs w:val="19"/>
                <w:color w:val="auto"/>
              </w:rPr>
            </w:pPr>
          </w:p>
        </w:tc>
        <w:tc>
          <w:tcPr>
            <w:tcW w:w="56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1,200</w:t>
            </w:r>
          </w:p>
        </w:tc>
        <w:tc>
          <w:tcPr>
            <w:tcW w:w="100" w:type="dxa"/>
            <w:vAlign w:val="bottom"/>
            <w:tcBorders>
              <w:bottom w:val="single" w:sz="8" w:color="0066BA"/>
            </w:tcBorders>
            <w:shd w:val="clear" w:color="auto" w:fill="EAEAEA"/>
          </w:tcPr>
          <w:p>
            <w:pPr>
              <w:spacing w:after="0"/>
              <w:rPr>
                <w:sz w:val="19"/>
                <w:szCs w:val="19"/>
                <w:color w:val="auto"/>
              </w:rPr>
            </w:pPr>
          </w:p>
        </w:tc>
        <w:tc>
          <w:tcPr>
            <w:tcW w:w="840" w:type="dxa"/>
            <w:vAlign w:val="bottom"/>
            <w:tcBorders>
              <w:bottom w:val="single" w:sz="8" w:color="0066BA"/>
            </w:tcBorders>
          </w:tcPr>
          <w:p>
            <w:pPr>
              <w:jc w:val="right"/>
              <w:ind w:right="5"/>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0066BA"/>
            </w:tcBorders>
            <w:shd w:val="clear" w:color="auto" w:fill="EAEAEA"/>
          </w:tcPr>
          <w:p>
            <w:pPr>
              <w:spacing w:after="0"/>
              <w:rPr>
                <w:sz w:val="19"/>
                <w:szCs w:val="19"/>
                <w:color w:val="auto"/>
              </w:rPr>
            </w:pPr>
          </w:p>
        </w:tc>
        <w:tc>
          <w:tcPr>
            <w:tcW w:w="60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9"/>
                <w:szCs w:val="19"/>
                <w:color w:val="auto"/>
              </w:rPr>
            </w:pPr>
          </w:p>
        </w:tc>
        <w:tc>
          <w:tcPr>
            <w:tcW w:w="820" w:type="dxa"/>
            <w:vAlign w:val="bottom"/>
            <w:tcBorders>
              <w:bottom w:val="single" w:sz="8" w:color="0066BA"/>
            </w:tcBorders>
          </w:tcPr>
          <w:p>
            <w:pPr>
              <w:jc w:val="right"/>
              <w:ind w:right="3"/>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27"/>
        </w:trPr>
        <w:tc>
          <w:tcPr>
            <w:tcW w:w="4120" w:type="dxa"/>
            <w:vAlign w:val="bottom"/>
            <w:tcBorders>
              <w:bottom w:val="single" w:sz="8" w:color="0066BA"/>
            </w:tcBorders>
          </w:tcPr>
          <w:p>
            <w:pPr>
              <w:ind w:left="60"/>
              <w:spacing w:after="0"/>
              <w:rPr>
                <w:sz w:val="20"/>
                <w:szCs w:val="20"/>
                <w:color w:val="auto"/>
              </w:rPr>
            </w:pPr>
            <w:r>
              <w:rPr>
                <w:rFonts w:ascii="Arial" w:cs="Arial" w:eastAsia="Arial" w:hAnsi="Arial"/>
                <w:sz w:val="16"/>
                <w:szCs w:val="16"/>
                <w:b w:val="1"/>
                <w:bCs w:val="1"/>
                <w:color w:val="0066BA"/>
              </w:rPr>
              <w:t>Greg Henderson</w:t>
            </w:r>
          </w:p>
        </w:tc>
        <w:tc>
          <w:tcPr>
            <w:tcW w:w="120" w:type="dxa"/>
            <w:vAlign w:val="bottom"/>
            <w:tcBorders>
              <w:bottom w:val="single" w:sz="8" w:color="0066BA"/>
            </w:tcBorders>
            <w:shd w:val="clear" w:color="auto" w:fill="EAEAEA"/>
          </w:tcPr>
          <w:p>
            <w:pPr>
              <w:spacing w:after="0"/>
              <w:rPr>
                <w:sz w:val="19"/>
                <w:szCs w:val="19"/>
                <w:color w:val="auto"/>
              </w:rPr>
            </w:pPr>
          </w:p>
        </w:tc>
        <w:tc>
          <w:tcPr>
            <w:tcW w:w="32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w w:val="84"/>
              </w:rPr>
              <w:t>2021</w:t>
            </w:r>
          </w:p>
        </w:tc>
        <w:tc>
          <w:tcPr>
            <w:tcW w:w="80" w:type="dxa"/>
            <w:vAlign w:val="bottom"/>
            <w:tcBorders>
              <w:bottom w:val="single" w:sz="8" w:color="0066BA"/>
            </w:tcBorders>
            <w:shd w:val="clear" w:color="auto" w:fill="EAEAEA"/>
          </w:tcPr>
          <w:p>
            <w:pPr>
              <w:spacing w:after="0"/>
              <w:rPr>
                <w:sz w:val="19"/>
                <w:szCs w:val="19"/>
                <w:color w:val="auto"/>
              </w:rPr>
            </w:pPr>
          </w:p>
        </w:tc>
        <w:tc>
          <w:tcPr>
            <w:tcW w:w="880" w:type="dxa"/>
            <w:vAlign w:val="bottom"/>
            <w:tcBorders>
              <w:bottom w:val="single" w:sz="8" w:color="0066BA"/>
            </w:tcBorders>
          </w:tcPr>
          <w:p>
            <w:pPr>
              <w:jc w:val="right"/>
              <w:ind w:right="6"/>
              <w:spacing w:after="0"/>
              <w:rPr>
                <w:sz w:val="20"/>
                <w:szCs w:val="20"/>
                <w:color w:val="auto"/>
              </w:rPr>
            </w:pPr>
            <w:r>
              <w:rPr>
                <w:rFonts w:ascii="Arial" w:cs="Arial" w:eastAsia="Arial" w:hAnsi="Arial"/>
                <w:sz w:val="16"/>
                <w:szCs w:val="16"/>
                <w:color w:val="auto"/>
              </w:rPr>
              <w:t>36,492</w:t>
            </w:r>
          </w:p>
        </w:tc>
        <w:tc>
          <w:tcPr>
            <w:tcW w:w="160" w:type="dxa"/>
            <w:vAlign w:val="bottom"/>
            <w:tcBorders>
              <w:bottom w:val="single" w:sz="8" w:color="0066BA"/>
            </w:tcBorders>
            <w:shd w:val="clear" w:color="auto" w:fill="EAEAEA"/>
          </w:tcPr>
          <w:p>
            <w:pPr>
              <w:spacing w:after="0"/>
              <w:rPr>
                <w:sz w:val="19"/>
                <w:szCs w:val="19"/>
                <w:color w:val="auto"/>
              </w:rPr>
            </w:pPr>
          </w:p>
        </w:tc>
        <w:tc>
          <w:tcPr>
            <w:tcW w:w="46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9"/>
                <w:szCs w:val="19"/>
                <w:color w:val="auto"/>
              </w:rPr>
            </w:pPr>
          </w:p>
        </w:tc>
        <w:tc>
          <w:tcPr>
            <w:tcW w:w="780" w:type="dxa"/>
            <w:vAlign w:val="bottom"/>
            <w:tcBorders>
              <w:bottom w:val="single" w:sz="8" w:color="0066BA"/>
            </w:tcBorders>
          </w:tcPr>
          <w:p>
            <w:pPr>
              <w:jc w:val="right"/>
              <w:ind w:right="5"/>
              <w:spacing w:after="0"/>
              <w:rPr>
                <w:sz w:val="20"/>
                <w:szCs w:val="20"/>
                <w:color w:val="auto"/>
              </w:rPr>
            </w:pPr>
            <w:r>
              <w:rPr>
                <w:rFonts w:ascii="Arial" w:cs="Arial" w:eastAsia="Arial" w:hAnsi="Arial"/>
                <w:sz w:val="16"/>
                <w:szCs w:val="16"/>
                <w:color w:val="auto"/>
              </w:rPr>
              <w:t>1,950</w:t>
            </w:r>
          </w:p>
        </w:tc>
        <w:tc>
          <w:tcPr>
            <w:tcW w:w="140" w:type="dxa"/>
            <w:vAlign w:val="bottom"/>
            <w:tcBorders>
              <w:bottom w:val="single" w:sz="8" w:color="0066BA"/>
            </w:tcBorders>
            <w:shd w:val="clear" w:color="auto" w:fill="EAEAEA"/>
          </w:tcPr>
          <w:p>
            <w:pPr>
              <w:spacing w:after="0"/>
              <w:rPr>
                <w:sz w:val="19"/>
                <w:szCs w:val="19"/>
                <w:color w:val="auto"/>
              </w:rPr>
            </w:pPr>
          </w:p>
        </w:tc>
        <w:tc>
          <w:tcPr>
            <w:tcW w:w="56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1,200</w:t>
            </w:r>
          </w:p>
        </w:tc>
        <w:tc>
          <w:tcPr>
            <w:tcW w:w="100" w:type="dxa"/>
            <w:vAlign w:val="bottom"/>
            <w:tcBorders>
              <w:bottom w:val="single" w:sz="8" w:color="0066BA"/>
            </w:tcBorders>
            <w:shd w:val="clear" w:color="auto" w:fill="EAEAEA"/>
          </w:tcPr>
          <w:p>
            <w:pPr>
              <w:spacing w:after="0"/>
              <w:rPr>
                <w:sz w:val="19"/>
                <w:szCs w:val="19"/>
                <w:color w:val="auto"/>
              </w:rPr>
            </w:pPr>
          </w:p>
        </w:tc>
        <w:tc>
          <w:tcPr>
            <w:tcW w:w="840" w:type="dxa"/>
            <w:vAlign w:val="bottom"/>
            <w:tcBorders>
              <w:bottom w:val="single" w:sz="8" w:color="0066BA"/>
            </w:tcBorders>
          </w:tcPr>
          <w:p>
            <w:pPr>
              <w:jc w:val="right"/>
              <w:ind w:right="5"/>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0066BA"/>
            </w:tcBorders>
            <w:shd w:val="clear" w:color="auto" w:fill="EAEAEA"/>
          </w:tcPr>
          <w:p>
            <w:pPr>
              <w:spacing w:after="0"/>
              <w:rPr>
                <w:sz w:val="19"/>
                <w:szCs w:val="19"/>
                <w:color w:val="auto"/>
              </w:rPr>
            </w:pPr>
          </w:p>
        </w:tc>
        <w:tc>
          <w:tcPr>
            <w:tcW w:w="60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9"/>
                <w:szCs w:val="19"/>
                <w:color w:val="auto"/>
              </w:rPr>
            </w:pPr>
          </w:p>
        </w:tc>
        <w:tc>
          <w:tcPr>
            <w:tcW w:w="820" w:type="dxa"/>
            <w:vAlign w:val="bottom"/>
            <w:tcBorders>
              <w:bottom w:val="single" w:sz="8" w:color="0066BA"/>
            </w:tcBorders>
          </w:tcPr>
          <w:p>
            <w:pPr>
              <w:jc w:val="right"/>
              <w:ind w:right="3"/>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27"/>
        </w:trPr>
        <w:tc>
          <w:tcPr>
            <w:tcW w:w="4120" w:type="dxa"/>
            <w:vAlign w:val="bottom"/>
            <w:tcBorders>
              <w:bottom w:val="single" w:sz="8" w:color="0066BA"/>
            </w:tcBorders>
          </w:tcPr>
          <w:p>
            <w:pPr>
              <w:ind w:left="60"/>
              <w:spacing w:after="0"/>
              <w:rPr>
                <w:sz w:val="20"/>
                <w:szCs w:val="20"/>
                <w:color w:val="auto"/>
              </w:rPr>
            </w:pPr>
            <w:r>
              <w:rPr>
                <w:rFonts w:ascii="Arial" w:cs="Arial" w:eastAsia="Arial" w:hAnsi="Arial"/>
                <w:sz w:val="16"/>
                <w:szCs w:val="16"/>
                <w:b w:val="1"/>
                <w:bCs w:val="1"/>
                <w:color w:val="0066BA"/>
              </w:rPr>
              <w:t>Anelise Sacks</w:t>
            </w:r>
          </w:p>
        </w:tc>
        <w:tc>
          <w:tcPr>
            <w:tcW w:w="120" w:type="dxa"/>
            <w:vAlign w:val="bottom"/>
            <w:tcBorders>
              <w:bottom w:val="single" w:sz="8" w:color="0066BA"/>
            </w:tcBorders>
            <w:shd w:val="clear" w:color="auto" w:fill="EAEAEA"/>
          </w:tcPr>
          <w:p>
            <w:pPr>
              <w:spacing w:after="0"/>
              <w:rPr>
                <w:sz w:val="19"/>
                <w:szCs w:val="19"/>
                <w:color w:val="auto"/>
              </w:rPr>
            </w:pPr>
          </w:p>
        </w:tc>
        <w:tc>
          <w:tcPr>
            <w:tcW w:w="32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w w:val="84"/>
              </w:rPr>
              <w:t>2021</w:t>
            </w:r>
          </w:p>
        </w:tc>
        <w:tc>
          <w:tcPr>
            <w:tcW w:w="80" w:type="dxa"/>
            <w:vAlign w:val="bottom"/>
            <w:tcBorders>
              <w:bottom w:val="single" w:sz="8" w:color="0066BA"/>
            </w:tcBorders>
            <w:shd w:val="clear" w:color="auto" w:fill="EAEAEA"/>
          </w:tcPr>
          <w:p>
            <w:pPr>
              <w:spacing w:after="0"/>
              <w:rPr>
                <w:sz w:val="19"/>
                <w:szCs w:val="19"/>
                <w:color w:val="auto"/>
              </w:rPr>
            </w:pPr>
          </w:p>
        </w:tc>
        <w:tc>
          <w:tcPr>
            <w:tcW w:w="880" w:type="dxa"/>
            <w:vAlign w:val="bottom"/>
            <w:tcBorders>
              <w:bottom w:val="single" w:sz="8" w:color="0066BA"/>
            </w:tcBorders>
          </w:tcPr>
          <w:p>
            <w:pPr>
              <w:jc w:val="right"/>
              <w:ind w:right="6"/>
              <w:spacing w:after="0"/>
              <w:rPr>
                <w:sz w:val="20"/>
                <w:szCs w:val="20"/>
                <w:color w:val="auto"/>
              </w:rPr>
            </w:pPr>
            <w:r>
              <w:rPr>
                <w:rFonts w:ascii="Arial" w:cs="Arial" w:eastAsia="Arial" w:hAnsi="Arial"/>
                <w:sz w:val="16"/>
                <w:szCs w:val="16"/>
                <w:color w:val="auto"/>
              </w:rPr>
              <w:t>23,538</w:t>
            </w:r>
          </w:p>
        </w:tc>
        <w:tc>
          <w:tcPr>
            <w:tcW w:w="160" w:type="dxa"/>
            <w:vAlign w:val="bottom"/>
            <w:tcBorders>
              <w:bottom w:val="single" w:sz="8" w:color="0066BA"/>
            </w:tcBorders>
            <w:shd w:val="clear" w:color="auto" w:fill="EAEAEA"/>
          </w:tcPr>
          <w:p>
            <w:pPr>
              <w:spacing w:after="0"/>
              <w:rPr>
                <w:sz w:val="19"/>
                <w:szCs w:val="19"/>
                <w:color w:val="auto"/>
              </w:rPr>
            </w:pPr>
          </w:p>
        </w:tc>
        <w:tc>
          <w:tcPr>
            <w:tcW w:w="46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9"/>
                <w:szCs w:val="19"/>
                <w:color w:val="auto"/>
              </w:rPr>
            </w:pPr>
          </w:p>
        </w:tc>
        <w:tc>
          <w:tcPr>
            <w:tcW w:w="780" w:type="dxa"/>
            <w:vAlign w:val="bottom"/>
            <w:tcBorders>
              <w:bottom w:val="single" w:sz="8" w:color="0066BA"/>
            </w:tcBorders>
          </w:tcPr>
          <w:p>
            <w:pPr>
              <w:jc w:val="right"/>
              <w:ind w:right="5"/>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0066BA"/>
            </w:tcBorders>
            <w:shd w:val="clear" w:color="auto" w:fill="EAEAEA"/>
          </w:tcPr>
          <w:p>
            <w:pPr>
              <w:spacing w:after="0"/>
              <w:rPr>
                <w:sz w:val="19"/>
                <w:szCs w:val="19"/>
                <w:color w:val="auto"/>
              </w:rPr>
            </w:pPr>
          </w:p>
        </w:tc>
        <w:tc>
          <w:tcPr>
            <w:tcW w:w="56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1,200</w:t>
            </w:r>
          </w:p>
        </w:tc>
        <w:tc>
          <w:tcPr>
            <w:tcW w:w="100" w:type="dxa"/>
            <w:vAlign w:val="bottom"/>
            <w:tcBorders>
              <w:bottom w:val="single" w:sz="8" w:color="0066BA"/>
            </w:tcBorders>
            <w:shd w:val="clear" w:color="auto" w:fill="EAEAEA"/>
          </w:tcPr>
          <w:p>
            <w:pPr>
              <w:spacing w:after="0"/>
              <w:rPr>
                <w:sz w:val="19"/>
                <w:szCs w:val="19"/>
                <w:color w:val="auto"/>
              </w:rPr>
            </w:pPr>
          </w:p>
        </w:tc>
        <w:tc>
          <w:tcPr>
            <w:tcW w:w="840" w:type="dxa"/>
            <w:vAlign w:val="bottom"/>
            <w:tcBorders>
              <w:bottom w:val="single" w:sz="8" w:color="0066BA"/>
            </w:tcBorders>
          </w:tcPr>
          <w:p>
            <w:pPr>
              <w:jc w:val="right"/>
              <w:ind w:right="5"/>
              <w:spacing w:after="0"/>
              <w:rPr>
                <w:sz w:val="20"/>
                <w:szCs w:val="20"/>
                <w:color w:val="auto"/>
              </w:rPr>
            </w:pPr>
            <w:r>
              <w:rPr>
                <w:rFonts w:ascii="Arial" w:cs="Arial" w:eastAsia="Arial" w:hAnsi="Arial"/>
                <w:sz w:val="16"/>
                <w:szCs w:val="16"/>
                <w:color w:val="auto"/>
              </w:rPr>
              <w:t>298,881</w:t>
            </w:r>
          </w:p>
        </w:tc>
        <w:tc>
          <w:tcPr>
            <w:tcW w:w="140" w:type="dxa"/>
            <w:vAlign w:val="bottom"/>
            <w:tcBorders>
              <w:bottom w:val="single" w:sz="8" w:color="0066BA"/>
            </w:tcBorders>
            <w:shd w:val="clear" w:color="auto" w:fill="EAEAEA"/>
          </w:tcPr>
          <w:p>
            <w:pPr>
              <w:spacing w:after="0"/>
              <w:rPr>
                <w:sz w:val="19"/>
                <w:szCs w:val="19"/>
                <w:color w:val="auto"/>
              </w:rPr>
            </w:pPr>
          </w:p>
        </w:tc>
        <w:tc>
          <w:tcPr>
            <w:tcW w:w="60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9"/>
                <w:szCs w:val="19"/>
                <w:color w:val="auto"/>
              </w:rPr>
            </w:pPr>
          </w:p>
        </w:tc>
        <w:tc>
          <w:tcPr>
            <w:tcW w:w="820" w:type="dxa"/>
            <w:vAlign w:val="bottom"/>
            <w:tcBorders>
              <w:bottom w:val="single" w:sz="8" w:color="0066BA"/>
            </w:tcBorders>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1380" w:right="20" w:hanging="501"/>
        <w:spacing w:after="0" w:line="270" w:lineRule="auto"/>
        <w:tabs>
          <w:tab w:leader="none" w:pos="1380" w:val="left"/>
        </w:tabs>
        <w:numPr>
          <w:ilvl w:val="1"/>
          <w:numId w:val="62"/>
        </w:numPr>
        <w:rPr>
          <w:rFonts w:ascii="Arial" w:cs="Arial" w:eastAsia="Arial" w:hAnsi="Arial"/>
          <w:sz w:val="17"/>
          <w:szCs w:val="17"/>
          <w:color w:val="auto"/>
        </w:rPr>
      </w:pPr>
      <w:r>
        <w:rPr>
          <w:rFonts w:ascii="Arial" w:cs="Arial" w:eastAsia="Arial" w:hAnsi="Arial"/>
          <w:sz w:val="17"/>
          <w:szCs w:val="17"/>
          <w:color w:val="auto"/>
        </w:rPr>
        <w:t>Amounts paid to Messrs. Roche, Mahendra-Rajah, Cotter, Hassett, Henderson and Ms. Sacks consist of the Company contribution into 401(k) and DCP accounts up to the permissible IRS limit and the taxable Company contribution in excess of IRS limits described under “Retirement and Other Employee Benefits” above.</w:t>
      </w:r>
    </w:p>
    <w:p>
      <w:pPr>
        <w:spacing w:after="0" w:line="81" w:lineRule="exact"/>
        <w:rPr>
          <w:rFonts w:ascii="Arial" w:cs="Arial" w:eastAsia="Arial" w:hAnsi="Arial"/>
          <w:sz w:val="17"/>
          <w:szCs w:val="17"/>
          <w:color w:val="auto"/>
        </w:rPr>
      </w:pPr>
    </w:p>
    <w:p>
      <w:pPr>
        <w:ind w:left="1380" w:hanging="501"/>
        <w:spacing w:after="0"/>
        <w:tabs>
          <w:tab w:leader="none" w:pos="1380" w:val="left"/>
        </w:tabs>
        <w:numPr>
          <w:ilvl w:val="1"/>
          <w:numId w:val="62"/>
        </w:numPr>
        <w:rPr>
          <w:rFonts w:ascii="Arial" w:cs="Arial" w:eastAsia="Arial" w:hAnsi="Arial"/>
          <w:sz w:val="17"/>
          <w:szCs w:val="17"/>
          <w:color w:val="auto"/>
        </w:rPr>
      </w:pPr>
      <w:r>
        <w:rPr>
          <w:rFonts w:ascii="Arial" w:cs="Arial" w:eastAsia="Arial" w:hAnsi="Arial"/>
          <w:sz w:val="17"/>
          <w:szCs w:val="17"/>
          <w:color w:val="auto"/>
        </w:rPr>
        <w:t>Paid in connection with our Employee Service Award Program.</w:t>
      </w:r>
    </w:p>
    <w:p>
      <w:pPr>
        <w:spacing w:after="0" w:line="129" w:lineRule="exact"/>
        <w:rPr>
          <w:rFonts w:ascii="Arial" w:cs="Arial" w:eastAsia="Arial" w:hAnsi="Arial"/>
          <w:sz w:val="17"/>
          <w:szCs w:val="17"/>
          <w:color w:val="auto"/>
        </w:rPr>
      </w:pPr>
    </w:p>
    <w:p>
      <w:pPr>
        <w:ind w:left="1380" w:right="740" w:hanging="501"/>
        <w:spacing w:after="0" w:line="286" w:lineRule="auto"/>
        <w:tabs>
          <w:tab w:leader="none" w:pos="1380" w:val="left"/>
        </w:tabs>
        <w:numPr>
          <w:ilvl w:val="1"/>
          <w:numId w:val="62"/>
        </w:numPr>
        <w:rPr>
          <w:rFonts w:ascii="Arial" w:cs="Arial" w:eastAsia="Arial" w:hAnsi="Arial"/>
          <w:sz w:val="17"/>
          <w:szCs w:val="17"/>
          <w:color w:val="auto"/>
        </w:rPr>
      </w:pPr>
      <w:r>
        <w:rPr>
          <w:rFonts w:ascii="Arial" w:cs="Arial" w:eastAsia="Arial" w:hAnsi="Arial"/>
          <w:sz w:val="17"/>
          <w:szCs w:val="17"/>
          <w:color w:val="auto"/>
        </w:rPr>
        <w:t>Amounts paid to Mr. Mahendra-Rajah in connection with his relocation from Belgium to the United States and Ms. Sacks in connection with her relocation from Texas to Massachusetts.</w:t>
      </w:r>
    </w:p>
    <w:p>
      <w:pPr>
        <w:spacing w:after="0" w:line="67" w:lineRule="exact"/>
        <w:rPr>
          <w:rFonts w:ascii="Arial" w:cs="Arial" w:eastAsia="Arial" w:hAnsi="Arial"/>
          <w:sz w:val="17"/>
          <w:szCs w:val="17"/>
          <w:color w:val="auto"/>
        </w:rPr>
      </w:pPr>
    </w:p>
    <w:p>
      <w:pPr>
        <w:ind w:left="1380" w:hanging="501"/>
        <w:spacing w:after="0"/>
        <w:tabs>
          <w:tab w:leader="none" w:pos="1380" w:val="left"/>
        </w:tabs>
        <w:numPr>
          <w:ilvl w:val="1"/>
          <w:numId w:val="62"/>
        </w:numPr>
        <w:rPr>
          <w:rFonts w:ascii="Arial" w:cs="Arial" w:eastAsia="Arial" w:hAnsi="Arial"/>
          <w:sz w:val="17"/>
          <w:szCs w:val="17"/>
          <w:color w:val="auto"/>
        </w:rPr>
      </w:pPr>
      <w:r>
        <w:rPr>
          <w:rFonts w:ascii="Arial" w:cs="Arial" w:eastAsia="Arial" w:hAnsi="Arial"/>
          <w:sz w:val="17"/>
          <w:szCs w:val="17"/>
          <w:color w:val="auto"/>
        </w:rPr>
        <w:t>Amounts relate to reimbursement of costs and tax equalization payments associated with an expatriate assignment.</w:t>
      </w:r>
    </w:p>
    <w:p>
      <w:pPr>
        <w:spacing w:after="0" w:line="129" w:lineRule="exact"/>
        <w:rPr>
          <w:rFonts w:ascii="Arial" w:cs="Arial" w:eastAsia="Arial" w:hAnsi="Arial"/>
          <w:sz w:val="17"/>
          <w:szCs w:val="17"/>
          <w:color w:val="auto"/>
        </w:rPr>
      </w:pPr>
    </w:p>
    <w:p>
      <w:pPr>
        <w:ind w:left="880" w:right="180" w:hanging="405"/>
        <w:spacing w:after="0" w:line="295" w:lineRule="auto"/>
        <w:tabs>
          <w:tab w:leader="none" w:pos="8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Mr. Hassett ceased serving as an executive officer and transitioned to the non-executive officer position of Senior Vice President, Corporate Integration Management, effective February 16, 2021. His title was changed to Senior Vice President and Chief Operating Officer of the Maxim Integrated Business on September 8, 2021 after consummation of the Maxim Integrated acquisition.</w:t>
      </w:r>
    </w:p>
    <w:p>
      <w:pPr>
        <w:spacing w:after="0" w:line="63" w:lineRule="exact"/>
        <w:rPr>
          <w:rFonts w:ascii="Arial" w:cs="Arial" w:eastAsia="Arial" w:hAnsi="Arial"/>
          <w:sz w:val="16"/>
          <w:szCs w:val="16"/>
          <w:color w:val="auto"/>
        </w:rPr>
      </w:pPr>
    </w:p>
    <w:p>
      <w:pPr>
        <w:ind w:left="880" w:hanging="405"/>
        <w:spacing w:after="0"/>
        <w:tabs>
          <w:tab w:leader="none" w:pos="8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Ms. Sacks joined the Company as Senior Vice President and Chief Customer Officer, effective February 22, 2021.</w:t>
      </w:r>
    </w:p>
    <w:p>
      <w:pPr>
        <w:spacing w:after="0" w:line="129" w:lineRule="exact"/>
        <w:rPr>
          <w:rFonts w:ascii="Arial" w:cs="Arial" w:eastAsia="Arial" w:hAnsi="Arial"/>
          <w:sz w:val="17"/>
          <w:szCs w:val="17"/>
          <w:color w:val="auto"/>
        </w:rPr>
      </w:pPr>
    </w:p>
    <w:p>
      <w:pPr>
        <w:ind w:left="880" w:right="20" w:hanging="405"/>
        <w:spacing w:after="0" w:line="278" w:lineRule="auto"/>
        <w:tabs>
          <w:tab w:leader="none" w:pos="8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target price thresholds, and the number of shares underlying the CEO Performance Stock Option Award that will become exercisable as a result of the attainment of each threshold, are set forth below. The actual number of shares that will become exercisable will range from 0% to a maximum of 100% of the Target Number of Shares based on the attainment of such target price thresholds at any time during a five-year period from December 15, 2020 to December 15, 2025. A given target price threshold will be met, and the shares underlying the CEO Performance Stock Option Award that are associated with such threshold will become exercisable, when our average closing stock price over 70 consecutive trading days is equal to or exceeds the threshold. If a threshold is attained, the earned number of shares will become exercisable one year after the attainment date, or if earlier, on December 15, 2025, in each case provided that Mr. Roche continues to serve as our CEO (or in a substantially similar role as determined by our Board) on the applicable vesting date.</w:t>
      </w:r>
    </w:p>
    <w:p>
      <w:pPr>
        <w:spacing w:after="0" w:line="187" w:lineRule="exact"/>
        <w:rPr>
          <w:sz w:val="20"/>
          <w:szCs w:val="20"/>
          <w:color w:val="auto"/>
        </w:rPr>
      </w:pPr>
    </w:p>
    <w:tbl>
      <w:tblPr>
        <w:tblLayout w:type="fixed"/>
        <w:tblInd w:w="480" w:type="dxa"/>
        <w:tblCellMar>
          <w:top w:w="0" w:type="dxa"/>
          <w:left w:w="0" w:type="dxa"/>
          <w:bottom w:w="0" w:type="dxa"/>
          <w:right w:w="0" w:type="dxa"/>
        </w:tblCellMar>
      </w:tblPr>
      <w:tr>
        <w:trPr>
          <w:trHeight w:val="171"/>
        </w:trPr>
        <w:tc>
          <w:tcPr>
            <w:tcW w:w="3140" w:type="dxa"/>
            <w:vAlign w:val="bottom"/>
            <w:tcBorders>
              <w:top w:val="single" w:sz="8" w:color="0066BA"/>
            </w:tcBorders>
            <w:shd w:val="clear" w:color="auto" w:fill="0066BA"/>
          </w:tcPr>
          <w:p>
            <w:pPr>
              <w:spacing w:after="0"/>
              <w:rPr>
                <w:sz w:val="14"/>
                <w:szCs w:val="14"/>
                <w:color w:val="auto"/>
              </w:rPr>
            </w:pPr>
          </w:p>
        </w:tc>
        <w:tc>
          <w:tcPr>
            <w:tcW w:w="300" w:type="dxa"/>
            <w:vAlign w:val="bottom"/>
            <w:tcBorders>
              <w:top w:val="single" w:sz="8" w:color="0066BA"/>
            </w:tcBorders>
            <w:shd w:val="clear" w:color="auto" w:fill="0066BA"/>
          </w:tcPr>
          <w:p>
            <w:pPr>
              <w:spacing w:after="0"/>
              <w:rPr>
                <w:sz w:val="14"/>
                <w:szCs w:val="14"/>
                <w:color w:val="auto"/>
              </w:rPr>
            </w:pPr>
          </w:p>
        </w:tc>
        <w:tc>
          <w:tcPr>
            <w:tcW w:w="3700" w:type="dxa"/>
            <w:vAlign w:val="bottom"/>
            <w:tcBorders>
              <w:top w:val="single" w:sz="8" w:color="0066BA"/>
            </w:tcBorders>
            <w:gridSpan w:val="2"/>
            <w:shd w:val="clear" w:color="auto" w:fill="0066BA"/>
          </w:tcPr>
          <w:p>
            <w:pPr>
              <w:jc w:val="right"/>
              <w:ind w:right="540"/>
              <w:spacing w:after="0"/>
              <w:rPr>
                <w:sz w:val="20"/>
                <w:szCs w:val="20"/>
                <w:color w:val="auto"/>
              </w:rPr>
            </w:pPr>
            <w:r>
              <w:rPr>
                <w:rFonts w:ascii="Arial" w:cs="Arial" w:eastAsia="Arial" w:hAnsi="Arial"/>
                <w:sz w:val="14"/>
                <w:szCs w:val="14"/>
                <w:b w:val="1"/>
                <w:bCs w:val="1"/>
                <w:color w:val="FFFFFF"/>
              </w:rPr>
              <w:t>Share price % increase vs</w:t>
            </w:r>
          </w:p>
        </w:tc>
        <w:tc>
          <w:tcPr>
            <w:tcW w:w="3140" w:type="dxa"/>
            <w:vAlign w:val="bottom"/>
            <w:tcBorders>
              <w:top w:val="single" w:sz="8" w:color="0066BA"/>
            </w:tcBorders>
            <w:shd w:val="clear" w:color="auto" w:fill="0066BA"/>
          </w:tcPr>
          <w:p>
            <w:pPr>
              <w:jc w:val="right"/>
              <w:spacing w:after="0"/>
              <w:rPr>
                <w:sz w:val="20"/>
                <w:szCs w:val="20"/>
                <w:color w:val="auto"/>
              </w:rPr>
            </w:pPr>
            <w:r>
              <w:rPr>
                <w:rFonts w:ascii="Arial" w:cs="Arial" w:eastAsia="Arial" w:hAnsi="Arial"/>
                <w:sz w:val="14"/>
                <w:szCs w:val="14"/>
                <w:b w:val="1"/>
                <w:bCs w:val="1"/>
                <w:color w:val="FFFFFF"/>
              </w:rPr>
              <w:t>Number of Shares Exercisable as a</w:t>
            </w:r>
          </w:p>
        </w:tc>
        <w:tc>
          <w:tcPr>
            <w:tcW w:w="20" w:type="dxa"/>
            <w:vAlign w:val="bottom"/>
            <w:tcBorders>
              <w:top w:val="single" w:sz="8" w:color="0066BA"/>
            </w:tcBorders>
          </w:tcPr>
          <w:p>
            <w:pPr>
              <w:spacing w:after="0"/>
              <w:rPr>
                <w:sz w:val="14"/>
                <w:szCs w:val="14"/>
                <w:color w:val="auto"/>
              </w:rPr>
            </w:pPr>
          </w:p>
        </w:tc>
      </w:tr>
      <w:tr>
        <w:trPr>
          <w:trHeight w:val="181"/>
        </w:trPr>
        <w:tc>
          <w:tcPr>
            <w:tcW w:w="3140" w:type="dxa"/>
            <w:vAlign w:val="bottom"/>
            <w:shd w:val="clear" w:color="auto" w:fill="0066BA"/>
          </w:tcPr>
          <w:p>
            <w:pPr>
              <w:spacing w:after="0"/>
              <w:rPr>
                <w:sz w:val="20"/>
                <w:szCs w:val="20"/>
                <w:color w:val="auto"/>
              </w:rPr>
            </w:pPr>
            <w:r>
              <w:rPr>
                <w:rFonts w:ascii="Arial" w:cs="Arial" w:eastAsia="Arial" w:hAnsi="Arial"/>
                <w:sz w:val="14"/>
                <w:szCs w:val="14"/>
                <w:b w:val="1"/>
                <w:bCs w:val="1"/>
                <w:color w:val="FFFFFF"/>
              </w:rPr>
              <w:t>Target Price Threshold</w:t>
            </w:r>
          </w:p>
        </w:tc>
        <w:tc>
          <w:tcPr>
            <w:tcW w:w="300" w:type="dxa"/>
            <w:vAlign w:val="bottom"/>
            <w:shd w:val="clear" w:color="auto" w:fill="0066BA"/>
          </w:tcPr>
          <w:p>
            <w:pPr>
              <w:spacing w:after="0"/>
              <w:rPr>
                <w:sz w:val="15"/>
                <w:szCs w:val="15"/>
                <w:color w:val="auto"/>
              </w:rPr>
            </w:pPr>
          </w:p>
        </w:tc>
        <w:tc>
          <w:tcPr>
            <w:tcW w:w="3700" w:type="dxa"/>
            <w:vAlign w:val="bottom"/>
            <w:gridSpan w:val="2"/>
            <w:shd w:val="clear" w:color="auto" w:fill="0066BA"/>
          </w:tcPr>
          <w:p>
            <w:pPr>
              <w:jc w:val="right"/>
              <w:ind w:right="540"/>
              <w:spacing w:after="0"/>
              <w:rPr>
                <w:sz w:val="20"/>
                <w:szCs w:val="20"/>
                <w:color w:val="auto"/>
              </w:rPr>
            </w:pPr>
            <w:r>
              <w:rPr>
                <w:rFonts w:ascii="Arial" w:cs="Arial" w:eastAsia="Arial" w:hAnsi="Arial"/>
                <w:sz w:val="14"/>
                <w:szCs w:val="14"/>
                <w:b w:val="1"/>
                <w:bCs w:val="1"/>
                <w:color w:val="FFFFFF"/>
              </w:rPr>
              <w:t>baseline stock price of $122.72</w:t>
            </w:r>
          </w:p>
        </w:tc>
        <w:tc>
          <w:tcPr>
            <w:tcW w:w="3140" w:type="dxa"/>
            <w:vAlign w:val="bottom"/>
            <w:shd w:val="clear" w:color="auto" w:fill="0066BA"/>
          </w:tcPr>
          <w:p>
            <w:pPr>
              <w:jc w:val="right"/>
              <w:spacing w:after="0"/>
              <w:rPr>
                <w:sz w:val="20"/>
                <w:szCs w:val="20"/>
                <w:color w:val="auto"/>
              </w:rPr>
            </w:pPr>
            <w:r>
              <w:rPr>
                <w:rFonts w:ascii="Arial" w:cs="Arial" w:eastAsia="Arial" w:hAnsi="Arial"/>
                <w:sz w:val="14"/>
                <w:szCs w:val="14"/>
                <w:b w:val="1"/>
                <w:bCs w:val="1"/>
                <w:color w:val="FFFFFF"/>
              </w:rPr>
              <w:t>Percentage of Target Number of Shares</w:t>
            </w:r>
          </w:p>
        </w:tc>
        <w:tc>
          <w:tcPr>
            <w:tcW w:w="20" w:type="dxa"/>
            <w:vAlign w:val="bottom"/>
          </w:tcPr>
          <w:p>
            <w:pPr>
              <w:spacing w:after="0"/>
              <w:rPr>
                <w:sz w:val="15"/>
                <w:szCs w:val="15"/>
                <w:color w:val="auto"/>
              </w:rPr>
            </w:pPr>
          </w:p>
        </w:tc>
      </w:tr>
      <w:tr>
        <w:trPr>
          <w:trHeight w:val="195"/>
        </w:trPr>
        <w:tc>
          <w:tcPr>
            <w:tcW w:w="31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$180 per share</w:t>
            </w:r>
          </w:p>
        </w:tc>
        <w:tc>
          <w:tcPr>
            <w:tcW w:w="300" w:type="dxa"/>
            <w:vAlign w:val="bottom"/>
            <w:tcBorders>
              <w:bottom w:val="single" w:sz="8" w:color="auto"/>
            </w:tcBorders>
            <w:shd w:val="clear" w:color="auto" w:fill="EAEAEA"/>
          </w:tcPr>
          <w:p>
            <w:pPr>
              <w:spacing w:after="0"/>
              <w:rPr>
                <w:sz w:val="16"/>
                <w:szCs w:val="16"/>
                <w:color w:val="auto"/>
              </w:rPr>
            </w:pPr>
          </w:p>
        </w:tc>
        <w:tc>
          <w:tcPr>
            <w:tcW w:w="31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47%</w:t>
            </w:r>
          </w:p>
        </w:tc>
        <w:tc>
          <w:tcPr>
            <w:tcW w:w="5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6"/>
                <w:szCs w:val="16"/>
                <w:color w:val="auto"/>
              </w:rPr>
            </w:pPr>
          </w:p>
        </w:tc>
      </w:tr>
      <w:tr>
        <w:trPr>
          <w:trHeight w:val="188"/>
        </w:trPr>
        <w:tc>
          <w:tcPr>
            <w:tcW w:w="31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$200 per share</w:t>
            </w:r>
          </w:p>
        </w:tc>
        <w:tc>
          <w:tcPr>
            <w:tcW w:w="300" w:type="dxa"/>
            <w:vAlign w:val="bottom"/>
            <w:tcBorders>
              <w:bottom w:val="single" w:sz="8" w:color="auto"/>
            </w:tcBorders>
            <w:shd w:val="clear" w:color="auto" w:fill="EAEAEA"/>
          </w:tcPr>
          <w:p>
            <w:pPr>
              <w:spacing w:after="0"/>
              <w:rPr>
                <w:sz w:val="16"/>
                <w:szCs w:val="16"/>
                <w:color w:val="auto"/>
              </w:rPr>
            </w:pPr>
          </w:p>
        </w:tc>
        <w:tc>
          <w:tcPr>
            <w:tcW w:w="31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63%</w:t>
            </w:r>
          </w:p>
        </w:tc>
        <w:tc>
          <w:tcPr>
            <w:tcW w:w="5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20" w:type="dxa"/>
            <w:vAlign w:val="bottom"/>
            <w:tcBorders>
              <w:bottom w:val="single" w:sz="8" w:color="auto"/>
            </w:tcBorders>
          </w:tcPr>
          <w:p>
            <w:pPr>
              <w:spacing w:after="0"/>
              <w:rPr>
                <w:sz w:val="16"/>
                <w:szCs w:val="16"/>
                <w:color w:val="auto"/>
              </w:rPr>
            </w:pPr>
          </w:p>
        </w:tc>
      </w:tr>
      <w:tr>
        <w:trPr>
          <w:trHeight w:val="188"/>
        </w:trPr>
        <w:tc>
          <w:tcPr>
            <w:tcW w:w="3140" w:type="dxa"/>
            <w:vAlign w:val="bottom"/>
            <w:tcBorders>
              <w:bottom w:val="single" w:sz="8" w:color="0066BA"/>
            </w:tcBorders>
          </w:tcPr>
          <w:p>
            <w:pPr>
              <w:ind w:left="60"/>
              <w:spacing w:after="0"/>
              <w:rPr>
                <w:sz w:val="20"/>
                <w:szCs w:val="20"/>
                <w:color w:val="auto"/>
              </w:rPr>
            </w:pPr>
            <w:r>
              <w:rPr>
                <w:rFonts w:ascii="Arial" w:cs="Arial" w:eastAsia="Arial" w:hAnsi="Arial"/>
                <w:sz w:val="16"/>
                <w:szCs w:val="16"/>
                <w:color w:val="auto"/>
              </w:rPr>
              <w:t>$220 per share</w:t>
            </w:r>
          </w:p>
        </w:tc>
        <w:tc>
          <w:tcPr>
            <w:tcW w:w="300" w:type="dxa"/>
            <w:vAlign w:val="bottom"/>
            <w:tcBorders>
              <w:bottom w:val="single" w:sz="8" w:color="0066BA"/>
            </w:tcBorders>
            <w:shd w:val="clear" w:color="auto" w:fill="EAEAEA"/>
          </w:tcPr>
          <w:p>
            <w:pPr>
              <w:spacing w:after="0"/>
              <w:rPr>
                <w:sz w:val="16"/>
                <w:szCs w:val="16"/>
                <w:color w:val="auto"/>
              </w:rPr>
            </w:pPr>
          </w:p>
        </w:tc>
        <w:tc>
          <w:tcPr>
            <w:tcW w:w="316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79%</w:t>
            </w:r>
          </w:p>
        </w:tc>
        <w:tc>
          <w:tcPr>
            <w:tcW w:w="540" w:type="dxa"/>
            <w:vAlign w:val="bottom"/>
            <w:tcBorders>
              <w:bottom w:val="single" w:sz="8" w:color="0066BA"/>
            </w:tcBorders>
          </w:tcPr>
          <w:p>
            <w:pPr>
              <w:spacing w:after="0"/>
              <w:rPr>
                <w:sz w:val="16"/>
                <w:szCs w:val="16"/>
                <w:color w:val="auto"/>
              </w:rPr>
            </w:pPr>
          </w:p>
        </w:tc>
        <w:tc>
          <w:tcPr>
            <w:tcW w:w="3140" w:type="dxa"/>
            <w:vAlign w:val="bottom"/>
            <w:tcBorders>
              <w:bottom w:val="single" w:sz="8" w:color="0066BA"/>
            </w:tcBorders>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6"/>
                <w:szCs w:val="16"/>
                <w:color w:val="auto"/>
              </w:rPr>
            </w:pPr>
          </w:p>
        </w:tc>
      </w:tr>
    </w:tbl>
    <w:p>
      <w:pPr>
        <w:spacing w:after="0" w:line="200" w:lineRule="exact"/>
        <w:rPr>
          <w:sz w:val="20"/>
          <w:szCs w:val="20"/>
          <w:color w:val="auto"/>
        </w:rPr>
      </w:pPr>
    </w:p>
    <w:p>
      <w:pPr>
        <w:spacing w:after="0" w:line="25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0760"/>
          </w:cols>
          <w:pgMar w:left="320" w:top="447" w:right="81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33333"/>
        </w:rPr>
        <w:t>Grants of Plan-Based Awards in Fiscal 2021</w:t>
      </w:r>
    </w:p>
    <w:p>
      <w:pPr>
        <w:spacing w:after="0" w:line="12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information on plan-based awards granted in fiscal 2021 to our NEOs:</w:t>
      </w:r>
    </w:p>
    <w:p>
      <w:pPr>
        <w:spacing w:after="0" w:line="259" w:lineRule="exact"/>
        <w:rPr>
          <w:sz w:val="20"/>
          <w:szCs w:val="20"/>
          <w:color w:val="auto"/>
        </w:rPr>
      </w:pPr>
    </w:p>
    <w:tbl>
      <w:tblPr>
        <w:tblLayout w:type="fixed"/>
        <w:tblInd w:w="480" w:type="dxa"/>
        <w:tblCellMar>
          <w:top w:w="0" w:type="dxa"/>
          <w:left w:w="0" w:type="dxa"/>
          <w:bottom w:w="0" w:type="dxa"/>
          <w:right w:w="0" w:type="dxa"/>
        </w:tblCellMar>
      </w:tblPr>
      <w:tr>
        <w:trPr>
          <w:trHeight w:val="138"/>
        </w:trPr>
        <w:tc>
          <w:tcPr>
            <w:tcW w:w="1900" w:type="dxa"/>
            <w:vAlign w:val="bottom"/>
            <w:shd w:val="clear" w:color="auto" w:fill="0066BA"/>
          </w:tcPr>
          <w:p>
            <w:pPr>
              <w:spacing w:after="0"/>
              <w:rPr>
                <w:sz w:val="12"/>
                <w:szCs w:val="12"/>
                <w:color w:val="auto"/>
              </w:rPr>
            </w:pPr>
          </w:p>
        </w:tc>
        <w:tc>
          <w:tcPr>
            <w:tcW w:w="80" w:type="dxa"/>
            <w:vAlign w:val="bottom"/>
            <w:shd w:val="clear" w:color="auto" w:fill="0066BA"/>
          </w:tcPr>
          <w:p>
            <w:pPr>
              <w:spacing w:after="0"/>
              <w:rPr>
                <w:sz w:val="12"/>
                <w:szCs w:val="12"/>
                <w:color w:val="auto"/>
              </w:rPr>
            </w:pPr>
          </w:p>
        </w:tc>
        <w:tc>
          <w:tcPr>
            <w:tcW w:w="720" w:type="dxa"/>
            <w:vAlign w:val="bottom"/>
            <w:shd w:val="clear" w:color="auto" w:fill="0066BA"/>
          </w:tcPr>
          <w:p>
            <w:pPr>
              <w:spacing w:after="0"/>
              <w:rPr>
                <w:sz w:val="12"/>
                <w:szCs w:val="12"/>
                <w:color w:val="auto"/>
              </w:rPr>
            </w:pPr>
          </w:p>
        </w:tc>
        <w:tc>
          <w:tcPr>
            <w:tcW w:w="80" w:type="dxa"/>
            <w:vAlign w:val="bottom"/>
            <w:shd w:val="clear" w:color="auto" w:fill="0066BA"/>
          </w:tcPr>
          <w:p>
            <w:pPr>
              <w:spacing w:after="0"/>
              <w:rPr>
                <w:sz w:val="12"/>
                <w:szCs w:val="12"/>
                <w:color w:val="auto"/>
              </w:rPr>
            </w:pPr>
          </w:p>
        </w:tc>
        <w:tc>
          <w:tcPr>
            <w:tcW w:w="640" w:type="dxa"/>
            <w:vAlign w:val="bottom"/>
            <w:shd w:val="clear" w:color="auto" w:fill="0066BA"/>
          </w:tcPr>
          <w:p>
            <w:pPr>
              <w:spacing w:after="0"/>
              <w:rPr>
                <w:sz w:val="12"/>
                <w:szCs w:val="12"/>
                <w:color w:val="auto"/>
              </w:rPr>
            </w:pPr>
          </w:p>
        </w:tc>
        <w:tc>
          <w:tcPr>
            <w:tcW w:w="80" w:type="dxa"/>
            <w:vAlign w:val="bottom"/>
            <w:shd w:val="clear" w:color="auto" w:fill="0066BA"/>
          </w:tcPr>
          <w:p>
            <w:pPr>
              <w:spacing w:after="0"/>
              <w:rPr>
                <w:sz w:val="12"/>
                <w:szCs w:val="12"/>
                <w:color w:val="auto"/>
              </w:rPr>
            </w:pPr>
          </w:p>
        </w:tc>
        <w:tc>
          <w:tcPr>
            <w:tcW w:w="620" w:type="dxa"/>
            <w:vAlign w:val="bottom"/>
            <w:shd w:val="clear" w:color="auto" w:fill="0066BA"/>
          </w:tcPr>
          <w:p>
            <w:pPr>
              <w:spacing w:after="0"/>
              <w:rPr>
                <w:sz w:val="12"/>
                <w:szCs w:val="12"/>
                <w:color w:val="auto"/>
              </w:rPr>
            </w:pPr>
          </w:p>
        </w:tc>
        <w:tc>
          <w:tcPr>
            <w:tcW w:w="80" w:type="dxa"/>
            <w:vAlign w:val="bottom"/>
            <w:shd w:val="clear" w:color="auto" w:fill="0066BA"/>
          </w:tcPr>
          <w:p>
            <w:pPr>
              <w:spacing w:after="0"/>
              <w:rPr>
                <w:sz w:val="12"/>
                <w:szCs w:val="12"/>
                <w:color w:val="auto"/>
              </w:rPr>
            </w:pPr>
          </w:p>
        </w:tc>
        <w:tc>
          <w:tcPr>
            <w:tcW w:w="1020" w:type="dxa"/>
            <w:vAlign w:val="bottom"/>
            <w:tcBorders>
              <w:right w:val="single" w:sz="8" w:color="0066BA"/>
            </w:tcBorders>
            <w:shd w:val="clear" w:color="auto" w:fill="0066BA"/>
          </w:tcPr>
          <w:p>
            <w:pPr>
              <w:spacing w:after="0"/>
              <w:rPr>
                <w:sz w:val="12"/>
                <w:szCs w:val="12"/>
                <w:color w:val="auto"/>
              </w:rPr>
            </w:pPr>
          </w:p>
        </w:tc>
        <w:tc>
          <w:tcPr>
            <w:tcW w:w="100" w:type="dxa"/>
            <w:vAlign w:val="bottom"/>
            <w:shd w:val="clear" w:color="auto" w:fill="0066BA"/>
          </w:tcPr>
          <w:p>
            <w:pPr>
              <w:spacing w:after="0"/>
              <w:rPr>
                <w:sz w:val="12"/>
                <w:szCs w:val="12"/>
                <w:color w:val="auto"/>
              </w:rPr>
            </w:pPr>
          </w:p>
        </w:tc>
        <w:tc>
          <w:tcPr>
            <w:tcW w:w="440" w:type="dxa"/>
            <w:vAlign w:val="bottom"/>
            <w:shd w:val="clear" w:color="auto" w:fill="0066BA"/>
          </w:tcPr>
          <w:p>
            <w:pPr>
              <w:spacing w:after="0"/>
              <w:rPr>
                <w:sz w:val="12"/>
                <w:szCs w:val="12"/>
                <w:color w:val="auto"/>
              </w:rPr>
            </w:pPr>
          </w:p>
        </w:tc>
        <w:tc>
          <w:tcPr>
            <w:tcW w:w="80" w:type="dxa"/>
            <w:vAlign w:val="bottom"/>
            <w:shd w:val="clear" w:color="auto" w:fill="0066BA"/>
          </w:tcPr>
          <w:p>
            <w:pPr>
              <w:spacing w:after="0"/>
              <w:rPr>
                <w:sz w:val="12"/>
                <w:szCs w:val="12"/>
                <w:color w:val="auto"/>
              </w:rPr>
            </w:pPr>
          </w:p>
        </w:tc>
        <w:tc>
          <w:tcPr>
            <w:tcW w:w="660" w:type="dxa"/>
            <w:vAlign w:val="bottom"/>
            <w:shd w:val="clear" w:color="auto" w:fill="0066BA"/>
          </w:tcPr>
          <w:p>
            <w:pPr>
              <w:spacing w:after="0"/>
              <w:rPr>
                <w:sz w:val="12"/>
                <w:szCs w:val="12"/>
                <w:color w:val="auto"/>
              </w:rPr>
            </w:pPr>
          </w:p>
        </w:tc>
        <w:tc>
          <w:tcPr>
            <w:tcW w:w="80" w:type="dxa"/>
            <w:vAlign w:val="bottom"/>
            <w:shd w:val="clear" w:color="auto" w:fill="0066BA"/>
          </w:tcPr>
          <w:p>
            <w:pPr>
              <w:spacing w:after="0"/>
              <w:rPr>
                <w:sz w:val="12"/>
                <w:szCs w:val="12"/>
                <w:color w:val="auto"/>
              </w:rPr>
            </w:pPr>
          </w:p>
        </w:tc>
        <w:tc>
          <w:tcPr>
            <w:tcW w:w="500" w:type="dxa"/>
            <w:vAlign w:val="bottom"/>
            <w:shd w:val="clear" w:color="auto" w:fill="0066BA"/>
          </w:tcPr>
          <w:p>
            <w:pPr>
              <w:spacing w:after="0"/>
              <w:rPr>
                <w:sz w:val="12"/>
                <w:szCs w:val="12"/>
                <w:color w:val="auto"/>
              </w:rPr>
            </w:pPr>
          </w:p>
        </w:tc>
        <w:tc>
          <w:tcPr>
            <w:tcW w:w="80" w:type="dxa"/>
            <w:vAlign w:val="bottom"/>
            <w:shd w:val="clear" w:color="auto" w:fill="0066BA"/>
          </w:tcPr>
          <w:p>
            <w:pPr>
              <w:spacing w:after="0"/>
              <w:rPr>
                <w:sz w:val="12"/>
                <w:szCs w:val="12"/>
                <w:color w:val="auto"/>
              </w:rPr>
            </w:pPr>
          </w:p>
        </w:tc>
        <w:tc>
          <w:tcPr>
            <w:tcW w:w="680" w:type="dxa"/>
            <w:vAlign w:val="bottom"/>
            <w:shd w:val="clear" w:color="auto" w:fill="0066BA"/>
          </w:tcPr>
          <w:p>
            <w:pPr>
              <w:jc w:val="right"/>
              <w:spacing w:after="0"/>
              <w:rPr>
                <w:sz w:val="20"/>
                <w:szCs w:val="20"/>
                <w:color w:val="auto"/>
              </w:rPr>
            </w:pPr>
            <w:r>
              <w:rPr>
                <w:rFonts w:ascii="Arial" w:cs="Arial" w:eastAsia="Arial" w:hAnsi="Arial"/>
                <w:sz w:val="12"/>
                <w:szCs w:val="12"/>
                <w:b w:val="1"/>
                <w:bCs w:val="1"/>
                <w:color w:val="FFFFFF"/>
              </w:rPr>
              <w:t>All Other</w:t>
            </w:r>
          </w:p>
        </w:tc>
        <w:tc>
          <w:tcPr>
            <w:tcW w:w="80" w:type="dxa"/>
            <w:vAlign w:val="bottom"/>
            <w:shd w:val="clear" w:color="auto" w:fill="0066BA"/>
          </w:tcPr>
          <w:p>
            <w:pPr>
              <w:spacing w:after="0"/>
              <w:rPr>
                <w:sz w:val="12"/>
                <w:szCs w:val="12"/>
                <w:color w:val="auto"/>
              </w:rPr>
            </w:pPr>
          </w:p>
        </w:tc>
        <w:tc>
          <w:tcPr>
            <w:tcW w:w="640" w:type="dxa"/>
            <w:vAlign w:val="bottom"/>
            <w:gridSpan w:val="2"/>
            <w:shd w:val="clear" w:color="auto" w:fill="0066BA"/>
          </w:tcPr>
          <w:p>
            <w:pPr>
              <w:jc w:val="right"/>
              <w:ind w:right="60"/>
              <w:spacing w:after="0"/>
              <w:rPr>
                <w:sz w:val="20"/>
                <w:szCs w:val="20"/>
                <w:color w:val="auto"/>
              </w:rPr>
            </w:pPr>
            <w:r>
              <w:rPr>
                <w:rFonts w:ascii="Arial" w:cs="Arial" w:eastAsia="Arial" w:hAnsi="Arial"/>
                <w:sz w:val="12"/>
                <w:szCs w:val="12"/>
                <w:b w:val="1"/>
                <w:bCs w:val="1"/>
                <w:color w:val="FFFFFF"/>
              </w:rPr>
              <w:t>All Other</w:t>
            </w:r>
          </w:p>
        </w:tc>
        <w:tc>
          <w:tcPr>
            <w:tcW w:w="640" w:type="dxa"/>
            <w:vAlign w:val="bottom"/>
            <w:shd w:val="clear" w:color="auto" w:fill="0066BA"/>
          </w:tcPr>
          <w:p>
            <w:pPr>
              <w:spacing w:after="0"/>
              <w:rPr>
                <w:sz w:val="12"/>
                <w:szCs w:val="12"/>
                <w:color w:val="auto"/>
              </w:rPr>
            </w:pPr>
          </w:p>
        </w:tc>
        <w:tc>
          <w:tcPr>
            <w:tcW w:w="80" w:type="dxa"/>
            <w:vAlign w:val="bottom"/>
            <w:shd w:val="clear" w:color="auto" w:fill="0066BA"/>
          </w:tcPr>
          <w:p>
            <w:pPr>
              <w:spacing w:after="0"/>
              <w:rPr>
                <w:sz w:val="12"/>
                <w:szCs w:val="12"/>
                <w:color w:val="auto"/>
              </w:rPr>
            </w:pPr>
          </w:p>
        </w:tc>
        <w:tc>
          <w:tcPr>
            <w:tcW w:w="740" w:type="dxa"/>
            <w:vAlign w:val="bottom"/>
            <w:shd w:val="clear" w:color="auto" w:fill="0066BA"/>
          </w:tcPr>
          <w:p>
            <w:pPr>
              <w:spacing w:after="0"/>
              <w:rPr>
                <w:sz w:val="12"/>
                <w:szCs w:val="12"/>
                <w:color w:val="auto"/>
              </w:rPr>
            </w:pPr>
          </w:p>
        </w:tc>
        <w:tc>
          <w:tcPr>
            <w:tcW w:w="180" w:type="dxa"/>
            <w:vAlign w:val="bottom"/>
            <w:shd w:val="clear" w:color="auto" w:fill="0066BA"/>
          </w:tcPr>
          <w:p>
            <w:pPr>
              <w:spacing w:after="0"/>
              <w:rPr>
                <w:sz w:val="12"/>
                <w:szCs w:val="12"/>
                <w:color w:val="auto"/>
              </w:rPr>
            </w:pPr>
          </w:p>
        </w:tc>
        <w:tc>
          <w:tcPr>
            <w:tcW w:w="80" w:type="dxa"/>
            <w:vAlign w:val="bottom"/>
            <w:shd w:val="clear" w:color="auto" w:fill="0066BA"/>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0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72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2440" w:type="dxa"/>
            <w:vAlign w:val="bottom"/>
            <w:tcBorders>
              <w:right w:val="single" w:sz="8" w:color="0066BA"/>
            </w:tcBorders>
            <w:gridSpan w:val="5"/>
            <w:vMerge w:val="restart"/>
            <w:shd w:val="clear" w:color="auto" w:fill="0066BA"/>
          </w:tcPr>
          <w:p>
            <w:pPr>
              <w:jc w:val="center"/>
              <w:ind w:right="183"/>
              <w:spacing w:after="0"/>
              <w:rPr>
                <w:sz w:val="20"/>
                <w:szCs w:val="20"/>
                <w:color w:val="auto"/>
              </w:rPr>
            </w:pPr>
            <w:r>
              <w:rPr>
                <w:rFonts w:ascii="Arial" w:cs="Arial" w:eastAsia="Arial" w:hAnsi="Arial"/>
                <w:sz w:val="12"/>
                <w:szCs w:val="12"/>
                <w:b w:val="1"/>
                <w:bCs w:val="1"/>
                <w:color w:val="FFFFFF"/>
                <w:w w:val="89"/>
              </w:rPr>
              <w:t>Estimated Possible Payouts Under</w:t>
            </w:r>
          </w:p>
        </w:tc>
        <w:tc>
          <w:tcPr>
            <w:tcW w:w="1940" w:type="dxa"/>
            <w:vAlign w:val="bottom"/>
            <w:gridSpan w:val="7"/>
            <w:vMerge w:val="restart"/>
            <w:shd w:val="clear" w:color="auto" w:fill="0066BA"/>
          </w:tcPr>
          <w:p>
            <w:pPr>
              <w:jc w:val="right"/>
              <w:ind w:right="140"/>
              <w:spacing w:after="0"/>
              <w:rPr>
                <w:sz w:val="20"/>
                <w:szCs w:val="20"/>
                <w:color w:val="auto"/>
              </w:rPr>
            </w:pPr>
            <w:r>
              <w:rPr>
                <w:rFonts w:ascii="Arial" w:cs="Arial" w:eastAsia="Arial" w:hAnsi="Arial"/>
                <w:sz w:val="12"/>
                <w:szCs w:val="12"/>
                <w:b w:val="1"/>
                <w:bCs w:val="1"/>
                <w:color w:val="FFFFFF"/>
                <w:w w:val="95"/>
              </w:rPr>
              <w:t>Estimated Future Payouts Under</w:t>
            </w:r>
          </w:p>
        </w:tc>
        <w:tc>
          <w:tcPr>
            <w:tcW w:w="680" w:type="dxa"/>
            <w:vAlign w:val="bottom"/>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Stock</w:t>
            </w:r>
          </w:p>
        </w:tc>
        <w:tc>
          <w:tcPr>
            <w:tcW w:w="80" w:type="dxa"/>
            <w:vAlign w:val="bottom"/>
            <w:shd w:val="clear" w:color="auto" w:fill="0066BA"/>
          </w:tcPr>
          <w:p>
            <w:pPr>
              <w:spacing w:after="0"/>
              <w:rPr>
                <w:sz w:val="11"/>
                <w:szCs w:val="11"/>
                <w:color w:val="auto"/>
              </w:rPr>
            </w:pPr>
          </w:p>
        </w:tc>
        <w:tc>
          <w:tcPr>
            <w:tcW w:w="640" w:type="dxa"/>
            <w:vAlign w:val="bottom"/>
            <w:gridSpan w:val="2"/>
            <w:shd w:val="clear" w:color="auto" w:fill="0066BA"/>
          </w:tcPr>
          <w:p>
            <w:pPr>
              <w:jc w:val="right"/>
              <w:ind w:right="60"/>
              <w:spacing w:after="0" w:line="130" w:lineRule="exact"/>
              <w:rPr>
                <w:sz w:val="20"/>
                <w:szCs w:val="20"/>
                <w:color w:val="auto"/>
              </w:rPr>
            </w:pPr>
            <w:r>
              <w:rPr>
                <w:rFonts w:ascii="Arial" w:cs="Arial" w:eastAsia="Arial" w:hAnsi="Arial"/>
                <w:sz w:val="12"/>
                <w:szCs w:val="12"/>
                <w:b w:val="1"/>
                <w:bCs w:val="1"/>
                <w:color w:val="FFFFFF"/>
              </w:rPr>
              <w:t>Option</w:t>
            </w:r>
          </w:p>
        </w:tc>
        <w:tc>
          <w:tcPr>
            <w:tcW w:w="640" w:type="dxa"/>
            <w:vAlign w:val="bottom"/>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Exercise</w:t>
            </w:r>
          </w:p>
        </w:tc>
        <w:tc>
          <w:tcPr>
            <w:tcW w:w="80" w:type="dxa"/>
            <w:vAlign w:val="bottom"/>
            <w:shd w:val="clear" w:color="auto" w:fill="0066BA"/>
          </w:tcPr>
          <w:p>
            <w:pPr>
              <w:spacing w:after="0"/>
              <w:rPr>
                <w:sz w:val="11"/>
                <w:szCs w:val="11"/>
                <w:color w:val="auto"/>
              </w:rPr>
            </w:pPr>
          </w:p>
        </w:tc>
        <w:tc>
          <w:tcPr>
            <w:tcW w:w="1000" w:type="dxa"/>
            <w:vAlign w:val="bottom"/>
            <w:gridSpan w:val="3"/>
            <w:vMerge w:val="restart"/>
            <w:shd w:val="clear" w:color="auto" w:fill="0066BA"/>
          </w:tcPr>
          <w:p>
            <w:pPr>
              <w:jc w:val="center"/>
              <w:ind w:left="204"/>
              <w:spacing w:after="0"/>
              <w:rPr>
                <w:sz w:val="20"/>
                <w:szCs w:val="20"/>
                <w:color w:val="auto"/>
              </w:rPr>
            </w:pPr>
            <w:r>
              <w:rPr>
                <w:rFonts w:ascii="Arial" w:cs="Arial" w:eastAsia="Arial" w:hAnsi="Arial"/>
                <w:sz w:val="12"/>
                <w:szCs w:val="12"/>
                <w:b w:val="1"/>
                <w:bCs w:val="1"/>
                <w:color w:val="FFFFFF"/>
                <w:w w:val="97"/>
              </w:rPr>
              <w:t>Grant Date</w:t>
            </w:r>
          </w:p>
        </w:tc>
        <w:tc>
          <w:tcPr>
            <w:tcW w:w="0" w:type="dxa"/>
            <w:vAlign w:val="bottom"/>
          </w:tcPr>
          <w:p>
            <w:pPr>
              <w:spacing w:after="0"/>
              <w:rPr>
                <w:sz w:val="1"/>
                <w:szCs w:val="1"/>
                <w:color w:val="auto"/>
              </w:rPr>
            </w:pPr>
          </w:p>
        </w:tc>
      </w:tr>
      <w:tr>
        <w:trPr>
          <w:trHeight w:val="122"/>
        </w:trPr>
        <w:tc>
          <w:tcPr>
            <w:tcW w:w="1900" w:type="dxa"/>
            <w:vAlign w:val="bottom"/>
            <w:shd w:val="clear" w:color="auto" w:fill="0066BA"/>
          </w:tcPr>
          <w:p>
            <w:pPr>
              <w:spacing w:after="0"/>
              <w:rPr>
                <w:sz w:val="10"/>
                <w:szCs w:val="10"/>
                <w:color w:val="auto"/>
              </w:rPr>
            </w:pPr>
          </w:p>
        </w:tc>
        <w:tc>
          <w:tcPr>
            <w:tcW w:w="80" w:type="dxa"/>
            <w:vAlign w:val="bottom"/>
            <w:shd w:val="clear" w:color="auto" w:fill="0066BA"/>
          </w:tcPr>
          <w:p>
            <w:pPr>
              <w:spacing w:after="0"/>
              <w:rPr>
                <w:sz w:val="10"/>
                <w:szCs w:val="10"/>
                <w:color w:val="auto"/>
              </w:rPr>
            </w:pPr>
          </w:p>
        </w:tc>
        <w:tc>
          <w:tcPr>
            <w:tcW w:w="720" w:type="dxa"/>
            <w:vAlign w:val="bottom"/>
            <w:shd w:val="clear" w:color="auto" w:fill="0066BA"/>
          </w:tcPr>
          <w:p>
            <w:pPr>
              <w:spacing w:after="0"/>
              <w:rPr>
                <w:sz w:val="10"/>
                <w:szCs w:val="10"/>
                <w:color w:val="auto"/>
              </w:rPr>
            </w:pPr>
          </w:p>
        </w:tc>
        <w:tc>
          <w:tcPr>
            <w:tcW w:w="80" w:type="dxa"/>
            <w:vAlign w:val="bottom"/>
            <w:shd w:val="clear" w:color="auto" w:fill="0066BA"/>
          </w:tcPr>
          <w:p>
            <w:pPr>
              <w:spacing w:after="0"/>
              <w:rPr>
                <w:sz w:val="10"/>
                <w:szCs w:val="10"/>
                <w:color w:val="auto"/>
              </w:rPr>
            </w:pPr>
          </w:p>
        </w:tc>
        <w:tc>
          <w:tcPr>
            <w:tcW w:w="2440" w:type="dxa"/>
            <w:vAlign w:val="bottom"/>
            <w:tcBorders>
              <w:right w:val="single" w:sz="8" w:color="0066BA"/>
            </w:tcBorders>
            <w:gridSpan w:val="5"/>
            <w:vMerge w:val="continue"/>
            <w:shd w:val="clear" w:color="auto" w:fill="0066BA"/>
          </w:tcPr>
          <w:p>
            <w:pPr>
              <w:spacing w:after="0"/>
              <w:rPr>
                <w:sz w:val="10"/>
                <w:szCs w:val="10"/>
                <w:color w:val="auto"/>
              </w:rPr>
            </w:pPr>
          </w:p>
        </w:tc>
        <w:tc>
          <w:tcPr>
            <w:tcW w:w="1940" w:type="dxa"/>
            <w:vAlign w:val="bottom"/>
            <w:gridSpan w:val="7"/>
            <w:vMerge w:val="continue"/>
            <w:shd w:val="clear" w:color="auto" w:fill="0066BA"/>
          </w:tcPr>
          <w:p>
            <w:pPr>
              <w:spacing w:after="0"/>
              <w:rPr>
                <w:sz w:val="10"/>
                <w:szCs w:val="10"/>
                <w:color w:val="auto"/>
              </w:rPr>
            </w:pPr>
          </w:p>
        </w:tc>
        <w:tc>
          <w:tcPr>
            <w:tcW w:w="680" w:type="dxa"/>
            <w:vAlign w:val="bottom"/>
            <w:shd w:val="clear" w:color="auto" w:fill="0066BA"/>
          </w:tcPr>
          <w:p>
            <w:pPr>
              <w:jc w:val="right"/>
              <w:spacing w:after="0" w:line="122" w:lineRule="exact"/>
              <w:rPr>
                <w:sz w:val="20"/>
                <w:szCs w:val="20"/>
                <w:color w:val="auto"/>
              </w:rPr>
            </w:pPr>
            <w:r>
              <w:rPr>
                <w:rFonts w:ascii="Arial" w:cs="Arial" w:eastAsia="Arial" w:hAnsi="Arial"/>
                <w:sz w:val="12"/>
                <w:szCs w:val="12"/>
                <w:b w:val="1"/>
                <w:bCs w:val="1"/>
                <w:color w:val="FFFFFF"/>
              </w:rPr>
              <w:t>Awards:</w:t>
            </w:r>
          </w:p>
        </w:tc>
        <w:tc>
          <w:tcPr>
            <w:tcW w:w="80" w:type="dxa"/>
            <w:vAlign w:val="bottom"/>
            <w:shd w:val="clear" w:color="auto" w:fill="0066BA"/>
          </w:tcPr>
          <w:p>
            <w:pPr>
              <w:spacing w:after="0"/>
              <w:rPr>
                <w:sz w:val="10"/>
                <w:szCs w:val="10"/>
                <w:color w:val="auto"/>
              </w:rPr>
            </w:pPr>
          </w:p>
        </w:tc>
        <w:tc>
          <w:tcPr>
            <w:tcW w:w="640" w:type="dxa"/>
            <w:vAlign w:val="bottom"/>
            <w:gridSpan w:val="2"/>
            <w:shd w:val="clear" w:color="auto" w:fill="0066BA"/>
          </w:tcPr>
          <w:p>
            <w:pPr>
              <w:jc w:val="right"/>
              <w:ind w:right="60"/>
              <w:spacing w:after="0" w:line="122" w:lineRule="exact"/>
              <w:rPr>
                <w:sz w:val="20"/>
                <w:szCs w:val="20"/>
                <w:color w:val="auto"/>
              </w:rPr>
            </w:pPr>
            <w:r>
              <w:rPr>
                <w:rFonts w:ascii="Arial" w:cs="Arial" w:eastAsia="Arial" w:hAnsi="Arial"/>
                <w:sz w:val="12"/>
                <w:szCs w:val="12"/>
                <w:b w:val="1"/>
                <w:bCs w:val="1"/>
                <w:color w:val="FFFFFF"/>
              </w:rPr>
              <w:t>Awards:</w:t>
            </w:r>
          </w:p>
        </w:tc>
        <w:tc>
          <w:tcPr>
            <w:tcW w:w="640" w:type="dxa"/>
            <w:vAlign w:val="bottom"/>
            <w:shd w:val="clear" w:color="auto" w:fill="0066BA"/>
          </w:tcPr>
          <w:p>
            <w:pPr>
              <w:jc w:val="right"/>
              <w:spacing w:after="0" w:line="122" w:lineRule="exact"/>
              <w:rPr>
                <w:sz w:val="20"/>
                <w:szCs w:val="20"/>
                <w:color w:val="auto"/>
              </w:rPr>
            </w:pPr>
            <w:r>
              <w:rPr>
                <w:rFonts w:ascii="Arial" w:cs="Arial" w:eastAsia="Arial" w:hAnsi="Arial"/>
                <w:sz w:val="12"/>
                <w:szCs w:val="12"/>
                <w:b w:val="1"/>
                <w:bCs w:val="1"/>
                <w:color w:val="FFFFFF"/>
              </w:rPr>
              <w:t>Price of</w:t>
            </w:r>
          </w:p>
        </w:tc>
        <w:tc>
          <w:tcPr>
            <w:tcW w:w="80" w:type="dxa"/>
            <w:vAlign w:val="bottom"/>
            <w:shd w:val="clear" w:color="auto" w:fill="0066BA"/>
          </w:tcPr>
          <w:p>
            <w:pPr>
              <w:spacing w:after="0"/>
              <w:rPr>
                <w:sz w:val="10"/>
                <w:szCs w:val="10"/>
                <w:color w:val="auto"/>
              </w:rPr>
            </w:pPr>
          </w:p>
        </w:tc>
        <w:tc>
          <w:tcPr>
            <w:tcW w:w="1000" w:type="dxa"/>
            <w:vAlign w:val="bottom"/>
            <w:gridSpan w:val="3"/>
            <w:vMerge w:val="continue"/>
            <w:shd w:val="clear" w:color="auto" w:fill="0066BA"/>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90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72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2440" w:type="dxa"/>
            <w:vAlign w:val="bottom"/>
            <w:tcBorders>
              <w:right w:val="single" w:sz="8" w:color="0066BA"/>
            </w:tcBorders>
            <w:gridSpan w:val="5"/>
            <w:shd w:val="clear" w:color="auto" w:fill="0066BA"/>
          </w:tcPr>
          <w:p>
            <w:pPr>
              <w:jc w:val="center"/>
              <w:ind w:right="183"/>
              <w:spacing w:after="0" w:line="130" w:lineRule="exact"/>
              <w:rPr>
                <w:sz w:val="20"/>
                <w:szCs w:val="20"/>
                <w:color w:val="auto"/>
              </w:rPr>
            </w:pPr>
            <w:r>
              <w:rPr>
                <w:rFonts w:ascii="Arial" w:cs="Arial" w:eastAsia="Arial" w:hAnsi="Arial"/>
                <w:sz w:val="12"/>
                <w:szCs w:val="12"/>
                <w:b w:val="1"/>
                <w:bCs w:val="1"/>
                <w:color w:val="FFFFFF"/>
                <w:w w:val="93"/>
              </w:rPr>
              <w:t>Non-Equity Incentive Plan Awards (1)</w:t>
            </w:r>
          </w:p>
        </w:tc>
        <w:tc>
          <w:tcPr>
            <w:tcW w:w="1940" w:type="dxa"/>
            <w:vAlign w:val="bottom"/>
            <w:gridSpan w:val="7"/>
            <w:shd w:val="clear" w:color="auto" w:fill="0066BA"/>
          </w:tcPr>
          <w:p>
            <w:pPr>
              <w:jc w:val="right"/>
              <w:ind w:right="140"/>
              <w:spacing w:after="0" w:line="130" w:lineRule="exact"/>
              <w:rPr>
                <w:sz w:val="20"/>
                <w:szCs w:val="20"/>
                <w:color w:val="auto"/>
              </w:rPr>
            </w:pPr>
            <w:r>
              <w:rPr>
                <w:rFonts w:ascii="Arial" w:cs="Arial" w:eastAsia="Arial" w:hAnsi="Arial"/>
                <w:sz w:val="12"/>
                <w:szCs w:val="12"/>
                <w:b w:val="1"/>
                <w:bCs w:val="1"/>
                <w:color w:val="FFFFFF"/>
                <w:w w:val="95"/>
              </w:rPr>
              <w:t>Equity Incentive Plan Awards (2)</w:t>
            </w:r>
          </w:p>
        </w:tc>
        <w:tc>
          <w:tcPr>
            <w:tcW w:w="680" w:type="dxa"/>
            <w:vAlign w:val="bottom"/>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w w:val="99"/>
              </w:rPr>
              <w:t>Number of</w:t>
            </w:r>
          </w:p>
        </w:tc>
        <w:tc>
          <w:tcPr>
            <w:tcW w:w="80" w:type="dxa"/>
            <w:vAlign w:val="bottom"/>
            <w:shd w:val="clear" w:color="auto" w:fill="0066BA"/>
          </w:tcPr>
          <w:p>
            <w:pPr>
              <w:spacing w:after="0"/>
              <w:rPr>
                <w:sz w:val="11"/>
                <w:szCs w:val="11"/>
                <w:color w:val="auto"/>
              </w:rPr>
            </w:pPr>
          </w:p>
        </w:tc>
        <w:tc>
          <w:tcPr>
            <w:tcW w:w="640" w:type="dxa"/>
            <w:vAlign w:val="bottom"/>
            <w:gridSpan w:val="2"/>
            <w:shd w:val="clear" w:color="auto" w:fill="0066BA"/>
          </w:tcPr>
          <w:p>
            <w:pPr>
              <w:jc w:val="right"/>
              <w:ind w:right="60"/>
              <w:spacing w:after="0" w:line="130" w:lineRule="exact"/>
              <w:rPr>
                <w:sz w:val="20"/>
                <w:szCs w:val="20"/>
                <w:color w:val="auto"/>
              </w:rPr>
            </w:pPr>
            <w:r>
              <w:rPr>
                <w:rFonts w:ascii="Arial" w:cs="Arial" w:eastAsia="Arial" w:hAnsi="Arial"/>
                <w:sz w:val="12"/>
                <w:szCs w:val="12"/>
                <w:b w:val="1"/>
                <w:bCs w:val="1"/>
                <w:color w:val="FFFFFF"/>
                <w:w w:val="93"/>
              </w:rPr>
              <w:t>Number of</w:t>
            </w:r>
          </w:p>
        </w:tc>
        <w:tc>
          <w:tcPr>
            <w:tcW w:w="640" w:type="dxa"/>
            <w:vAlign w:val="bottom"/>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Option</w:t>
            </w:r>
          </w:p>
        </w:tc>
        <w:tc>
          <w:tcPr>
            <w:tcW w:w="80" w:type="dxa"/>
            <w:vAlign w:val="bottom"/>
            <w:shd w:val="clear" w:color="auto" w:fill="0066BA"/>
          </w:tcPr>
          <w:p>
            <w:pPr>
              <w:spacing w:after="0"/>
              <w:rPr>
                <w:sz w:val="11"/>
                <w:szCs w:val="11"/>
                <w:color w:val="auto"/>
              </w:rPr>
            </w:pPr>
          </w:p>
        </w:tc>
        <w:tc>
          <w:tcPr>
            <w:tcW w:w="1000" w:type="dxa"/>
            <w:vAlign w:val="bottom"/>
            <w:gridSpan w:val="3"/>
            <w:shd w:val="clear" w:color="auto" w:fill="0066BA"/>
          </w:tcPr>
          <w:p>
            <w:pPr>
              <w:jc w:val="center"/>
              <w:ind w:left="264"/>
              <w:spacing w:after="0" w:line="130" w:lineRule="exact"/>
              <w:rPr>
                <w:sz w:val="20"/>
                <w:szCs w:val="20"/>
                <w:color w:val="auto"/>
              </w:rPr>
            </w:pPr>
            <w:r>
              <w:rPr>
                <w:rFonts w:ascii="Arial" w:cs="Arial" w:eastAsia="Arial" w:hAnsi="Arial"/>
                <w:sz w:val="12"/>
                <w:szCs w:val="12"/>
                <w:b w:val="1"/>
                <w:bCs w:val="1"/>
                <w:color w:val="FFFFFF"/>
                <w:w w:val="94"/>
              </w:rPr>
              <w:t>Fair Value</w:t>
            </w:r>
          </w:p>
        </w:tc>
        <w:tc>
          <w:tcPr>
            <w:tcW w:w="0" w:type="dxa"/>
            <w:vAlign w:val="bottom"/>
          </w:tcPr>
          <w:p>
            <w:pPr>
              <w:spacing w:after="0"/>
              <w:rPr>
                <w:sz w:val="1"/>
                <w:szCs w:val="1"/>
                <w:color w:val="auto"/>
              </w:rPr>
            </w:pPr>
          </w:p>
        </w:tc>
      </w:tr>
      <w:tr>
        <w:trPr>
          <w:trHeight w:val="26"/>
        </w:trPr>
        <w:tc>
          <w:tcPr>
            <w:tcW w:w="1900" w:type="dxa"/>
            <w:vAlign w:val="bottom"/>
            <w:shd w:val="clear" w:color="auto" w:fill="0066BA"/>
          </w:tcPr>
          <w:p>
            <w:pPr>
              <w:spacing w:after="0"/>
              <w:rPr>
                <w:sz w:val="2"/>
                <w:szCs w:val="2"/>
                <w:color w:val="auto"/>
              </w:rPr>
            </w:pPr>
          </w:p>
        </w:tc>
        <w:tc>
          <w:tcPr>
            <w:tcW w:w="80" w:type="dxa"/>
            <w:vAlign w:val="bottom"/>
            <w:shd w:val="clear" w:color="auto" w:fill="0066BA"/>
          </w:tcPr>
          <w:p>
            <w:pPr>
              <w:spacing w:after="0"/>
              <w:rPr>
                <w:sz w:val="2"/>
                <w:szCs w:val="2"/>
                <w:color w:val="auto"/>
              </w:rPr>
            </w:pPr>
          </w:p>
        </w:tc>
        <w:tc>
          <w:tcPr>
            <w:tcW w:w="720" w:type="dxa"/>
            <w:vAlign w:val="bottom"/>
            <w:shd w:val="clear" w:color="auto" w:fill="0066BA"/>
          </w:tcPr>
          <w:p>
            <w:pPr>
              <w:spacing w:after="0"/>
              <w:rPr>
                <w:sz w:val="2"/>
                <w:szCs w:val="2"/>
                <w:color w:val="auto"/>
              </w:rPr>
            </w:pPr>
          </w:p>
        </w:tc>
        <w:tc>
          <w:tcPr>
            <w:tcW w:w="80" w:type="dxa"/>
            <w:vAlign w:val="bottom"/>
            <w:shd w:val="clear" w:color="auto" w:fill="0066BA"/>
          </w:tcPr>
          <w:p>
            <w:pPr>
              <w:spacing w:after="0"/>
              <w:rPr>
                <w:sz w:val="2"/>
                <w:szCs w:val="2"/>
                <w:color w:val="auto"/>
              </w:rPr>
            </w:pPr>
          </w:p>
        </w:tc>
        <w:tc>
          <w:tcPr>
            <w:tcW w:w="640" w:type="dxa"/>
            <w:vAlign w:val="bottom"/>
            <w:shd w:val="clear" w:color="auto" w:fill="0066BA"/>
          </w:tcPr>
          <w:p>
            <w:pPr>
              <w:spacing w:after="0"/>
              <w:rPr>
                <w:sz w:val="2"/>
                <w:szCs w:val="2"/>
                <w:color w:val="auto"/>
              </w:rPr>
            </w:pPr>
          </w:p>
        </w:tc>
        <w:tc>
          <w:tcPr>
            <w:tcW w:w="80" w:type="dxa"/>
            <w:vAlign w:val="bottom"/>
            <w:shd w:val="clear" w:color="auto" w:fill="0066BA"/>
          </w:tcPr>
          <w:p>
            <w:pPr>
              <w:spacing w:after="0"/>
              <w:rPr>
                <w:sz w:val="2"/>
                <w:szCs w:val="2"/>
                <w:color w:val="auto"/>
              </w:rPr>
            </w:pPr>
          </w:p>
        </w:tc>
        <w:tc>
          <w:tcPr>
            <w:tcW w:w="620" w:type="dxa"/>
            <w:vAlign w:val="bottom"/>
            <w:shd w:val="clear" w:color="auto" w:fill="0066BA"/>
          </w:tcPr>
          <w:p>
            <w:pPr>
              <w:spacing w:after="0"/>
              <w:rPr>
                <w:sz w:val="2"/>
                <w:szCs w:val="2"/>
                <w:color w:val="auto"/>
              </w:rPr>
            </w:pPr>
          </w:p>
        </w:tc>
        <w:tc>
          <w:tcPr>
            <w:tcW w:w="80" w:type="dxa"/>
            <w:vAlign w:val="bottom"/>
            <w:shd w:val="clear" w:color="auto" w:fill="0066BA"/>
          </w:tcPr>
          <w:p>
            <w:pPr>
              <w:spacing w:after="0"/>
              <w:rPr>
                <w:sz w:val="2"/>
                <w:szCs w:val="2"/>
                <w:color w:val="auto"/>
              </w:rPr>
            </w:pPr>
          </w:p>
        </w:tc>
        <w:tc>
          <w:tcPr>
            <w:tcW w:w="1020" w:type="dxa"/>
            <w:vAlign w:val="bottom"/>
            <w:tcBorders>
              <w:right w:val="single" w:sz="8" w:color="0066BA"/>
            </w:tcBorders>
            <w:shd w:val="clear" w:color="auto" w:fill="0066BA"/>
          </w:tcPr>
          <w:p>
            <w:pPr>
              <w:spacing w:after="0"/>
              <w:rPr>
                <w:sz w:val="2"/>
                <w:szCs w:val="2"/>
                <w:color w:val="auto"/>
              </w:rPr>
            </w:pPr>
          </w:p>
        </w:tc>
        <w:tc>
          <w:tcPr>
            <w:tcW w:w="620" w:type="dxa"/>
            <w:vAlign w:val="bottom"/>
            <w:gridSpan w:val="3"/>
            <w:shd w:val="clear" w:color="auto" w:fill="0066BA"/>
          </w:tcPr>
          <w:p>
            <w:pPr>
              <w:spacing w:after="0"/>
              <w:rPr>
                <w:sz w:val="2"/>
                <w:szCs w:val="2"/>
                <w:color w:val="auto"/>
              </w:rPr>
            </w:pPr>
          </w:p>
        </w:tc>
        <w:tc>
          <w:tcPr>
            <w:tcW w:w="660" w:type="dxa"/>
            <w:vAlign w:val="bottom"/>
            <w:shd w:val="clear" w:color="auto" w:fill="0066BA"/>
          </w:tcPr>
          <w:p>
            <w:pPr>
              <w:spacing w:after="0"/>
              <w:rPr>
                <w:sz w:val="2"/>
                <w:szCs w:val="2"/>
                <w:color w:val="auto"/>
              </w:rPr>
            </w:pPr>
          </w:p>
        </w:tc>
        <w:tc>
          <w:tcPr>
            <w:tcW w:w="660" w:type="dxa"/>
            <w:vAlign w:val="bottom"/>
            <w:gridSpan w:val="3"/>
            <w:shd w:val="clear" w:color="auto" w:fill="0066BA"/>
          </w:tcPr>
          <w:p>
            <w:pPr>
              <w:spacing w:after="0"/>
              <w:rPr>
                <w:sz w:val="2"/>
                <w:szCs w:val="2"/>
                <w:color w:val="auto"/>
              </w:rPr>
            </w:pPr>
          </w:p>
        </w:tc>
        <w:tc>
          <w:tcPr>
            <w:tcW w:w="680" w:type="dxa"/>
            <w:vAlign w:val="bottom"/>
            <w:vMerge w:val="restart"/>
            <w:shd w:val="clear" w:color="auto" w:fill="0066BA"/>
          </w:tcPr>
          <w:p>
            <w:pPr>
              <w:jc w:val="right"/>
              <w:spacing w:after="0"/>
              <w:rPr>
                <w:sz w:val="20"/>
                <w:szCs w:val="20"/>
                <w:color w:val="auto"/>
              </w:rPr>
            </w:pPr>
            <w:r>
              <w:rPr>
                <w:rFonts w:ascii="Arial" w:cs="Arial" w:eastAsia="Arial" w:hAnsi="Arial"/>
                <w:sz w:val="12"/>
                <w:szCs w:val="12"/>
                <w:b w:val="1"/>
                <w:bCs w:val="1"/>
                <w:color w:val="FFFFFF"/>
              </w:rPr>
              <w:t>Shares of</w:t>
            </w:r>
          </w:p>
        </w:tc>
        <w:tc>
          <w:tcPr>
            <w:tcW w:w="80" w:type="dxa"/>
            <w:vAlign w:val="bottom"/>
            <w:shd w:val="clear" w:color="auto" w:fill="0066BA"/>
          </w:tcPr>
          <w:p>
            <w:pPr>
              <w:spacing w:after="0"/>
              <w:rPr>
                <w:sz w:val="2"/>
                <w:szCs w:val="2"/>
                <w:color w:val="auto"/>
              </w:rPr>
            </w:pPr>
          </w:p>
        </w:tc>
        <w:tc>
          <w:tcPr>
            <w:tcW w:w="640" w:type="dxa"/>
            <w:vAlign w:val="bottom"/>
            <w:gridSpan w:val="2"/>
            <w:vMerge w:val="restart"/>
            <w:shd w:val="clear" w:color="auto" w:fill="0066BA"/>
          </w:tcPr>
          <w:p>
            <w:pPr>
              <w:jc w:val="right"/>
              <w:ind w:right="60"/>
              <w:spacing w:after="0"/>
              <w:rPr>
                <w:sz w:val="20"/>
                <w:szCs w:val="20"/>
                <w:color w:val="auto"/>
              </w:rPr>
            </w:pPr>
            <w:r>
              <w:rPr>
                <w:rFonts w:ascii="Arial" w:cs="Arial" w:eastAsia="Arial" w:hAnsi="Arial"/>
                <w:sz w:val="12"/>
                <w:szCs w:val="12"/>
                <w:b w:val="1"/>
                <w:bCs w:val="1"/>
                <w:color w:val="FFFFFF"/>
                <w:w w:val="97"/>
              </w:rPr>
              <w:t>Securities</w:t>
            </w:r>
          </w:p>
        </w:tc>
        <w:tc>
          <w:tcPr>
            <w:tcW w:w="640" w:type="dxa"/>
            <w:vAlign w:val="bottom"/>
            <w:vMerge w:val="restart"/>
            <w:shd w:val="clear" w:color="auto" w:fill="0066BA"/>
          </w:tcPr>
          <w:p>
            <w:pPr>
              <w:jc w:val="right"/>
              <w:spacing w:after="0"/>
              <w:rPr>
                <w:sz w:val="20"/>
                <w:szCs w:val="20"/>
                <w:color w:val="auto"/>
              </w:rPr>
            </w:pPr>
            <w:r>
              <w:rPr>
                <w:rFonts w:ascii="Arial" w:cs="Arial" w:eastAsia="Arial" w:hAnsi="Arial"/>
                <w:sz w:val="12"/>
                <w:szCs w:val="12"/>
                <w:b w:val="1"/>
                <w:bCs w:val="1"/>
                <w:color w:val="FFFFFF"/>
              </w:rPr>
              <w:t>Awards</w:t>
            </w:r>
          </w:p>
        </w:tc>
        <w:tc>
          <w:tcPr>
            <w:tcW w:w="80" w:type="dxa"/>
            <w:vAlign w:val="bottom"/>
            <w:shd w:val="clear" w:color="auto" w:fill="0066BA"/>
          </w:tcPr>
          <w:p>
            <w:pPr>
              <w:spacing w:after="0"/>
              <w:rPr>
                <w:sz w:val="2"/>
                <w:szCs w:val="2"/>
                <w:color w:val="auto"/>
              </w:rPr>
            </w:pPr>
          </w:p>
        </w:tc>
        <w:tc>
          <w:tcPr>
            <w:tcW w:w="1000" w:type="dxa"/>
            <w:vAlign w:val="bottom"/>
            <w:gridSpan w:val="3"/>
            <w:vMerge w:val="restart"/>
            <w:shd w:val="clear" w:color="auto" w:fill="0066BA"/>
          </w:tcPr>
          <w:p>
            <w:pPr>
              <w:jc w:val="right"/>
              <w:ind w:right="60"/>
              <w:spacing w:after="0"/>
              <w:rPr>
                <w:sz w:val="20"/>
                <w:szCs w:val="20"/>
                <w:color w:val="auto"/>
              </w:rPr>
            </w:pPr>
            <w:r>
              <w:rPr>
                <w:rFonts w:ascii="Arial" w:cs="Arial" w:eastAsia="Arial" w:hAnsi="Arial"/>
                <w:sz w:val="12"/>
                <w:szCs w:val="12"/>
                <w:b w:val="1"/>
                <w:bCs w:val="1"/>
                <w:color w:val="FFFFFF"/>
              </w:rPr>
              <w:t>of Stock</w:t>
            </w:r>
          </w:p>
        </w:tc>
        <w:tc>
          <w:tcPr>
            <w:tcW w:w="0" w:type="dxa"/>
            <w:vAlign w:val="bottom"/>
          </w:tcPr>
          <w:p>
            <w:pPr>
              <w:spacing w:after="0" w:line="20" w:lineRule="exact"/>
              <w:rPr>
                <w:sz w:val="1"/>
                <w:szCs w:val="1"/>
                <w:color w:val="auto"/>
              </w:rPr>
            </w:pPr>
          </w:p>
        </w:tc>
      </w:tr>
      <w:tr>
        <w:trPr>
          <w:trHeight w:val="130"/>
        </w:trPr>
        <w:tc>
          <w:tcPr>
            <w:tcW w:w="1900" w:type="dxa"/>
            <w:vAlign w:val="bottom"/>
            <w:vMerge w:val="restart"/>
            <w:shd w:val="clear" w:color="auto" w:fill="0066BA"/>
          </w:tcPr>
          <w:p>
            <w:pPr>
              <w:ind w:left="60"/>
              <w:spacing w:after="0"/>
              <w:rPr>
                <w:sz w:val="20"/>
                <w:szCs w:val="20"/>
                <w:color w:val="auto"/>
              </w:rPr>
            </w:pPr>
            <w:r>
              <w:rPr>
                <w:rFonts w:ascii="Arial" w:cs="Arial" w:eastAsia="Arial" w:hAnsi="Arial"/>
                <w:sz w:val="14"/>
                <w:szCs w:val="14"/>
                <w:b w:val="1"/>
                <w:bCs w:val="1"/>
                <w:color w:val="FFFFFF"/>
              </w:rPr>
              <w:t>Name</w:t>
            </w:r>
          </w:p>
        </w:tc>
        <w:tc>
          <w:tcPr>
            <w:tcW w:w="80" w:type="dxa"/>
            <w:vAlign w:val="bottom"/>
            <w:shd w:val="clear" w:color="auto" w:fill="0066BA"/>
          </w:tcPr>
          <w:p>
            <w:pPr>
              <w:spacing w:after="0"/>
              <w:rPr>
                <w:sz w:val="11"/>
                <w:szCs w:val="11"/>
                <w:color w:val="auto"/>
              </w:rPr>
            </w:pPr>
          </w:p>
        </w:tc>
        <w:tc>
          <w:tcPr>
            <w:tcW w:w="800" w:type="dxa"/>
            <w:vAlign w:val="bottom"/>
            <w:gridSpan w:val="2"/>
            <w:vMerge w:val="restart"/>
            <w:shd w:val="clear" w:color="auto" w:fill="0066BA"/>
          </w:tcPr>
          <w:p>
            <w:pPr>
              <w:jc w:val="right"/>
              <w:ind w:right="80"/>
              <w:spacing w:after="0"/>
              <w:rPr>
                <w:sz w:val="20"/>
                <w:szCs w:val="20"/>
                <w:color w:val="auto"/>
              </w:rPr>
            </w:pPr>
            <w:r>
              <w:rPr>
                <w:rFonts w:ascii="Arial" w:cs="Arial" w:eastAsia="Arial" w:hAnsi="Arial"/>
                <w:sz w:val="14"/>
                <w:szCs w:val="14"/>
                <w:b w:val="1"/>
                <w:bCs w:val="1"/>
                <w:color w:val="FFFFFF"/>
                <w:w w:val="97"/>
              </w:rPr>
              <w:t>Grant Date</w:t>
            </w:r>
          </w:p>
        </w:tc>
        <w:tc>
          <w:tcPr>
            <w:tcW w:w="640" w:type="dxa"/>
            <w:vAlign w:val="bottom"/>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w w:val="96"/>
              </w:rPr>
              <w:t>Threshold</w:t>
            </w:r>
          </w:p>
        </w:tc>
        <w:tc>
          <w:tcPr>
            <w:tcW w:w="80" w:type="dxa"/>
            <w:vAlign w:val="bottom"/>
            <w:shd w:val="clear" w:color="auto" w:fill="0066BA"/>
          </w:tcPr>
          <w:p>
            <w:pPr>
              <w:spacing w:after="0"/>
              <w:rPr>
                <w:sz w:val="11"/>
                <w:szCs w:val="11"/>
                <w:color w:val="auto"/>
              </w:rPr>
            </w:pPr>
          </w:p>
        </w:tc>
        <w:tc>
          <w:tcPr>
            <w:tcW w:w="62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1020" w:type="dxa"/>
            <w:vAlign w:val="bottom"/>
            <w:tcBorders>
              <w:right w:val="single" w:sz="8" w:color="0066BA"/>
            </w:tcBorders>
            <w:shd w:val="clear" w:color="auto" w:fill="0066BA"/>
          </w:tcPr>
          <w:p>
            <w:pPr>
              <w:jc w:val="right"/>
              <w:ind w:right="223"/>
              <w:spacing w:after="0" w:line="130" w:lineRule="exact"/>
              <w:rPr>
                <w:sz w:val="20"/>
                <w:szCs w:val="20"/>
                <w:color w:val="auto"/>
              </w:rPr>
            </w:pPr>
            <w:r>
              <w:rPr>
                <w:rFonts w:ascii="Arial" w:cs="Arial" w:eastAsia="Arial" w:hAnsi="Arial"/>
                <w:sz w:val="12"/>
                <w:szCs w:val="12"/>
                <w:b w:val="1"/>
                <w:bCs w:val="1"/>
                <w:color w:val="FFFFFF"/>
              </w:rPr>
              <w:t>Maximum</w:t>
            </w:r>
          </w:p>
        </w:tc>
        <w:tc>
          <w:tcPr>
            <w:tcW w:w="620" w:type="dxa"/>
            <w:vAlign w:val="bottom"/>
            <w:gridSpan w:val="3"/>
            <w:shd w:val="clear" w:color="auto" w:fill="0066BA"/>
          </w:tcPr>
          <w:p>
            <w:pPr>
              <w:jc w:val="right"/>
              <w:ind w:right="80"/>
              <w:spacing w:after="0" w:line="130" w:lineRule="exact"/>
              <w:rPr>
                <w:sz w:val="20"/>
                <w:szCs w:val="20"/>
                <w:color w:val="auto"/>
              </w:rPr>
            </w:pPr>
            <w:r>
              <w:rPr>
                <w:rFonts w:ascii="Arial" w:cs="Arial" w:eastAsia="Arial" w:hAnsi="Arial"/>
                <w:sz w:val="12"/>
                <w:szCs w:val="12"/>
                <w:b w:val="1"/>
                <w:bCs w:val="1"/>
                <w:color w:val="FFFFFF"/>
                <w:w w:val="89"/>
              </w:rPr>
              <w:t>Threshold</w:t>
            </w:r>
          </w:p>
        </w:tc>
        <w:tc>
          <w:tcPr>
            <w:tcW w:w="660" w:type="dxa"/>
            <w:vAlign w:val="bottom"/>
            <w:shd w:val="clear" w:color="auto" w:fill="0066BA"/>
          </w:tcPr>
          <w:p>
            <w:pPr>
              <w:jc w:val="right"/>
              <w:ind w:right="3"/>
              <w:spacing w:after="0" w:line="130" w:lineRule="exact"/>
              <w:rPr>
                <w:sz w:val="20"/>
                <w:szCs w:val="20"/>
                <w:color w:val="auto"/>
              </w:rPr>
            </w:pPr>
            <w:r>
              <w:rPr>
                <w:rFonts w:ascii="Arial" w:cs="Arial" w:eastAsia="Arial" w:hAnsi="Arial"/>
                <w:sz w:val="12"/>
                <w:szCs w:val="12"/>
                <w:b w:val="1"/>
                <w:bCs w:val="1"/>
                <w:color w:val="FFFFFF"/>
              </w:rPr>
              <w:t>Target</w:t>
            </w:r>
          </w:p>
        </w:tc>
        <w:tc>
          <w:tcPr>
            <w:tcW w:w="660" w:type="dxa"/>
            <w:vAlign w:val="bottom"/>
            <w:gridSpan w:val="3"/>
            <w:shd w:val="clear" w:color="auto" w:fill="0066BA"/>
          </w:tcPr>
          <w:p>
            <w:pPr>
              <w:jc w:val="right"/>
              <w:ind w:right="80"/>
              <w:spacing w:after="0" w:line="130" w:lineRule="exact"/>
              <w:rPr>
                <w:sz w:val="20"/>
                <w:szCs w:val="20"/>
                <w:color w:val="auto"/>
              </w:rPr>
            </w:pPr>
            <w:r>
              <w:rPr>
                <w:rFonts w:ascii="Arial" w:cs="Arial" w:eastAsia="Arial" w:hAnsi="Arial"/>
                <w:sz w:val="12"/>
                <w:szCs w:val="12"/>
                <w:b w:val="1"/>
                <w:bCs w:val="1"/>
                <w:color w:val="FFFFFF"/>
              </w:rPr>
              <w:t>Maximum</w:t>
            </w:r>
          </w:p>
        </w:tc>
        <w:tc>
          <w:tcPr>
            <w:tcW w:w="680" w:type="dxa"/>
            <w:vAlign w:val="bottom"/>
            <w:vMerge w:val="continue"/>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640" w:type="dxa"/>
            <w:vAlign w:val="bottom"/>
            <w:gridSpan w:val="2"/>
            <w:vMerge w:val="continue"/>
            <w:shd w:val="clear" w:color="auto" w:fill="0066BA"/>
          </w:tcPr>
          <w:p>
            <w:pPr>
              <w:spacing w:after="0"/>
              <w:rPr>
                <w:sz w:val="11"/>
                <w:szCs w:val="11"/>
                <w:color w:val="auto"/>
              </w:rPr>
            </w:pPr>
          </w:p>
        </w:tc>
        <w:tc>
          <w:tcPr>
            <w:tcW w:w="640" w:type="dxa"/>
            <w:vAlign w:val="bottom"/>
            <w:vMerge w:val="continue"/>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1000" w:type="dxa"/>
            <w:vAlign w:val="bottom"/>
            <w:gridSpan w:val="3"/>
            <w:vMerge w:val="continue"/>
            <w:shd w:val="clear" w:color="auto" w:fill="0066BA"/>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00" w:type="dxa"/>
            <w:vAlign w:val="bottom"/>
            <w:vMerge w:val="continue"/>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800" w:type="dxa"/>
            <w:vAlign w:val="bottom"/>
            <w:gridSpan w:val="2"/>
            <w:vMerge w:val="continue"/>
            <w:shd w:val="clear" w:color="auto" w:fill="0066BA"/>
          </w:tcPr>
          <w:p>
            <w:pPr>
              <w:spacing w:after="0"/>
              <w:rPr>
                <w:sz w:val="11"/>
                <w:szCs w:val="11"/>
                <w:color w:val="auto"/>
              </w:rPr>
            </w:pPr>
          </w:p>
        </w:tc>
        <w:tc>
          <w:tcPr>
            <w:tcW w:w="640" w:type="dxa"/>
            <w:vAlign w:val="bottom"/>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w:t>
            </w:r>
          </w:p>
        </w:tc>
        <w:tc>
          <w:tcPr>
            <w:tcW w:w="80" w:type="dxa"/>
            <w:vAlign w:val="bottom"/>
            <w:shd w:val="clear" w:color="auto" w:fill="0066BA"/>
          </w:tcPr>
          <w:p>
            <w:pPr>
              <w:spacing w:after="0"/>
              <w:rPr>
                <w:sz w:val="11"/>
                <w:szCs w:val="11"/>
                <w:color w:val="auto"/>
              </w:rPr>
            </w:pPr>
          </w:p>
        </w:tc>
        <w:tc>
          <w:tcPr>
            <w:tcW w:w="700" w:type="dxa"/>
            <w:vAlign w:val="bottom"/>
            <w:gridSpan w:val="2"/>
            <w:shd w:val="clear" w:color="auto" w:fill="0066BA"/>
          </w:tcPr>
          <w:p>
            <w:pPr>
              <w:jc w:val="center"/>
              <w:spacing w:after="0" w:line="130" w:lineRule="exact"/>
              <w:rPr>
                <w:sz w:val="20"/>
                <w:szCs w:val="20"/>
                <w:color w:val="auto"/>
              </w:rPr>
            </w:pPr>
            <w:r>
              <w:rPr>
                <w:rFonts w:ascii="Arial" w:cs="Arial" w:eastAsia="Arial" w:hAnsi="Arial"/>
                <w:sz w:val="12"/>
                <w:szCs w:val="12"/>
                <w:b w:val="1"/>
                <w:bCs w:val="1"/>
                <w:color w:val="FFFFFF"/>
                <w:w w:val="95"/>
              </w:rPr>
              <w:t>Target ($)</w:t>
            </w:r>
          </w:p>
        </w:tc>
        <w:tc>
          <w:tcPr>
            <w:tcW w:w="1020" w:type="dxa"/>
            <w:vAlign w:val="bottom"/>
            <w:tcBorders>
              <w:right w:val="single" w:sz="8" w:color="0066BA"/>
            </w:tcBorders>
            <w:shd w:val="clear" w:color="auto" w:fill="0066BA"/>
          </w:tcPr>
          <w:p>
            <w:pPr>
              <w:jc w:val="right"/>
              <w:ind w:right="223"/>
              <w:spacing w:after="0" w:line="130" w:lineRule="exact"/>
              <w:rPr>
                <w:sz w:val="20"/>
                <w:szCs w:val="20"/>
                <w:color w:val="auto"/>
              </w:rPr>
            </w:pPr>
            <w:r>
              <w:rPr>
                <w:rFonts w:ascii="Arial" w:cs="Arial" w:eastAsia="Arial" w:hAnsi="Arial"/>
                <w:sz w:val="12"/>
                <w:szCs w:val="12"/>
                <w:b w:val="1"/>
                <w:bCs w:val="1"/>
                <w:color w:val="FFFFFF"/>
              </w:rPr>
              <w:t>($)</w:t>
            </w:r>
          </w:p>
        </w:tc>
        <w:tc>
          <w:tcPr>
            <w:tcW w:w="620" w:type="dxa"/>
            <w:vAlign w:val="bottom"/>
            <w:gridSpan w:val="3"/>
            <w:shd w:val="clear" w:color="auto" w:fill="0066BA"/>
          </w:tcPr>
          <w:p>
            <w:pPr>
              <w:jc w:val="right"/>
              <w:ind w:right="80"/>
              <w:spacing w:after="0" w:line="130" w:lineRule="exact"/>
              <w:rPr>
                <w:sz w:val="20"/>
                <w:szCs w:val="20"/>
                <w:color w:val="auto"/>
              </w:rPr>
            </w:pPr>
            <w:r>
              <w:rPr>
                <w:rFonts w:ascii="Arial" w:cs="Arial" w:eastAsia="Arial" w:hAnsi="Arial"/>
                <w:sz w:val="12"/>
                <w:szCs w:val="12"/>
                <w:b w:val="1"/>
                <w:bCs w:val="1"/>
                <w:color w:val="FFFFFF"/>
              </w:rPr>
              <w:t>(#)</w:t>
            </w:r>
          </w:p>
        </w:tc>
        <w:tc>
          <w:tcPr>
            <w:tcW w:w="660" w:type="dxa"/>
            <w:vAlign w:val="bottom"/>
            <w:shd w:val="clear" w:color="auto" w:fill="0066BA"/>
          </w:tcPr>
          <w:p>
            <w:pPr>
              <w:jc w:val="right"/>
              <w:ind w:right="3"/>
              <w:spacing w:after="0" w:line="130" w:lineRule="exact"/>
              <w:rPr>
                <w:sz w:val="20"/>
                <w:szCs w:val="20"/>
                <w:color w:val="auto"/>
              </w:rPr>
            </w:pPr>
            <w:r>
              <w:rPr>
                <w:rFonts w:ascii="Arial" w:cs="Arial" w:eastAsia="Arial" w:hAnsi="Arial"/>
                <w:sz w:val="12"/>
                <w:szCs w:val="12"/>
                <w:b w:val="1"/>
                <w:bCs w:val="1"/>
                <w:color w:val="FFFFFF"/>
              </w:rPr>
              <w:t>(#)</w:t>
            </w:r>
          </w:p>
        </w:tc>
        <w:tc>
          <w:tcPr>
            <w:tcW w:w="660" w:type="dxa"/>
            <w:vAlign w:val="bottom"/>
            <w:gridSpan w:val="3"/>
            <w:shd w:val="clear" w:color="auto" w:fill="0066BA"/>
          </w:tcPr>
          <w:p>
            <w:pPr>
              <w:jc w:val="right"/>
              <w:ind w:right="80"/>
              <w:spacing w:after="0" w:line="130" w:lineRule="exact"/>
              <w:rPr>
                <w:sz w:val="20"/>
                <w:szCs w:val="20"/>
                <w:color w:val="auto"/>
              </w:rPr>
            </w:pPr>
            <w:r>
              <w:rPr>
                <w:rFonts w:ascii="Arial" w:cs="Arial" w:eastAsia="Arial" w:hAnsi="Arial"/>
                <w:sz w:val="12"/>
                <w:szCs w:val="12"/>
                <w:b w:val="1"/>
                <w:bCs w:val="1"/>
                <w:color w:val="FFFFFF"/>
              </w:rPr>
              <w:t>(#)</w:t>
            </w:r>
          </w:p>
        </w:tc>
        <w:tc>
          <w:tcPr>
            <w:tcW w:w="680" w:type="dxa"/>
            <w:vAlign w:val="bottom"/>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Stock or</w:t>
            </w:r>
          </w:p>
        </w:tc>
        <w:tc>
          <w:tcPr>
            <w:tcW w:w="720" w:type="dxa"/>
            <w:vAlign w:val="bottom"/>
            <w:gridSpan w:val="3"/>
            <w:shd w:val="clear" w:color="auto" w:fill="0066BA"/>
          </w:tcPr>
          <w:p>
            <w:pPr>
              <w:jc w:val="right"/>
              <w:ind w:right="60"/>
              <w:spacing w:after="0" w:line="130" w:lineRule="exact"/>
              <w:rPr>
                <w:sz w:val="20"/>
                <w:szCs w:val="20"/>
                <w:color w:val="auto"/>
              </w:rPr>
            </w:pPr>
            <w:r>
              <w:rPr>
                <w:rFonts w:ascii="Arial" w:cs="Arial" w:eastAsia="Arial" w:hAnsi="Arial"/>
                <w:sz w:val="12"/>
                <w:szCs w:val="12"/>
                <w:b w:val="1"/>
                <w:bCs w:val="1"/>
                <w:color w:val="FFFFFF"/>
              </w:rPr>
              <w:t>Underlying</w:t>
            </w:r>
          </w:p>
        </w:tc>
        <w:tc>
          <w:tcPr>
            <w:tcW w:w="640" w:type="dxa"/>
            <w:vAlign w:val="bottom"/>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 Per</w:t>
            </w:r>
          </w:p>
        </w:tc>
        <w:tc>
          <w:tcPr>
            <w:tcW w:w="80" w:type="dxa"/>
            <w:vAlign w:val="bottom"/>
            <w:shd w:val="clear" w:color="auto" w:fill="0066BA"/>
          </w:tcPr>
          <w:p>
            <w:pPr>
              <w:spacing w:after="0"/>
              <w:rPr>
                <w:sz w:val="11"/>
                <w:szCs w:val="11"/>
                <w:color w:val="auto"/>
              </w:rPr>
            </w:pPr>
          </w:p>
        </w:tc>
        <w:tc>
          <w:tcPr>
            <w:tcW w:w="1000" w:type="dxa"/>
            <w:vAlign w:val="bottom"/>
            <w:gridSpan w:val="3"/>
            <w:shd w:val="clear" w:color="auto" w:fill="0066BA"/>
          </w:tcPr>
          <w:p>
            <w:pPr>
              <w:jc w:val="center"/>
              <w:ind w:left="204"/>
              <w:spacing w:after="0" w:line="130" w:lineRule="exact"/>
              <w:rPr>
                <w:sz w:val="20"/>
                <w:szCs w:val="20"/>
                <w:color w:val="auto"/>
              </w:rPr>
            </w:pPr>
            <w:r>
              <w:rPr>
                <w:rFonts w:ascii="Arial" w:cs="Arial" w:eastAsia="Arial" w:hAnsi="Arial"/>
                <w:sz w:val="12"/>
                <w:szCs w:val="12"/>
                <w:b w:val="1"/>
                <w:bCs w:val="1"/>
                <w:color w:val="FFFFFF"/>
                <w:w w:val="94"/>
              </w:rPr>
              <w:t>and Option</w:t>
            </w:r>
          </w:p>
        </w:tc>
        <w:tc>
          <w:tcPr>
            <w:tcW w:w="0" w:type="dxa"/>
            <w:vAlign w:val="bottom"/>
          </w:tcPr>
          <w:p>
            <w:pPr>
              <w:spacing w:after="0"/>
              <w:rPr>
                <w:sz w:val="1"/>
                <w:szCs w:val="1"/>
                <w:color w:val="auto"/>
              </w:rPr>
            </w:pPr>
          </w:p>
        </w:tc>
      </w:tr>
      <w:tr>
        <w:trPr>
          <w:trHeight w:val="130"/>
        </w:trPr>
        <w:tc>
          <w:tcPr>
            <w:tcW w:w="190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72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64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62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1020" w:type="dxa"/>
            <w:vAlign w:val="bottom"/>
            <w:tcBorders>
              <w:right w:val="single" w:sz="8" w:color="0066BA"/>
            </w:tcBorders>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44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66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50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680" w:type="dxa"/>
            <w:vAlign w:val="bottom"/>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Units (3)</w:t>
            </w:r>
          </w:p>
        </w:tc>
        <w:tc>
          <w:tcPr>
            <w:tcW w:w="720" w:type="dxa"/>
            <w:vAlign w:val="bottom"/>
            <w:gridSpan w:val="3"/>
            <w:shd w:val="clear" w:color="auto" w:fill="0066BA"/>
          </w:tcPr>
          <w:p>
            <w:pPr>
              <w:jc w:val="right"/>
              <w:ind w:right="60"/>
              <w:spacing w:after="0" w:line="130" w:lineRule="exact"/>
              <w:rPr>
                <w:sz w:val="20"/>
                <w:szCs w:val="20"/>
                <w:color w:val="auto"/>
              </w:rPr>
            </w:pPr>
            <w:r>
              <w:rPr>
                <w:rFonts w:ascii="Arial" w:cs="Arial" w:eastAsia="Arial" w:hAnsi="Arial"/>
                <w:sz w:val="12"/>
                <w:szCs w:val="12"/>
                <w:b w:val="1"/>
                <w:bCs w:val="1"/>
                <w:color w:val="FFFFFF"/>
              </w:rPr>
              <w:t>Options (4)</w:t>
            </w:r>
          </w:p>
        </w:tc>
        <w:tc>
          <w:tcPr>
            <w:tcW w:w="640" w:type="dxa"/>
            <w:vAlign w:val="bottom"/>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Share) (5)</w:t>
            </w:r>
          </w:p>
        </w:tc>
        <w:tc>
          <w:tcPr>
            <w:tcW w:w="80" w:type="dxa"/>
            <w:vAlign w:val="bottom"/>
            <w:shd w:val="clear" w:color="auto" w:fill="0066BA"/>
          </w:tcPr>
          <w:p>
            <w:pPr>
              <w:spacing w:after="0"/>
              <w:rPr>
                <w:sz w:val="11"/>
                <w:szCs w:val="11"/>
                <w:color w:val="auto"/>
              </w:rPr>
            </w:pPr>
          </w:p>
        </w:tc>
        <w:tc>
          <w:tcPr>
            <w:tcW w:w="1000" w:type="dxa"/>
            <w:vAlign w:val="bottom"/>
            <w:gridSpan w:val="3"/>
            <w:shd w:val="clear" w:color="auto" w:fill="0066BA"/>
          </w:tcPr>
          <w:p>
            <w:pPr>
              <w:jc w:val="center"/>
              <w:ind w:left="224"/>
              <w:spacing w:after="0" w:line="130" w:lineRule="exact"/>
              <w:rPr>
                <w:sz w:val="20"/>
                <w:szCs w:val="20"/>
                <w:color w:val="auto"/>
              </w:rPr>
            </w:pPr>
            <w:r>
              <w:rPr>
                <w:rFonts w:ascii="Arial" w:cs="Arial" w:eastAsia="Arial" w:hAnsi="Arial"/>
                <w:sz w:val="12"/>
                <w:szCs w:val="12"/>
                <w:b w:val="1"/>
                <w:bCs w:val="1"/>
                <w:color w:val="FFFFFF"/>
                <w:w w:val="94"/>
              </w:rPr>
              <w:t>Awards ($)</w:t>
            </w:r>
          </w:p>
        </w:tc>
        <w:tc>
          <w:tcPr>
            <w:tcW w:w="0" w:type="dxa"/>
            <w:vAlign w:val="bottom"/>
          </w:tcPr>
          <w:p>
            <w:pPr>
              <w:spacing w:after="0"/>
              <w:rPr>
                <w:sz w:val="1"/>
                <w:szCs w:val="1"/>
                <w:color w:val="auto"/>
              </w:rPr>
            </w:pPr>
          </w:p>
        </w:tc>
      </w:tr>
      <w:tr>
        <w:trPr>
          <w:trHeight w:val="195"/>
        </w:trPr>
        <w:tc>
          <w:tcPr>
            <w:tcW w:w="1900" w:type="dxa"/>
            <w:vAlign w:val="bottom"/>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800" w:type="dxa"/>
            <w:vAlign w:val="bottom"/>
            <w:tcBorders>
              <w:bottom w:val="single" w:sz="8" w:color="auto"/>
            </w:tcBorders>
            <w:gridSpan w:val="2"/>
            <w:shd w:val="clear" w:color="auto" w:fill="EAEAEA"/>
          </w:tcPr>
          <w:p>
            <w:pPr>
              <w:jc w:val="right"/>
              <w:ind w:right="80"/>
              <w:spacing w:after="0"/>
              <w:rPr>
                <w:sz w:val="20"/>
                <w:szCs w:val="20"/>
                <w:color w:val="auto"/>
              </w:rPr>
            </w:pPr>
            <w:r>
              <w:rPr>
                <w:rFonts w:ascii="Arial" w:cs="Arial" w:eastAsia="Arial" w:hAnsi="Arial"/>
                <w:sz w:val="16"/>
                <w:szCs w:val="16"/>
                <w:color w:val="auto"/>
              </w:rPr>
              <w:t>N/A</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3"/>
            <w:shd w:val="clear" w:color="auto" w:fill="EAEAEA"/>
          </w:tcPr>
          <w:p>
            <w:pPr>
              <w:jc w:val="right"/>
              <w:ind w:right="60"/>
              <w:spacing w:after="0"/>
              <w:rPr>
                <w:sz w:val="20"/>
                <w:szCs w:val="20"/>
                <w:color w:val="auto"/>
              </w:rPr>
            </w:pPr>
            <w:r>
              <w:rPr>
                <w:rFonts w:ascii="Arial" w:cs="Arial" w:eastAsia="Arial" w:hAnsi="Arial"/>
                <w:sz w:val="16"/>
                <w:szCs w:val="16"/>
                <w:color w:val="auto"/>
                <w:w w:val="98"/>
                <w:shd w:val="clear" w:color="auto" w:fill="EAEAEA"/>
              </w:rPr>
              <w:t>1,575,000</w:t>
            </w:r>
          </w:p>
        </w:tc>
        <w:tc>
          <w:tcPr>
            <w:tcW w:w="1020" w:type="dxa"/>
            <w:vAlign w:val="bottom"/>
            <w:tcBorders>
              <w:bottom w:val="single" w:sz="8" w:color="auto"/>
              <w:right w:val="single" w:sz="8" w:color="EAEAEA"/>
            </w:tcBorders>
          </w:tcPr>
          <w:p>
            <w:pPr>
              <w:jc w:val="right"/>
              <w:ind w:right="223"/>
              <w:spacing w:after="0"/>
              <w:rPr>
                <w:sz w:val="20"/>
                <w:szCs w:val="20"/>
                <w:color w:val="auto"/>
              </w:rPr>
            </w:pPr>
            <w:r>
              <w:rPr>
                <w:rFonts w:ascii="Arial" w:cs="Arial" w:eastAsia="Arial" w:hAnsi="Arial"/>
                <w:sz w:val="16"/>
                <w:szCs w:val="16"/>
                <w:color w:val="auto"/>
                <w:w w:val="98"/>
              </w:rPr>
              <w:t>4,725,000</w:t>
            </w:r>
          </w:p>
        </w:tc>
        <w:tc>
          <w:tcPr>
            <w:tcW w:w="100" w:type="dxa"/>
            <w:vAlign w:val="bottom"/>
            <w:tcBorders>
              <w:bottom w:val="single" w:sz="8" w:color="auto"/>
            </w:tcBorders>
            <w:shd w:val="clear" w:color="auto" w:fill="EAEAEA"/>
          </w:tcPr>
          <w:p>
            <w:pPr>
              <w:spacing w:after="0"/>
              <w:rPr>
                <w:sz w:val="16"/>
                <w:szCs w:val="16"/>
                <w:color w:val="auto"/>
              </w:rPr>
            </w:pPr>
          </w:p>
        </w:tc>
        <w:tc>
          <w:tcPr>
            <w:tcW w:w="520" w:type="dxa"/>
            <w:vAlign w:val="bottom"/>
            <w:tcBorders>
              <w:bottom w:val="single" w:sz="8" w:color="auto"/>
            </w:tcBorders>
            <w:gridSpan w:val="2"/>
            <w:shd w:val="clear" w:color="auto" w:fill="EAEAEA"/>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580" w:type="dxa"/>
            <w:vAlign w:val="bottom"/>
            <w:tcBorders>
              <w:bottom w:val="single" w:sz="8" w:color="auto"/>
            </w:tcBorders>
            <w:gridSpan w:val="2"/>
            <w:shd w:val="clear" w:color="auto" w:fill="EAEAEA"/>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40" w:type="dxa"/>
            <w:vAlign w:val="bottom"/>
            <w:tcBorders>
              <w:bottom w:val="single" w:sz="8" w:color="auto"/>
            </w:tcBorders>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40" w:type="dxa"/>
            <w:vAlign w:val="bottom"/>
            <w:tcBorders>
              <w:bottom w:val="single" w:sz="8" w:color="auto"/>
            </w:tcBorders>
            <w:shd w:val="clear" w:color="auto" w:fill="EAEAEA"/>
          </w:tcPr>
          <w:p>
            <w:pPr>
              <w:jc w:val="center"/>
              <w:ind w:left="504"/>
              <w:spacing w:after="0"/>
              <w:rPr>
                <w:sz w:val="20"/>
                <w:szCs w:val="20"/>
                <w:color w:val="auto"/>
              </w:rPr>
            </w:pPr>
            <w:r>
              <w:rPr>
                <w:rFonts w:ascii="Arial" w:cs="Arial" w:eastAsia="Arial" w:hAnsi="Arial"/>
                <w:sz w:val="16"/>
                <w:szCs w:val="16"/>
                <w:color w:val="auto"/>
                <w:w w:val="99"/>
              </w:rPr>
              <w:t>—</w:t>
            </w:r>
          </w:p>
        </w:tc>
        <w:tc>
          <w:tcPr>
            <w:tcW w:w="18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00" w:type="dxa"/>
            <w:vAlign w:val="bottom"/>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800" w:type="dxa"/>
            <w:vAlign w:val="bottom"/>
            <w:tcBorders>
              <w:bottom w:val="single" w:sz="8" w:color="auto"/>
            </w:tcBorders>
            <w:gridSpan w:val="2"/>
            <w:shd w:val="clear" w:color="auto" w:fill="EAEAEA"/>
          </w:tcPr>
          <w:p>
            <w:pPr>
              <w:jc w:val="right"/>
              <w:ind w:right="80"/>
              <w:spacing w:after="0"/>
              <w:rPr>
                <w:sz w:val="20"/>
                <w:szCs w:val="20"/>
                <w:color w:val="auto"/>
              </w:rPr>
            </w:pPr>
            <w:r>
              <w:rPr>
                <w:rFonts w:ascii="Arial" w:cs="Arial" w:eastAsia="Arial" w:hAnsi="Arial"/>
                <w:sz w:val="16"/>
                <w:szCs w:val="16"/>
                <w:color w:val="auto"/>
                <w:w w:val="87"/>
                <w:shd w:val="clear" w:color="auto" w:fill="EAEAEA"/>
              </w:rPr>
              <w:t>12/15/2020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00" w:type="dxa"/>
            <w:vAlign w:val="bottom"/>
            <w:tcBorders>
              <w:bottom w:val="single" w:sz="8" w:color="auto"/>
            </w:tcBorders>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right w:val="single" w:sz="8" w:color="EAEAEA"/>
            </w:tcBorders>
          </w:tcPr>
          <w:p>
            <w:pPr>
              <w:jc w:val="right"/>
              <w:ind w:right="22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EAEAEA"/>
          </w:tcPr>
          <w:p>
            <w:pPr>
              <w:spacing w:after="0"/>
              <w:rPr>
                <w:sz w:val="16"/>
                <w:szCs w:val="16"/>
                <w:color w:val="auto"/>
              </w:rPr>
            </w:pPr>
          </w:p>
        </w:tc>
        <w:tc>
          <w:tcPr>
            <w:tcW w:w="520" w:type="dxa"/>
            <w:vAlign w:val="bottom"/>
            <w:tcBorders>
              <w:bottom w:val="single" w:sz="8" w:color="auto"/>
            </w:tcBorders>
            <w:gridSpan w:val="2"/>
            <w:shd w:val="clear" w:color="auto" w:fill="EAEAEA"/>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w w:val="96"/>
              </w:rPr>
              <w:t>460,000</w:t>
            </w:r>
          </w:p>
        </w:tc>
        <w:tc>
          <w:tcPr>
            <w:tcW w:w="8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40" w:type="dxa"/>
            <w:vAlign w:val="bottom"/>
            <w:tcBorders>
              <w:bottom w:val="single" w:sz="8" w:color="auto"/>
            </w:tcBorders>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144.06</w:t>
            </w:r>
          </w:p>
        </w:tc>
        <w:tc>
          <w:tcPr>
            <w:tcW w:w="80" w:type="dxa"/>
            <w:vAlign w:val="bottom"/>
            <w:tcBorders>
              <w:bottom w:val="single" w:sz="8" w:color="auto"/>
            </w:tcBorders>
            <w:shd w:val="clear" w:color="auto" w:fill="EAEAEA"/>
          </w:tcPr>
          <w:p>
            <w:pPr>
              <w:spacing w:after="0"/>
              <w:rPr>
                <w:sz w:val="16"/>
                <w:szCs w:val="16"/>
                <w:color w:val="auto"/>
              </w:rPr>
            </w:pPr>
          </w:p>
        </w:tc>
        <w:tc>
          <w:tcPr>
            <w:tcW w:w="7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4"/>
              </w:rPr>
              <w:t>14,387,265</w:t>
            </w:r>
          </w:p>
        </w:tc>
        <w:tc>
          <w:tcPr>
            <w:tcW w:w="260" w:type="dxa"/>
            <w:vAlign w:val="bottom"/>
            <w:tcBorders>
              <w:bottom w:val="single" w:sz="8" w:color="auto"/>
            </w:tcBorders>
            <w:gridSpan w:val="2"/>
            <w:shd w:val="clear" w:color="auto" w:fill="EAEAEA"/>
          </w:tcPr>
          <w:p>
            <w:pPr>
              <w:jc w:val="right"/>
              <w:ind w:right="60"/>
              <w:spacing w:after="0"/>
              <w:rPr>
                <w:sz w:val="20"/>
                <w:szCs w:val="20"/>
                <w:color w:val="auto"/>
              </w:rPr>
            </w:pPr>
            <w:r>
              <w:rPr>
                <w:rFonts w:ascii="Arial" w:cs="Arial" w:eastAsia="Arial" w:hAnsi="Arial"/>
                <w:sz w:val="16"/>
                <w:szCs w:val="16"/>
                <w:color w:val="auto"/>
                <w:w w:val="91"/>
              </w:rPr>
              <w:t>(9)</w:t>
            </w:r>
          </w:p>
        </w:tc>
        <w:tc>
          <w:tcPr>
            <w:tcW w:w="0" w:type="dxa"/>
            <w:vAlign w:val="bottom"/>
          </w:tcPr>
          <w:p>
            <w:pPr>
              <w:spacing w:after="0"/>
              <w:rPr>
                <w:sz w:val="1"/>
                <w:szCs w:val="1"/>
                <w:color w:val="auto"/>
              </w:rPr>
            </w:pPr>
          </w:p>
        </w:tc>
      </w:tr>
      <w:tr>
        <w:trPr>
          <w:trHeight w:val="188"/>
        </w:trPr>
        <w:tc>
          <w:tcPr>
            <w:tcW w:w="1900" w:type="dxa"/>
            <w:vAlign w:val="bottom"/>
          </w:tcPr>
          <w:p>
            <w:pPr>
              <w:ind w:left="60"/>
              <w:spacing w:after="0"/>
              <w:rPr>
                <w:sz w:val="20"/>
                <w:szCs w:val="20"/>
                <w:color w:val="auto"/>
              </w:rPr>
            </w:pPr>
            <w:r>
              <w:rPr>
                <w:rFonts w:ascii="Arial" w:cs="Arial" w:eastAsia="Arial" w:hAnsi="Arial"/>
                <w:sz w:val="14"/>
                <w:szCs w:val="14"/>
                <w:b w:val="1"/>
                <w:bCs w:val="1"/>
                <w:color w:val="0066BA"/>
              </w:rPr>
              <w:t>Vincent</w:t>
            </w:r>
          </w:p>
        </w:tc>
        <w:tc>
          <w:tcPr>
            <w:tcW w:w="80" w:type="dxa"/>
            <w:vAlign w:val="bottom"/>
            <w:tcBorders>
              <w:bottom w:val="single" w:sz="8" w:color="EAEAEA"/>
            </w:tcBorders>
            <w:shd w:val="clear" w:color="auto" w:fill="EAEAEA"/>
          </w:tcPr>
          <w:p>
            <w:pPr>
              <w:spacing w:after="0"/>
              <w:rPr>
                <w:sz w:val="16"/>
                <w:szCs w:val="16"/>
                <w:color w:val="auto"/>
              </w:rPr>
            </w:pPr>
          </w:p>
        </w:tc>
        <w:tc>
          <w:tcPr>
            <w:tcW w:w="720" w:type="dxa"/>
            <w:vAlign w:val="bottom"/>
            <w:tcBorders>
              <w:bottom w:val="single" w:sz="8" w:color="EAEAEA"/>
            </w:tcBorders>
            <w:shd w:val="clear" w:color="auto" w:fill="EAEAEA"/>
          </w:tcPr>
          <w:p>
            <w:pPr>
              <w:jc w:val="right"/>
              <w:spacing w:after="0" w:line="166" w:lineRule="exact"/>
              <w:rPr>
                <w:sz w:val="20"/>
                <w:szCs w:val="20"/>
                <w:color w:val="auto"/>
              </w:rPr>
            </w:pPr>
            <w:r>
              <w:rPr>
                <w:rFonts w:ascii="Arial" w:cs="Arial" w:eastAsia="Arial" w:hAnsi="Arial"/>
                <w:sz w:val="16"/>
                <w:szCs w:val="16"/>
                <w:color w:val="auto"/>
                <w:w w:val="98"/>
                <w:shd w:val="clear" w:color="auto" w:fill="EAEAEA"/>
              </w:rPr>
              <w:t>3/10/2021</w:t>
            </w:r>
          </w:p>
        </w:tc>
        <w:tc>
          <w:tcPr>
            <w:tcW w:w="80" w:type="dxa"/>
            <w:vAlign w:val="bottom"/>
            <w:tcBorders>
              <w:bottom w:val="single" w:sz="8" w:color="EAEAEA"/>
            </w:tcBorders>
            <w:shd w:val="clear" w:color="auto" w:fill="EAEAEA"/>
          </w:tcPr>
          <w:p>
            <w:pPr>
              <w:spacing w:after="0"/>
              <w:rPr>
                <w:sz w:val="16"/>
                <w:szCs w:val="16"/>
                <w:color w:val="auto"/>
              </w:rPr>
            </w:pPr>
          </w:p>
        </w:tc>
        <w:tc>
          <w:tcPr>
            <w:tcW w:w="640" w:type="dxa"/>
            <w:vAlign w:val="bottom"/>
          </w:tcPr>
          <w:p>
            <w:pPr>
              <w:jc w:val="right"/>
              <w:spacing w:after="0" w:line="166"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EAEAEA"/>
            </w:tcBorders>
            <w:shd w:val="clear" w:color="auto" w:fill="EAEAEA"/>
          </w:tcPr>
          <w:p>
            <w:pPr>
              <w:spacing w:after="0"/>
              <w:rPr>
                <w:sz w:val="16"/>
                <w:szCs w:val="16"/>
                <w:color w:val="auto"/>
              </w:rPr>
            </w:pPr>
          </w:p>
        </w:tc>
        <w:tc>
          <w:tcPr>
            <w:tcW w:w="620" w:type="dxa"/>
            <w:vAlign w:val="bottom"/>
            <w:tcBorders>
              <w:bottom w:val="single" w:sz="8" w:color="EAEAEA"/>
            </w:tcBorders>
            <w:shd w:val="clear" w:color="auto" w:fill="EAEAEA"/>
          </w:tcPr>
          <w:p>
            <w:pPr>
              <w:jc w:val="right"/>
              <w:spacing w:after="0" w:line="166"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EAEAEA"/>
            </w:tcBorders>
            <w:shd w:val="clear" w:color="auto" w:fill="EAEAEA"/>
          </w:tcPr>
          <w:p>
            <w:pPr>
              <w:spacing w:after="0"/>
              <w:rPr>
                <w:sz w:val="16"/>
                <w:szCs w:val="16"/>
                <w:color w:val="auto"/>
              </w:rPr>
            </w:pPr>
          </w:p>
        </w:tc>
        <w:tc>
          <w:tcPr>
            <w:tcW w:w="1020" w:type="dxa"/>
            <w:vAlign w:val="bottom"/>
            <w:tcBorders>
              <w:right w:val="single" w:sz="8" w:color="EAEAEA"/>
            </w:tcBorders>
          </w:tcPr>
          <w:p>
            <w:pPr>
              <w:jc w:val="right"/>
              <w:ind w:right="223"/>
              <w:spacing w:after="0" w:line="166"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EAEAEA"/>
            </w:tcBorders>
            <w:shd w:val="clear" w:color="auto" w:fill="EAEAEA"/>
          </w:tcPr>
          <w:p>
            <w:pPr>
              <w:spacing w:after="0"/>
              <w:rPr>
                <w:sz w:val="16"/>
                <w:szCs w:val="16"/>
                <w:color w:val="auto"/>
              </w:rPr>
            </w:pPr>
          </w:p>
        </w:tc>
        <w:tc>
          <w:tcPr>
            <w:tcW w:w="440" w:type="dxa"/>
            <w:vAlign w:val="bottom"/>
            <w:tcBorders>
              <w:bottom w:val="single" w:sz="8" w:color="EAEAEA"/>
            </w:tcBorders>
            <w:shd w:val="clear" w:color="auto" w:fill="EAEAEA"/>
          </w:tcPr>
          <w:p>
            <w:pPr>
              <w:jc w:val="right"/>
              <w:spacing w:after="0" w:line="166"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EAEAEA"/>
            </w:tcBorders>
            <w:shd w:val="clear" w:color="auto" w:fill="EAEAEA"/>
          </w:tcPr>
          <w:p>
            <w:pPr>
              <w:spacing w:after="0"/>
              <w:rPr>
                <w:sz w:val="16"/>
                <w:szCs w:val="16"/>
                <w:color w:val="auto"/>
              </w:rPr>
            </w:pPr>
          </w:p>
        </w:tc>
        <w:tc>
          <w:tcPr>
            <w:tcW w:w="660" w:type="dxa"/>
            <w:vAlign w:val="bottom"/>
          </w:tcPr>
          <w:p>
            <w:pPr>
              <w:jc w:val="right"/>
              <w:ind w:right="3"/>
              <w:spacing w:after="0" w:line="166" w:lineRule="exact"/>
              <w:rPr>
                <w:sz w:val="20"/>
                <w:szCs w:val="20"/>
                <w:color w:val="auto"/>
              </w:rPr>
            </w:pPr>
            <w:r>
              <w:rPr>
                <w:rFonts w:ascii="Arial" w:cs="Arial" w:eastAsia="Arial" w:hAnsi="Arial"/>
                <w:sz w:val="16"/>
                <w:szCs w:val="16"/>
                <w:color w:val="auto"/>
              </w:rPr>
              <w:t>19,361</w:t>
            </w:r>
          </w:p>
        </w:tc>
        <w:tc>
          <w:tcPr>
            <w:tcW w:w="80" w:type="dxa"/>
            <w:vAlign w:val="bottom"/>
            <w:tcBorders>
              <w:bottom w:val="single" w:sz="8" w:color="EAEAEA"/>
            </w:tcBorders>
            <w:shd w:val="clear" w:color="auto" w:fill="EAEAEA"/>
          </w:tcPr>
          <w:p>
            <w:pPr>
              <w:spacing w:after="0"/>
              <w:rPr>
                <w:sz w:val="16"/>
                <w:szCs w:val="16"/>
                <w:color w:val="auto"/>
              </w:rPr>
            </w:pPr>
          </w:p>
        </w:tc>
        <w:tc>
          <w:tcPr>
            <w:tcW w:w="500" w:type="dxa"/>
            <w:vAlign w:val="bottom"/>
            <w:tcBorders>
              <w:bottom w:val="single" w:sz="8" w:color="EAEAEA"/>
            </w:tcBorders>
            <w:shd w:val="clear" w:color="auto" w:fill="EAEAEA"/>
          </w:tcPr>
          <w:p>
            <w:pPr>
              <w:jc w:val="right"/>
              <w:spacing w:after="0" w:line="166" w:lineRule="exact"/>
              <w:rPr>
                <w:sz w:val="20"/>
                <w:szCs w:val="20"/>
                <w:color w:val="auto"/>
              </w:rPr>
            </w:pPr>
            <w:r>
              <w:rPr>
                <w:rFonts w:ascii="Arial" w:cs="Arial" w:eastAsia="Arial" w:hAnsi="Arial"/>
                <w:sz w:val="16"/>
                <w:szCs w:val="16"/>
                <w:color w:val="auto"/>
                <w:w w:val="98"/>
              </w:rPr>
              <w:t>38,722</w:t>
            </w:r>
          </w:p>
        </w:tc>
        <w:tc>
          <w:tcPr>
            <w:tcW w:w="80" w:type="dxa"/>
            <w:vAlign w:val="bottom"/>
            <w:tcBorders>
              <w:bottom w:val="single" w:sz="8" w:color="EAEAEA"/>
            </w:tcBorders>
            <w:shd w:val="clear" w:color="auto" w:fill="EAEAEA"/>
          </w:tcPr>
          <w:p>
            <w:pPr>
              <w:spacing w:after="0"/>
              <w:rPr>
                <w:sz w:val="16"/>
                <w:szCs w:val="16"/>
                <w:color w:val="auto"/>
              </w:rPr>
            </w:pPr>
          </w:p>
        </w:tc>
        <w:tc>
          <w:tcPr>
            <w:tcW w:w="680" w:type="dxa"/>
            <w:vAlign w:val="bottom"/>
          </w:tcPr>
          <w:p>
            <w:pPr>
              <w:jc w:val="right"/>
              <w:spacing w:after="0" w:line="166"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EAEAEA"/>
            </w:tcBorders>
            <w:shd w:val="clear" w:color="auto" w:fill="EAEAEA"/>
          </w:tcPr>
          <w:p>
            <w:pPr>
              <w:spacing w:after="0"/>
              <w:rPr>
                <w:sz w:val="16"/>
                <w:szCs w:val="16"/>
                <w:color w:val="auto"/>
              </w:rPr>
            </w:pPr>
          </w:p>
        </w:tc>
        <w:tc>
          <w:tcPr>
            <w:tcW w:w="560" w:type="dxa"/>
            <w:vAlign w:val="bottom"/>
            <w:tcBorders>
              <w:bottom w:val="single" w:sz="8" w:color="EAEAEA"/>
            </w:tcBorders>
            <w:shd w:val="clear" w:color="auto" w:fill="EAEAEA"/>
          </w:tcPr>
          <w:p>
            <w:pPr>
              <w:jc w:val="right"/>
              <w:spacing w:after="0" w:line="166"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EAEAEA"/>
            </w:tcBorders>
            <w:shd w:val="clear" w:color="auto" w:fill="EAEAEA"/>
          </w:tcPr>
          <w:p>
            <w:pPr>
              <w:spacing w:after="0"/>
              <w:rPr>
                <w:sz w:val="16"/>
                <w:szCs w:val="16"/>
                <w:color w:val="auto"/>
              </w:rPr>
            </w:pPr>
          </w:p>
        </w:tc>
        <w:tc>
          <w:tcPr>
            <w:tcW w:w="640" w:type="dxa"/>
            <w:vAlign w:val="bottom"/>
          </w:tcPr>
          <w:p>
            <w:pPr>
              <w:jc w:val="right"/>
              <w:spacing w:after="0" w:line="166"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EAEAEA"/>
            </w:tcBorders>
            <w:shd w:val="clear" w:color="auto" w:fill="EAEAEA"/>
          </w:tcPr>
          <w:p>
            <w:pPr>
              <w:spacing w:after="0"/>
              <w:rPr>
                <w:sz w:val="16"/>
                <w:szCs w:val="16"/>
                <w:color w:val="auto"/>
              </w:rPr>
            </w:pPr>
          </w:p>
        </w:tc>
        <w:tc>
          <w:tcPr>
            <w:tcW w:w="740" w:type="dxa"/>
            <w:vAlign w:val="bottom"/>
            <w:tcBorders>
              <w:bottom w:val="single" w:sz="8" w:color="EAEAEA"/>
            </w:tcBorders>
            <w:shd w:val="clear" w:color="auto" w:fill="EAEAEA"/>
          </w:tcPr>
          <w:p>
            <w:pPr>
              <w:jc w:val="right"/>
              <w:spacing w:after="0" w:line="166" w:lineRule="exact"/>
              <w:rPr>
                <w:sz w:val="20"/>
                <w:szCs w:val="20"/>
                <w:color w:val="auto"/>
              </w:rPr>
            </w:pPr>
            <w:r>
              <w:rPr>
                <w:rFonts w:ascii="Arial" w:cs="Arial" w:eastAsia="Arial" w:hAnsi="Arial"/>
                <w:sz w:val="16"/>
                <w:szCs w:val="16"/>
                <w:color w:val="auto"/>
                <w:w w:val="95"/>
              </w:rPr>
              <w:t>2,716,325</w:t>
            </w:r>
          </w:p>
        </w:tc>
        <w:tc>
          <w:tcPr>
            <w:tcW w:w="180" w:type="dxa"/>
            <w:vAlign w:val="bottom"/>
            <w:tcBorders>
              <w:bottom w:val="single" w:sz="8" w:color="EAEAEA"/>
            </w:tcBorders>
            <w:shd w:val="clear" w:color="auto" w:fill="EAEAEA"/>
          </w:tcPr>
          <w:p>
            <w:pPr>
              <w:jc w:val="right"/>
              <w:spacing w:after="0" w:line="166" w:lineRule="exact"/>
              <w:rPr>
                <w:sz w:val="20"/>
                <w:szCs w:val="20"/>
                <w:color w:val="auto"/>
              </w:rPr>
            </w:pPr>
            <w:r>
              <w:rPr>
                <w:rFonts w:ascii="Arial" w:cs="Arial" w:eastAsia="Arial" w:hAnsi="Arial"/>
                <w:sz w:val="16"/>
                <w:szCs w:val="16"/>
                <w:color w:val="auto"/>
                <w:w w:val="81"/>
              </w:rPr>
              <w:t>(6)</w:t>
            </w:r>
          </w:p>
        </w:tc>
        <w:tc>
          <w:tcPr>
            <w:tcW w:w="80" w:type="dxa"/>
            <w:vAlign w:val="bottom"/>
            <w:tcBorders>
              <w:bottom w:val="single" w:sz="8" w:color="EAEAEA"/>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00" w:type="dxa"/>
            <w:vAlign w:val="bottom"/>
          </w:tcPr>
          <w:p>
            <w:pPr>
              <w:ind w:left="60"/>
              <w:spacing w:after="0" w:line="137" w:lineRule="exact"/>
              <w:rPr>
                <w:sz w:val="20"/>
                <w:szCs w:val="20"/>
                <w:color w:val="auto"/>
              </w:rPr>
            </w:pPr>
            <w:r>
              <w:rPr>
                <w:rFonts w:ascii="Arial" w:cs="Arial" w:eastAsia="Arial" w:hAnsi="Arial"/>
                <w:sz w:val="14"/>
                <w:szCs w:val="14"/>
                <w:b w:val="1"/>
                <w:bCs w:val="1"/>
                <w:color w:val="0066BA"/>
              </w:rPr>
              <w:t>Roche</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72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rPr>
              <w:t>3/10/2021</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62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1020" w:type="dxa"/>
            <w:vAlign w:val="bottom"/>
            <w:tcBorders>
              <w:top w:val="single" w:sz="8" w:color="auto"/>
              <w:bottom w:val="single" w:sz="8" w:color="auto"/>
              <w:right w:val="single" w:sz="8" w:color="EAEAEA"/>
            </w:tcBorders>
          </w:tcPr>
          <w:p>
            <w:pPr>
              <w:jc w:val="right"/>
              <w:ind w:right="223"/>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auto"/>
            </w:tcBorders>
            <w:shd w:val="clear" w:color="auto" w:fill="EAEAEA"/>
          </w:tcPr>
          <w:p>
            <w:pPr>
              <w:spacing w:after="0"/>
              <w:rPr>
                <w:sz w:val="16"/>
                <w:szCs w:val="16"/>
                <w:color w:val="auto"/>
              </w:rPr>
            </w:pPr>
          </w:p>
        </w:tc>
        <w:tc>
          <w:tcPr>
            <w:tcW w:w="44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6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19,361</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50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rPr>
              <w:t>38,722</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6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56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74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5"/>
              </w:rPr>
              <w:t>3,158,554</w:t>
            </w:r>
          </w:p>
        </w:tc>
        <w:tc>
          <w:tcPr>
            <w:tcW w:w="18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1"/>
              </w:rPr>
              <w:t>(6)</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00" w:type="dxa"/>
            <w:vAlign w:val="bottom"/>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rPr>
              <w:t>3/10/2021</w:t>
            </w:r>
          </w:p>
        </w:tc>
        <w:tc>
          <w:tcPr>
            <w:tcW w:w="80" w:type="dxa"/>
            <w:vAlign w:val="bottom"/>
            <w:tcBorders>
              <w:bottom w:val="single" w:sz="8" w:color="auto"/>
            </w:tcBorders>
            <w:shd w:val="clear" w:color="auto" w:fill="EAEAEA"/>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1020" w:type="dxa"/>
            <w:vAlign w:val="bottom"/>
            <w:tcBorders>
              <w:bottom w:val="single" w:sz="8" w:color="auto"/>
              <w:right w:val="single" w:sz="8" w:color="EAEAEA"/>
            </w:tcBorders>
          </w:tcPr>
          <w:p>
            <w:pPr>
              <w:jc w:val="right"/>
              <w:ind w:right="22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19,361</w:t>
            </w:r>
          </w:p>
        </w:tc>
        <w:tc>
          <w:tcPr>
            <w:tcW w:w="80" w:type="dxa"/>
            <w:vAlign w:val="bottom"/>
            <w:tcBorders>
              <w:bottom w:val="single" w:sz="8" w:color="auto"/>
            </w:tcBorders>
            <w:shd w:val="clear" w:color="auto" w:fill="EAEAEA"/>
          </w:tcPr>
          <w:p>
            <w:pPr>
              <w:spacing w:after="0"/>
              <w:rPr>
                <w:sz w:val="16"/>
                <w:szCs w:val="16"/>
                <w:color w:val="auto"/>
              </w:rPr>
            </w:pPr>
          </w:p>
        </w:tc>
        <w:tc>
          <w:tcPr>
            <w:tcW w:w="5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5"/>
              </w:rPr>
              <w:t>2,716,325</w:t>
            </w:r>
          </w:p>
        </w:tc>
        <w:tc>
          <w:tcPr>
            <w:tcW w:w="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1"/>
              </w:rPr>
              <w:t>(7)</w:t>
            </w: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00" w:type="dxa"/>
            <w:vAlign w:val="bottom"/>
            <w:tcBorders>
              <w:bottom w:val="single" w:sz="8" w:color="0066BA"/>
            </w:tcBorders>
          </w:tcPr>
          <w:p>
            <w:pPr>
              <w:spacing w:after="0"/>
              <w:rPr>
                <w:sz w:val="16"/>
                <w:szCs w:val="16"/>
                <w:color w:val="auto"/>
              </w:rPr>
            </w:pPr>
          </w:p>
        </w:tc>
        <w:tc>
          <w:tcPr>
            <w:tcW w:w="80" w:type="dxa"/>
            <w:vAlign w:val="bottom"/>
            <w:tcBorders>
              <w:bottom w:val="single" w:sz="8" w:color="0066BA"/>
            </w:tcBorders>
            <w:shd w:val="clear" w:color="auto" w:fill="EAEAEA"/>
          </w:tcPr>
          <w:p>
            <w:pPr>
              <w:spacing w:after="0"/>
              <w:rPr>
                <w:sz w:val="16"/>
                <w:szCs w:val="16"/>
                <w:color w:val="auto"/>
              </w:rPr>
            </w:pPr>
          </w:p>
        </w:tc>
        <w:tc>
          <w:tcPr>
            <w:tcW w:w="72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w w:val="98"/>
              </w:rPr>
              <w:t>3/10/2021</w:t>
            </w:r>
          </w:p>
        </w:tc>
        <w:tc>
          <w:tcPr>
            <w:tcW w:w="80" w:type="dxa"/>
            <w:vAlign w:val="bottom"/>
            <w:tcBorders>
              <w:bottom w:val="single" w:sz="8" w:color="0066BA"/>
            </w:tcBorders>
            <w:shd w:val="clear" w:color="auto" w:fill="EAEAEA"/>
          </w:tcPr>
          <w:p>
            <w:pPr>
              <w:spacing w:after="0"/>
              <w:rPr>
                <w:sz w:val="16"/>
                <w:szCs w:val="16"/>
                <w:color w:val="auto"/>
              </w:rPr>
            </w:pPr>
          </w:p>
        </w:tc>
        <w:tc>
          <w:tcPr>
            <w:tcW w:w="640" w:type="dxa"/>
            <w:vAlign w:val="bottom"/>
            <w:tcBorders>
              <w:bottom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62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1020" w:type="dxa"/>
            <w:vAlign w:val="bottom"/>
            <w:tcBorders>
              <w:bottom w:val="single" w:sz="8" w:color="0066BA"/>
              <w:right w:val="single" w:sz="8" w:color="EAEAEA"/>
            </w:tcBorders>
          </w:tcPr>
          <w:p>
            <w:pPr>
              <w:jc w:val="right"/>
              <w:ind w:right="22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0066BA"/>
            </w:tcBorders>
            <w:shd w:val="clear" w:color="auto" w:fill="EAEAEA"/>
          </w:tcPr>
          <w:p>
            <w:pPr>
              <w:spacing w:after="0"/>
              <w:rPr>
                <w:sz w:val="16"/>
                <w:szCs w:val="16"/>
                <w:color w:val="auto"/>
              </w:rPr>
            </w:pPr>
          </w:p>
        </w:tc>
        <w:tc>
          <w:tcPr>
            <w:tcW w:w="44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660" w:type="dxa"/>
            <w:vAlign w:val="bottom"/>
            <w:tcBorders>
              <w:bottom w:val="single" w:sz="8" w:color="0066BA"/>
            </w:tcBorders>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50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680" w:type="dxa"/>
            <w:vAlign w:val="bottom"/>
            <w:tcBorders>
              <w:bottom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56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70,786</w:t>
            </w:r>
          </w:p>
        </w:tc>
        <w:tc>
          <w:tcPr>
            <w:tcW w:w="80" w:type="dxa"/>
            <w:vAlign w:val="bottom"/>
            <w:tcBorders>
              <w:bottom w:val="single" w:sz="8" w:color="0066BA"/>
            </w:tcBorders>
            <w:shd w:val="clear" w:color="auto" w:fill="EAEAEA"/>
          </w:tcPr>
          <w:p>
            <w:pPr>
              <w:spacing w:after="0"/>
              <w:rPr>
                <w:sz w:val="16"/>
                <w:szCs w:val="16"/>
                <w:color w:val="auto"/>
              </w:rPr>
            </w:pPr>
          </w:p>
        </w:tc>
        <w:tc>
          <w:tcPr>
            <w:tcW w:w="640" w:type="dxa"/>
            <w:vAlign w:val="bottom"/>
            <w:tcBorders>
              <w:bottom w:val="single" w:sz="8" w:color="0066BA"/>
            </w:tcBorders>
          </w:tcPr>
          <w:p>
            <w:pPr>
              <w:jc w:val="right"/>
              <w:spacing w:after="0"/>
              <w:rPr>
                <w:sz w:val="20"/>
                <w:szCs w:val="20"/>
                <w:color w:val="auto"/>
              </w:rPr>
            </w:pPr>
            <w:r>
              <w:rPr>
                <w:rFonts w:ascii="Arial" w:cs="Arial" w:eastAsia="Arial" w:hAnsi="Arial"/>
                <w:sz w:val="16"/>
                <w:szCs w:val="16"/>
                <w:color w:val="auto"/>
              </w:rPr>
              <w:t>147.11</w:t>
            </w:r>
          </w:p>
        </w:tc>
        <w:tc>
          <w:tcPr>
            <w:tcW w:w="80" w:type="dxa"/>
            <w:vAlign w:val="bottom"/>
            <w:tcBorders>
              <w:bottom w:val="single" w:sz="8" w:color="0066BA"/>
            </w:tcBorders>
            <w:shd w:val="clear" w:color="auto" w:fill="EAEAEA"/>
          </w:tcPr>
          <w:p>
            <w:pPr>
              <w:spacing w:after="0"/>
              <w:rPr>
                <w:sz w:val="16"/>
                <w:szCs w:val="16"/>
                <w:color w:val="auto"/>
              </w:rPr>
            </w:pPr>
          </w:p>
        </w:tc>
        <w:tc>
          <w:tcPr>
            <w:tcW w:w="74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w w:val="95"/>
              </w:rPr>
              <w:t>2,730,739</w:t>
            </w:r>
          </w:p>
        </w:tc>
        <w:tc>
          <w:tcPr>
            <w:tcW w:w="18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w w:val="81"/>
              </w:rPr>
              <w:t>(8)</w:t>
            </w:r>
          </w:p>
        </w:tc>
        <w:tc>
          <w:tcPr>
            <w:tcW w:w="80" w:type="dxa"/>
            <w:vAlign w:val="bottom"/>
            <w:tcBorders>
              <w:bottom w:val="single" w:sz="8" w:color="0066BA"/>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00" w:type="dxa"/>
            <w:vAlign w:val="bottom"/>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N/A</w:t>
            </w:r>
          </w:p>
        </w:tc>
        <w:tc>
          <w:tcPr>
            <w:tcW w:w="80" w:type="dxa"/>
            <w:vAlign w:val="bottom"/>
            <w:tcBorders>
              <w:bottom w:val="single" w:sz="8" w:color="auto"/>
            </w:tcBorders>
            <w:shd w:val="clear" w:color="auto" w:fill="EAEAEA"/>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575,000</w:t>
            </w:r>
          </w:p>
        </w:tc>
        <w:tc>
          <w:tcPr>
            <w:tcW w:w="80" w:type="dxa"/>
            <w:vAlign w:val="bottom"/>
            <w:tcBorders>
              <w:bottom w:val="single" w:sz="8" w:color="auto"/>
            </w:tcBorders>
            <w:shd w:val="clear" w:color="auto" w:fill="EAEAEA"/>
          </w:tcPr>
          <w:p>
            <w:pPr>
              <w:spacing w:after="0"/>
              <w:rPr>
                <w:sz w:val="16"/>
                <w:szCs w:val="16"/>
                <w:color w:val="auto"/>
              </w:rPr>
            </w:pPr>
          </w:p>
        </w:tc>
        <w:tc>
          <w:tcPr>
            <w:tcW w:w="1020" w:type="dxa"/>
            <w:vAlign w:val="bottom"/>
            <w:tcBorders>
              <w:bottom w:val="single" w:sz="8" w:color="auto"/>
              <w:right w:val="single" w:sz="8" w:color="EAEAEA"/>
            </w:tcBorders>
          </w:tcPr>
          <w:p>
            <w:pPr>
              <w:jc w:val="right"/>
              <w:ind w:right="223"/>
              <w:spacing w:after="0"/>
              <w:rPr>
                <w:sz w:val="20"/>
                <w:szCs w:val="20"/>
                <w:color w:val="auto"/>
              </w:rPr>
            </w:pPr>
            <w:r>
              <w:rPr>
                <w:rFonts w:ascii="Arial" w:cs="Arial" w:eastAsia="Arial" w:hAnsi="Arial"/>
                <w:sz w:val="16"/>
                <w:szCs w:val="16"/>
                <w:color w:val="auto"/>
                <w:w w:val="98"/>
              </w:rPr>
              <w:t>1,725,000</w:t>
            </w:r>
          </w:p>
        </w:tc>
        <w:tc>
          <w:tcPr>
            <w:tcW w:w="10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5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40" w:type="dxa"/>
            <w:vAlign w:val="bottom"/>
            <w:tcBorders>
              <w:bottom w:val="single" w:sz="8" w:color="auto"/>
            </w:tcBorders>
            <w:shd w:val="clear" w:color="auto" w:fill="EAEAEA"/>
          </w:tcPr>
          <w:p>
            <w:pPr>
              <w:jc w:val="center"/>
              <w:ind w:left="504"/>
              <w:spacing w:after="0"/>
              <w:rPr>
                <w:sz w:val="20"/>
                <w:szCs w:val="20"/>
                <w:color w:val="auto"/>
              </w:rPr>
            </w:pPr>
            <w:r>
              <w:rPr>
                <w:rFonts w:ascii="Arial" w:cs="Arial" w:eastAsia="Arial" w:hAnsi="Arial"/>
                <w:sz w:val="16"/>
                <w:szCs w:val="16"/>
                <w:color w:val="auto"/>
                <w:w w:val="99"/>
              </w:rPr>
              <w:t>—</w:t>
            </w:r>
          </w:p>
        </w:tc>
        <w:tc>
          <w:tcPr>
            <w:tcW w:w="18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00" w:type="dxa"/>
            <w:vAlign w:val="bottom"/>
            <w:vMerge w:val="restart"/>
          </w:tcPr>
          <w:p>
            <w:pPr>
              <w:ind w:left="60"/>
              <w:spacing w:after="0"/>
              <w:rPr>
                <w:sz w:val="20"/>
                <w:szCs w:val="20"/>
                <w:color w:val="auto"/>
              </w:rPr>
            </w:pPr>
            <w:r>
              <w:rPr>
                <w:rFonts w:ascii="Arial" w:cs="Arial" w:eastAsia="Arial" w:hAnsi="Arial"/>
                <w:sz w:val="14"/>
                <w:szCs w:val="14"/>
                <w:b w:val="1"/>
                <w:bCs w:val="1"/>
                <w:color w:val="0066BA"/>
              </w:rPr>
              <w:t>Prashanth</w:t>
            </w:r>
          </w:p>
        </w:tc>
        <w:tc>
          <w:tcPr>
            <w:tcW w:w="8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7"/>
              </w:rPr>
              <w:t>12/15/2020</w:t>
            </w:r>
          </w:p>
        </w:tc>
        <w:tc>
          <w:tcPr>
            <w:tcW w:w="80" w:type="dxa"/>
            <w:vAlign w:val="bottom"/>
            <w:tcBorders>
              <w:bottom w:val="single" w:sz="8" w:color="auto"/>
            </w:tcBorders>
            <w:shd w:val="clear" w:color="auto" w:fill="EAEAEA"/>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1020" w:type="dxa"/>
            <w:vAlign w:val="bottom"/>
            <w:tcBorders>
              <w:bottom w:val="single" w:sz="8" w:color="auto"/>
              <w:right w:val="single" w:sz="8" w:color="EAEAEA"/>
            </w:tcBorders>
          </w:tcPr>
          <w:p>
            <w:pPr>
              <w:jc w:val="right"/>
              <w:ind w:right="22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19,443</w:t>
            </w:r>
          </w:p>
        </w:tc>
        <w:tc>
          <w:tcPr>
            <w:tcW w:w="8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rPr>
              <w:t>38,886</w:t>
            </w:r>
          </w:p>
        </w:tc>
        <w:tc>
          <w:tcPr>
            <w:tcW w:w="80" w:type="dxa"/>
            <w:vAlign w:val="bottom"/>
            <w:tcBorders>
              <w:bottom w:val="single" w:sz="8" w:color="auto"/>
            </w:tcBorders>
            <w:shd w:val="clear" w:color="auto" w:fill="EAEAEA"/>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5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920" w:type="dxa"/>
            <w:vAlign w:val="bottom"/>
            <w:tcBorders>
              <w:bottom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w w:val="86"/>
              </w:rPr>
              <w:t>2,681,190 (10)</w:t>
            </w: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00" w:type="dxa"/>
            <w:vAlign w:val="bottom"/>
            <w:vMerge w:val="continue"/>
          </w:tcPr>
          <w:p>
            <w:pPr>
              <w:spacing w:after="0"/>
              <w:rPr>
                <w:sz w:val="16"/>
                <w:szCs w:val="16"/>
                <w:color w:val="auto"/>
              </w:rPr>
            </w:pPr>
          </w:p>
        </w:tc>
        <w:tc>
          <w:tcPr>
            <w:tcW w:w="80" w:type="dxa"/>
            <w:vAlign w:val="bottom"/>
            <w:shd w:val="clear" w:color="auto" w:fill="EAEAEA"/>
          </w:tcPr>
          <w:p>
            <w:pPr>
              <w:spacing w:after="0"/>
              <w:rPr>
                <w:sz w:val="16"/>
                <w:szCs w:val="16"/>
                <w:color w:val="auto"/>
              </w:rPr>
            </w:pPr>
          </w:p>
        </w:tc>
        <w:tc>
          <w:tcPr>
            <w:tcW w:w="720" w:type="dxa"/>
            <w:vAlign w:val="bottom"/>
            <w:shd w:val="clear" w:color="auto" w:fill="EAEAEA"/>
          </w:tcPr>
          <w:p>
            <w:pPr>
              <w:jc w:val="right"/>
              <w:spacing w:after="0" w:line="136" w:lineRule="exact"/>
              <w:rPr>
                <w:sz w:val="20"/>
                <w:szCs w:val="20"/>
                <w:color w:val="auto"/>
              </w:rPr>
            </w:pPr>
            <w:r>
              <w:rPr>
                <w:rFonts w:ascii="Arial" w:cs="Arial" w:eastAsia="Arial" w:hAnsi="Arial"/>
                <w:sz w:val="14"/>
                <w:szCs w:val="14"/>
                <w:color w:val="auto"/>
              </w:rPr>
              <w:t>3/10/2021</w:t>
            </w:r>
          </w:p>
        </w:tc>
        <w:tc>
          <w:tcPr>
            <w:tcW w:w="80" w:type="dxa"/>
            <w:vAlign w:val="bottom"/>
            <w:shd w:val="clear" w:color="auto" w:fill="EAEAEA"/>
          </w:tcPr>
          <w:p>
            <w:pPr>
              <w:spacing w:after="0"/>
              <w:rPr>
                <w:sz w:val="16"/>
                <w:szCs w:val="16"/>
                <w:color w:val="auto"/>
              </w:rPr>
            </w:pPr>
          </w:p>
        </w:tc>
        <w:tc>
          <w:tcPr>
            <w:tcW w:w="640" w:type="dxa"/>
            <w:vAlign w:val="bottom"/>
          </w:tcPr>
          <w:p>
            <w:pPr>
              <w:jc w:val="right"/>
              <w:spacing w:after="0" w:line="136" w:lineRule="exact"/>
              <w:rPr>
                <w:sz w:val="20"/>
                <w:szCs w:val="20"/>
                <w:color w:val="auto"/>
              </w:rPr>
            </w:pPr>
            <w:r>
              <w:rPr>
                <w:rFonts w:ascii="Arial" w:cs="Arial" w:eastAsia="Arial" w:hAnsi="Arial"/>
                <w:sz w:val="14"/>
                <w:szCs w:val="14"/>
                <w:color w:val="auto"/>
              </w:rPr>
              <w:t>—</w:t>
            </w:r>
          </w:p>
        </w:tc>
        <w:tc>
          <w:tcPr>
            <w:tcW w:w="80" w:type="dxa"/>
            <w:vAlign w:val="bottom"/>
            <w:shd w:val="clear" w:color="auto" w:fill="EAEAEA"/>
          </w:tcPr>
          <w:p>
            <w:pPr>
              <w:spacing w:after="0"/>
              <w:rPr>
                <w:sz w:val="16"/>
                <w:szCs w:val="16"/>
                <w:color w:val="auto"/>
              </w:rPr>
            </w:pPr>
          </w:p>
        </w:tc>
        <w:tc>
          <w:tcPr>
            <w:tcW w:w="620" w:type="dxa"/>
            <w:vAlign w:val="bottom"/>
            <w:shd w:val="clear" w:color="auto" w:fill="EAEAEA"/>
          </w:tcPr>
          <w:p>
            <w:pPr>
              <w:jc w:val="right"/>
              <w:spacing w:after="0" w:line="136" w:lineRule="exact"/>
              <w:rPr>
                <w:sz w:val="20"/>
                <w:szCs w:val="20"/>
                <w:color w:val="auto"/>
              </w:rPr>
            </w:pPr>
            <w:r>
              <w:rPr>
                <w:rFonts w:ascii="Arial" w:cs="Arial" w:eastAsia="Arial" w:hAnsi="Arial"/>
                <w:sz w:val="14"/>
                <w:szCs w:val="14"/>
                <w:color w:val="auto"/>
              </w:rPr>
              <w:t>—</w:t>
            </w:r>
          </w:p>
        </w:tc>
        <w:tc>
          <w:tcPr>
            <w:tcW w:w="80" w:type="dxa"/>
            <w:vAlign w:val="bottom"/>
            <w:shd w:val="clear" w:color="auto" w:fill="EAEAEA"/>
          </w:tcPr>
          <w:p>
            <w:pPr>
              <w:spacing w:after="0"/>
              <w:rPr>
                <w:sz w:val="16"/>
                <w:szCs w:val="16"/>
                <w:color w:val="auto"/>
              </w:rPr>
            </w:pPr>
          </w:p>
        </w:tc>
        <w:tc>
          <w:tcPr>
            <w:tcW w:w="1020" w:type="dxa"/>
            <w:vAlign w:val="bottom"/>
            <w:tcBorders>
              <w:right w:val="single" w:sz="8" w:color="EAEAEA"/>
            </w:tcBorders>
          </w:tcPr>
          <w:p>
            <w:pPr>
              <w:jc w:val="right"/>
              <w:ind w:right="223"/>
              <w:spacing w:after="0" w:line="136" w:lineRule="exact"/>
              <w:rPr>
                <w:sz w:val="20"/>
                <w:szCs w:val="20"/>
                <w:color w:val="auto"/>
              </w:rPr>
            </w:pPr>
            <w:r>
              <w:rPr>
                <w:rFonts w:ascii="Arial" w:cs="Arial" w:eastAsia="Arial" w:hAnsi="Arial"/>
                <w:sz w:val="14"/>
                <w:szCs w:val="14"/>
                <w:color w:val="auto"/>
              </w:rPr>
              <w:t>—</w:t>
            </w:r>
          </w:p>
        </w:tc>
        <w:tc>
          <w:tcPr>
            <w:tcW w:w="100" w:type="dxa"/>
            <w:vAlign w:val="bottom"/>
            <w:shd w:val="clear" w:color="auto" w:fill="EAEAEA"/>
          </w:tcPr>
          <w:p>
            <w:pPr>
              <w:spacing w:after="0"/>
              <w:rPr>
                <w:sz w:val="16"/>
                <w:szCs w:val="16"/>
                <w:color w:val="auto"/>
              </w:rPr>
            </w:pPr>
          </w:p>
        </w:tc>
        <w:tc>
          <w:tcPr>
            <w:tcW w:w="440" w:type="dxa"/>
            <w:vAlign w:val="bottom"/>
            <w:shd w:val="clear" w:color="auto" w:fill="EAEAEA"/>
          </w:tcPr>
          <w:p>
            <w:pPr>
              <w:jc w:val="right"/>
              <w:spacing w:after="0" w:line="136" w:lineRule="exact"/>
              <w:rPr>
                <w:sz w:val="20"/>
                <w:szCs w:val="20"/>
                <w:color w:val="auto"/>
              </w:rPr>
            </w:pPr>
            <w:r>
              <w:rPr>
                <w:rFonts w:ascii="Arial" w:cs="Arial" w:eastAsia="Arial" w:hAnsi="Arial"/>
                <w:sz w:val="14"/>
                <w:szCs w:val="14"/>
                <w:color w:val="auto"/>
              </w:rPr>
              <w:t>—</w:t>
            </w:r>
          </w:p>
        </w:tc>
        <w:tc>
          <w:tcPr>
            <w:tcW w:w="80" w:type="dxa"/>
            <w:vAlign w:val="bottom"/>
            <w:shd w:val="clear" w:color="auto" w:fill="EAEAEA"/>
          </w:tcPr>
          <w:p>
            <w:pPr>
              <w:spacing w:after="0"/>
              <w:rPr>
                <w:sz w:val="16"/>
                <w:szCs w:val="16"/>
                <w:color w:val="auto"/>
              </w:rPr>
            </w:pPr>
          </w:p>
        </w:tc>
        <w:tc>
          <w:tcPr>
            <w:tcW w:w="660" w:type="dxa"/>
            <w:vAlign w:val="bottom"/>
          </w:tcPr>
          <w:p>
            <w:pPr>
              <w:jc w:val="right"/>
              <w:ind w:right="3"/>
              <w:spacing w:after="0" w:line="136" w:lineRule="exact"/>
              <w:rPr>
                <w:sz w:val="20"/>
                <w:szCs w:val="20"/>
                <w:color w:val="auto"/>
              </w:rPr>
            </w:pPr>
            <w:r>
              <w:rPr>
                <w:rFonts w:ascii="Arial" w:cs="Arial" w:eastAsia="Arial" w:hAnsi="Arial"/>
                <w:sz w:val="14"/>
                <w:szCs w:val="14"/>
                <w:color w:val="auto"/>
              </w:rPr>
              <w:t>5,281</w:t>
            </w:r>
          </w:p>
        </w:tc>
        <w:tc>
          <w:tcPr>
            <w:tcW w:w="80" w:type="dxa"/>
            <w:vAlign w:val="bottom"/>
            <w:shd w:val="clear" w:color="auto" w:fill="EAEAEA"/>
          </w:tcPr>
          <w:p>
            <w:pPr>
              <w:spacing w:after="0"/>
              <w:rPr>
                <w:sz w:val="16"/>
                <w:szCs w:val="16"/>
                <w:color w:val="auto"/>
              </w:rPr>
            </w:pPr>
          </w:p>
        </w:tc>
        <w:tc>
          <w:tcPr>
            <w:tcW w:w="500" w:type="dxa"/>
            <w:vAlign w:val="bottom"/>
            <w:shd w:val="clear" w:color="auto" w:fill="EAEAEA"/>
          </w:tcPr>
          <w:p>
            <w:pPr>
              <w:jc w:val="right"/>
              <w:spacing w:after="0" w:line="136" w:lineRule="exact"/>
              <w:rPr>
                <w:sz w:val="20"/>
                <w:szCs w:val="20"/>
                <w:color w:val="auto"/>
              </w:rPr>
            </w:pPr>
            <w:r>
              <w:rPr>
                <w:rFonts w:ascii="Arial" w:cs="Arial" w:eastAsia="Arial" w:hAnsi="Arial"/>
                <w:sz w:val="14"/>
                <w:szCs w:val="14"/>
                <w:color w:val="auto"/>
              </w:rPr>
              <w:t>10,562</w:t>
            </w:r>
          </w:p>
        </w:tc>
        <w:tc>
          <w:tcPr>
            <w:tcW w:w="80" w:type="dxa"/>
            <w:vAlign w:val="bottom"/>
            <w:shd w:val="clear" w:color="auto" w:fill="EAEAEA"/>
          </w:tcPr>
          <w:p>
            <w:pPr>
              <w:spacing w:after="0"/>
              <w:rPr>
                <w:sz w:val="16"/>
                <w:szCs w:val="16"/>
                <w:color w:val="auto"/>
              </w:rPr>
            </w:pPr>
          </w:p>
        </w:tc>
        <w:tc>
          <w:tcPr>
            <w:tcW w:w="680" w:type="dxa"/>
            <w:vAlign w:val="bottom"/>
          </w:tcPr>
          <w:p>
            <w:pPr>
              <w:jc w:val="right"/>
              <w:spacing w:after="0" w:line="136" w:lineRule="exact"/>
              <w:rPr>
                <w:sz w:val="20"/>
                <w:szCs w:val="20"/>
                <w:color w:val="auto"/>
              </w:rPr>
            </w:pPr>
            <w:r>
              <w:rPr>
                <w:rFonts w:ascii="Arial" w:cs="Arial" w:eastAsia="Arial" w:hAnsi="Arial"/>
                <w:sz w:val="14"/>
                <w:szCs w:val="14"/>
                <w:color w:val="auto"/>
              </w:rPr>
              <w:t>—</w:t>
            </w:r>
          </w:p>
        </w:tc>
        <w:tc>
          <w:tcPr>
            <w:tcW w:w="80" w:type="dxa"/>
            <w:vAlign w:val="bottom"/>
            <w:shd w:val="clear" w:color="auto" w:fill="EAEAEA"/>
          </w:tcPr>
          <w:p>
            <w:pPr>
              <w:spacing w:after="0"/>
              <w:rPr>
                <w:sz w:val="16"/>
                <w:szCs w:val="16"/>
                <w:color w:val="auto"/>
              </w:rPr>
            </w:pPr>
          </w:p>
        </w:tc>
        <w:tc>
          <w:tcPr>
            <w:tcW w:w="560" w:type="dxa"/>
            <w:vAlign w:val="bottom"/>
            <w:shd w:val="clear" w:color="auto" w:fill="EAEAEA"/>
          </w:tcPr>
          <w:p>
            <w:pPr>
              <w:jc w:val="right"/>
              <w:spacing w:after="0" w:line="136" w:lineRule="exact"/>
              <w:rPr>
                <w:sz w:val="20"/>
                <w:szCs w:val="20"/>
                <w:color w:val="auto"/>
              </w:rPr>
            </w:pPr>
            <w:r>
              <w:rPr>
                <w:rFonts w:ascii="Arial" w:cs="Arial" w:eastAsia="Arial" w:hAnsi="Arial"/>
                <w:sz w:val="14"/>
                <w:szCs w:val="14"/>
                <w:color w:val="auto"/>
              </w:rPr>
              <w:t>—</w:t>
            </w:r>
          </w:p>
        </w:tc>
        <w:tc>
          <w:tcPr>
            <w:tcW w:w="80" w:type="dxa"/>
            <w:vAlign w:val="bottom"/>
            <w:shd w:val="clear" w:color="auto" w:fill="EAEAEA"/>
          </w:tcPr>
          <w:p>
            <w:pPr>
              <w:spacing w:after="0"/>
              <w:rPr>
                <w:sz w:val="16"/>
                <w:szCs w:val="16"/>
                <w:color w:val="auto"/>
              </w:rPr>
            </w:pPr>
          </w:p>
        </w:tc>
        <w:tc>
          <w:tcPr>
            <w:tcW w:w="640" w:type="dxa"/>
            <w:vAlign w:val="bottom"/>
          </w:tcPr>
          <w:p>
            <w:pPr>
              <w:jc w:val="right"/>
              <w:spacing w:after="0" w:line="136" w:lineRule="exact"/>
              <w:rPr>
                <w:sz w:val="20"/>
                <w:szCs w:val="20"/>
                <w:color w:val="auto"/>
              </w:rPr>
            </w:pPr>
            <w:r>
              <w:rPr>
                <w:rFonts w:ascii="Arial" w:cs="Arial" w:eastAsia="Arial" w:hAnsi="Arial"/>
                <w:sz w:val="14"/>
                <w:szCs w:val="14"/>
                <w:color w:val="auto"/>
              </w:rPr>
              <w:t>—</w:t>
            </w:r>
          </w:p>
        </w:tc>
        <w:tc>
          <w:tcPr>
            <w:tcW w:w="80" w:type="dxa"/>
            <w:vAlign w:val="bottom"/>
            <w:shd w:val="clear" w:color="auto" w:fill="EAEAEA"/>
          </w:tcPr>
          <w:p>
            <w:pPr>
              <w:spacing w:after="0"/>
              <w:rPr>
                <w:sz w:val="16"/>
                <w:szCs w:val="16"/>
                <w:color w:val="auto"/>
              </w:rPr>
            </w:pPr>
          </w:p>
        </w:tc>
        <w:tc>
          <w:tcPr>
            <w:tcW w:w="740" w:type="dxa"/>
            <w:vAlign w:val="bottom"/>
            <w:shd w:val="clear" w:color="auto" w:fill="EAEAEA"/>
          </w:tcPr>
          <w:p>
            <w:pPr>
              <w:jc w:val="right"/>
              <w:spacing w:after="0" w:line="136" w:lineRule="exact"/>
              <w:rPr>
                <w:sz w:val="20"/>
                <w:szCs w:val="20"/>
                <w:color w:val="auto"/>
              </w:rPr>
            </w:pPr>
            <w:r>
              <w:rPr>
                <w:rFonts w:ascii="Arial" w:cs="Arial" w:eastAsia="Arial" w:hAnsi="Arial"/>
                <w:sz w:val="14"/>
                <w:szCs w:val="14"/>
                <w:color w:val="auto"/>
              </w:rPr>
              <w:t>740,918</w:t>
            </w:r>
          </w:p>
        </w:tc>
        <w:tc>
          <w:tcPr>
            <w:tcW w:w="180" w:type="dxa"/>
            <w:vAlign w:val="bottom"/>
            <w:shd w:val="clear" w:color="auto" w:fill="EAEAEA"/>
          </w:tcPr>
          <w:p>
            <w:pPr>
              <w:jc w:val="right"/>
              <w:spacing w:after="0" w:line="136" w:lineRule="exact"/>
              <w:rPr>
                <w:sz w:val="20"/>
                <w:szCs w:val="20"/>
                <w:color w:val="auto"/>
              </w:rPr>
            </w:pPr>
            <w:r>
              <w:rPr>
                <w:rFonts w:ascii="Arial" w:cs="Arial" w:eastAsia="Arial" w:hAnsi="Arial"/>
                <w:sz w:val="14"/>
                <w:szCs w:val="14"/>
                <w:color w:val="auto"/>
                <w:w w:val="93"/>
              </w:rPr>
              <w:t>(6)</w:t>
            </w:r>
          </w:p>
        </w:tc>
        <w:tc>
          <w:tcPr>
            <w:tcW w:w="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00" w:type="dxa"/>
            <w:vAlign w:val="bottom"/>
          </w:tcPr>
          <w:p>
            <w:pPr>
              <w:ind w:left="60"/>
              <w:spacing w:after="0"/>
              <w:rPr>
                <w:sz w:val="20"/>
                <w:szCs w:val="20"/>
                <w:color w:val="auto"/>
              </w:rPr>
            </w:pPr>
            <w:r>
              <w:rPr>
                <w:rFonts w:ascii="Arial" w:cs="Arial" w:eastAsia="Arial" w:hAnsi="Arial"/>
                <w:sz w:val="2"/>
                <w:szCs w:val="2"/>
                <w:b w:val="1"/>
                <w:bCs w:val="1"/>
                <w:color w:val="0066BA"/>
              </w:rPr>
              <w:t>Mahendra-</w:t>
            </w:r>
          </w:p>
        </w:tc>
        <w:tc>
          <w:tcPr>
            <w:tcW w:w="80" w:type="dxa"/>
            <w:vAlign w:val="bottom"/>
            <w:tcBorders>
              <w:top w:val="single" w:sz="8" w:color="auto"/>
            </w:tcBorders>
            <w:shd w:val="clear" w:color="auto" w:fill="EAEAEA"/>
          </w:tcPr>
          <w:p>
            <w:pPr>
              <w:spacing w:after="0" w:line="20" w:lineRule="exact"/>
              <w:rPr>
                <w:sz w:val="1"/>
                <w:szCs w:val="1"/>
                <w:color w:val="auto"/>
              </w:rPr>
            </w:pPr>
          </w:p>
        </w:tc>
        <w:tc>
          <w:tcPr>
            <w:tcW w:w="72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w w:val="98"/>
              </w:rPr>
              <w:t>3/10/2021</w:t>
            </w:r>
          </w:p>
        </w:tc>
        <w:tc>
          <w:tcPr>
            <w:tcW w:w="80" w:type="dxa"/>
            <w:vAlign w:val="bottom"/>
            <w:tcBorders>
              <w:top w:val="single" w:sz="8" w:color="auto"/>
            </w:tcBorders>
            <w:shd w:val="clear" w:color="auto" w:fill="EAEAEA"/>
          </w:tcPr>
          <w:p>
            <w:pPr>
              <w:spacing w:after="0" w:line="20" w:lineRule="exact"/>
              <w:rPr>
                <w:sz w:val="1"/>
                <w:szCs w:val="1"/>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shd w:val="clear" w:color="auto" w:fill="EAEAEA"/>
          </w:tcPr>
          <w:p>
            <w:pPr>
              <w:spacing w:after="0" w:line="20" w:lineRule="exact"/>
              <w:rPr>
                <w:sz w:val="1"/>
                <w:szCs w:val="1"/>
                <w:color w:val="auto"/>
              </w:rPr>
            </w:pPr>
          </w:p>
        </w:tc>
        <w:tc>
          <w:tcPr>
            <w:tcW w:w="62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shd w:val="clear" w:color="auto" w:fill="EAEAEA"/>
          </w:tcPr>
          <w:p>
            <w:pPr>
              <w:spacing w:after="0" w:line="20" w:lineRule="exact"/>
              <w:rPr>
                <w:sz w:val="1"/>
                <w:szCs w:val="1"/>
                <w:color w:val="auto"/>
              </w:rPr>
            </w:pPr>
          </w:p>
        </w:tc>
        <w:tc>
          <w:tcPr>
            <w:tcW w:w="1020" w:type="dxa"/>
            <w:vAlign w:val="bottom"/>
            <w:tcBorders>
              <w:top w:val="single" w:sz="8" w:color="auto"/>
              <w:right w:val="single" w:sz="8" w:color="EAEAEA"/>
            </w:tcBorders>
            <w:vMerge w:val="restart"/>
          </w:tcPr>
          <w:p>
            <w:pPr>
              <w:jc w:val="right"/>
              <w:ind w:right="223"/>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shd w:val="clear" w:color="auto" w:fill="EAEAEA"/>
          </w:tcPr>
          <w:p>
            <w:pPr>
              <w:spacing w:after="0" w:line="20" w:lineRule="exact"/>
              <w:rPr>
                <w:sz w:val="1"/>
                <w:szCs w:val="1"/>
                <w:color w:val="auto"/>
              </w:rPr>
            </w:pPr>
          </w:p>
        </w:tc>
        <w:tc>
          <w:tcPr>
            <w:tcW w:w="44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shd w:val="clear" w:color="auto" w:fill="EAEAEA"/>
          </w:tcPr>
          <w:p>
            <w:pPr>
              <w:spacing w:after="0" w:line="20" w:lineRule="exact"/>
              <w:rPr>
                <w:sz w:val="1"/>
                <w:szCs w:val="1"/>
                <w:color w:val="auto"/>
              </w:rPr>
            </w:pPr>
          </w:p>
        </w:tc>
        <w:tc>
          <w:tcPr>
            <w:tcW w:w="660" w:type="dxa"/>
            <w:vAlign w:val="bottom"/>
            <w:tcBorders>
              <w:top w:val="single" w:sz="8" w:color="auto"/>
            </w:tcBorders>
            <w:vMerge w:val="restart"/>
          </w:tcPr>
          <w:p>
            <w:pPr>
              <w:jc w:val="right"/>
              <w:ind w:right="3"/>
              <w:spacing w:after="0"/>
              <w:rPr>
                <w:sz w:val="20"/>
                <w:szCs w:val="20"/>
                <w:color w:val="auto"/>
              </w:rPr>
            </w:pPr>
            <w:r>
              <w:rPr>
                <w:rFonts w:ascii="Arial" w:cs="Arial" w:eastAsia="Arial" w:hAnsi="Arial"/>
                <w:sz w:val="16"/>
                <w:szCs w:val="16"/>
                <w:color w:val="auto"/>
              </w:rPr>
              <w:t>5,281</w:t>
            </w:r>
          </w:p>
        </w:tc>
        <w:tc>
          <w:tcPr>
            <w:tcW w:w="80" w:type="dxa"/>
            <w:vAlign w:val="bottom"/>
            <w:tcBorders>
              <w:top w:val="single" w:sz="8" w:color="auto"/>
            </w:tcBorders>
            <w:shd w:val="clear" w:color="auto" w:fill="EAEAEA"/>
          </w:tcPr>
          <w:p>
            <w:pPr>
              <w:spacing w:after="0" w:line="20" w:lineRule="exact"/>
              <w:rPr>
                <w:sz w:val="1"/>
                <w:szCs w:val="1"/>
                <w:color w:val="auto"/>
              </w:rPr>
            </w:pPr>
          </w:p>
        </w:tc>
        <w:tc>
          <w:tcPr>
            <w:tcW w:w="50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w w:val="98"/>
              </w:rPr>
              <w:t>10,562</w:t>
            </w:r>
          </w:p>
        </w:tc>
        <w:tc>
          <w:tcPr>
            <w:tcW w:w="80" w:type="dxa"/>
            <w:vAlign w:val="bottom"/>
            <w:tcBorders>
              <w:top w:val="single" w:sz="8" w:color="auto"/>
            </w:tcBorders>
            <w:shd w:val="clear" w:color="auto" w:fill="EAEAEA"/>
          </w:tcPr>
          <w:p>
            <w:pPr>
              <w:spacing w:after="0" w:line="20" w:lineRule="exact"/>
              <w:rPr>
                <w:sz w:val="1"/>
                <w:szCs w:val="1"/>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shd w:val="clear" w:color="auto" w:fill="EAEAEA"/>
          </w:tcPr>
          <w:p>
            <w:pPr>
              <w:spacing w:after="0" w:line="20" w:lineRule="exact"/>
              <w:rPr>
                <w:sz w:val="1"/>
                <w:szCs w:val="1"/>
                <w:color w:val="auto"/>
              </w:rPr>
            </w:pPr>
          </w:p>
        </w:tc>
        <w:tc>
          <w:tcPr>
            <w:tcW w:w="56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shd w:val="clear" w:color="auto" w:fill="EAEAEA"/>
          </w:tcPr>
          <w:p>
            <w:pPr>
              <w:spacing w:after="0" w:line="20" w:lineRule="exact"/>
              <w:rPr>
                <w:sz w:val="1"/>
                <w:szCs w:val="1"/>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shd w:val="clear" w:color="auto" w:fill="EAEAEA"/>
          </w:tcPr>
          <w:p>
            <w:pPr>
              <w:spacing w:after="0" w:line="20" w:lineRule="exact"/>
              <w:rPr>
                <w:sz w:val="1"/>
                <w:szCs w:val="1"/>
                <w:color w:val="auto"/>
              </w:rPr>
            </w:pPr>
          </w:p>
        </w:tc>
        <w:tc>
          <w:tcPr>
            <w:tcW w:w="74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861,542</w:t>
            </w:r>
          </w:p>
        </w:tc>
        <w:tc>
          <w:tcPr>
            <w:tcW w:w="18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w w:val="81"/>
              </w:rPr>
              <w:t>(6)</w:t>
            </w:r>
          </w:p>
        </w:tc>
        <w:tc>
          <w:tcPr>
            <w:tcW w:w="80" w:type="dxa"/>
            <w:vAlign w:val="bottom"/>
            <w:tcBorders>
              <w:top w:val="single" w:sz="8" w:color="auto"/>
            </w:tcBorders>
            <w:shd w:val="clear" w:color="auto" w:fill="EAEAE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900" w:type="dxa"/>
            <w:vAlign w:val="bottom"/>
          </w:tcPr>
          <w:p>
            <w:pPr>
              <w:ind w:left="60"/>
              <w:spacing w:after="0"/>
              <w:rPr>
                <w:sz w:val="20"/>
                <w:szCs w:val="20"/>
                <w:color w:val="auto"/>
              </w:rPr>
            </w:pPr>
            <w:r>
              <w:rPr>
                <w:rFonts w:ascii="Arial" w:cs="Arial" w:eastAsia="Arial" w:hAnsi="Arial"/>
                <w:sz w:val="14"/>
                <w:szCs w:val="14"/>
                <w:b w:val="1"/>
                <w:bCs w:val="1"/>
                <w:color w:val="0066BA"/>
              </w:rPr>
              <w:t>Rajah</w:t>
            </w:r>
          </w:p>
        </w:tc>
        <w:tc>
          <w:tcPr>
            <w:tcW w:w="80" w:type="dxa"/>
            <w:vAlign w:val="bottom"/>
            <w:tcBorders>
              <w:bottom w:val="single" w:sz="8" w:color="auto"/>
            </w:tcBorders>
            <w:shd w:val="clear" w:color="auto" w:fill="EAEAEA"/>
          </w:tcPr>
          <w:p>
            <w:pPr>
              <w:spacing w:after="0"/>
              <w:rPr>
                <w:sz w:val="14"/>
                <w:szCs w:val="14"/>
                <w:color w:val="auto"/>
              </w:rPr>
            </w:pPr>
          </w:p>
        </w:tc>
        <w:tc>
          <w:tcPr>
            <w:tcW w:w="720" w:type="dxa"/>
            <w:vAlign w:val="bottom"/>
            <w:tcBorders>
              <w:bottom w:val="single" w:sz="8" w:color="auto"/>
            </w:tcBorders>
            <w:vMerge w:val="continue"/>
            <w:shd w:val="clear" w:color="auto" w:fill="EAEAEA"/>
          </w:tcPr>
          <w:p>
            <w:pPr>
              <w:spacing w:after="0"/>
              <w:rPr>
                <w:sz w:val="14"/>
                <w:szCs w:val="14"/>
                <w:color w:val="auto"/>
              </w:rPr>
            </w:pPr>
          </w:p>
        </w:tc>
        <w:tc>
          <w:tcPr>
            <w:tcW w:w="80" w:type="dxa"/>
            <w:vAlign w:val="bottom"/>
            <w:tcBorders>
              <w:bottom w:val="single" w:sz="8" w:color="auto"/>
            </w:tcBorders>
            <w:shd w:val="clear" w:color="auto" w:fill="EAEAEA"/>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shd w:val="clear" w:color="auto" w:fill="EAEAEA"/>
          </w:tcPr>
          <w:p>
            <w:pPr>
              <w:spacing w:after="0"/>
              <w:rPr>
                <w:sz w:val="14"/>
                <w:szCs w:val="14"/>
                <w:color w:val="auto"/>
              </w:rPr>
            </w:pPr>
          </w:p>
        </w:tc>
        <w:tc>
          <w:tcPr>
            <w:tcW w:w="620" w:type="dxa"/>
            <w:vAlign w:val="bottom"/>
            <w:tcBorders>
              <w:bottom w:val="single" w:sz="8" w:color="auto"/>
            </w:tcBorders>
            <w:vMerge w:val="continue"/>
            <w:shd w:val="clear" w:color="auto" w:fill="EAEAEA"/>
          </w:tcPr>
          <w:p>
            <w:pPr>
              <w:spacing w:after="0"/>
              <w:rPr>
                <w:sz w:val="14"/>
                <w:szCs w:val="14"/>
                <w:color w:val="auto"/>
              </w:rPr>
            </w:pPr>
          </w:p>
        </w:tc>
        <w:tc>
          <w:tcPr>
            <w:tcW w:w="80" w:type="dxa"/>
            <w:vAlign w:val="bottom"/>
            <w:tcBorders>
              <w:bottom w:val="single" w:sz="8" w:color="auto"/>
            </w:tcBorders>
            <w:shd w:val="clear" w:color="auto" w:fill="EAEAEA"/>
          </w:tcPr>
          <w:p>
            <w:pPr>
              <w:spacing w:after="0"/>
              <w:rPr>
                <w:sz w:val="14"/>
                <w:szCs w:val="14"/>
                <w:color w:val="auto"/>
              </w:rPr>
            </w:pPr>
          </w:p>
        </w:tc>
        <w:tc>
          <w:tcPr>
            <w:tcW w:w="1020" w:type="dxa"/>
            <w:vAlign w:val="bottom"/>
            <w:tcBorders>
              <w:bottom w:val="single" w:sz="8" w:color="auto"/>
              <w:right w:val="single" w:sz="8" w:color="EAEAEA"/>
            </w:tcBorders>
            <w:vMerge w:val="continue"/>
          </w:tcPr>
          <w:p>
            <w:pPr>
              <w:spacing w:after="0"/>
              <w:rPr>
                <w:sz w:val="14"/>
                <w:szCs w:val="14"/>
                <w:color w:val="auto"/>
              </w:rPr>
            </w:pPr>
          </w:p>
        </w:tc>
        <w:tc>
          <w:tcPr>
            <w:tcW w:w="100" w:type="dxa"/>
            <w:vAlign w:val="bottom"/>
            <w:tcBorders>
              <w:bottom w:val="single" w:sz="8" w:color="auto"/>
            </w:tcBorders>
            <w:shd w:val="clear" w:color="auto" w:fill="EAEAEA"/>
          </w:tcPr>
          <w:p>
            <w:pPr>
              <w:spacing w:after="0"/>
              <w:rPr>
                <w:sz w:val="14"/>
                <w:szCs w:val="14"/>
                <w:color w:val="auto"/>
              </w:rPr>
            </w:pPr>
          </w:p>
        </w:tc>
        <w:tc>
          <w:tcPr>
            <w:tcW w:w="440" w:type="dxa"/>
            <w:vAlign w:val="bottom"/>
            <w:tcBorders>
              <w:bottom w:val="single" w:sz="8" w:color="auto"/>
            </w:tcBorders>
            <w:vMerge w:val="continue"/>
            <w:shd w:val="clear" w:color="auto" w:fill="EAEAEA"/>
          </w:tcPr>
          <w:p>
            <w:pPr>
              <w:spacing w:after="0"/>
              <w:rPr>
                <w:sz w:val="14"/>
                <w:szCs w:val="14"/>
                <w:color w:val="auto"/>
              </w:rPr>
            </w:pPr>
          </w:p>
        </w:tc>
        <w:tc>
          <w:tcPr>
            <w:tcW w:w="80" w:type="dxa"/>
            <w:vAlign w:val="bottom"/>
            <w:tcBorders>
              <w:bottom w:val="single" w:sz="8" w:color="auto"/>
            </w:tcBorders>
            <w:shd w:val="clear" w:color="auto" w:fill="EAEAEA"/>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shd w:val="clear" w:color="auto" w:fill="EAEAEA"/>
          </w:tcPr>
          <w:p>
            <w:pPr>
              <w:spacing w:after="0"/>
              <w:rPr>
                <w:sz w:val="14"/>
                <w:szCs w:val="14"/>
                <w:color w:val="auto"/>
              </w:rPr>
            </w:pPr>
          </w:p>
        </w:tc>
        <w:tc>
          <w:tcPr>
            <w:tcW w:w="500" w:type="dxa"/>
            <w:vAlign w:val="bottom"/>
            <w:tcBorders>
              <w:bottom w:val="single" w:sz="8" w:color="auto"/>
            </w:tcBorders>
            <w:vMerge w:val="continue"/>
            <w:shd w:val="clear" w:color="auto" w:fill="EAEAEA"/>
          </w:tcPr>
          <w:p>
            <w:pPr>
              <w:spacing w:after="0"/>
              <w:rPr>
                <w:sz w:val="14"/>
                <w:szCs w:val="14"/>
                <w:color w:val="auto"/>
              </w:rPr>
            </w:pPr>
          </w:p>
        </w:tc>
        <w:tc>
          <w:tcPr>
            <w:tcW w:w="80" w:type="dxa"/>
            <w:vAlign w:val="bottom"/>
            <w:tcBorders>
              <w:bottom w:val="single" w:sz="8" w:color="auto"/>
            </w:tcBorders>
            <w:shd w:val="clear" w:color="auto" w:fill="EAEAEA"/>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shd w:val="clear" w:color="auto" w:fill="EAEAEA"/>
          </w:tcPr>
          <w:p>
            <w:pPr>
              <w:spacing w:after="0"/>
              <w:rPr>
                <w:sz w:val="14"/>
                <w:szCs w:val="14"/>
                <w:color w:val="auto"/>
              </w:rPr>
            </w:pPr>
          </w:p>
        </w:tc>
        <w:tc>
          <w:tcPr>
            <w:tcW w:w="560" w:type="dxa"/>
            <w:vAlign w:val="bottom"/>
            <w:tcBorders>
              <w:bottom w:val="single" w:sz="8" w:color="auto"/>
            </w:tcBorders>
            <w:vMerge w:val="continue"/>
            <w:shd w:val="clear" w:color="auto" w:fill="EAEAEA"/>
          </w:tcPr>
          <w:p>
            <w:pPr>
              <w:spacing w:after="0"/>
              <w:rPr>
                <w:sz w:val="14"/>
                <w:szCs w:val="14"/>
                <w:color w:val="auto"/>
              </w:rPr>
            </w:pPr>
          </w:p>
        </w:tc>
        <w:tc>
          <w:tcPr>
            <w:tcW w:w="80" w:type="dxa"/>
            <w:vAlign w:val="bottom"/>
            <w:tcBorders>
              <w:bottom w:val="single" w:sz="8" w:color="auto"/>
            </w:tcBorders>
            <w:shd w:val="clear" w:color="auto" w:fill="EAEAEA"/>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shd w:val="clear" w:color="auto" w:fill="EAEAEA"/>
          </w:tcPr>
          <w:p>
            <w:pPr>
              <w:spacing w:after="0"/>
              <w:rPr>
                <w:sz w:val="14"/>
                <w:szCs w:val="14"/>
                <w:color w:val="auto"/>
              </w:rPr>
            </w:pPr>
          </w:p>
        </w:tc>
        <w:tc>
          <w:tcPr>
            <w:tcW w:w="740" w:type="dxa"/>
            <w:vAlign w:val="bottom"/>
            <w:tcBorders>
              <w:bottom w:val="single" w:sz="8" w:color="auto"/>
            </w:tcBorders>
            <w:vMerge w:val="continue"/>
            <w:shd w:val="clear" w:color="auto" w:fill="EAEAEA"/>
          </w:tcPr>
          <w:p>
            <w:pPr>
              <w:spacing w:after="0"/>
              <w:rPr>
                <w:sz w:val="14"/>
                <w:szCs w:val="14"/>
                <w:color w:val="auto"/>
              </w:rPr>
            </w:pPr>
          </w:p>
        </w:tc>
        <w:tc>
          <w:tcPr>
            <w:tcW w:w="180" w:type="dxa"/>
            <w:vAlign w:val="bottom"/>
            <w:tcBorders>
              <w:bottom w:val="single" w:sz="8" w:color="auto"/>
            </w:tcBorders>
            <w:vMerge w:val="continue"/>
            <w:shd w:val="clear" w:color="auto" w:fill="EAEAEA"/>
          </w:tcPr>
          <w:p>
            <w:pPr>
              <w:spacing w:after="0"/>
              <w:rPr>
                <w:sz w:val="14"/>
                <w:szCs w:val="14"/>
                <w:color w:val="auto"/>
              </w:rPr>
            </w:pPr>
          </w:p>
        </w:tc>
        <w:tc>
          <w:tcPr>
            <w:tcW w:w="80" w:type="dxa"/>
            <w:vAlign w:val="bottom"/>
            <w:tcBorders>
              <w:bottom w:val="single" w:sz="8" w:color="auto"/>
            </w:tcBorders>
            <w:shd w:val="clear" w:color="auto" w:fill="EAEAEA"/>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900" w:type="dxa"/>
            <w:vAlign w:val="bottom"/>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rPr>
              <w:t>3/10/2021</w:t>
            </w:r>
          </w:p>
        </w:tc>
        <w:tc>
          <w:tcPr>
            <w:tcW w:w="80" w:type="dxa"/>
            <w:vAlign w:val="bottom"/>
            <w:tcBorders>
              <w:bottom w:val="single" w:sz="8" w:color="auto"/>
            </w:tcBorders>
            <w:shd w:val="clear" w:color="auto" w:fill="EAEAEA"/>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1020" w:type="dxa"/>
            <w:vAlign w:val="bottom"/>
            <w:tcBorders>
              <w:bottom w:val="single" w:sz="8" w:color="auto"/>
              <w:right w:val="single" w:sz="8" w:color="EAEAEA"/>
            </w:tcBorders>
          </w:tcPr>
          <w:p>
            <w:pPr>
              <w:jc w:val="right"/>
              <w:ind w:right="22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5,281</w:t>
            </w:r>
          </w:p>
        </w:tc>
        <w:tc>
          <w:tcPr>
            <w:tcW w:w="80" w:type="dxa"/>
            <w:vAlign w:val="bottom"/>
            <w:tcBorders>
              <w:bottom w:val="single" w:sz="8" w:color="auto"/>
            </w:tcBorders>
            <w:shd w:val="clear" w:color="auto" w:fill="EAEAEA"/>
          </w:tcPr>
          <w:p>
            <w:pPr>
              <w:spacing w:after="0"/>
              <w:rPr>
                <w:sz w:val="16"/>
                <w:szCs w:val="16"/>
                <w:color w:val="auto"/>
              </w:rPr>
            </w:pPr>
          </w:p>
        </w:tc>
        <w:tc>
          <w:tcPr>
            <w:tcW w:w="5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740,918</w:t>
            </w:r>
          </w:p>
        </w:tc>
        <w:tc>
          <w:tcPr>
            <w:tcW w:w="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1"/>
              </w:rPr>
              <w:t>(7)</w:t>
            </w: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00" w:type="dxa"/>
            <w:vAlign w:val="bottom"/>
            <w:tcBorders>
              <w:bottom w:val="single" w:sz="8" w:color="0066BA"/>
            </w:tcBorders>
          </w:tcPr>
          <w:p>
            <w:pPr>
              <w:spacing w:after="0"/>
              <w:rPr>
                <w:sz w:val="16"/>
                <w:szCs w:val="16"/>
                <w:color w:val="auto"/>
              </w:rPr>
            </w:pPr>
          </w:p>
        </w:tc>
        <w:tc>
          <w:tcPr>
            <w:tcW w:w="80" w:type="dxa"/>
            <w:vAlign w:val="bottom"/>
            <w:tcBorders>
              <w:bottom w:val="single" w:sz="8" w:color="0066BA"/>
            </w:tcBorders>
            <w:shd w:val="clear" w:color="auto" w:fill="EAEAEA"/>
          </w:tcPr>
          <w:p>
            <w:pPr>
              <w:spacing w:after="0"/>
              <w:rPr>
                <w:sz w:val="16"/>
                <w:szCs w:val="16"/>
                <w:color w:val="auto"/>
              </w:rPr>
            </w:pPr>
          </w:p>
        </w:tc>
        <w:tc>
          <w:tcPr>
            <w:tcW w:w="72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w w:val="98"/>
              </w:rPr>
              <w:t>3/10/2021</w:t>
            </w:r>
          </w:p>
        </w:tc>
        <w:tc>
          <w:tcPr>
            <w:tcW w:w="80" w:type="dxa"/>
            <w:vAlign w:val="bottom"/>
            <w:tcBorders>
              <w:bottom w:val="single" w:sz="8" w:color="0066BA"/>
            </w:tcBorders>
            <w:shd w:val="clear" w:color="auto" w:fill="EAEAEA"/>
          </w:tcPr>
          <w:p>
            <w:pPr>
              <w:spacing w:after="0"/>
              <w:rPr>
                <w:sz w:val="16"/>
                <w:szCs w:val="16"/>
                <w:color w:val="auto"/>
              </w:rPr>
            </w:pPr>
          </w:p>
        </w:tc>
        <w:tc>
          <w:tcPr>
            <w:tcW w:w="640" w:type="dxa"/>
            <w:vAlign w:val="bottom"/>
            <w:tcBorders>
              <w:bottom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62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1020" w:type="dxa"/>
            <w:vAlign w:val="bottom"/>
            <w:tcBorders>
              <w:bottom w:val="single" w:sz="8" w:color="0066BA"/>
              <w:right w:val="single" w:sz="8" w:color="EAEAEA"/>
            </w:tcBorders>
          </w:tcPr>
          <w:p>
            <w:pPr>
              <w:jc w:val="right"/>
              <w:ind w:right="22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0066BA"/>
            </w:tcBorders>
            <w:shd w:val="clear" w:color="auto" w:fill="EAEAEA"/>
          </w:tcPr>
          <w:p>
            <w:pPr>
              <w:spacing w:after="0"/>
              <w:rPr>
                <w:sz w:val="16"/>
                <w:szCs w:val="16"/>
                <w:color w:val="auto"/>
              </w:rPr>
            </w:pPr>
          </w:p>
        </w:tc>
        <w:tc>
          <w:tcPr>
            <w:tcW w:w="44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660" w:type="dxa"/>
            <w:vAlign w:val="bottom"/>
            <w:tcBorders>
              <w:bottom w:val="single" w:sz="8" w:color="0066BA"/>
            </w:tcBorders>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50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680" w:type="dxa"/>
            <w:vAlign w:val="bottom"/>
            <w:tcBorders>
              <w:bottom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56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19,306</w:t>
            </w:r>
          </w:p>
        </w:tc>
        <w:tc>
          <w:tcPr>
            <w:tcW w:w="80" w:type="dxa"/>
            <w:vAlign w:val="bottom"/>
            <w:tcBorders>
              <w:bottom w:val="single" w:sz="8" w:color="0066BA"/>
            </w:tcBorders>
            <w:shd w:val="clear" w:color="auto" w:fill="EAEAEA"/>
          </w:tcPr>
          <w:p>
            <w:pPr>
              <w:spacing w:after="0"/>
              <w:rPr>
                <w:sz w:val="16"/>
                <w:szCs w:val="16"/>
                <w:color w:val="auto"/>
              </w:rPr>
            </w:pPr>
          </w:p>
        </w:tc>
        <w:tc>
          <w:tcPr>
            <w:tcW w:w="640" w:type="dxa"/>
            <w:vAlign w:val="bottom"/>
            <w:tcBorders>
              <w:bottom w:val="single" w:sz="8" w:color="0066BA"/>
            </w:tcBorders>
          </w:tcPr>
          <w:p>
            <w:pPr>
              <w:jc w:val="right"/>
              <w:spacing w:after="0"/>
              <w:rPr>
                <w:sz w:val="20"/>
                <w:szCs w:val="20"/>
                <w:color w:val="auto"/>
              </w:rPr>
            </w:pPr>
            <w:r>
              <w:rPr>
                <w:rFonts w:ascii="Arial" w:cs="Arial" w:eastAsia="Arial" w:hAnsi="Arial"/>
                <w:sz w:val="16"/>
                <w:szCs w:val="16"/>
                <w:color w:val="auto"/>
              </w:rPr>
              <w:t>147.11</w:t>
            </w:r>
          </w:p>
        </w:tc>
        <w:tc>
          <w:tcPr>
            <w:tcW w:w="80" w:type="dxa"/>
            <w:vAlign w:val="bottom"/>
            <w:tcBorders>
              <w:bottom w:val="single" w:sz="8" w:color="0066BA"/>
            </w:tcBorders>
            <w:shd w:val="clear" w:color="auto" w:fill="EAEAEA"/>
          </w:tcPr>
          <w:p>
            <w:pPr>
              <w:spacing w:after="0"/>
              <w:rPr>
                <w:sz w:val="16"/>
                <w:szCs w:val="16"/>
                <w:color w:val="auto"/>
              </w:rPr>
            </w:pPr>
          </w:p>
        </w:tc>
        <w:tc>
          <w:tcPr>
            <w:tcW w:w="74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744,775</w:t>
            </w:r>
          </w:p>
        </w:tc>
        <w:tc>
          <w:tcPr>
            <w:tcW w:w="18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w w:val="81"/>
              </w:rPr>
              <w:t>(8)</w:t>
            </w:r>
          </w:p>
        </w:tc>
        <w:tc>
          <w:tcPr>
            <w:tcW w:w="80" w:type="dxa"/>
            <w:vAlign w:val="bottom"/>
            <w:tcBorders>
              <w:bottom w:val="single" w:sz="8" w:color="0066BA"/>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00" w:type="dxa"/>
            <w:vAlign w:val="bottom"/>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N/A</w:t>
            </w:r>
          </w:p>
        </w:tc>
        <w:tc>
          <w:tcPr>
            <w:tcW w:w="80" w:type="dxa"/>
            <w:vAlign w:val="bottom"/>
            <w:tcBorders>
              <w:bottom w:val="single" w:sz="8" w:color="auto"/>
            </w:tcBorders>
            <w:shd w:val="clear" w:color="auto" w:fill="EAEAEA"/>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460,000</w:t>
            </w:r>
          </w:p>
        </w:tc>
        <w:tc>
          <w:tcPr>
            <w:tcW w:w="80" w:type="dxa"/>
            <w:vAlign w:val="bottom"/>
            <w:tcBorders>
              <w:bottom w:val="single" w:sz="8" w:color="auto"/>
            </w:tcBorders>
            <w:shd w:val="clear" w:color="auto" w:fill="EAEAEA"/>
          </w:tcPr>
          <w:p>
            <w:pPr>
              <w:spacing w:after="0"/>
              <w:rPr>
                <w:sz w:val="16"/>
                <w:szCs w:val="16"/>
                <w:color w:val="auto"/>
              </w:rPr>
            </w:pPr>
          </w:p>
        </w:tc>
        <w:tc>
          <w:tcPr>
            <w:tcW w:w="1020" w:type="dxa"/>
            <w:vAlign w:val="bottom"/>
            <w:tcBorders>
              <w:bottom w:val="single" w:sz="8" w:color="auto"/>
              <w:right w:val="single" w:sz="8" w:color="EAEAEA"/>
            </w:tcBorders>
          </w:tcPr>
          <w:p>
            <w:pPr>
              <w:jc w:val="right"/>
              <w:ind w:right="223"/>
              <w:spacing w:after="0"/>
              <w:rPr>
                <w:sz w:val="20"/>
                <w:szCs w:val="20"/>
                <w:color w:val="auto"/>
              </w:rPr>
            </w:pPr>
            <w:r>
              <w:rPr>
                <w:rFonts w:ascii="Arial" w:cs="Arial" w:eastAsia="Arial" w:hAnsi="Arial"/>
                <w:sz w:val="16"/>
                <w:szCs w:val="16"/>
                <w:color w:val="auto"/>
                <w:w w:val="98"/>
              </w:rPr>
              <w:t>1,380,000</w:t>
            </w:r>
          </w:p>
        </w:tc>
        <w:tc>
          <w:tcPr>
            <w:tcW w:w="10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5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40" w:type="dxa"/>
            <w:vAlign w:val="bottom"/>
            <w:tcBorders>
              <w:bottom w:val="single" w:sz="8" w:color="auto"/>
            </w:tcBorders>
            <w:shd w:val="clear" w:color="auto" w:fill="EAEAEA"/>
          </w:tcPr>
          <w:p>
            <w:pPr>
              <w:jc w:val="right"/>
              <w:ind w:right="4"/>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00" w:type="dxa"/>
            <w:vAlign w:val="bottom"/>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7"/>
              </w:rPr>
              <w:t>12/15/2020</w:t>
            </w:r>
          </w:p>
        </w:tc>
        <w:tc>
          <w:tcPr>
            <w:tcW w:w="80" w:type="dxa"/>
            <w:vAlign w:val="bottom"/>
            <w:tcBorders>
              <w:bottom w:val="single" w:sz="8" w:color="auto"/>
            </w:tcBorders>
            <w:shd w:val="clear" w:color="auto" w:fill="EAEAEA"/>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1020" w:type="dxa"/>
            <w:vAlign w:val="bottom"/>
            <w:tcBorders>
              <w:bottom w:val="single" w:sz="8" w:color="auto"/>
              <w:right w:val="single" w:sz="8" w:color="EAEAEA"/>
            </w:tcBorders>
          </w:tcPr>
          <w:p>
            <w:pPr>
              <w:jc w:val="right"/>
              <w:ind w:right="22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13,460</w:t>
            </w:r>
          </w:p>
        </w:tc>
        <w:tc>
          <w:tcPr>
            <w:tcW w:w="8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rPr>
              <w:t>26,920</w:t>
            </w:r>
          </w:p>
        </w:tc>
        <w:tc>
          <w:tcPr>
            <w:tcW w:w="80" w:type="dxa"/>
            <w:vAlign w:val="bottom"/>
            <w:tcBorders>
              <w:bottom w:val="single" w:sz="8" w:color="auto"/>
            </w:tcBorders>
            <w:shd w:val="clear" w:color="auto" w:fill="EAEAEA"/>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5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920" w:type="dxa"/>
            <w:vAlign w:val="bottom"/>
            <w:tcBorders>
              <w:bottom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w w:val="86"/>
              </w:rPr>
              <w:t>1,856,134 (10)</w:t>
            </w: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00" w:type="dxa"/>
            <w:vAlign w:val="bottom"/>
          </w:tcPr>
          <w:p>
            <w:pPr>
              <w:ind w:left="60"/>
              <w:spacing w:after="0"/>
              <w:rPr>
                <w:sz w:val="20"/>
                <w:szCs w:val="20"/>
                <w:color w:val="auto"/>
              </w:rPr>
            </w:pPr>
            <w:r>
              <w:rPr>
                <w:rFonts w:ascii="Arial" w:cs="Arial" w:eastAsia="Arial" w:hAnsi="Arial"/>
                <w:sz w:val="14"/>
                <w:szCs w:val="14"/>
                <w:b w:val="1"/>
                <w:bCs w:val="1"/>
                <w:color w:val="0066BA"/>
              </w:rPr>
              <w:t>Martin</w:t>
            </w:r>
          </w:p>
        </w:tc>
        <w:tc>
          <w:tcPr>
            <w:tcW w:w="80" w:type="dxa"/>
            <w:vAlign w:val="bottom"/>
            <w:tcBorders>
              <w:bottom w:val="single" w:sz="8" w:color="EAEAEA"/>
            </w:tcBorders>
            <w:shd w:val="clear" w:color="auto" w:fill="EAEAEA"/>
          </w:tcPr>
          <w:p>
            <w:pPr>
              <w:spacing w:after="0"/>
              <w:rPr>
                <w:sz w:val="16"/>
                <w:szCs w:val="16"/>
                <w:color w:val="auto"/>
              </w:rPr>
            </w:pPr>
          </w:p>
        </w:tc>
        <w:tc>
          <w:tcPr>
            <w:tcW w:w="720" w:type="dxa"/>
            <w:vAlign w:val="bottom"/>
            <w:tcBorders>
              <w:bottom w:val="single" w:sz="8" w:color="EAEAEA"/>
            </w:tcBorders>
            <w:shd w:val="clear" w:color="auto" w:fill="EAEAEA"/>
          </w:tcPr>
          <w:p>
            <w:pPr>
              <w:jc w:val="right"/>
              <w:spacing w:after="0" w:line="166" w:lineRule="exact"/>
              <w:rPr>
                <w:sz w:val="20"/>
                <w:szCs w:val="20"/>
                <w:color w:val="auto"/>
              </w:rPr>
            </w:pPr>
            <w:r>
              <w:rPr>
                <w:rFonts w:ascii="Arial" w:cs="Arial" w:eastAsia="Arial" w:hAnsi="Arial"/>
                <w:sz w:val="16"/>
                <w:szCs w:val="16"/>
                <w:color w:val="auto"/>
                <w:w w:val="98"/>
              </w:rPr>
              <w:t>3/10/2021</w:t>
            </w:r>
          </w:p>
        </w:tc>
        <w:tc>
          <w:tcPr>
            <w:tcW w:w="80" w:type="dxa"/>
            <w:vAlign w:val="bottom"/>
            <w:tcBorders>
              <w:bottom w:val="single" w:sz="8" w:color="EAEAEA"/>
            </w:tcBorders>
            <w:shd w:val="clear" w:color="auto" w:fill="EAEAEA"/>
          </w:tcPr>
          <w:p>
            <w:pPr>
              <w:spacing w:after="0"/>
              <w:rPr>
                <w:sz w:val="16"/>
                <w:szCs w:val="16"/>
                <w:color w:val="auto"/>
              </w:rPr>
            </w:pPr>
          </w:p>
        </w:tc>
        <w:tc>
          <w:tcPr>
            <w:tcW w:w="640" w:type="dxa"/>
            <w:vAlign w:val="bottom"/>
          </w:tcPr>
          <w:p>
            <w:pPr>
              <w:jc w:val="right"/>
              <w:spacing w:after="0" w:line="166"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EAEAEA"/>
            </w:tcBorders>
            <w:shd w:val="clear" w:color="auto" w:fill="EAEAEA"/>
          </w:tcPr>
          <w:p>
            <w:pPr>
              <w:spacing w:after="0"/>
              <w:rPr>
                <w:sz w:val="16"/>
                <w:szCs w:val="16"/>
                <w:color w:val="auto"/>
              </w:rPr>
            </w:pPr>
          </w:p>
        </w:tc>
        <w:tc>
          <w:tcPr>
            <w:tcW w:w="620" w:type="dxa"/>
            <w:vAlign w:val="bottom"/>
            <w:tcBorders>
              <w:bottom w:val="single" w:sz="8" w:color="EAEAEA"/>
            </w:tcBorders>
            <w:shd w:val="clear" w:color="auto" w:fill="EAEAEA"/>
          </w:tcPr>
          <w:p>
            <w:pPr>
              <w:jc w:val="right"/>
              <w:spacing w:after="0" w:line="166"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EAEAEA"/>
            </w:tcBorders>
            <w:shd w:val="clear" w:color="auto" w:fill="EAEAEA"/>
          </w:tcPr>
          <w:p>
            <w:pPr>
              <w:spacing w:after="0"/>
              <w:rPr>
                <w:sz w:val="16"/>
                <w:szCs w:val="16"/>
                <w:color w:val="auto"/>
              </w:rPr>
            </w:pPr>
          </w:p>
        </w:tc>
        <w:tc>
          <w:tcPr>
            <w:tcW w:w="1020" w:type="dxa"/>
            <w:vAlign w:val="bottom"/>
            <w:tcBorders>
              <w:right w:val="single" w:sz="8" w:color="EAEAEA"/>
            </w:tcBorders>
          </w:tcPr>
          <w:p>
            <w:pPr>
              <w:jc w:val="right"/>
              <w:ind w:right="223"/>
              <w:spacing w:after="0" w:line="166"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EAEAEA"/>
            </w:tcBorders>
            <w:shd w:val="clear" w:color="auto" w:fill="EAEAEA"/>
          </w:tcPr>
          <w:p>
            <w:pPr>
              <w:spacing w:after="0"/>
              <w:rPr>
                <w:sz w:val="16"/>
                <w:szCs w:val="16"/>
                <w:color w:val="auto"/>
              </w:rPr>
            </w:pPr>
          </w:p>
        </w:tc>
        <w:tc>
          <w:tcPr>
            <w:tcW w:w="440" w:type="dxa"/>
            <w:vAlign w:val="bottom"/>
            <w:tcBorders>
              <w:bottom w:val="single" w:sz="8" w:color="EAEAEA"/>
            </w:tcBorders>
            <w:shd w:val="clear" w:color="auto" w:fill="EAEAEA"/>
          </w:tcPr>
          <w:p>
            <w:pPr>
              <w:jc w:val="right"/>
              <w:spacing w:after="0" w:line="166"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EAEAEA"/>
            </w:tcBorders>
            <w:shd w:val="clear" w:color="auto" w:fill="EAEAEA"/>
          </w:tcPr>
          <w:p>
            <w:pPr>
              <w:spacing w:after="0"/>
              <w:rPr>
                <w:sz w:val="16"/>
                <w:szCs w:val="16"/>
                <w:color w:val="auto"/>
              </w:rPr>
            </w:pPr>
          </w:p>
        </w:tc>
        <w:tc>
          <w:tcPr>
            <w:tcW w:w="660" w:type="dxa"/>
            <w:vAlign w:val="bottom"/>
          </w:tcPr>
          <w:p>
            <w:pPr>
              <w:jc w:val="right"/>
              <w:ind w:right="3"/>
              <w:spacing w:after="0" w:line="166" w:lineRule="exact"/>
              <w:rPr>
                <w:sz w:val="20"/>
                <w:szCs w:val="20"/>
                <w:color w:val="auto"/>
              </w:rPr>
            </w:pPr>
            <w:r>
              <w:rPr>
                <w:rFonts w:ascii="Arial" w:cs="Arial" w:eastAsia="Arial" w:hAnsi="Arial"/>
                <w:sz w:val="16"/>
                <w:szCs w:val="16"/>
                <w:color w:val="auto"/>
              </w:rPr>
              <w:t>3,873</w:t>
            </w:r>
          </w:p>
        </w:tc>
        <w:tc>
          <w:tcPr>
            <w:tcW w:w="80" w:type="dxa"/>
            <w:vAlign w:val="bottom"/>
            <w:tcBorders>
              <w:bottom w:val="single" w:sz="8" w:color="EAEAEA"/>
            </w:tcBorders>
            <w:shd w:val="clear" w:color="auto" w:fill="EAEAEA"/>
          </w:tcPr>
          <w:p>
            <w:pPr>
              <w:spacing w:after="0"/>
              <w:rPr>
                <w:sz w:val="16"/>
                <w:szCs w:val="16"/>
                <w:color w:val="auto"/>
              </w:rPr>
            </w:pPr>
          </w:p>
        </w:tc>
        <w:tc>
          <w:tcPr>
            <w:tcW w:w="500" w:type="dxa"/>
            <w:vAlign w:val="bottom"/>
            <w:tcBorders>
              <w:bottom w:val="single" w:sz="8" w:color="EAEAEA"/>
            </w:tcBorders>
            <w:shd w:val="clear" w:color="auto" w:fill="EAEAEA"/>
          </w:tcPr>
          <w:p>
            <w:pPr>
              <w:jc w:val="right"/>
              <w:spacing w:after="0" w:line="166" w:lineRule="exact"/>
              <w:rPr>
                <w:sz w:val="20"/>
                <w:szCs w:val="20"/>
                <w:color w:val="auto"/>
              </w:rPr>
            </w:pPr>
            <w:r>
              <w:rPr>
                <w:rFonts w:ascii="Arial" w:cs="Arial" w:eastAsia="Arial" w:hAnsi="Arial"/>
                <w:sz w:val="16"/>
                <w:szCs w:val="16"/>
                <w:color w:val="auto"/>
              </w:rPr>
              <w:t>7,746</w:t>
            </w:r>
          </w:p>
        </w:tc>
        <w:tc>
          <w:tcPr>
            <w:tcW w:w="80" w:type="dxa"/>
            <w:vAlign w:val="bottom"/>
            <w:tcBorders>
              <w:bottom w:val="single" w:sz="8" w:color="EAEAEA"/>
            </w:tcBorders>
            <w:shd w:val="clear" w:color="auto" w:fill="EAEAEA"/>
          </w:tcPr>
          <w:p>
            <w:pPr>
              <w:spacing w:after="0"/>
              <w:rPr>
                <w:sz w:val="16"/>
                <w:szCs w:val="16"/>
                <w:color w:val="auto"/>
              </w:rPr>
            </w:pPr>
          </w:p>
        </w:tc>
        <w:tc>
          <w:tcPr>
            <w:tcW w:w="680" w:type="dxa"/>
            <w:vAlign w:val="bottom"/>
          </w:tcPr>
          <w:p>
            <w:pPr>
              <w:jc w:val="right"/>
              <w:spacing w:after="0" w:line="166"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EAEAEA"/>
            </w:tcBorders>
            <w:shd w:val="clear" w:color="auto" w:fill="EAEAEA"/>
          </w:tcPr>
          <w:p>
            <w:pPr>
              <w:spacing w:after="0"/>
              <w:rPr>
                <w:sz w:val="16"/>
                <w:szCs w:val="16"/>
                <w:color w:val="auto"/>
              </w:rPr>
            </w:pPr>
          </w:p>
        </w:tc>
        <w:tc>
          <w:tcPr>
            <w:tcW w:w="560" w:type="dxa"/>
            <w:vAlign w:val="bottom"/>
            <w:tcBorders>
              <w:bottom w:val="single" w:sz="8" w:color="EAEAEA"/>
            </w:tcBorders>
            <w:shd w:val="clear" w:color="auto" w:fill="EAEAEA"/>
          </w:tcPr>
          <w:p>
            <w:pPr>
              <w:jc w:val="right"/>
              <w:spacing w:after="0" w:line="166"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EAEAEA"/>
            </w:tcBorders>
            <w:shd w:val="clear" w:color="auto" w:fill="EAEAEA"/>
          </w:tcPr>
          <w:p>
            <w:pPr>
              <w:spacing w:after="0"/>
              <w:rPr>
                <w:sz w:val="16"/>
                <w:szCs w:val="16"/>
                <w:color w:val="auto"/>
              </w:rPr>
            </w:pPr>
          </w:p>
        </w:tc>
        <w:tc>
          <w:tcPr>
            <w:tcW w:w="640" w:type="dxa"/>
            <w:vAlign w:val="bottom"/>
          </w:tcPr>
          <w:p>
            <w:pPr>
              <w:jc w:val="right"/>
              <w:spacing w:after="0" w:line="166"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EAEAEA"/>
            </w:tcBorders>
            <w:shd w:val="clear" w:color="auto" w:fill="EAEAEA"/>
          </w:tcPr>
          <w:p>
            <w:pPr>
              <w:spacing w:after="0"/>
              <w:rPr>
                <w:sz w:val="16"/>
                <w:szCs w:val="16"/>
                <w:color w:val="auto"/>
              </w:rPr>
            </w:pPr>
          </w:p>
        </w:tc>
        <w:tc>
          <w:tcPr>
            <w:tcW w:w="740" w:type="dxa"/>
            <w:vAlign w:val="bottom"/>
            <w:tcBorders>
              <w:bottom w:val="single" w:sz="8" w:color="EAEAEA"/>
            </w:tcBorders>
            <w:shd w:val="clear" w:color="auto" w:fill="EAEAEA"/>
          </w:tcPr>
          <w:p>
            <w:pPr>
              <w:jc w:val="right"/>
              <w:spacing w:after="0" w:line="166" w:lineRule="exact"/>
              <w:rPr>
                <w:sz w:val="20"/>
                <w:szCs w:val="20"/>
                <w:color w:val="auto"/>
              </w:rPr>
            </w:pPr>
            <w:r>
              <w:rPr>
                <w:rFonts w:ascii="Arial" w:cs="Arial" w:eastAsia="Arial" w:hAnsi="Arial"/>
                <w:sz w:val="16"/>
                <w:szCs w:val="16"/>
                <w:color w:val="auto"/>
              </w:rPr>
              <w:t>543,377</w:t>
            </w:r>
          </w:p>
        </w:tc>
        <w:tc>
          <w:tcPr>
            <w:tcW w:w="180" w:type="dxa"/>
            <w:vAlign w:val="bottom"/>
            <w:tcBorders>
              <w:bottom w:val="single" w:sz="8" w:color="EAEAEA"/>
            </w:tcBorders>
            <w:shd w:val="clear" w:color="auto" w:fill="EAEAEA"/>
          </w:tcPr>
          <w:p>
            <w:pPr>
              <w:jc w:val="right"/>
              <w:spacing w:after="0" w:line="166" w:lineRule="exact"/>
              <w:rPr>
                <w:sz w:val="20"/>
                <w:szCs w:val="20"/>
                <w:color w:val="auto"/>
              </w:rPr>
            </w:pPr>
            <w:r>
              <w:rPr>
                <w:rFonts w:ascii="Arial" w:cs="Arial" w:eastAsia="Arial" w:hAnsi="Arial"/>
                <w:sz w:val="16"/>
                <w:szCs w:val="16"/>
                <w:color w:val="auto"/>
                <w:w w:val="81"/>
              </w:rPr>
              <w:t>(6)</w:t>
            </w:r>
          </w:p>
        </w:tc>
        <w:tc>
          <w:tcPr>
            <w:tcW w:w="80" w:type="dxa"/>
            <w:vAlign w:val="bottom"/>
            <w:tcBorders>
              <w:bottom w:val="single" w:sz="8" w:color="EAEAEA"/>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00" w:type="dxa"/>
            <w:vAlign w:val="bottom"/>
          </w:tcPr>
          <w:p>
            <w:pPr>
              <w:ind w:left="60"/>
              <w:spacing w:after="0" w:line="137" w:lineRule="exact"/>
              <w:rPr>
                <w:sz w:val="20"/>
                <w:szCs w:val="20"/>
                <w:color w:val="auto"/>
              </w:rPr>
            </w:pPr>
            <w:r>
              <w:rPr>
                <w:rFonts w:ascii="Arial" w:cs="Arial" w:eastAsia="Arial" w:hAnsi="Arial"/>
                <w:sz w:val="14"/>
                <w:szCs w:val="14"/>
                <w:b w:val="1"/>
                <w:bCs w:val="1"/>
                <w:color w:val="0066BA"/>
              </w:rPr>
              <w:t>Cotter</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72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rPr>
              <w:t>3/10/2021</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62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1020" w:type="dxa"/>
            <w:vAlign w:val="bottom"/>
            <w:tcBorders>
              <w:top w:val="single" w:sz="8" w:color="auto"/>
              <w:bottom w:val="single" w:sz="8" w:color="auto"/>
              <w:right w:val="single" w:sz="8" w:color="EAEAEA"/>
            </w:tcBorders>
          </w:tcPr>
          <w:p>
            <w:pPr>
              <w:jc w:val="right"/>
              <w:ind w:right="223"/>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auto"/>
            </w:tcBorders>
            <w:shd w:val="clear" w:color="auto" w:fill="EAEAEA"/>
          </w:tcPr>
          <w:p>
            <w:pPr>
              <w:spacing w:after="0"/>
              <w:rPr>
                <w:sz w:val="16"/>
                <w:szCs w:val="16"/>
                <w:color w:val="auto"/>
              </w:rPr>
            </w:pPr>
          </w:p>
        </w:tc>
        <w:tc>
          <w:tcPr>
            <w:tcW w:w="44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6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3,873</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50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7,746</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56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74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631,841</w:t>
            </w:r>
          </w:p>
        </w:tc>
        <w:tc>
          <w:tcPr>
            <w:tcW w:w="18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1"/>
              </w:rPr>
              <w:t>(6)</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00" w:type="dxa"/>
            <w:vAlign w:val="bottom"/>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rPr>
              <w:t>3/10/2021</w:t>
            </w:r>
          </w:p>
        </w:tc>
        <w:tc>
          <w:tcPr>
            <w:tcW w:w="80" w:type="dxa"/>
            <w:vAlign w:val="bottom"/>
            <w:tcBorders>
              <w:bottom w:val="single" w:sz="8" w:color="auto"/>
            </w:tcBorders>
            <w:shd w:val="clear" w:color="auto" w:fill="EAEAEA"/>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1020" w:type="dxa"/>
            <w:vAlign w:val="bottom"/>
            <w:tcBorders>
              <w:bottom w:val="single" w:sz="8" w:color="auto"/>
              <w:right w:val="single" w:sz="8" w:color="EAEAEA"/>
            </w:tcBorders>
          </w:tcPr>
          <w:p>
            <w:pPr>
              <w:jc w:val="right"/>
              <w:ind w:right="22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3,873</w:t>
            </w:r>
          </w:p>
        </w:tc>
        <w:tc>
          <w:tcPr>
            <w:tcW w:w="80" w:type="dxa"/>
            <w:vAlign w:val="bottom"/>
            <w:tcBorders>
              <w:bottom w:val="single" w:sz="8" w:color="auto"/>
            </w:tcBorders>
            <w:shd w:val="clear" w:color="auto" w:fill="EAEAEA"/>
          </w:tcPr>
          <w:p>
            <w:pPr>
              <w:spacing w:after="0"/>
              <w:rPr>
                <w:sz w:val="16"/>
                <w:szCs w:val="16"/>
                <w:color w:val="auto"/>
              </w:rPr>
            </w:pPr>
          </w:p>
        </w:tc>
        <w:tc>
          <w:tcPr>
            <w:tcW w:w="5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543,377</w:t>
            </w:r>
          </w:p>
        </w:tc>
        <w:tc>
          <w:tcPr>
            <w:tcW w:w="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1"/>
              </w:rPr>
              <w:t>(7)</w:t>
            </w: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00" w:type="dxa"/>
            <w:vAlign w:val="bottom"/>
            <w:tcBorders>
              <w:bottom w:val="single" w:sz="8" w:color="0066BA"/>
            </w:tcBorders>
          </w:tcPr>
          <w:p>
            <w:pPr>
              <w:spacing w:after="0"/>
              <w:rPr>
                <w:sz w:val="16"/>
                <w:szCs w:val="16"/>
                <w:color w:val="auto"/>
              </w:rPr>
            </w:pPr>
          </w:p>
        </w:tc>
        <w:tc>
          <w:tcPr>
            <w:tcW w:w="80" w:type="dxa"/>
            <w:vAlign w:val="bottom"/>
            <w:tcBorders>
              <w:bottom w:val="single" w:sz="8" w:color="0066BA"/>
            </w:tcBorders>
            <w:shd w:val="clear" w:color="auto" w:fill="EAEAEA"/>
          </w:tcPr>
          <w:p>
            <w:pPr>
              <w:spacing w:after="0"/>
              <w:rPr>
                <w:sz w:val="16"/>
                <w:szCs w:val="16"/>
                <w:color w:val="auto"/>
              </w:rPr>
            </w:pPr>
          </w:p>
        </w:tc>
        <w:tc>
          <w:tcPr>
            <w:tcW w:w="72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w w:val="98"/>
              </w:rPr>
              <w:t>3/10/2021</w:t>
            </w:r>
          </w:p>
        </w:tc>
        <w:tc>
          <w:tcPr>
            <w:tcW w:w="80" w:type="dxa"/>
            <w:vAlign w:val="bottom"/>
            <w:tcBorders>
              <w:bottom w:val="single" w:sz="8" w:color="0066BA"/>
            </w:tcBorders>
            <w:shd w:val="clear" w:color="auto" w:fill="EAEAEA"/>
          </w:tcPr>
          <w:p>
            <w:pPr>
              <w:spacing w:after="0"/>
              <w:rPr>
                <w:sz w:val="16"/>
                <w:szCs w:val="16"/>
                <w:color w:val="auto"/>
              </w:rPr>
            </w:pPr>
          </w:p>
        </w:tc>
        <w:tc>
          <w:tcPr>
            <w:tcW w:w="640" w:type="dxa"/>
            <w:vAlign w:val="bottom"/>
            <w:tcBorders>
              <w:bottom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62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1020" w:type="dxa"/>
            <w:vAlign w:val="bottom"/>
            <w:tcBorders>
              <w:bottom w:val="single" w:sz="8" w:color="0066BA"/>
              <w:right w:val="single" w:sz="8" w:color="EAEAEA"/>
            </w:tcBorders>
          </w:tcPr>
          <w:p>
            <w:pPr>
              <w:jc w:val="right"/>
              <w:ind w:right="22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0066BA"/>
            </w:tcBorders>
            <w:shd w:val="clear" w:color="auto" w:fill="EAEAEA"/>
          </w:tcPr>
          <w:p>
            <w:pPr>
              <w:spacing w:after="0"/>
              <w:rPr>
                <w:sz w:val="16"/>
                <w:szCs w:val="16"/>
                <w:color w:val="auto"/>
              </w:rPr>
            </w:pPr>
          </w:p>
        </w:tc>
        <w:tc>
          <w:tcPr>
            <w:tcW w:w="44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660" w:type="dxa"/>
            <w:vAlign w:val="bottom"/>
            <w:tcBorders>
              <w:bottom w:val="single" w:sz="8" w:color="0066BA"/>
            </w:tcBorders>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50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680" w:type="dxa"/>
            <w:vAlign w:val="bottom"/>
            <w:tcBorders>
              <w:bottom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56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14,158</w:t>
            </w:r>
          </w:p>
        </w:tc>
        <w:tc>
          <w:tcPr>
            <w:tcW w:w="80" w:type="dxa"/>
            <w:vAlign w:val="bottom"/>
            <w:tcBorders>
              <w:bottom w:val="single" w:sz="8" w:color="0066BA"/>
            </w:tcBorders>
            <w:shd w:val="clear" w:color="auto" w:fill="EAEAEA"/>
          </w:tcPr>
          <w:p>
            <w:pPr>
              <w:spacing w:after="0"/>
              <w:rPr>
                <w:sz w:val="16"/>
                <w:szCs w:val="16"/>
                <w:color w:val="auto"/>
              </w:rPr>
            </w:pPr>
          </w:p>
        </w:tc>
        <w:tc>
          <w:tcPr>
            <w:tcW w:w="640" w:type="dxa"/>
            <w:vAlign w:val="bottom"/>
            <w:tcBorders>
              <w:bottom w:val="single" w:sz="8" w:color="0066BA"/>
            </w:tcBorders>
          </w:tcPr>
          <w:p>
            <w:pPr>
              <w:jc w:val="right"/>
              <w:spacing w:after="0"/>
              <w:rPr>
                <w:sz w:val="20"/>
                <w:szCs w:val="20"/>
                <w:color w:val="auto"/>
              </w:rPr>
            </w:pPr>
            <w:r>
              <w:rPr>
                <w:rFonts w:ascii="Arial" w:cs="Arial" w:eastAsia="Arial" w:hAnsi="Arial"/>
                <w:sz w:val="16"/>
                <w:szCs w:val="16"/>
                <w:color w:val="auto"/>
              </w:rPr>
              <w:t>147.11</w:t>
            </w:r>
          </w:p>
        </w:tc>
        <w:tc>
          <w:tcPr>
            <w:tcW w:w="80" w:type="dxa"/>
            <w:vAlign w:val="bottom"/>
            <w:tcBorders>
              <w:bottom w:val="single" w:sz="8" w:color="0066BA"/>
            </w:tcBorders>
            <w:shd w:val="clear" w:color="auto" w:fill="EAEAEA"/>
          </w:tcPr>
          <w:p>
            <w:pPr>
              <w:spacing w:after="0"/>
              <w:rPr>
                <w:sz w:val="16"/>
                <w:szCs w:val="16"/>
                <w:color w:val="auto"/>
              </w:rPr>
            </w:pPr>
          </w:p>
        </w:tc>
        <w:tc>
          <w:tcPr>
            <w:tcW w:w="74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546,179</w:t>
            </w:r>
          </w:p>
        </w:tc>
        <w:tc>
          <w:tcPr>
            <w:tcW w:w="18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w w:val="81"/>
              </w:rPr>
              <w:t>(8)</w:t>
            </w:r>
          </w:p>
        </w:tc>
        <w:tc>
          <w:tcPr>
            <w:tcW w:w="80" w:type="dxa"/>
            <w:vAlign w:val="bottom"/>
            <w:tcBorders>
              <w:bottom w:val="single" w:sz="8" w:color="0066BA"/>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00" w:type="dxa"/>
            <w:vAlign w:val="bottom"/>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N/A</w:t>
            </w:r>
          </w:p>
        </w:tc>
        <w:tc>
          <w:tcPr>
            <w:tcW w:w="80" w:type="dxa"/>
            <w:vAlign w:val="bottom"/>
            <w:tcBorders>
              <w:bottom w:val="single" w:sz="8" w:color="auto"/>
            </w:tcBorders>
            <w:shd w:val="clear" w:color="auto" w:fill="EAEAEA"/>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475,000</w:t>
            </w:r>
          </w:p>
        </w:tc>
        <w:tc>
          <w:tcPr>
            <w:tcW w:w="80" w:type="dxa"/>
            <w:vAlign w:val="bottom"/>
            <w:tcBorders>
              <w:bottom w:val="single" w:sz="8" w:color="auto"/>
            </w:tcBorders>
            <w:shd w:val="clear" w:color="auto" w:fill="EAEAEA"/>
          </w:tcPr>
          <w:p>
            <w:pPr>
              <w:spacing w:after="0"/>
              <w:rPr>
                <w:sz w:val="16"/>
                <w:szCs w:val="16"/>
                <w:color w:val="auto"/>
              </w:rPr>
            </w:pPr>
          </w:p>
        </w:tc>
        <w:tc>
          <w:tcPr>
            <w:tcW w:w="1020" w:type="dxa"/>
            <w:vAlign w:val="bottom"/>
            <w:tcBorders>
              <w:bottom w:val="single" w:sz="8" w:color="auto"/>
              <w:right w:val="single" w:sz="8" w:color="EAEAEA"/>
            </w:tcBorders>
          </w:tcPr>
          <w:p>
            <w:pPr>
              <w:jc w:val="right"/>
              <w:ind w:right="223"/>
              <w:spacing w:after="0"/>
              <w:rPr>
                <w:sz w:val="20"/>
                <w:szCs w:val="20"/>
                <w:color w:val="auto"/>
              </w:rPr>
            </w:pPr>
            <w:r>
              <w:rPr>
                <w:rFonts w:ascii="Arial" w:cs="Arial" w:eastAsia="Arial" w:hAnsi="Arial"/>
                <w:sz w:val="16"/>
                <w:szCs w:val="16"/>
                <w:color w:val="auto"/>
                <w:w w:val="98"/>
              </w:rPr>
              <w:t>1,425,000</w:t>
            </w:r>
          </w:p>
        </w:tc>
        <w:tc>
          <w:tcPr>
            <w:tcW w:w="10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5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40" w:type="dxa"/>
            <w:vAlign w:val="bottom"/>
            <w:tcBorders>
              <w:bottom w:val="single" w:sz="8" w:color="auto"/>
            </w:tcBorders>
            <w:shd w:val="clear" w:color="auto" w:fill="EAEAEA"/>
          </w:tcPr>
          <w:p>
            <w:pPr>
              <w:jc w:val="right"/>
              <w:ind w:right="4"/>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00" w:type="dxa"/>
            <w:vAlign w:val="bottom"/>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7"/>
              </w:rPr>
              <w:t>12/15/2020</w:t>
            </w:r>
          </w:p>
        </w:tc>
        <w:tc>
          <w:tcPr>
            <w:tcW w:w="80" w:type="dxa"/>
            <w:vAlign w:val="bottom"/>
            <w:tcBorders>
              <w:bottom w:val="single" w:sz="8" w:color="auto"/>
            </w:tcBorders>
            <w:shd w:val="clear" w:color="auto" w:fill="EAEAEA"/>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1020" w:type="dxa"/>
            <w:vAlign w:val="bottom"/>
            <w:tcBorders>
              <w:bottom w:val="single" w:sz="8" w:color="auto"/>
              <w:right w:val="single" w:sz="8" w:color="EAEAEA"/>
            </w:tcBorders>
          </w:tcPr>
          <w:p>
            <w:pPr>
              <w:jc w:val="right"/>
              <w:ind w:right="22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13,460</w:t>
            </w:r>
          </w:p>
        </w:tc>
        <w:tc>
          <w:tcPr>
            <w:tcW w:w="8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rPr>
              <w:t>26,920</w:t>
            </w:r>
          </w:p>
        </w:tc>
        <w:tc>
          <w:tcPr>
            <w:tcW w:w="80" w:type="dxa"/>
            <w:vAlign w:val="bottom"/>
            <w:tcBorders>
              <w:bottom w:val="single" w:sz="8" w:color="auto"/>
            </w:tcBorders>
            <w:shd w:val="clear" w:color="auto" w:fill="EAEAEA"/>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5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920" w:type="dxa"/>
            <w:vAlign w:val="bottom"/>
            <w:tcBorders>
              <w:bottom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w w:val="86"/>
              </w:rPr>
              <w:t>1,856,134 (10)</w:t>
            </w: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00" w:type="dxa"/>
            <w:vAlign w:val="bottom"/>
          </w:tcPr>
          <w:p>
            <w:pPr>
              <w:ind w:left="60"/>
              <w:spacing w:after="0"/>
              <w:rPr>
                <w:sz w:val="20"/>
                <w:szCs w:val="20"/>
                <w:color w:val="auto"/>
              </w:rPr>
            </w:pPr>
            <w:r>
              <w:rPr>
                <w:rFonts w:ascii="Arial" w:cs="Arial" w:eastAsia="Arial" w:hAnsi="Arial"/>
                <w:sz w:val="14"/>
                <w:szCs w:val="14"/>
                <w:b w:val="1"/>
                <w:bCs w:val="1"/>
                <w:color w:val="0066BA"/>
              </w:rPr>
              <w:t>John</w:t>
            </w:r>
          </w:p>
        </w:tc>
        <w:tc>
          <w:tcPr>
            <w:tcW w:w="80" w:type="dxa"/>
            <w:vAlign w:val="bottom"/>
            <w:tcBorders>
              <w:bottom w:val="single" w:sz="8" w:color="EAEAEA"/>
            </w:tcBorders>
            <w:shd w:val="clear" w:color="auto" w:fill="EAEAEA"/>
          </w:tcPr>
          <w:p>
            <w:pPr>
              <w:spacing w:after="0"/>
              <w:rPr>
                <w:sz w:val="16"/>
                <w:szCs w:val="16"/>
                <w:color w:val="auto"/>
              </w:rPr>
            </w:pPr>
          </w:p>
        </w:tc>
        <w:tc>
          <w:tcPr>
            <w:tcW w:w="720" w:type="dxa"/>
            <w:vAlign w:val="bottom"/>
            <w:tcBorders>
              <w:bottom w:val="single" w:sz="8" w:color="EAEAEA"/>
            </w:tcBorders>
            <w:shd w:val="clear" w:color="auto" w:fill="EAEAEA"/>
          </w:tcPr>
          <w:p>
            <w:pPr>
              <w:jc w:val="right"/>
              <w:spacing w:after="0" w:line="166" w:lineRule="exact"/>
              <w:rPr>
                <w:sz w:val="20"/>
                <w:szCs w:val="20"/>
                <w:color w:val="auto"/>
              </w:rPr>
            </w:pPr>
            <w:r>
              <w:rPr>
                <w:rFonts w:ascii="Arial" w:cs="Arial" w:eastAsia="Arial" w:hAnsi="Arial"/>
                <w:sz w:val="16"/>
                <w:szCs w:val="16"/>
                <w:color w:val="auto"/>
                <w:w w:val="98"/>
              </w:rPr>
              <w:t>3/10/2021</w:t>
            </w:r>
          </w:p>
        </w:tc>
        <w:tc>
          <w:tcPr>
            <w:tcW w:w="80" w:type="dxa"/>
            <w:vAlign w:val="bottom"/>
            <w:tcBorders>
              <w:bottom w:val="single" w:sz="8" w:color="EAEAEA"/>
            </w:tcBorders>
            <w:shd w:val="clear" w:color="auto" w:fill="EAEAEA"/>
          </w:tcPr>
          <w:p>
            <w:pPr>
              <w:spacing w:after="0"/>
              <w:rPr>
                <w:sz w:val="16"/>
                <w:szCs w:val="16"/>
                <w:color w:val="auto"/>
              </w:rPr>
            </w:pPr>
          </w:p>
        </w:tc>
        <w:tc>
          <w:tcPr>
            <w:tcW w:w="640" w:type="dxa"/>
            <w:vAlign w:val="bottom"/>
          </w:tcPr>
          <w:p>
            <w:pPr>
              <w:jc w:val="right"/>
              <w:spacing w:after="0" w:line="166"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EAEAEA"/>
            </w:tcBorders>
            <w:shd w:val="clear" w:color="auto" w:fill="EAEAEA"/>
          </w:tcPr>
          <w:p>
            <w:pPr>
              <w:spacing w:after="0"/>
              <w:rPr>
                <w:sz w:val="16"/>
                <w:szCs w:val="16"/>
                <w:color w:val="auto"/>
              </w:rPr>
            </w:pPr>
          </w:p>
        </w:tc>
        <w:tc>
          <w:tcPr>
            <w:tcW w:w="620" w:type="dxa"/>
            <w:vAlign w:val="bottom"/>
            <w:tcBorders>
              <w:bottom w:val="single" w:sz="8" w:color="EAEAEA"/>
            </w:tcBorders>
            <w:shd w:val="clear" w:color="auto" w:fill="EAEAEA"/>
          </w:tcPr>
          <w:p>
            <w:pPr>
              <w:jc w:val="right"/>
              <w:spacing w:after="0" w:line="166"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EAEAEA"/>
            </w:tcBorders>
            <w:shd w:val="clear" w:color="auto" w:fill="EAEAEA"/>
          </w:tcPr>
          <w:p>
            <w:pPr>
              <w:spacing w:after="0"/>
              <w:rPr>
                <w:sz w:val="16"/>
                <w:szCs w:val="16"/>
                <w:color w:val="auto"/>
              </w:rPr>
            </w:pPr>
          </w:p>
        </w:tc>
        <w:tc>
          <w:tcPr>
            <w:tcW w:w="1020" w:type="dxa"/>
            <w:vAlign w:val="bottom"/>
            <w:tcBorders>
              <w:right w:val="single" w:sz="8" w:color="EAEAEA"/>
            </w:tcBorders>
          </w:tcPr>
          <w:p>
            <w:pPr>
              <w:jc w:val="right"/>
              <w:ind w:right="223"/>
              <w:spacing w:after="0" w:line="166"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EAEAEA"/>
            </w:tcBorders>
            <w:shd w:val="clear" w:color="auto" w:fill="EAEAEA"/>
          </w:tcPr>
          <w:p>
            <w:pPr>
              <w:spacing w:after="0"/>
              <w:rPr>
                <w:sz w:val="16"/>
                <w:szCs w:val="16"/>
                <w:color w:val="auto"/>
              </w:rPr>
            </w:pPr>
          </w:p>
        </w:tc>
        <w:tc>
          <w:tcPr>
            <w:tcW w:w="440" w:type="dxa"/>
            <w:vAlign w:val="bottom"/>
            <w:tcBorders>
              <w:bottom w:val="single" w:sz="8" w:color="EAEAEA"/>
            </w:tcBorders>
            <w:shd w:val="clear" w:color="auto" w:fill="EAEAEA"/>
          </w:tcPr>
          <w:p>
            <w:pPr>
              <w:jc w:val="right"/>
              <w:spacing w:after="0" w:line="166"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EAEAEA"/>
            </w:tcBorders>
            <w:shd w:val="clear" w:color="auto" w:fill="EAEAEA"/>
          </w:tcPr>
          <w:p>
            <w:pPr>
              <w:spacing w:after="0"/>
              <w:rPr>
                <w:sz w:val="16"/>
                <w:szCs w:val="16"/>
                <w:color w:val="auto"/>
              </w:rPr>
            </w:pPr>
          </w:p>
        </w:tc>
        <w:tc>
          <w:tcPr>
            <w:tcW w:w="660" w:type="dxa"/>
            <w:vAlign w:val="bottom"/>
          </w:tcPr>
          <w:p>
            <w:pPr>
              <w:jc w:val="right"/>
              <w:ind w:right="3"/>
              <w:spacing w:after="0" w:line="166" w:lineRule="exact"/>
              <w:rPr>
                <w:sz w:val="20"/>
                <w:szCs w:val="20"/>
                <w:color w:val="auto"/>
              </w:rPr>
            </w:pPr>
            <w:r>
              <w:rPr>
                <w:rFonts w:ascii="Arial" w:cs="Arial" w:eastAsia="Arial" w:hAnsi="Arial"/>
                <w:sz w:val="16"/>
                <w:szCs w:val="16"/>
                <w:color w:val="auto"/>
              </w:rPr>
              <w:t>3,873</w:t>
            </w:r>
          </w:p>
        </w:tc>
        <w:tc>
          <w:tcPr>
            <w:tcW w:w="80" w:type="dxa"/>
            <w:vAlign w:val="bottom"/>
            <w:tcBorders>
              <w:bottom w:val="single" w:sz="8" w:color="EAEAEA"/>
            </w:tcBorders>
            <w:shd w:val="clear" w:color="auto" w:fill="EAEAEA"/>
          </w:tcPr>
          <w:p>
            <w:pPr>
              <w:spacing w:after="0"/>
              <w:rPr>
                <w:sz w:val="16"/>
                <w:szCs w:val="16"/>
                <w:color w:val="auto"/>
              </w:rPr>
            </w:pPr>
          </w:p>
        </w:tc>
        <w:tc>
          <w:tcPr>
            <w:tcW w:w="500" w:type="dxa"/>
            <w:vAlign w:val="bottom"/>
            <w:tcBorders>
              <w:bottom w:val="single" w:sz="8" w:color="EAEAEA"/>
            </w:tcBorders>
            <w:shd w:val="clear" w:color="auto" w:fill="EAEAEA"/>
          </w:tcPr>
          <w:p>
            <w:pPr>
              <w:jc w:val="right"/>
              <w:spacing w:after="0" w:line="166" w:lineRule="exact"/>
              <w:rPr>
                <w:sz w:val="20"/>
                <w:szCs w:val="20"/>
                <w:color w:val="auto"/>
              </w:rPr>
            </w:pPr>
            <w:r>
              <w:rPr>
                <w:rFonts w:ascii="Arial" w:cs="Arial" w:eastAsia="Arial" w:hAnsi="Arial"/>
                <w:sz w:val="16"/>
                <w:szCs w:val="16"/>
                <w:color w:val="auto"/>
              </w:rPr>
              <w:t>7,746</w:t>
            </w:r>
          </w:p>
        </w:tc>
        <w:tc>
          <w:tcPr>
            <w:tcW w:w="80" w:type="dxa"/>
            <w:vAlign w:val="bottom"/>
            <w:tcBorders>
              <w:bottom w:val="single" w:sz="8" w:color="EAEAEA"/>
            </w:tcBorders>
            <w:shd w:val="clear" w:color="auto" w:fill="EAEAEA"/>
          </w:tcPr>
          <w:p>
            <w:pPr>
              <w:spacing w:after="0"/>
              <w:rPr>
                <w:sz w:val="16"/>
                <w:szCs w:val="16"/>
                <w:color w:val="auto"/>
              </w:rPr>
            </w:pPr>
          </w:p>
        </w:tc>
        <w:tc>
          <w:tcPr>
            <w:tcW w:w="680" w:type="dxa"/>
            <w:vAlign w:val="bottom"/>
          </w:tcPr>
          <w:p>
            <w:pPr>
              <w:jc w:val="right"/>
              <w:spacing w:after="0" w:line="166"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EAEAEA"/>
            </w:tcBorders>
            <w:shd w:val="clear" w:color="auto" w:fill="EAEAEA"/>
          </w:tcPr>
          <w:p>
            <w:pPr>
              <w:spacing w:after="0"/>
              <w:rPr>
                <w:sz w:val="16"/>
                <w:szCs w:val="16"/>
                <w:color w:val="auto"/>
              </w:rPr>
            </w:pPr>
          </w:p>
        </w:tc>
        <w:tc>
          <w:tcPr>
            <w:tcW w:w="560" w:type="dxa"/>
            <w:vAlign w:val="bottom"/>
            <w:tcBorders>
              <w:bottom w:val="single" w:sz="8" w:color="EAEAEA"/>
            </w:tcBorders>
            <w:shd w:val="clear" w:color="auto" w:fill="EAEAEA"/>
          </w:tcPr>
          <w:p>
            <w:pPr>
              <w:jc w:val="right"/>
              <w:spacing w:after="0" w:line="166"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EAEAEA"/>
            </w:tcBorders>
            <w:shd w:val="clear" w:color="auto" w:fill="EAEAEA"/>
          </w:tcPr>
          <w:p>
            <w:pPr>
              <w:spacing w:after="0"/>
              <w:rPr>
                <w:sz w:val="16"/>
                <w:szCs w:val="16"/>
                <w:color w:val="auto"/>
              </w:rPr>
            </w:pPr>
          </w:p>
        </w:tc>
        <w:tc>
          <w:tcPr>
            <w:tcW w:w="640" w:type="dxa"/>
            <w:vAlign w:val="bottom"/>
          </w:tcPr>
          <w:p>
            <w:pPr>
              <w:jc w:val="right"/>
              <w:spacing w:after="0" w:line="166"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EAEAEA"/>
            </w:tcBorders>
            <w:shd w:val="clear" w:color="auto" w:fill="EAEAEA"/>
          </w:tcPr>
          <w:p>
            <w:pPr>
              <w:spacing w:after="0"/>
              <w:rPr>
                <w:sz w:val="16"/>
                <w:szCs w:val="16"/>
                <w:color w:val="auto"/>
              </w:rPr>
            </w:pPr>
          </w:p>
        </w:tc>
        <w:tc>
          <w:tcPr>
            <w:tcW w:w="740" w:type="dxa"/>
            <w:vAlign w:val="bottom"/>
            <w:tcBorders>
              <w:bottom w:val="single" w:sz="8" w:color="EAEAEA"/>
            </w:tcBorders>
            <w:shd w:val="clear" w:color="auto" w:fill="EAEAEA"/>
          </w:tcPr>
          <w:p>
            <w:pPr>
              <w:jc w:val="right"/>
              <w:spacing w:after="0" w:line="166" w:lineRule="exact"/>
              <w:rPr>
                <w:sz w:val="20"/>
                <w:szCs w:val="20"/>
                <w:color w:val="auto"/>
              </w:rPr>
            </w:pPr>
            <w:r>
              <w:rPr>
                <w:rFonts w:ascii="Arial" w:cs="Arial" w:eastAsia="Arial" w:hAnsi="Arial"/>
                <w:sz w:val="16"/>
                <w:szCs w:val="16"/>
                <w:color w:val="auto"/>
              </w:rPr>
              <w:t>543,377</w:t>
            </w:r>
          </w:p>
        </w:tc>
        <w:tc>
          <w:tcPr>
            <w:tcW w:w="180" w:type="dxa"/>
            <w:vAlign w:val="bottom"/>
            <w:tcBorders>
              <w:bottom w:val="single" w:sz="8" w:color="EAEAEA"/>
            </w:tcBorders>
            <w:shd w:val="clear" w:color="auto" w:fill="EAEAEA"/>
          </w:tcPr>
          <w:p>
            <w:pPr>
              <w:jc w:val="right"/>
              <w:spacing w:after="0" w:line="166" w:lineRule="exact"/>
              <w:rPr>
                <w:sz w:val="20"/>
                <w:szCs w:val="20"/>
                <w:color w:val="auto"/>
              </w:rPr>
            </w:pPr>
            <w:r>
              <w:rPr>
                <w:rFonts w:ascii="Arial" w:cs="Arial" w:eastAsia="Arial" w:hAnsi="Arial"/>
                <w:sz w:val="16"/>
                <w:szCs w:val="16"/>
                <w:color w:val="auto"/>
                <w:w w:val="81"/>
              </w:rPr>
              <w:t>(6)</w:t>
            </w:r>
          </w:p>
        </w:tc>
        <w:tc>
          <w:tcPr>
            <w:tcW w:w="80" w:type="dxa"/>
            <w:vAlign w:val="bottom"/>
            <w:tcBorders>
              <w:bottom w:val="single" w:sz="8" w:color="EAEAEA"/>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00" w:type="dxa"/>
            <w:vAlign w:val="bottom"/>
          </w:tcPr>
          <w:p>
            <w:pPr>
              <w:ind w:left="60"/>
              <w:spacing w:after="0" w:line="137" w:lineRule="exact"/>
              <w:rPr>
                <w:sz w:val="20"/>
                <w:szCs w:val="20"/>
                <w:color w:val="auto"/>
              </w:rPr>
            </w:pPr>
            <w:r>
              <w:rPr>
                <w:rFonts w:ascii="Arial" w:cs="Arial" w:eastAsia="Arial" w:hAnsi="Arial"/>
                <w:sz w:val="14"/>
                <w:szCs w:val="14"/>
                <w:b w:val="1"/>
                <w:bCs w:val="1"/>
                <w:color w:val="0066BA"/>
              </w:rPr>
              <w:t>Hassett</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72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rPr>
              <w:t>3/10/2021</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62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1020" w:type="dxa"/>
            <w:vAlign w:val="bottom"/>
            <w:tcBorders>
              <w:top w:val="single" w:sz="8" w:color="auto"/>
              <w:bottom w:val="single" w:sz="8" w:color="auto"/>
              <w:right w:val="single" w:sz="8" w:color="EAEAEA"/>
            </w:tcBorders>
          </w:tcPr>
          <w:p>
            <w:pPr>
              <w:jc w:val="right"/>
              <w:ind w:right="223"/>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auto"/>
            </w:tcBorders>
            <w:shd w:val="clear" w:color="auto" w:fill="EAEAEA"/>
          </w:tcPr>
          <w:p>
            <w:pPr>
              <w:spacing w:after="0"/>
              <w:rPr>
                <w:sz w:val="16"/>
                <w:szCs w:val="16"/>
                <w:color w:val="auto"/>
              </w:rPr>
            </w:pPr>
          </w:p>
        </w:tc>
        <w:tc>
          <w:tcPr>
            <w:tcW w:w="44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6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3,873</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50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7,746</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56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74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631,841</w:t>
            </w:r>
          </w:p>
        </w:tc>
        <w:tc>
          <w:tcPr>
            <w:tcW w:w="18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1"/>
              </w:rPr>
              <w:t>(6)</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00" w:type="dxa"/>
            <w:vAlign w:val="bottom"/>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rPr>
              <w:t>3/10/2021</w:t>
            </w:r>
          </w:p>
        </w:tc>
        <w:tc>
          <w:tcPr>
            <w:tcW w:w="80" w:type="dxa"/>
            <w:vAlign w:val="bottom"/>
            <w:tcBorders>
              <w:bottom w:val="single" w:sz="8" w:color="auto"/>
            </w:tcBorders>
            <w:shd w:val="clear" w:color="auto" w:fill="EAEAEA"/>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1020" w:type="dxa"/>
            <w:vAlign w:val="bottom"/>
            <w:tcBorders>
              <w:bottom w:val="single" w:sz="8" w:color="auto"/>
              <w:right w:val="single" w:sz="8" w:color="EAEAEA"/>
            </w:tcBorders>
          </w:tcPr>
          <w:p>
            <w:pPr>
              <w:jc w:val="right"/>
              <w:ind w:right="22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3,873</w:t>
            </w:r>
          </w:p>
        </w:tc>
        <w:tc>
          <w:tcPr>
            <w:tcW w:w="80" w:type="dxa"/>
            <w:vAlign w:val="bottom"/>
            <w:tcBorders>
              <w:bottom w:val="single" w:sz="8" w:color="auto"/>
            </w:tcBorders>
            <w:shd w:val="clear" w:color="auto" w:fill="EAEAEA"/>
          </w:tcPr>
          <w:p>
            <w:pPr>
              <w:spacing w:after="0"/>
              <w:rPr>
                <w:sz w:val="16"/>
                <w:szCs w:val="16"/>
                <w:color w:val="auto"/>
              </w:rPr>
            </w:pPr>
          </w:p>
        </w:tc>
        <w:tc>
          <w:tcPr>
            <w:tcW w:w="5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543,377</w:t>
            </w:r>
          </w:p>
        </w:tc>
        <w:tc>
          <w:tcPr>
            <w:tcW w:w="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1"/>
              </w:rPr>
              <w:t>(7)</w:t>
            </w: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00" w:type="dxa"/>
            <w:vAlign w:val="bottom"/>
            <w:tcBorders>
              <w:bottom w:val="single" w:sz="8" w:color="0066BA"/>
            </w:tcBorders>
          </w:tcPr>
          <w:p>
            <w:pPr>
              <w:spacing w:after="0"/>
              <w:rPr>
                <w:sz w:val="16"/>
                <w:szCs w:val="16"/>
                <w:color w:val="auto"/>
              </w:rPr>
            </w:pPr>
          </w:p>
        </w:tc>
        <w:tc>
          <w:tcPr>
            <w:tcW w:w="80" w:type="dxa"/>
            <w:vAlign w:val="bottom"/>
            <w:tcBorders>
              <w:bottom w:val="single" w:sz="8" w:color="0066BA"/>
            </w:tcBorders>
            <w:shd w:val="clear" w:color="auto" w:fill="EAEAEA"/>
          </w:tcPr>
          <w:p>
            <w:pPr>
              <w:spacing w:after="0"/>
              <w:rPr>
                <w:sz w:val="16"/>
                <w:szCs w:val="16"/>
                <w:color w:val="auto"/>
              </w:rPr>
            </w:pPr>
          </w:p>
        </w:tc>
        <w:tc>
          <w:tcPr>
            <w:tcW w:w="72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w w:val="98"/>
              </w:rPr>
              <w:t>3/10/2021</w:t>
            </w:r>
          </w:p>
        </w:tc>
        <w:tc>
          <w:tcPr>
            <w:tcW w:w="80" w:type="dxa"/>
            <w:vAlign w:val="bottom"/>
            <w:tcBorders>
              <w:bottom w:val="single" w:sz="8" w:color="0066BA"/>
            </w:tcBorders>
            <w:shd w:val="clear" w:color="auto" w:fill="EAEAEA"/>
          </w:tcPr>
          <w:p>
            <w:pPr>
              <w:spacing w:after="0"/>
              <w:rPr>
                <w:sz w:val="16"/>
                <w:szCs w:val="16"/>
                <w:color w:val="auto"/>
              </w:rPr>
            </w:pPr>
          </w:p>
        </w:tc>
        <w:tc>
          <w:tcPr>
            <w:tcW w:w="640" w:type="dxa"/>
            <w:vAlign w:val="bottom"/>
            <w:tcBorders>
              <w:bottom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62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1020" w:type="dxa"/>
            <w:vAlign w:val="bottom"/>
            <w:tcBorders>
              <w:bottom w:val="single" w:sz="8" w:color="0066BA"/>
              <w:right w:val="single" w:sz="8" w:color="EAEAEA"/>
            </w:tcBorders>
          </w:tcPr>
          <w:p>
            <w:pPr>
              <w:jc w:val="right"/>
              <w:ind w:right="22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0066BA"/>
            </w:tcBorders>
            <w:shd w:val="clear" w:color="auto" w:fill="EAEAEA"/>
          </w:tcPr>
          <w:p>
            <w:pPr>
              <w:spacing w:after="0"/>
              <w:rPr>
                <w:sz w:val="16"/>
                <w:szCs w:val="16"/>
                <w:color w:val="auto"/>
              </w:rPr>
            </w:pPr>
          </w:p>
        </w:tc>
        <w:tc>
          <w:tcPr>
            <w:tcW w:w="44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660" w:type="dxa"/>
            <w:vAlign w:val="bottom"/>
            <w:tcBorders>
              <w:bottom w:val="single" w:sz="8" w:color="0066BA"/>
            </w:tcBorders>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50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680" w:type="dxa"/>
            <w:vAlign w:val="bottom"/>
            <w:tcBorders>
              <w:bottom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56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14,158</w:t>
            </w:r>
          </w:p>
        </w:tc>
        <w:tc>
          <w:tcPr>
            <w:tcW w:w="80" w:type="dxa"/>
            <w:vAlign w:val="bottom"/>
            <w:tcBorders>
              <w:bottom w:val="single" w:sz="8" w:color="0066BA"/>
            </w:tcBorders>
            <w:shd w:val="clear" w:color="auto" w:fill="EAEAEA"/>
          </w:tcPr>
          <w:p>
            <w:pPr>
              <w:spacing w:after="0"/>
              <w:rPr>
                <w:sz w:val="16"/>
                <w:szCs w:val="16"/>
                <w:color w:val="auto"/>
              </w:rPr>
            </w:pPr>
          </w:p>
        </w:tc>
        <w:tc>
          <w:tcPr>
            <w:tcW w:w="640" w:type="dxa"/>
            <w:vAlign w:val="bottom"/>
            <w:tcBorders>
              <w:bottom w:val="single" w:sz="8" w:color="0066BA"/>
            </w:tcBorders>
          </w:tcPr>
          <w:p>
            <w:pPr>
              <w:jc w:val="right"/>
              <w:spacing w:after="0"/>
              <w:rPr>
                <w:sz w:val="20"/>
                <w:szCs w:val="20"/>
                <w:color w:val="auto"/>
              </w:rPr>
            </w:pPr>
            <w:r>
              <w:rPr>
                <w:rFonts w:ascii="Arial" w:cs="Arial" w:eastAsia="Arial" w:hAnsi="Arial"/>
                <w:sz w:val="16"/>
                <w:szCs w:val="16"/>
                <w:color w:val="auto"/>
              </w:rPr>
              <w:t>147.11</w:t>
            </w:r>
          </w:p>
        </w:tc>
        <w:tc>
          <w:tcPr>
            <w:tcW w:w="80" w:type="dxa"/>
            <w:vAlign w:val="bottom"/>
            <w:tcBorders>
              <w:bottom w:val="single" w:sz="8" w:color="0066BA"/>
            </w:tcBorders>
            <w:shd w:val="clear" w:color="auto" w:fill="EAEAEA"/>
          </w:tcPr>
          <w:p>
            <w:pPr>
              <w:spacing w:after="0"/>
              <w:rPr>
                <w:sz w:val="16"/>
                <w:szCs w:val="16"/>
                <w:color w:val="auto"/>
              </w:rPr>
            </w:pPr>
          </w:p>
        </w:tc>
        <w:tc>
          <w:tcPr>
            <w:tcW w:w="74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546,179</w:t>
            </w:r>
          </w:p>
        </w:tc>
        <w:tc>
          <w:tcPr>
            <w:tcW w:w="18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w w:val="81"/>
              </w:rPr>
              <w:t>(8)</w:t>
            </w:r>
          </w:p>
        </w:tc>
        <w:tc>
          <w:tcPr>
            <w:tcW w:w="80" w:type="dxa"/>
            <w:vAlign w:val="bottom"/>
            <w:tcBorders>
              <w:bottom w:val="single" w:sz="8" w:color="0066BA"/>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00" w:type="dxa"/>
            <w:vAlign w:val="bottom"/>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N/A</w:t>
            </w:r>
          </w:p>
        </w:tc>
        <w:tc>
          <w:tcPr>
            <w:tcW w:w="80" w:type="dxa"/>
            <w:vAlign w:val="bottom"/>
            <w:tcBorders>
              <w:bottom w:val="single" w:sz="8" w:color="auto"/>
            </w:tcBorders>
            <w:shd w:val="clear" w:color="auto" w:fill="EAEAEA"/>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456,154</w:t>
            </w:r>
          </w:p>
        </w:tc>
        <w:tc>
          <w:tcPr>
            <w:tcW w:w="80" w:type="dxa"/>
            <w:vAlign w:val="bottom"/>
            <w:tcBorders>
              <w:bottom w:val="single" w:sz="8" w:color="auto"/>
            </w:tcBorders>
            <w:shd w:val="clear" w:color="auto" w:fill="EAEAEA"/>
          </w:tcPr>
          <w:p>
            <w:pPr>
              <w:spacing w:after="0"/>
              <w:rPr>
                <w:sz w:val="16"/>
                <w:szCs w:val="16"/>
                <w:color w:val="auto"/>
              </w:rPr>
            </w:pPr>
          </w:p>
        </w:tc>
        <w:tc>
          <w:tcPr>
            <w:tcW w:w="1020" w:type="dxa"/>
            <w:vAlign w:val="bottom"/>
            <w:tcBorders>
              <w:bottom w:val="single" w:sz="8" w:color="auto"/>
              <w:right w:val="single" w:sz="8" w:color="EAEAEA"/>
            </w:tcBorders>
          </w:tcPr>
          <w:p>
            <w:pPr>
              <w:jc w:val="right"/>
              <w:ind w:right="223"/>
              <w:spacing w:after="0"/>
              <w:rPr>
                <w:sz w:val="20"/>
                <w:szCs w:val="20"/>
                <w:color w:val="auto"/>
              </w:rPr>
            </w:pPr>
            <w:r>
              <w:rPr>
                <w:rFonts w:ascii="Arial" w:cs="Arial" w:eastAsia="Arial" w:hAnsi="Arial"/>
                <w:sz w:val="16"/>
                <w:szCs w:val="16"/>
                <w:color w:val="auto"/>
                <w:w w:val="98"/>
              </w:rPr>
              <w:t>1,368,462</w:t>
            </w:r>
          </w:p>
        </w:tc>
        <w:tc>
          <w:tcPr>
            <w:tcW w:w="10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5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40" w:type="dxa"/>
            <w:vAlign w:val="bottom"/>
            <w:tcBorders>
              <w:bottom w:val="single" w:sz="8" w:color="auto"/>
            </w:tcBorders>
            <w:shd w:val="clear" w:color="auto" w:fill="EAEAEA"/>
          </w:tcPr>
          <w:p>
            <w:pPr>
              <w:jc w:val="right"/>
              <w:ind w:right="4"/>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00" w:type="dxa"/>
            <w:vAlign w:val="bottom"/>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7"/>
              </w:rPr>
              <w:t>12/15/2020</w:t>
            </w:r>
          </w:p>
        </w:tc>
        <w:tc>
          <w:tcPr>
            <w:tcW w:w="80" w:type="dxa"/>
            <w:vAlign w:val="bottom"/>
            <w:tcBorders>
              <w:bottom w:val="single" w:sz="8" w:color="auto"/>
            </w:tcBorders>
            <w:shd w:val="clear" w:color="auto" w:fill="EAEAEA"/>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1020" w:type="dxa"/>
            <w:vAlign w:val="bottom"/>
            <w:tcBorders>
              <w:bottom w:val="single" w:sz="8" w:color="auto"/>
              <w:right w:val="single" w:sz="8" w:color="EAEAEA"/>
            </w:tcBorders>
          </w:tcPr>
          <w:p>
            <w:pPr>
              <w:jc w:val="right"/>
              <w:ind w:right="22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13,460</w:t>
            </w:r>
          </w:p>
        </w:tc>
        <w:tc>
          <w:tcPr>
            <w:tcW w:w="8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rPr>
              <w:t>26,920</w:t>
            </w:r>
          </w:p>
        </w:tc>
        <w:tc>
          <w:tcPr>
            <w:tcW w:w="80" w:type="dxa"/>
            <w:vAlign w:val="bottom"/>
            <w:tcBorders>
              <w:bottom w:val="single" w:sz="8" w:color="auto"/>
            </w:tcBorders>
            <w:shd w:val="clear" w:color="auto" w:fill="EAEAEA"/>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5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920" w:type="dxa"/>
            <w:vAlign w:val="bottom"/>
            <w:tcBorders>
              <w:bottom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w w:val="86"/>
              </w:rPr>
              <w:t>1,856,134 (10)</w:t>
            </w: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00" w:type="dxa"/>
            <w:vAlign w:val="bottom"/>
          </w:tcPr>
          <w:p>
            <w:pPr>
              <w:ind w:left="60"/>
              <w:spacing w:after="0"/>
              <w:rPr>
                <w:sz w:val="20"/>
                <w:szCs w:val="20"/>
                <w:color w:val="auto"/>
              </w:rPr>
            </w:pPr>
            <w:r>
              <w:rPr>
                <w:rFonts w:ascii="Arial" w:cs="Arial" w:eastAsia="Arial" w:hAnsi="Arial"/>
                <w:sz w:val="14"/>
                <w:szCs w:val="14"/>
                <w:b w:val="1"/>
                <w:bCs w:val="1"/>
                <w:color w:val="0066BA"/>
              </w:rPr>
              <w:t>Greg</w:t>
            </w:r>
          </w:p>
        </w:tc>
        <w:tc>
          <w:tcPr>
            <w:tcW w:w="80" w:type="dxa"/>
            <w:vAlign w:val="bottom"/>
            <w:tcBorders>
              <w:bottom w:val="single" w:sz="8" w:color="EAEAEA"/>
            </w:tcBorders>
            <w:shd w:val="clear" w:color="auto" w:fill="EAEAEA"/>
          </w:tcPr>
          <w:p>
            <w:pPr>
              <w:spacing w:after="0"/>
              <w:rPr>
                <w:sz w:val="16"/>
                <w:szCs w:val="16"/>
                <w:color w:val="auto"/>
              </w:rPr>
            </w:pPr>
          </w:p>
        </w:tc>
        <w:tc>
          <w:tcPr>
            <w:tcW w:w="720" w:type="dxa"/>
            <w:vAlign w:val="bottom"/>
            <w:tcBorders>
              <w:bottom w:val="single" w:sz="8" w:color="EAEAEA"/>
            </w:tcBorders>
            <w:shd w:val="clear" w:color="auto" w:fill="EAEAEA"/>
          </w:tcPr>
          <w:p>
            <w:pPr>
              <w:jc w:val="right"/>
              <w:spacing w:after="0" w:line="166" w:lineRule="exact"/>
              <w:rPr>
                <w:sz w:val="20"/>
                <w:szCs w:val="20"/>
                <w:color w:val="auto"/>
              </w:rPr>
            </w:pPr>
            <w:r>
              <w:rPr>
                <w:rFonts w:ascii="Arial" w:cs="Arial" w:eastAsia="Arial" w:hAnsi="Arial"/>
                <w:sz w:val="16"/>
                <w:szCs w:val="16"/>
                <w:color w:val="auto"/>
                <w:w w:val="98"/>
              </w:rPr>
              <w:t>3/10/2021</w:t>
            </w:r>
          </w:p>
        </w:tc>
        <w:tc>
          <w:tcPr>
            <w:tcW w:w="80" w:type="dxa"/>
            <w:vAlign w:val="bottom"/>
            <w:tcBorders>
              <w:bottom w:val="single" w:sz="8" w:color="EAEAEA"/>
            </w:tcBorders>
            <w:shd w:val="clear" w:color="auto" w:fill="EAEAEA"/>
          </w:tcPr>
          <w:p>
            <w:pPr>
              <w:spacing w:after="0"/>
              <w:rPr>
                <w:sz w:val="16"/>
                <w:szCs w:val="16"/>
                <w:color w:val="auto"/>
              </w:rPr>
            </w:pPr>
          </w:p>
        </w:tc>
        <w:tc>
          <w:tcPr>
            <w:tcW w:w="640" w:type="dxa"/>
            <w:vAlign w:val="bottom"/>
          </w:tcPr>
          <w:p>
            <w:pPr>
              <w:jc w:val="right"/>
              <w:spacing w:after="0" w:line="166"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EAEAEA"/>
            </w:tcBorders>
            <w:shd w:val="clear" w:color="auto" w:fill="EAEAEA"/>
          </w:tcPr>
          <w:p>
            <w:pPr>
              <w:spacing w:after="0"/>
              <w:rPr>
                <w:sz w:val="16"/>
                <w:szCs w:val="16"/>
                <w:color w:val="auto"/>
              </w:rPr>
            </w:pPr>
          </w:p>
        </w:tc>
        <w:tc>
          <w:tcPr>
            <w:tcW w:w="620" w:type="dxa"/>
            <w:vAlign w:val="bottom"/>
            <w:tcBorders>
              <w:bottom w:val="single" w:sz="8" w:color="EAEAEA"/>
            </w:tcBorders>
            <w:shd w:val="clear" w:color="auto" w:fill="EAEAEA"/>
          </w:tcPr>
          <w:p>
            <w:pPr>
              <w:jc w:val="right"/>
              <w:spacing w:after="0" w:line="166"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EAEAEA"/>
            </w:tcBorders>
            <w:shd w:val="clear" w:color="auto" w:fill="EAEAEA"/>
          </w:tcPr>
          <w:p>
            <w:pPr>
              <w:spacing w:after="0"/>
              <w:rPr>
                <w:sz w:val="16"/>
                <w:szCs w:val="16"/>
                <w:color w:val="auto"/>
              </w:rPr>
            </w:pPr>
          </w:p>
        </w:tc>
        <w:tc>
          <w:tcPr>
            <w:tcW w:w="1020" w:type="dxa"/>
            <w:vAlign w:val="bottom"/>
            <w:tcBorders>
              <w:right w:val="single" w:sz="8" w:color="EAEAEA"/>
            </w:tcBorders>
          </w:tcPr>
          <w:p>
            <w:pPr>
              <w:jc w:val="right"/>
              <w:ind w:right="223"/>
              <w:spacing w:after="0" w:line="166"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EAEAEA"/>
            </w:tcBorders>
            <w:shd w:val="clear" w:color="auto" w:fill="EAEAEA"/>
          </w:tcPr>
          <w:p>
            <w:pPr>
              <w:spacing w:after="0"/>
              <w:rPr>
                <w:sz w:val="16"/>
                <w:szCs w:val="16"/>
                <w:color w:val="auto"/>
              </w:rPr>
            </w:pPr>
          </w:p>
        </w:tc>
        <w:tc>
          <w:tcPr>
            <w:tcW w:w="440" w:type="dxa"/>
            <w:vAlign w:val="bottom"/>
            <w:tcBorders>
              <w:bottom w:val="single" w:sz="8" w:color="EAEAEA"/>
            </w:tcBorders>
            <w:shd w:val="clear" w:color="auto" w:fill="EAEAEA"/>
          </w:tcPr>
          <w:p>
            <w:pPr>
              <w:jc w:val="right"/>
              <w:spacing w:after="0" w:line="166"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EAEAEA"/>
            </w:tcBorders>
            <w:shd w:val="clear" w:color="auto" w:fill="EAEAEA"/>
          </w:tcPr>
          <w:p>
            <w:pPr>
              <w:spacing w:after="0"/>
              <w:rPr>
                <w:sz w:val="16"/>
                <w:szCs w:val="16"/>
                <w:color w:val="auto"/>
              </w:rPr>
            </w:pPr>
          </w:p>
        </w:tc>
        <w:tc>
          <w:tcPr>
            <w:tcW w:w="660" w:type="dxa"/>
            <w:vAlign w:val="bottom"/>
          </w:tcPr>
          <w:p>
            <w:pPr>
              <w:jc w:val="right"/>
              <w:ind w:right="3"/>
              <w:spacing w:after="0" w:line="166" w:lineRule="exact"/>
              <w:rPr>
                <w:sz w:val="20"/>
                <w:szCs w:val="20"/>
                <w:color w:val="auto"/>
              </w:rPr>
            </w:pPr>
            <w:r>
              <w:rPr>
                <w:rFonts w:ascii="Arial" w:cs="Arial" w:eastAsia="Arial" w:hAnsi="Arial"/>
                <w:sz w:val="16"/>
                <w:szCs w:val="16"/>
                <w:color w:val="auto"/>
              </w:rPr>
              <w:t>3,873</w:t>
            </w:r>
          </w:p>
        </w:tc>
        <w:tc>
          <w:tcPr>
            <w:tcW w:w="80" w:type="dxa"/>
            <w:vAlign w:val="bottom"/>
            <w:tcBorders>
              <w:bottom w:val="single" w:sz="8" w:color="EAEAEA"/>
            </w:tcBorders>
            <w:shd w:val="clear" w:color="auto" w:fill="EAEAEA"/>
          </w:tcPr>
          <w:p>
            <w:pPr>
              <w:spacing w:after="0"/>
              <w:rPr>
                <w:sz w:val="16"/>
                <w:szCs w:val="16"/>
                <w:color w:val="auto"/>
              </w:rPr>
            </w:pPr>
          </w:p>
        </w:tc>
        <w:tc>
          <w:tcPr>
            <w:tcW w:w="500" w:type="dxa"/>
            <w:vAlign w:val="bottom"/>
            <w:tcBorders>
              <w:bottom w:val="single" w:sz="8" w:color="EAEAEA"/>
            </w:tcBorders>
            <w:shd w:val="clear" w:color="auto" w:fill="EAEAEA"/>
          </w:tcPr>
          <w:p>
            <w:pPr>
              <w:jc w:val="right"/>
              <w:spacing w:after="0" w:line="166" w:lineRule="exact"/>
              <w:rPr>
                <w:sz w:val="20"/>
                <w:szCs w:val="20"/>
                <w:color w:val="auto"/>
              </w:rPr>
            </w:pPr>
            <w:r>
              <w:rPr>
                <w:rFonts w:ascii="Arial" w:cs="Arial" w:eastAsia="Arial" w:hAnsi="Arial"/>
                <w:sz w:val="16"/>
                <w:szCs w:val="16"/>
                <w:color w:val="auto"/>
              </w:rPr>
              <w:t>7,746</w:t>
            </w:r>
          </w:p>
        </w:tc>
        <w:tc>
          <w:tcPr>
            <w:tcW w:w="80" w:type="dxa"/>
            <w:vAlign w:val="bottom"/>
            <w:tcBorders>
              <w:bottom w:val="single" w:sz="8" w:color="EAEAEA"/>
            </w:tcBorders>
            <w:shd w:val="clear" w:color="auto" w:fill="EAEAEA"/>
          </w:tcPr>
          <w:p>
            <w:pPr>
              <w:spacing w:after="0"/>
              <w:rPr>
                <w:sz w:val="16"/>
                <w:szCs w:val="16"/>
                <w:color w:val="auto"/>
              </w:rPr>
            </w:pPr>
          </w:p>
        </w:tc>
        <w:tc>
          <w:tcPr>
            <w:tcW w:w="680" w:type="dxa"/>
            <w:vAlign w:val="bottom"/>
          </w:tcPr>
          <w:p>
            <w:pPr>
              <w:jc w:val="right"/>
              <w:spacing w:after="0" w:line="166"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EAEAEA"/>
            </w:tcBorders>
            <w:shd w:val="clear" w:color="auto" w:fill="EAEAEA"/>
          </w:tcPr>
          <w:p>
            <w:pPr>
              <w:spacing w:after="0"/>
              <w:rPr>
                <w:sz w:val="16"/>
                <w:szCs w:val="16"/>
                <w:color w:val="auto"/>
              </w:rPr>
            </w:pPr>
          </w:p>
        </w:tc>
        <w:tc>
          <w:tcPr>
            <w:tcW w:w="560" w:type="dxa"/>
            <w:vAlign w:val="bottom"/>
            <w:tcBorders>
              <w:bottom w:val="single" w:sz="8" w:color="EAEAEA"/>
            </w:tcBorders>
            <w:shd w:val="clear" w:color="auto" w:fill="EAEAEA"/>
          </w:tcPr>
          <w:p>
            <w:pPr>
              <w:jc w:val="right"/>
              <w:spacing w:after="0" w:line="166"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EAEAEA"/>
            </w:tcBorders>
            <w:shd w:val="clear" w:color="auto" w:fill="EAEAEA"/>
          </w:tcPr>
          <w:p>
            <w:pPr>
              <w:spacing w:after="0"/>
              <w:rPr>
                <w:sz w:val="16"/>
                <w:szCs w:val="16"/>
                <w:color w:val="auto"/>
              </w:rPr>
            </w:pPr>
          </w:p>
        </w:tc>
        <w:tc>
          <w:tcPr>
            <w:tcW w:w="640" w:type="dxa"/>
            <w:vAlign w:val="bottom"/>
          </w:tcPr>
          <w:p>
            <w:pPr>
              <w:jc w:val="right"/>
              <w:spacing w:after="0" w:line="166"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EAEAEA"/>
            </w:tcBorders>
            <w:shd w:val="clear" w:color="auto" w:fill="EAEAEA"/>
          </w:tcPr>
          <w:p>
            <w:pPr>
              <w:spacing w:after="0"/>
              <w:rPr>
                <w:sz w:val="16"/>
                <w:szCs w:val="16"/>
                <w:color w:val="auto"/>
              </w:rPr>
            </w:pPr>
          </w:p>
        </w:tc>
        <w:tc>
          <w:tcPr>
            <w:tcW w:w="740" w:type="dxa"/>
            <w:vAlign w:val="bottom"/>
            <w:tcBorders>
              <w:bottom w:val="single" w:sz="8" w:color="EAEAEA"/>
            </w:tcBorders>
            <w:shd w:val="clear" w:color="auto" w:fill="EAEAEA"/>
          </w:tcPr>
          <w:p>
            <w:pPr>
              <w:jc w:val="right"/>
              <w:spacing w:after="0" w:line="166" w:lineRule="exact"/>
              <w:rPr>
                <w:sz w:val="20"/>
                <w:szCs w:val="20"/>
                <w:color w:val="auto"/>
              </w:rPr>
            </w:pPr>
            <w:r>
              <w:rPr>
                <w:rFonts w:ascii="Arial" w:cs="Arial" w:eastAsia="Arial" w:hAnsi="Arial"/>
                <w:sz w:val="16"/>
                <w:szCs w:val="16"/>
                <w:color w:val="auto"/>
              </w:rPr>
              <w:t>543,377</w:t>
            </w:r>
          </w:p>
        </w:tc>
        <w:tc>
          <w:tcPr>
            <w:tcW w:w="180" w:type="dxa"/>
            <w:vAlign w:val="bottom"/>
            <w:tcBorders>
              <w:bottom w:val="single" w:sz="8" w:color="EAEAEA"/>
            </w:tcBorders>
            <w:shd w:val="clear" w:color="auto" w:fill="EAEAEA"/>
          </w:tcPr>
          <w:p>
            <w:pPr>
              <w:jc w:val="right"/>
              <w:spacing w:after="0" w:line="166" w:lineRule="exact"/>
              <w:rPr>
                <w:sz w:val="20"/>
                <w:szCs w:val="20"/>
                <w:color w:val="auto"/>
              </w:rPr>
            </w:pPr>
            <w:r>
              <w:rPr>
                <w:rFonts w:ascii="Arial" w:cs="Arial" w:eastAsia="Arial" w:hAnsi="Arial"/>
                <w:sz w:val="16"/>
                <w:szCs w:val="16"/>
                <w:color w:val="auto"/>
                <w:w w:val="81"/>
              </w:rPr>
              <w:t>(6)</w:t>
            </w:r>
          </w:p>
        </w:tc>
        <w:tc>
          <w:tcPr>
            <w:tcW w:w="80" w:type="dxa"/>
            <w:vAlign w:val="bottom"/>
            <w:tcBorders>
              <w:bottom w:val="single" w:sz="8" w:color="EAEAEA"/>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00" w:type="dxa"/>
            <w:vAlign w:val="bottom"/>
          </w:tcPr>
          <w:p>
            <w:pPr>
              <w:ind w:left="60"/>
              <w:spacing w:after="0" w:line="137" w:lineRule="exact"/>
              <w:rPr>
                <w:sz w:val="20"/>
                <w:szCs w:val="20"/>
                <w:color w:val="auto"/>
              </w:rPr>
            </w:pPr>
            <w:r>
              <w:rPr>
                <w:rFonts w:ascii="Arial" w:cs="Arial" w:eastAsia="Arial" w:hAnsi="Arial"/>
                <w:sz w:val="14"/>
                <w:szCs w:val="14"/>
                <w:b w:val="1"/>
                <w:bCs w:val="1"/>
                <w:color w:val="0066BA"/>
              </w:rPr>
              <w:t>Henderson</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72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rPr>
              <w:t>3/10/2021</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62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1020" w:type="dxa"/>
            <w:vAlign w:val="bottom"/>
            <w:tcBorders>
              <w:top w:val="single" w:sz="8" w:color="auto"/>
              <w:bottom w:val="single" w:sz="8" w:color="auto"/>
              <w:right w:val="single" w:sz="8" w:color="EAEAEA"/>
            </w:tcBorders>
          </w:tcPr>
          <w:p>
            <w:pPr>
              <w:jc w:val="right"/>
              <w:ind w:right="223"/>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auto"/>
            </w:tcBorders>
            <w:shd w:val="clear" w:color="auto" w:fill="EAEAEA"/>
          </w:tcPr>
          <w:p>
            <w:pPr>
              <w:spacing w:after="0"/>
              <w:rPr>
                <w:sz w:val="16"/>
                <w:szCs w:val="16"/>
                <w:color w:val="auto"/>
              </w:rPr>
            </w:pPr>
          </w:p>
        </w:tc>
        <w:tc>
          <w:tcPr>
            <w:tcW w:w="44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6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3,873</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50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7,746</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56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74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631,841</w:t>
            </w:r>
          </w:p>
        </w:tc>
        <w:tc>
          <w:tcPr>
            <w:tcW w:w="18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1"/>
              </w:rPr>
              <w:t>(6)</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00" w:type="dxa"/>
            <w:vAlign w:val="bottom"/>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rPr>
              <w:t>3/10/2021</w:t>
            </w:r>
          </w:p>
        </w:tc>
        <w:tc>
          <w:tcPr>
            <w:tcW w:w="80" w:type="dxa"/>
            <w:vAlign w:val="bottom"/>
            <w:tcBorders>
              <w:bottom w:val="single" w:sz="8" w:color="auto"/>
            </w:tcBorders>
            <w:shd w:val="clear" w:color="auto" w:fill="EAEAEA"/>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1020" w:type="dxa"/>
            <w:vAlign w:val="bottom"/>
            <w:tcBorders>
              <w:bottom w:val="single" w:sz="8" w:color="auto"/>
              <w:right w:val="single" w:sz="8" w:color="EAEAEA"/>
            </w:tcBorders>
          </w:tcPr>
          <w:p>
            <w:pPr>
              <w:jc w:val="right"/>
              <w:ind w:right="22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3,873</w:t>
            </w:r>
          </w:p>
        </w:tc>
        <w:tc>
          <w:tcPr>
            <w:tcW w:w="80" w:type="dxa"/>
            <w:vAlign w:val="bottom"/>
            <w:tcBorders>
              <w:bottom w:val="single" w:sz="8" w:color="auto"/>
            </w:tcBorders>
            <w:shd w:val="clear" w:color="auto" w:fill="EAEAEA"/>
          </w:tcPr>
          <w:p>
            <w:pPr>
              <w:spacing w:after="0"/>
              <w:rPr>
                <w:sz w:val="16"/>
                <w:szCs w:val="16"/>
                <w:color w:val="auto"/>
              </w:rPr>
            </w:pPr>
          </w:p>
        </w:tc>
        <w:tc>
          <w:tcPr>
            <w:tcW w:w="5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543,377</w:t>
            </w:r>
          </w:p>
        </w:tc>
        <w:tc>
          <w:tcPr>
            <w:tcW w:w="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1"/>
              </w:rPr>
              <w:t>(7)</w:t>
            </w: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00" w:type="dxa"/>
            <w:vAlign w:val="bottom"/>
            <w:tcBorders>
              <w:bottom w:val="single" w:sz="8" w:color="0066BA"/>
            </w:tcBorders>
          </w:tcPr>
          <w:p>
            <w:pPr>
              <w:spacing w:after="0"/>
              <w:rPr>
                <w:sz w:val="16"/>
                <w:szCs w:val="16"/>
                <w:color w:val="auto"/>
              </w:rPr>
            </w:pPr>
          </w:p>
        </w:tc>
        <w:tc>
          <w:tcPr>
            <w:tcW w:w="80" w:type="dxa"/>
            <w:vAlign w:val="bottom"/>
            <w:tcBorders>
              <w:bottom w:val="single" w:sz="8" w:color="0066BA"/>
            </w:tcBorders>
            <w:shd w:val="clear" w:color="auto" w:fill="EAEAEA"/>
          </w:tcPr>
          <w:p>
            <w:pPr>
              <w:spacing w:after="0"/>
              <w:rPr>
                <w:sz w:val="16"/>
                <w:szCs w:val="16"/>
                <w:color w:val="auto"/>
              </w:rPr>
            </w:pPr>
          </w:p>
        </w:tc>
        <w:tc>
          <w:tcPr>
            <w:tcW w:w="72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w w:val="98"/>
              </w:rPr>
              <w:t>3/10/2021</w:t>
            </w:r>
          </w:p>
        </w:tc>
        <w:tc>
          <w:tcPr>
            <w:tcW w:w="80" w:type="dxa"/>
            <w:vAlign w:val="bottom"/>
            <w:tcBorders>
              <w:bottom w:val="single" w:sz="8" w:color="0066BA"/>
            </w:tcBorders>
            <w:shd w:val="clear" w:color="auto" w:fill="EAEAEA"/>
          </w:tcPr>
          <w:p>
            <w:pPr>
              <w:spacing w:after="0"/>
              <w:rPr>
                <w:sz w:val="16"/>
                <w:szCs w:val="16"/>
                <w:color w:val="auto"/>
              </w:rPr>
            </w:pPr>
          </w:p>
        </w:tc>
        <w:tc>
          <w:tcPr>
            <w:tcW w:w="640" w:type="dxa"/>
            <w:vAlign w:val="bottom"/>
            <w:tcBorders>
              <w:bottom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62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1020" w:type="dxa"/>
            <w:vAlign w:val="bottom"/>
            <w:tcBorders>
              <w:bottom w:val="single" w:sz="8" w:color="0066BA"/>
              <w:right w:val="single" w:sz="8" w:color="EAEAEA"/>
            </w:tcBorders>
          </w:tcPr>
          <w:p>
            <w:pPr>
              <w:jc w:val="right"/>
              <w:ind w:right="22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0066BA"/>
            </w:tcBorders>
            <w:shd w:val="clear" w:color="auto" w:fill="EAEAEA"/>
          </w:tcPr>
          <w:p>
            <w:pPr>
              <w:spacing w:after="0"/>
              <w:rPr>
                <w:sz w:val="16"/>
                <w:szCs w:val="16"/>
                <w:color w:val="auto"/>
              </w:rPr>
            </w:pPr>
          </w:p>
        </w:tc>
        <w:tc>
          <w:tcPr>
            <w:tcW w:w="44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660" w:type="dxa"/>
            <w:vAlign w:val="bottom"/>
            <w:tcBorders>
              <w:bottom w:val="single" w:sz="8" w:color="0066BA"/>
            </w:tcBorders>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50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680" w:type="dxa"/>
            <w:vAlign w:val="bottom"/>
            <w:tcBorders>
              <w:bottom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56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14,158</w:t>
            </w:r>
          </w:p>
        </w:tc>
        <w:tc>
          <w:tcPr>
            <w:tcW w:w="80" w:type="dxa"/>
            <w:vAlign w:val="bottom"/>
            <w:tcBorders>
              <w:bottom w:val="single" w:sz="8" w:color="0066BA"/>
            </w:tcBorders>
            <w:shd w:val="clear" w:color="auto" w:fill="EAEAEA"/>
          </w:tcPr>
          <w:p>
            <w:pPr>
              <w:spacing w:after="0"/>
              <w:rPr>
                <w:sz w:val="16"/>
                <w:szCs w:val="16"/>
                <w:color w:val="auto"/>
              </w:rPr>
            </w:pPr>
          </w:p>
        </w:tc>
        <w:tc>
          <w:tcPr>
            <w:tcW w:w="640" w:type="dxa"/>
            <w:vAlign w:val="bottom"/>
            <w:tcBorders>
              <w:bottom w:val="single" w:sz="8" w:color="0066BA"/>
            </w:tcBorders>
          </w:tcPr>
          <w:p>
            <w:pPr>
              <w:jc w:val="right"/>
              <w:spacing w:after="0"/>
              <w:rPr>
                <w:sz w:val="20"/>
                <w:szCs w:val="20"/>
                <w:color w:val="auto"/>
              </w:rPr>
            </w:pPr>
            <w:r>
              <w:rPr>
                <w:rFonts w:ascii="Arial" w:cs="Arial" w:eastAsia="Arial" w:hAnsi="Arial"/>
                <w:sz w:val="16"/>
                <w:szCs w:val="16"/>
                <w:color w:val="auto"/>
              </w:rPr>
              <w:t>147.11</w:t>
            </w:r>
          </w:p>
        </w:tc>
        <w:tc>
          <w:tcPr>
            <w:tcW w:w="80" w:type="dxa"/>
            <w:vAlign w:val="bottom"/>
            <w:tcBorders>
              <w:bottom w:val="single" w:sz="8" w:color="0066BA"/>
            </w:tcBorders>
            <w:shd w:val="clear" w:color="auto" w:fill="EAEAEA"/>
          </w:tcPr>
          <w:p>
            <w:pPr>
              <w:spacing w:after="0"/>
              <w:rPr>
                <w:sz w:val="16"/>
                <w:szCs w:val="16"/>
                <w:color w:val="auto"/>
              </w:rPr>
            </w:pPr>
          </w:p>
        </w:tc>
        <w:tc>
          <w:tcPr>
            <w:tcW w:w="74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546,179</w:t>
            </w:r>
          </w:p>
        </w:tc>
        <w:tc>
          <w:tcPr>
            <w:tcW w:w="18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w w:val="81"/>
              </w:rPr>
              <w:t>(8)</w:t>
            </w:r>
          </w:p>
        </w:tc>
        <w:tc>
          <w:tcPr>
            <w:tcW w:w="80" w:type="dxa"/>
            <w:vAlign w:val="bottom"/>
            <w:tcBorders>
              <w:bottom w:val="single" w:sz="8" w:color="0066BA"/>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00" w:type="dxa"/>
            <w:vAlign w:val="bottom"/>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N/A</w:t>
            </w:r>
          </w:p>
        </w:tc>
        <w:tc>
          <w:tcPr>
            <w:tcW w:w="80" w:type="dxa"/>
            <w:vAlign w:val="bottom"/>
            <w:tcBorders>
              <w:bottom w:val="single" w:sz="8" w:color="auto"/>
            </w:tcBorders>
            <w:shd w:val="clear" w:color="auto" w:fill="EAEAEA"/>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294,231</w:t>
            </w:r>
          </w:p>
        </w:tc>
        <w:tc>
          <w:tcPr>
            <w:tcW w:w="80" w:type="dxa"/>
            <w:vAlign w:val="bottom"/>
            <w:tcBorders>
              <w:bottom w:val="single" w:sz="8" w:color="auto"/>
            </w:tcBorders>
            <w:shd w:val="clear" w:color="auto" w:fill="EAEAEA"/>
          </w:tcPr>
          <w:p>
            <w:pPr>
              <w:spacing w:after="0"/>
              <w:rPr>
                <w:sz w:val="16"/>
                <w:szCs w:val="16"/>
                <w:color w:val="auto"/>
              </w:rPr>
            </w:pPr>
          </w:p>
        </w:tc>
        <w:tc>
          <w:tcPr>
            <w:tcW w:w="1020" w:type="dxa"/>
            <w:vAlign w:val="bottom"/>
            <w:tcBorders>
              <w:bottom w:val="single" w:sz="8" w:color="auto"/>
              <w:right w:val="single" w:sz="8" w:color="EAEAEA"/>
            </w:tcBorders>
          </w:tcPr>
          <w:p>
            <w:pPr>
              <w:jc w:val="right"/>
              <w:ind w:right="223"/>
              <w:spacing w:after="0"/>
              <w:rPr>
                <w:sz w:val="20"/>
                <w:szCs w:val="20"/>
                <w:color w:val="auto"/>
              </w:rPr>
            </w:pPr>
            <w:r>
              <w:rPr>
                <w:rFonts w:ascii="Arial" w:cs="Arial" w:eastAsia="Arial" w:hAnsi="Arial"/>
                <w:sz w:val="16"/>
                <w:szCs w:val="16"/>
                <w:color w:val="auto"/>
              </w:rPr>
              <w:t>882,693</w:t>
            </w:r>
          </w:p>
        </w:tc>
        <w:tc>
          <w:tcPr>
            <w:tcW w:w="10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5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40" w:type="dxa"/>
            <w:vAlign w:val="bottom"/>
            <w:tcBorders>
              <w:bottom w:val="single" w:sz="8" w:color="auto"/>
            </w:tcBorders>
            <w:shd w:val="clear" w:color="auto" w:fill="EAEAEA"/>
          </w:tcPr>
          <w:p>
            <w:pPr>
              <w:jc w:val="right"/>
              <w:ind w:right="4"/>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EAEAEA"/>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00" w:type="dxa"/>
            <w:vAlign w:val="bottom"/>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7"/>
              </w:rPr>
              <w:t>12/15/2020</w:t>
            </w:r>
          </w:p>
        </w:tc>
        <w:tc>
          <w:tcPr>
            <w:tcW w:w="80" w:type="dxa"/>
            <w:vAlign w:val="bottom"/>
            <w:tcBorders>
              <w:bottom w:val="single" w:sz="8" w:color="auto"/>
            </w:tcBorders>
            <w:shd w:val="clear" w:color="auto" w:fill="EAEAEA"/>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1020" w:type="dxa"/>
            <w:vAlign w:val="bottom"/>
            <w:tcBorders>
              <w:bottom w:val="single" w:sz="8" w:color="auto"/>
              <w:right w:val="single" w:sz="8" w:color="EAEAEA"/>
            </w:tcBorders>
          </w:tcPr>
          <w:p>
            <w:pPr>
              <w:jc w:val="right"/>
              <w:ind w:right="22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11,377</w:t>
            </w:r>
          </w:p>
        </w:tc>
        <w:tc>
          <w:tcPr>
            <w:tcW w:w="8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rPr>
              <w:t>22,754</w:t>
            </w:r>
          </w:p>
        </w:tc>
        <w:tc>
          <w:tcPr>
            <w:tcW w:w="80" w:type="dxa"/>
            <w:vAlign w:val="bottom"/>
            <w:tcBorders>
              <w:bottom w:val="single" w:sz="8" w:color="auto"/>
            </w:tcBorders>
            <w:shd w:val="clear" w:color="auto" w:fill="EAEAEA"/>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5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920" w:type="dxa"/>
            <w:vAlign w:val="bottom"/>
            <w:tcBorders>
              <w:bottom w:val="single" w:sz="8" w:color="auto"/>
            </w:tcBorders>
            <w:gridSpan w:val="2"/>
            <w:shd w:val="clear" w:color="auto" w:fill="EAEAEA"/>
          </w:tcPr>
          <w:p>
            <w:pPr>
              <w:jc w:val="right"/>
              <w:spacing w:after="0"/>
              <w:rPr>
                <w:sz w:val="20"/>
                <w:szCs w:val="20"/>
                <w:color w:val="auto"/>
              </w:rPr>
            </w:pPr>
            <w:r>
              <w:rPr>
                <w:rFonts w:ascii="Arial" w:cs="Arial" w:eastAsia="Arial" w:hAnsi="Arial"/>
                <w:sz w:val="16"/>
                <w:szCs w:val="16"/>
                <w:color w:val="auto"/>
                <w:w w:val="86"/>
              </w:rPr>
              <w:t>1,640,450 (10)</w:t>
            </w: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00" w:type="dxa"/>
            <w:vAlign w:val="bottom"/>
          </w:tcPr>
          <w:p>
            <w:pPr>
              <w:ind w:left="60"/>
              <w:spacing w:after="0"/>
              <w:rPr>
                <w:sz w:val="20"/>
                <w:szCs w:val="20"/>
                <w:color w:val="auto"/>
              </w:rPr>
            </w:pPr>
            <w:r>
              <w:rPr>
                <w:rFonts w:ascii="Arial" w:cs="Arial" w:eastAsia="Arial" w:hAnsi="Arial"/>
                <w:sz w:val="14"/>
                <w:szCs w:val="14"/>
                <w:b w:val="1"/>
                <w:bCs w:val="1"/>
                <w:color w:val="0066BA"/>
              </w:rPr>
              <w:t>Anelise</w:t>
            </w:r>
          </w:p>
        </w:tc>
        <w:tc>
          <w:tcPr>
            <w:tcW w:w="80" w:type="dxa"/>
            <w:vAlign w:val="bottom"/>
            <w:tcBorders>
              <w:bottom w:val="single" w:sz="8" w:color="EAEAEA"/>
            </w:tcBorders>
            <w:shd w:val="clear" w:color="auto" w:fill="EAEAEA"/>
          </w:tcPr>
          <w:p>
            <w:pPr>
              <w:spacing w:after="0"/>
              <w:rPr>
                <w:sz w:val="16"/>
                <w:szCs w:val="16"/>
                <w:color w:val="auto"/>
              </w:rPr>
            </w:pPr>
          </w:p>
        </w:tc>
        <w:tc>
          <w:tcPr>
            <w:tcW w:w="720" w:type="dxa"/>
            <w:vAlign w:val="bottom"/>
            <w:tcBorders>
              <w:bottom w:val="single" w:sz="8" w:color="EAEAEA"/>
            </w:tcBorders>
            <w:shd w:val="clear" w:color="auto" w:fill="EAEAEA"/>
          </w:tcPr>
          <w:p>
            <w:pPr>
              <w:jc w:val="right"/>
              <w:spacing w:after="0" w:line="166" w:lineRule="exact"/>
              <w:rPr>
                <w:sz w:val="20"/>
                <w:szCs w:val="20"/>
                <w:color w:val="auto"/>
              </w:rPr>
            </w:pPr>
            <w:r>
              <w:rPr>
                <w:rFonts w:ascii="Arial" w:cs="Arial" w:eastAsia="Arial" w:hAnsi="Arial"/>
                <w:sz w:val="16"/>
                <w:szCs w:val="16"/>
                <w:color w:val="auto"/>
                <w:w w:val="98"/>
              </w:rPr>
              <w:t>3/10/2021</w:t>
            </w:r>
          </w:p>
        </w:tc>
        <w:tc>
          <w:tcPr>
            <w:tcW w:w="80" w:type="dxa"/>
            <w:vAlign w:val="bottom"/>
            <w:tcBorders>
              <w:bottom w:val="single" w:sz="8" w:color="EAEAEA"/>
            </w:tcBorders>
            <w:shd w:val="clear" w:color="auto" w:fill="EAEAEA"/>
          </w:tcPr>
          <w:p>
            <w:pPr>
              <w:spacing w:after="0"/>
              <w:rPr>
                <w:sz w:val="16"/>
                <w:szCs w:val="16"/>
                <w:color w:val="auto"/>
              </w:rPr>
            </w:pPr>
          </w:p>
        </w:tc>
        <w:tc>
          <w:tcPr>
            <w:tcW w:w="640" w:type="dxa"/>
            <w:vAlign w:val="bottom"/>
          </w:tcPr>
          <w:p>
            <w:pPr>
              <w:jc w:val="right"/>
              <w:spacing w:after="0" w:line="166"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EAEAEA"/>
            </w:tcBorders>
            <w:shd w:val="clear" w:color="auto" w:fill="EAEAEA"/>
          </w:tcPr>
          <w:p>
            <w:pPr>
              <w:spacing w:after="0"/>
              <w:rPr>
                <w:sz w:val="16"/>
                <w:szCs w:val="16"/>
                <w:color w:val="auto"/>
              </w:rPr>
            </w:pPr>
          </w:p>
        </w:tc>
        <w:tc>
          <w:tcPr>
            <w:tcW w:w="620" w:type="dxa"/>
            <w:vAlign w:val="bottom"/>
            <w:tcBorders>
              <w:bottom w:val="single" w:sz="8" w:color="EAEAEA"/>
            </w:tcBorders>
            <w:shd w:val="clear" w:color="auto" w:fill="EAEAEA"/>
          </w:tcPr>
          <w:p>
            <w:pPr>
              <w:jc w:val="right"/>
              <w:spacing w:after="0" w:line="166"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EAEAEA"/>
            </w:tcBorders>
            <w:shd w:val="clear" w:color="auto" w:fill="EAEAEA"/>
          </w:tcPr>
          <w:p>
            <w:pPr>
              <w:spacing w:after="0"/>
              <w:rPr>
                <w:sz w:val="16"/>
                <w:szCs w:val="16"/>
                <w:color w:val="auto"/>
              </w:rPr>
            </w:pPr>
          </w:p>
        </w:tc>
        <w:tc>
          <w:tcPr>
            <w:tcW w:w="1020" w:type="dxa"/>
            <w:vAlign w:val="bottom"/>
            <w:tcBorders>
              <w:right w:val="single" w:sz="8" w:color="EAEAEA"/>
            </w:tcBorders>
          </w:tcPr>
          <w:p>
            <w:pPr>
              <w:jc w:val="right"/>
              <w:ind w:right="223"/>
              <w:spacing w:after="0" w:line="166" w:lineRule="exact"/>
              <w:rPr>
                <w:sz w:val="20"/>
                <w:szCs w:val="20"/>
                <w:color w:val="auto"/>
              </w:rPr>
            </w:pPr>
            <w:r>
              <w:rPr>
                <w:rFonts w:ascii="Arial" w:cs="Arial" w:eastAsia="Arial" w:hAnsi="Arial"/>
                <w:sz w:val="16"/>
                <w:szCs w:val="16"/>
                <w:color w:val="auto"/>
              </w:rPr>
              <w:t>—</w:t>
            </w:r>
          </w:p>
        </w:tc>
        <w:tc>
          <w:tcPr>
            <w:tcW w:w="100" w:type="dxa"/>
            <w:vAlign w:val="bottom"/>
            <w:tcBorders>
              <w:bottom w:val="single" w:sz="8" w:color="EAEAEA"/>
            </w:tcBorders>
            <w:shd w:val="clear" w:color="auto" w:fill="EAEAEA"/>
          </w:tcPr>
          <w:p>
            <w:pPr>
              <w:spacing w:after="0"/>
              <w:rPr>
                <w:sz w:val="16"/>
                <w:szCs w:val="16"/>
                <w:color w:val="auto"/>
              </w:rPr>
            </w:pPr>
          </w:p>
        </w:tc>
        <w:tc>
          <w:tcPr>
            <w:tcW w:w="440" w:type="dxa"/>
            <w:vAlign w:val="bottom"/>
            <w:tcBorders>
              <w:bottom w:val="single" w:sz="8" w:color="EAEAEA"/>
            </w:tcBorders>
            <w:shd w:val="clear" w:color="auto" w:fill="EAEAEA"/>
          </w:tcPr>
          <w:p>
            <w:pPr>
              <w:jc w:val="right"/>
              <w:spacing w:after="0" w:line="166"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EAEAEA"/>
            </w:tcBorders>
            <w:shd w:val="clear" w:color="auto" w:fill="EAEAEA"/>
          </w:tcPr>
          <w:p>
            <w:pPr>
              <w:spacing w:after="0"/>
              <w:rPr>
                <w:sz w:val="16"/>
                <w:szCs w:val="16"/>
                <w:color w:val="auto"/>
              </w:rPr>
            </w:pPr>
          </w:p>
        </w:tc>
        <w:tc>
          <w:tcPr>
            <w:tcW w:w="660" w:type="dxa"/>
            <w:vAlign w:val="bottom"/>
          </w:tcPr>
          <w:p>
            <w:pPr>
              <w:jc w:val="right"/>
              <w:ind w:right="3"/>
              <w:spacing w:after="0" w:line="166" w:lineRule="exact"/>
              <w:rPr>
                <w:sz w:val="20"/>
                <w:szCs w:val="20"/>
                <w:color w:val="auto"/>
              </w:rPr>
            </w:pPr>
            <w:r>
              <w:rPr>
                <w:rFonts w:ascii="Arial" w:cs="Arial" w:eastAsia="Arial" w:hAnsi="Arial"/>
                <w:sz w:val="16"/>
                <w:szCs w:val="16"/>
                <w:color w:val="auto"/>
              </w:rPr>
              <w:t>2,289</w:t>
            </w:r>
          </w:p>
        </w:tc>
        <w:tc>
          <w:tcPr>
            <w:tcW w:w="80" w:type="dxa"/>
            <w:vAlign w:val="bottom"/>
            <w:tcBorders>
              <w:bottom w:val="single" w:sz="8" w:color="EAEAEA"/>
            </w:tcBorders>
            <w:shd w:val="clear" w:color="auto" w:fill="EAEAEA"/>
          </w:tcPr>
          <w:p>
            <w:pPr>
              <w:spacing w:after="0"/>
              <w:rPr>
                <w:sz w:val="16"/>
                <w:szCs w:val="16"/>
                <w:color w:val="auto"/>
              </w:rPr>
            </w:pPr>
          </w:p>
        </w:tc>
        <w:tc>
          <w:tcPr>
            <w:tcW w:w="500" w:type="dxa"/>
            <w:vAlign w:val="bottom"/>
            <w:tcBorders>
              <w:bottom w:val="single" w:sz="8" w:color="EAEAEA"/>
            </w:tcBorders>
            <w:shd w:val="clear" w:color="auto" w:fill="EAEAEA"/>
          </w:tcPr>
          <w:p>
            <w:pPr>
              <w:jc w:val="right"/>
              <w:spacing w:after="0" w:line="166" w:lineRule="exact"/>
              <w:rPr>
                <w:sz w:val="20"/>
                <w:szCs w:val="20"/>
                <w:color w:val="auto"/>
              </w:rPr>
            </w:pPr>
            <w:r>
              <w:rPr>
                <w:rFonts w:ascii="Arial" w:cs="Arial" w:eastAsia="Arial" w:hAnsi="Arial"/>
                <w:sz w:val="16"/>
                <w:szCs w:val="16"/>
                <w:color w:val="auto"/>
              </w:rPr>
              <w:t>4,578</w:t>
            </w:r>
          </w:p>
        </w:tc>
        <w:tc>
          <w:tcPr>
            <w:tcW w:w="80" w:type="dxa"/>
            <w:vAlign w:val="bottom"/>
            <w:tcBorders>
              <w:bottom w:val="single" w:sz="8" w:color="EAEAEA"/>
            </w:tcBorders>
            <w:shd w:val="clear" w:color="auto" w:fill="EAEAEA"/>
          </w:tcPr>
          <w:p>
            <w:pPr>
              <w:spacing w:after="0"/>
              <w:rPr>
                <w:sz w:val="16"/>
                <w:szCs w:val="16"/>
                <w:color w:val="auto"/>
              </w:rPr>
            </w:pPr>
          </w:p>
        </w:tc>
        <w:tc>
          <w:tcPr>
            <w:tcW w:w="680" w:type="dxa"/>
            <w:vAlign w:val="bottom"/>
          </w:tcPr>
          <w:p>
            <w:pPr>
              <w:jc w:val="right"/>
              <w:spacing w:after="0" w:line="166"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EAEAEA"/>
            </w:tcBorders>
            <w:shd w:val="clear" w:color="auto" w:fill="EAEAEA"/>
          </w:tcPr>
          <w:p>
            <w:pPr>
              <w:spacing w:after="0"/>
              <w:rPr>
                <w:sz w:val="16"/>
                <w:szCs w:val="16"/>
                <w:color w:val="auto"/>
              </w:rPr>
            </w:pPr>
          </w:p>
        </w:tc>
        <w:tc>
          <w:tcPr>
            <w:tcW w:w="560" w:type="dxa"/>
            <w:vAlign w:val="bottom"/>
            <w:tcBorders>
              <w:bottom w:val="single" w:sz="8" w:color="EAEAEA"/>
            </w:tcBorders>
            <w:shd w:val="clear" w:color="auto" w:fill="EAEAEA"/>
          </w:tcPr>
          <w:p>
            <w:pPr>
              <w:jc w:val="right"/>
              <w:spacing w:after="0" w:line="166"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EAEAEA"/>
            </w:tcBorders>
            <w:shd w:val="clear" w:color="auto" w:fill="EAEAEA"/>
          </w:tcPr>
          <w:p>
            <w:pPr>
              <w:spacing w:after="0"/>
              <w:rPr>
                <w:sz w:val="16"/>
                <w:szCs w:val="16"/>
                <w:color w:val="auto"/>
              </w:rPr>
            </w:pPr>
          </w:p>
        </w:tc>
        <w:tc>
          <w:tcPr>
            <w:tcW w:w="640" w:type="dxa"/>
            <w:vAlign w:val="bottom"/>
          </w:tcPr>
          <w:p>
            <w:pPr>
              <w:jc w:val="right"/>
              <w:spacing w:after="0" w:line="166"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EAEAEA"/>
            </w:tcBorders>
            <w:shd w:val="clear" w:color="auto" w:fill="EAEAEA"/>
          </w:tcPr>
          <w:p>
            <w:pPr>
              <w:spacing w:after="0"/>
              <w:rPr>
                <w:sz w:val="16"/>
                <w:szCs w:val="16"/>
                <w:color w:val="auto"/>
              </w:rPr>
            </w:pPr>
          </w:p>
        </w:tc>
        <w:tc>
          <w:tcPr>
            <w:tcW w:w="740" w:type="dxa"/>
            <w:vAlign w:val="bottom"/>
            <w:tcBorders>
              <w:bottom w:val="single" w:sz="8" w:color="EAEAEA"/>
            </w:tcBorders>
            <w:shd w:val="clear" w:color="auto" w:fill="EAEAEA"/>
          </w:tcPr>
          <w:p>
            <w:pPr>
              <w:jc w:val="right"/>
              <w:spacing w:after="0" w:line="166" w:lineRule="exact"/>
              <w:rPr>
                <w:sz w:val="20"/>
                <w:szCs w:val="20"/>
                <w:color w:val="auto"/>
              </w:rPr>
            </w:pPr>
            <w:r>
              <w:rPr>
                <w:rFonts w:ascii="Arial" w:cs="Arial" w:eastAsia="Arial" w:hAnsi="Arial"/>
                <w:sz w:val="16"/>
                <w:szCs w:val="16"/>
                <w:color w:val="auto"/>
              </w:rPr>
              <w:t>330,051</w:t>
            </w:r>
          </w:p>
        </w:tc>
        <w:tc>
          <w:tcPr>
            <w:tcW w:w="180" w:type="dxa"/>
            <w:vAlign w:val="bottom"/>
            <w:tcBorders>
              <w:bottom w:val="single" w:sz="8" w:color="EAEAEA"/>
            </w:tcBorders>
            <w:shd w:val="clear" w:color="auto" w:fill="EAEAEA"/>
          </w:tcPr>
          <w:p>
            <w:pPr>
              <w:jc w:val="right"/>
              <w:spacing w:after="0" w:line="166" w:lineRule="exact"/>
              <w:rPr>
                <w:sz w:val="20"/>
                <w:szCs w:val="20"/>
                <w:color w:val="auto"/>
              </w:rPr>
            </w:pPr>
            <w:r>
              <w:rPr>
                <w:rFonts w:ascii="Arial" w:cs="Arial" w:eastAsia="Arial" w:hAnsi="Arial"/>
                <w:sz w:val="16"/>
                <w:szCs w:val="16"/>
                <w:color w:val="auto"/>
                <w:w w:val="81"/>
              </w:rPr>
              <w:t>(6)</w:t>
            </w:r>
          </w:p>
        </w:tc>
        <w:tc>
          <w:tcPr>
            <w:tcW w:w="80" w:type="dxa"/>
            <w:vAlign w:val="bottom"/>
            <w:tcBorders>
              <w:bottom w:val="single" w:sz="8" w:color="EAEAEA"/>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00" w:type="dxa"/>
            <w:vAlign w:val="bottom"/>
          </w:tcPr>
          <w:p>
            <w:pPr>
              <w:ind w:left="60"/>
              <w:spacing w:after="0" w:line="137" w:lineRule="exact"/>
              <w:rPr>
                <w:sz w:val="20"/>
                <w:szCs w:val="20"/>
                <w:color w:val="auto"/>
              </w:rPr>
            </w:pPr>
            <w:r>
              <w:rPr>
                <w:rFonts w:ascii="Arial" w:cs="Arial" w:eastAsia="Arial" w:hAnsi="Arial"/>
                <w:sz w:val="14"/>
                <w:szCs w:val="14"/>
                <w:b w:val="1"/>
                <w:bCs w:val="1"/>
                <w:color w:val="0066BA"/>
              </w:rPr>
              <w:t>Sacks</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72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rPr>
              <w:t>3/10/2021</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62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1020" w:type="dxa"/>
            <w:vAlign w:val="bottom"/>
            <w:tcBorders>
              <w:top w:val="single" w:sz="8" w:color="auto"/>
              <w:bottom w:val="single" w:sz="8" w:color="auto"/>
              <w:right w:val="single" w:sz="8" w:color="EAEAEA"/>
            </w:tcBorders>
          </w:tcPr>
          <w:p>
            <w:pPr>
              <w:jc w:val="right"/>
              <w:ind w:right="223"/>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auto"/>
            </w:tcBorders>
            <w:shd w:val="clear" w:color="auto" w:fill="EAEAEA"/>
          </w:tcPr>
          <w:p>
            <w:pPr>
              <w:spacing w:after="0"/>
              <w:rPr>
                <w:sz w:val="16"/>
                <w:szCs w:val="16"/>
                <w:color w:val="auto"/>
              </w:rPr>
            </w:pPr>
          </w:p>
        </w:tc>
        <w:tc>
          <w:tcPr>
            <w:tcW w:w="44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6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2,289</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50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4,578</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56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74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373,427</w:t>
            </w:r>
          </w:p>
        </w:tc>
        <w:tc>
          <w:tcPr>
            <w:tcW w:w="18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1"/>
              </w:rPr>
              <w:t>(6)</w:t>
            </w:r>
          </w:p>
        </w:tc>
        <w:tc>
          <w:tcPr>
            <w:tcW w:w="80" w:type="dxa"/>
            <w:vAlign w:val="bottom"/>
            <w:tcBorders>
              <w:top w:val="single" w:sz="8" w:color="auto"/>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00" w:type="dxa"/>
            <w:vAlign w:val="bottom"/>
          </w:tcPr>
          <w:p>
            <w:pPr>
              <w:spacing w:after="0"/>
              <w:rPr>
                <w:sz w:val="16"/>
                <w:szCs w:val="16"/>
                <w:color w:val="auto"/>
              </w:rPr>
            </w:pPr>
          </w:p>
        </w:tc>
        <w:tc>
          <w:tcPr>
            <w:tcW w:w="80" w:type="dxa"/>
            <w:vAlign w:val="bottom"/>
            <w:tcBorders>
              <w:bottom w:val="single" w:sz="8" w:color="auto"/>
            </w:tcBorders>
            <w:shd w:val="clear" w:color="auto" w:fill="EAEAEA"/>
          </w:tcPr>
          <w:p>
            <w:pPr>
              <w:spacing w:after="0"/>
              <w:rPr>
                <w:sz w:val="16"/>
                <w:szCs w:val="16"/>
                <w:color w:val="auto"/>
              </w:rPr>
            </w:pPr>
          </w:p>
        </w:tc>
        <w:tc>
          <w:tcPr>
            <w:tcW w:w="7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rPr>
              <w:t>3/10/2021</w:t>
            </w:r>
          </w:p>
        </w:tc>
        <w:tc>
          <w:tcPr>
            <w:tcW w:w="80" w:type="dxa"/>
            <w:vAlign w:val="bottom"/>
            <w:tcBorders>
              <w:bottom w:val="single" w:sz="8" w:color="auto"/>
            </w:tcBorders>
            <w:shd w:val="clear" w:color="auto" w:fill="EAEAEA"/>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1020" w:type="dxa"/>
            <w:vAlign w:val="bottom"/>
            <w:tcBorders>
              <w:bottom w:val="single" w:sz="8" w:color="auto"/>
              <w:right w:val="single" w:sz="8" w:color="EAEAEA"/>
            </w:tcBorders>
          </w:tcPr>
          <w:p>
            <w:pPr>
              <w:jc w:val="right"/>
              <w:ind w:right="22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EAEAEA"/>
          </w:tcPr>
          <w:p>
            <w:pPr>
              <w:spacing w:after="0"/>
              <w:rPr>
                <w:sz w:val="16"/>
                <w:szCs w:val="16"/>
                <w:color w:val="auto"/>
              </w:rPr>
            </w:pPr>
          </w:p>
        </w:tc>
        <w:tc>
          <w:tcPr>
            <w:tcW w:w="4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50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2,289</w:t>
            </w:r>
          </w:p>
        </w:tc>
        <w:tc>
          <w:tcPr>
            <w:tcW w:w="80" w:type="dxa"/>
            <w:vAlign w:val="bottom"/>
            <w:tcBorders>
              <w:bottom w:val="single" w:sz="8" w:color="auto"/>
            </w:tcBorders>
            <w:shd w:val="clear" w:color="auto" w:fill="EAEAEA"/>
          </w:tcPr>
          <w:p>
            <w:pPr>
              <w:spacing w:after="0"/>
              <w:rPr>
                <w:sz w:val="16"/>
                <w:szCs w:val="16"/>
                <w:color w:val="auto"/>
              </w:rPr>
            </w:pPr>
          </w:p>
        </w:tc>
        <w:tc>
          <w:tcPr>
            <w:tcW w:w="56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EAEAEA"/>
          </w:tcPr>
          <w:p>
            <w:pPr>
              <w:spacing w:after="0"/>
              <w:rPr>
                <w:sz w:val="16"/>
                <w:szCs w:val="16"/>
                <w:color w:val="auto"/>
              </w:rPr>
            </w:pPr>
          </w:p>
        </w:tc>
        <w:tc>
          <w:tcPr>
            <w:tcW w:w="7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330,051</w:t>
            </w:r>
          </w:p>
        </w:tc>
        <w:tc>
          <w:tcPr>
            <w:tcW w:w="18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81"/>
              </w:rPr>
              <w:t>(7)</w:t>
            </w:r>
          </w:p>
        </w:tc>
        <w:tc>
          <w:tcPr>
            <w:tcW w:w="80" w:type="dxa"/>
            <w:vAlign w:val="bottom"/>
            <w:tcBorders>
              <w:bottom w:val="single" w:sz="8" w:color="auto"/>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900" w:type="dxa"/>
            <w:vAlign w:val="bottom"/>
            <w:tcBorders>
              <w:bottom w:val="single" w:sz="8" w:color="0066BA"/>
            </w:tcBorders>
          </w:tcPr>
          <w:p>
            <w:pPr>
              <w:spacing w:after="0"/>
              <w:rPr>
                <w:sz w:val="16"/>
                <w:szCs w:val="16"/>
                <w:color w:val="auto"/>
              </w:rPr>
            </w:pPr>
          </w:p>
        </w:tc>
        <w:tc>
          <w:tcPr>
            <w:tcW w:w="80" w:type="dxa"/>
            <w:vAlign w:val="bottom"/>
            <w:tcBorders>
              <w:bottom w:val="single" w:sz="8" w:color="0066BA"/>
            </w:tcBorders>
            <w:shd w:val="clear" w:color="auto" w:fill="EAEAEA"/>
          </w:tcPr>
          <w:p>
            <w:pPr>
              <w:spacing w:after="0"/>
              <w:rPr>
                <w:sz w:val="16"/>
                <w:szCs w:val="16"/>
                <w:color w:val="auto"/>
              </w:rPr>
            </w:pPr>
          </w:p>
        </w:tc>
        <w:tc>
          <w:tcPr>
            <w:tcW w:w="72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w w:val="98"/>
              </w:rPr>
              <w:t>3/10/2021</w:t>
            </w:r>
          </w:p>
        </w:tc>
        <w:tc>
          <w:tcPr>
            <w:tcW w:w="80" w:type="dxa"/>
            <w:vAlign w:val="bottom"/>
            <w:tcBorders>
              <w:bottom w:val="single" w:sz="8" w:color="0066BA"/>
            </w:tcBorders>
            <w:shd w:val="clear" w:color="auto" w:fill="EAEAEA"/>
          </w:tcPr>
          <w:p>
            <w:pPr>
              <w:spacing w:after="0"/>
              <w:rPr>
                <w:sz w:val="16"/>
                <w:szCs w:val="16"/>
                <w:color w:val="auto"/>
              </w:rPr>
            </w:pPr>
          </w:p>
        </w:tc>
        <w:tc>
          <w:tcPr>
            <w:tcW w:w="640" w:type="dxa"/>
            <w:vAlign w:val="bottom"/>
            <w:tcBorders>
              <w:bottom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62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1020" w:type="dxa"/>
            <w:vAlign w:val="bottom"/>
            <w:tcBorders>
              <w:bottom w:val="single" w:sz="8" w:color="0066BA"/>
              <w:right w:val="single" w:sz="8" w:color="EAEAEA"/>
            </w:tcBorders>
          </w:tcPr>
          <w:p>
            <w:pPr>
              <w:jc w:val="right"/>
              <w:ind w:right="22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0066BA"/>
            </w:tcBorders>
            <w:shd w:val="clear" w:color="auto" w:fill="EAEAEA"/>
          </w:tcPr>
          <w:p>
            <w:pPr>
              <w:spacing w:after="0"/>
              <w:rPr>
                <w:sz w:val="16"/>
                <w:szCs w:val="16"/>
                <w:color w:val="auto"/>
              </w:rPr>
            </w:pPr>
          </w:p>
        </w:tc>
        <w:tc>
          <w:tcPr>
            <w:tcW w:w="44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660" w:type="dxa"/>
            <w:vAlign w:val="bottom"/>
            <w:tcBorders>
              <w:bottom w:val="single" w:sz="8" w:color="0066BA"/>
            </w:tcBorders>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50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680" w:type="dxa"/>
            <w:vAlign w:val="bottom"/>
            <w:tcBorders>
              <w:bottom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0066BA"/>
            </w:tcBorders>
            <w:shd w:val="clear" w:color="auto" w:fill="EAEAEA"/>
          </w:tcPr>
          <w:p>
            <w:pPr>
              <w:spacing w:after="0"/>
              <w:rPr>
                <w:sz w:val="16"/>
                <w:szCs w:val="16"/>
                <w:color w:val="auto"/>
              </w:rPr>
            </w:pPr>
          </w:p>
        </w:tc>
        <w:tc>
          <w:tcPr>
            <w:tcW w:w="56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8,366</w:t>
            </w:r>
          </w:p>
        </w:tc>
        <w:tc>
          <w:tcPr>
            <w:tcW w:w="80" w:type="dxa"/>
            <w:vAlign w:val="bottom"/>
            <w:tcBorders>
              <w:bottom w:val="single" w:sz="8" w:color="0066BA"/>
            </w:tcBorders>
            <w:shd w:val="clear" w:color="auto" w:fill="EAEAEA"/>
          </w:tcPr>
          <w:p>
            <w:pPr>
              <w:spacing w:after="0"/>
              <w:rPr>
                <w:sz w:val="16"/>
                <w:szCs w:val="16"/>
                <w:color w:val="auto"/>
              </w:rPr>
            </w:pPr>
          </w:p>
        </w:tc>
        <w:tc>
          <w:tcPr>
            <w:tcW w:w="640" w:type="dxa"/>
            <w:vAlign w:val="bottom"/>
            <w:tcBorders>
              <w:bottom w:val="single" w:sz="8" w:color="0066BA"/>
            </w:tcBorders>
          </w:tcPr>
          <w:p>
            <w:pPr>
              <w:jc w:val="right"/>
              <w:spacing w:after="0"/>
              <w:rPr>
                <w:sz w:val="20"/>
                <w:szCs w:val="20"/>
                <w:color w:val="auto"/>
              </w:rPr>
            </w:pPr>
            <w:r>
              <w:rPr>
                <w:rFonts w:ascii="Arial" w:cs="Arial" w:eastAsia="Arial" w:hAnsi="Arial"/>
                <w:sz w:val="16"/>
                <w:szCs w:val="16"/>
                <w:color w:val="auto"/>
              </w:rPr>
              <w:t>151.00</w:t>
            </w:r>
          </w:p>
        </w:tc>
        <w:tc>
          <w:tcPr>
            <w:tcW w:w="80" w:type="dxa"/>
            <w:vAlign w:val="bottom"/>
            <w:tcBorders>
              <w:bottom w:val="single" w:sz="8" w:color="0066BA"/>
            </w:tcBorders>
            <w:shd w:val="clear" w:color="auto" w:fill="EAEAEA"/>
          </w:tcPr>
          <w:p>
            <w:pPr>
              <w:spacing w:after="0"/>
              <w:rPr>
                <w:sz w:val="16"/>
                <w:szCs w:val="16"/>
                <w:color w:val="auto"/>
              </w:rPr>
            </w:pPr>
          </w:p>
        </w:tc>
        <w:tc>
          <w:tcPr>
            <w:tcW w:w="74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333,805</w:t>
            </w:r>
          </w:p>
        </w:tc>
        <w:tc>
          <w:tcPr>
            <w:tcW w:w="18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w w:val="81"/>
              </w:rPr>
              <w:t>(8)</w:t>
            </w:r>
          </w:p>
        </w:tc>
        <w:tc>
          <w:tcPr>
            <w:tcW w:w="80" w:type="dxa"/>
            <w:vAlign w:val="bottom"/>
            <w:tcBorders>
              <w:bottom w:val="single" w:sz="8" w:color="0066BA"/>
            </w:tcBorders>
            <w:shd w:val="clear" w:color="auto" w:fill="EAEAEA"/>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0940"/>
          </w:cols>
          <w:pgMar w:left="320" w:top="447" w:right="63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880" w:right="40" w:hanging="405"/>
        <w:spacing w:after="0" w:line="265" w:lineRule="auto"/>
        <w:tabs>
          <w:tab w:leader="none" w:pos="8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amounts shown for Messrs. Roche, Mahendra-Rajah, Cotter, Hassett and Henderson and Ms. Sacks in the threshold, target and maximum columns reflect the minimum, target and maximum amounts payable under our executive performance incentive plan, respectively. Amounts in the maximum column above reflect 300% of the executive’s target bonus, which is the cap under the plan. The actual amounts earned in fiscal 2021 are reflected in the Summary Compensation Table above and were as follows:</w:t>
      </w:r>
    </w:p>
    <w:p>
      <w:pPr>
        <w:spacing w:after="0" w:line="216" w:lineRule="exact"/>
        <w:rPr>
          <w:sz w:val="20"/>
          <w:szCs w:val="20"/>
          <w:color w:val="auto"/>
        </w:rPr>
      </w:pPr>
    </w:p>
    <w:tbl>
      <w:tblPr>
        <w:tblLayout w:type="fixed"/>
        <w:tblInd w:w="480" w:type="dxa"/>
        <w:tblCellMar>
          <w:top w:w="0" w:type="dxa"/>
          <w:left w:w="0" w:type="dxa"/>
          <w:bottom w:w="0" w:type="dxa"/>
          <w:right w:w="0" w:type="dxa"/>
        </w:tblCellMar>
      </w:tblPr>
      <w:tr>
        <w:trPr>
          <w:trHeight w:val="197"/>
        </w:trPr>
        <w:tc>
          <w:tcPr>
            <w:tcW w:w="798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Name</w:t>
            </w:r>
          </w:p>
        </w:tc>
        <w:tc>
          <w:tcPr>
            <w:tcW w:w="2300" w:type="dxa"/>
            <w:vAlign w:val="bottom"/>
            <w:shd w:val="clear" w:color="auto" w:fill="0066BA"/>
          </w:tcPr>
          <w:p>
            <w:pPr>
              <w:jc w:val="right"/>
              <w:ind w:right="4"/>
              <w:spacing w:after="0"/>
              <w:rPr>
                <w:sz w:val="20"/>
                <w:szCs w:val="20"/>
                <w:color w:val="auto"/>
              </w:rPr>
            </w:pPr>
            <w:r>
              <w:rPr>
                <w:rFonts w:ascii="Arial" w:cs="Arial" w:eastAsia="Arial" w:hAnsi="Arial"/>
                <w:sz w:val="14"/>
                <w:szCs w:val="14"/>
                <w:b w:val="1"/>
                <w:bCs w:val="1"/>
                <w:color w:val="FFFFFF"/>
              </w:rPr>
              <w:t>Actual Payout under Non-Equity</w:t>
            </w:r>
          </w:p>
        </w:tc>
      </w:tr>
      <w:tr>
        <w:trPr>
          <w:trHeight w:val="194"/>
        </w:trPr>
        <w:tc>
          <w:tcPr>
            <w:tcW w:w="7980" w:type="dxa"/>
            <w:vAlign w:val="bottom"/>
            <w:shd w:val="clear" w:color="auto" w:fill="0066BA"/>
          </w:tcPr>
          <w:p>
            <w:pPr>
              <w:spacing w:after="0"/>
              <w:rPr>
                <w:sz w:val="16"/>
                <w:szCs w:val="16"/>
                <w:color w:val="auto"/>
              </w:rPr>
            </w:pPr>
          </w:p>
        </w:tc>
        <w:tc>
          <w:tcPr>
            <w:tcW w:w="2300" w:type="dxa"/>
            <w:vAlign w:val="bottom"/>
            <w:shd w:val="clear" w:color="auto" w:fill="0066BA"/>
          </w:tcPr>
          <w:p>
            <w:pPr>
              <w:jc w:val="right"/>
              <w:ind w:right="4"/>
              <w:spacing w:after="0"/>
              <w:rPr>
                <w:sz w:val="20"/>
                <w:szCs w:val="20"/>
                <w:color w:val="auto"/>
              </w:rPr>
            </w:pPr>
            <w:r>
              <w:rPr>
                <w:rFonts w:ascii="Arial" w:cs="Arial" w:eastAsia="Arial" w:hAnsi="Arial"/>
                <w:sz w:val="14"/>
                <w:szCs w:val="14"/>
                <w:b w:val="1"/>
                <w:bCs w:val="1"/>
                <w:color w:val="FFFFFF"/>
              </w:rPr>
              <w:t>Incentive Plans for Fiscal 2021</w:t>
            </w:r>
          </w:p>
        </w:tc>
      </w:tr>
      <w:tr>
        <w:trPr>
          <w:trHeight w:val="227"/>
        </w:trPr>
        <w:tc>
          <w:tcPr>
            <w:tcW w:w="79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66BA"/>
              </w:rPr>
              <w:t>Vincent Roche</w:t>
            </w:r>
          </w:p>
        </w:tc>
        <w:tc>
          <w:tcPr>
            <w:tcW w:w="23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$3,981,115</w:t>
            </w:r>
          </w:p>
        </w:tc>
      </w:tr>
      <w:tr>
        <w:trPr>
          <w:trHeight w:val="214"/>
        </w:trPr>
        <w:tc>
          <w:tcPr>
            <w:tcW w:w="79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66BA"/>
              </w:rPr>
              <w:t>Prashanth Mahendra-Rajah</w:t>
            </w:r>
          </w:p>
        </w:tc>
        <w:tc>
          <w:tcPr>
            <w:tcW w:w="23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$1,453,423</w:t>
            </w:r>
          </w:p>
        </w:tc>
      </w:tr>
      <w:tr>
        <w:trPr>
          <w:trHeight w:val="214"/>
        </w:trPr>
        <w:tc>
          <w:tcPr>
            <w:tcW w:w="79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66BA"/>
              </w:rPr>
              <w:t>Martin Cotter</w:t>
            </w:r>
          </w:p>
        </w:tc>
        <w:tc>
          <w:tcPr>
            <w:tcW w:w="23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$1,162,738</w:t>
            </w:r>
          </w:p>
        </w:tc>
      </w:tr>
      <w:tr>
        <w:trPr>
          <w:trHeight w:val="214"/>
        </w:trPr>
        <w:tc>
          <w:tcPr>
            <w:tcW w:w="79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66BA"/>
              </w:rPr>
              <w:t>John Hassett</w:t>
            </w:r>
          </w:p>
        </w:tc>
        <w:tc>
          <w:tcPr>
            <w:tcW w:w="23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$1,200,654</w:t>
            </w:r>
          </w:p>
        </w:tc>
      </w:tr>
      <w:tr>
        <w:trPr>
          <w:trHeight w:val="214"/>
        </w:trPr>
        <w:tc>
          <w:tcPr>
            <w:tcW w:w="79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66BA"/>
              </w:rPr>
              <w:t>Greg Henderson</w:t>
            </w:r>
          </w:p>
        </w:tc>
        <w:tc>
          <w:tcPr>
            <w:tcW w:w="23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$1,153,669</w:t>
            </w:r>
          </w:p>
        </w:tc>
      </w:tr>
      <w:tr>
        <w:trPr>
          <w:trHeight w:val="214"/>
        </w:trPr>
        <w:tc>
          <w:tcPr>
            <w:tcW w:w="7980" w:type="dxa"/>
            <w:vAlign w:val="bottom"/>
            <w:tcBorders>
              <w:bottom w:val="single" w:sz="8" w:color="0066BA"/>
            </w:tcBorders>
          </w:tcPr>
          <w:p>
            <w:pPr>
              <w:ind w:left="60"/>
              <w:spacing w:after="0"/>
              <w:rPr>
                <w:sz w:val="20"/>
                <w:szCs w:val="20"/>
                <w:color w:val="auto"/>
              </w:rPr>
            </w:pPr>
            <w:r>
              <w:rPr>
                <w:rFonts w:ascii="Arial" w:cs="Arial" w:eastAsia="Arial" w:hAnsi="Arial"/>
                <w:sz w:val="16"/>
                <w:szCs w:val="16"/>
                <w:b w:val="1"/>
                <w:bCs w:val="1"/>
                <w:color w:val="0066BA"/>
              </w:rPr>
              <w:t>Anelise Sacks</w:t>
            </w:r>
          </w:p>
        </w:tc>
        <w:tc>
          <w:tcPr>
            <w:tcW w:w="2300" w:type="dxa"/>
            <w:vAlign w:val="bottom"/>
            <w:tcBorders>
              <w:bottom w:val="single" w:sz="8" w:color="0066BA"/>
            </w:tcBorders>
          </w:tcPr>
          <w:p>
            <w:pPr>
              <w:jc w:val="right"/>
              <w:ind w:right="4"/>
              <w:spacing w:after="0"/>
              <w:rPr>
                <w:sz w:val="20"/>
                <w:szCs w:val="20"/>
                <w:color w:val="auto"/>
              </w:rPr>
            </w:pPr>
            <w:r>
              <w:rPr>
                <w:rFonts w:ascii="Arial" w:cs="Arial" w:eastAsia="Arial" w:hAnsi="Arial"/>
                <w:sz w:val="16"/>
                <w:szCs w:val="16"/>
                <w:color w:val="auto"/>
              </w:rPr>
              <w:t>$769,250</w:t>
            </w:r>
          </w:p>
        </w:tc>
      </w:tr>
    </w:tbl>
    <w:p>
      <w:pPr>
        <w:spacing w:after="0" w:line="105" w:lineRule="exact"/>
        <w:rPr>
          <w:sz w:val="20"/>
          <w:szCs w:val="20"/>
          <w:color w:val="auto"/>
        </w:rPr>
      </w:pPr>
    </w:p>
    <w:p>
      <w:pPr>
        <w:ind w:left="880" w:right="700"/>
        <w:spacing w:after="0" w:line="286" w:lineRule="auto"/>
        <w:rPr>
          <w:sz w:val="20"/>
          <w:szCs w:val="20"/>
          <w:color w:val="auto"/>
        </w:rPr>
      </w:pPr>
      <w:r>
        <w:rPr>
          <w:rFonts w:ascii="Arial" w:cs="Arial" w:eastAsia="Arial" w:hAnsi="Arial"/>
          <w:sz w:val="17"/>
          <w:szCs w:val="17"/>
          <w:color w:val="auto"/>
        </w:rPr>
        <w:t>See “— Compensation Discussion and Analysis” above for a discussion of how these amounts were determined under our executive performance incentive plan.</w:t>
      </w:r>
    </w:p>
    <w:p>
      <w:pPr>
        <w:spacing w:after="0" w:line="67" w:lineRule="exact"/>
        <w:rPr>
          <w:sz w:val="20"/>
          <w:szCs w:val="20"/>
          <w:color w:val="auto"/>
        </w:rPr>
      </w:pPr>
    </w:p>
    <w:p>
      <w:pPr>
        <w:ind w:left="880" w:right="80" w:hanging="405"/>
        <w:spacing w:after="0" w:line="277" w:lineRule="auto"/>
        <w:tabs>
          <w:tab w:leader="none" w:pos="8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Represents PRSUs granted under our 2020 Plan. The relative TSR PRSUs have both a market condition and a service condition, while the financial metric PRSUs have a performance condition and a service condition, and vest, so long as the executive continues to be employed with us, after the applicable three-year performance period. The number of shares of the Company’s common stock to be issued upon vesting of the relative TSR PRSUs will range from 0% to 200% of the target amount, based on the comparison of the Company’s TSR to the median TSR of a specified peer group over a three-year period. The number of shares of the Company’s common stock to be issued upon vesting of the financial metric PRSUs on the third anniversary of the grant date will range from 0% to 200% of the target amount, based on the Company’s attainment of one-year, two-year cumulative and three-year cumulative operating profit dollar targets set by the Compensation Committee. Column also includes the number of shares that may be earned by Mr. Roche under his CEO Performance Stock Option Award, which is described above under Special Equity Awards.</w:t>
      </w:r>
    </w:p>
    <w:p>
      <w:pPr>
        <w:spacing w:after="0" w:line="79" w:lineRule="exact"/>
        <w:rPr>
          <w:rFonts w:ascii="Arial" w:cs="Arial" w:eastAsia="Arial" w:hAnsi="Arial"/>
          <w:sz w:val="16"/>
          <w:szCs w:val="16"/>
          <w:color w:val="auto"/>
        </w:rPr>
      </w:pPr>
    </w:p>
    <w:p>
      <w:pPr>
        <w:ind w:left="880" w:hanging="405"/>
        <w:spacing w:after="0" w:line="270" w:lineRule="auto"/>
        <w:tabs>
          <w:tab w:leader="none" w:pos="8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Represents time-based RSUs granted under our 2020 Plan. The time-based RSUs vest, so long as the executive continues to be employed with us, in four equal installments on each of the first, second, third and fourth anniversaries of the grant date. Dividends are not payable on unvested RSUs.</w:t>
      </w:r>
    </w:p>
    <w:p>
      <w:pPr>
        <w:spacing w:after="0" w:line="81" w:lineRule="exact"/>
        <w:rPr>
          <w:rFonts w:ascii="Arial" w:cs="Arial" w:eastAsia="Arial" w:hAnsi="Arial"/>
          <w:sz w:val="17"/>
          <w:szCs w:val="17"/>
          <w:color w:val="auto"/>
        </w:rPr>
      </w:pPr>
    </w:p>
    <w:p>
      <w:pPr>
        <w:ind w:left="880" w:right="120" w:hanging="405"/>
        <w:spacing w:after="0" w:line="319" w:lineRule="auto"/>
        <w:tabs>
          <w:tab w:leader="none" w:pos="8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Represents stock options granted under our 2020 Plan. These options become exercisable, so long as the executive continues to be employed with us, in four equal annual installments on each of the first, second, third and fourth anniversaries of the grant date.</w:t>
      </w:r>
    </w:p>
    <w:p>
      <w:pPr>
        <w:spacing w:after="0" w:line="44" w:lineRule="exact"/>
        <w:rPr>
          <w:rFonts w:ascii="Arial" w:cs="Arial" w:eastAsia="Arial" w:hAnsi="Arial"/>
          <w:sz w:val="16"/>
          <w:szCs w:val="16"/>
          <w:color w:val="auto"/>
        </w:rPr>
      </w:pPr>
    </w:p>
    <w:p>
      <w:pPr>
        <w:ind w:left="880" w:hanging="405"/>
        <w:spacing w:after="0"/>
        <w:tabs>
          <w:tab w:leader="none" w:pos="8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exercise price per share is equal to the closing price per share of our common stock on the date of grant.</w:t>
      </w:r>
    </w:p>
    <w:p>
      <w:pPr>
        <w:spacing w:after="0" w:line="200" w:lineRule="exact"/>
        <w:rPr>
          <w:sz w:val="20"/>
          <w:szCs w:val="20"/>
          <w:color w:val="auto"/>
        </w:rPr>
      </w:pPr>
    </w:p>
    <w:p>
      <w:pPr>
        <w:spacing w:after="0" w:line="28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0760"/>
          </w:cols>
          <w:pgMar w:left="320" w:top="447" w:right="81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880" w:right="260" w:hanging="405"/>
        <w:spacing w:after="0" w:line="277" w:lineRule="auto"/>
        <w:tabs>
          <w:tab w:leader="none" w:pos="8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This amount does not represent the actual amount paid to or realized by the executives for these awards during the fiscal year. This amount represents the grant date fair value of the PRSUs. The grant date fair value of the relative TSR PRSUs was calculated using the Monte Carlo simulation model which utilizes multiple input variables that determine the probability of satisfying the performance conditions stipulated in the award grant to calculate the fair market value. The Monte Carlo simulation model also uses stock price volatility and other variables to estimate the probability of satisfying the performance conditions, including the possibility that the market condition may not be satisfied, and the resulting fair value of the award. The grant date fair value per share of the relative TSR PRSU awards granted to Messrs. Roche, Mahendra-Rajah, Cotter, Hassett and Henderson on March 10, 2021 was $163.14. The grant date fair value per share of the relative TSR PRSU awards granted to Ms. Sacks on March 15, 2021 was $163.14.The grant date fair value of financial metric PRSUs represents the value at the grant date based upon the probable outcome of the performance conditions at the date of grant.</w:t>
      </w:r>
    </w:p>
    <w:p>
      <w:pPr>
        <w:spacing w:after="0" w:line="79" w:lineRule="exact"/>
        <w:rPr>
          <w:rFonts w:ascii="Arial" w:cs="Arial" w:eastAsia="Arial" w:hAnsi="Arial"/>
          <w:sz w:val="16"/>
          <w:szCs w:val="16"/>
          <w:color w:val="auto"/>
        </w:rPr>
      </w:pPr>
    </w:p>
    <w:p>
      <w:pPr>
        <w:ind w:left="880" w:right="420" w:hanging="405"/>
        <w:spacing w:after="0" w:line="286" w:lineRule="auto"/>
        <w:tabs>
          <w:tab w:leader="none" w:pos="8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This amount does not represent the actual amount paid to or realized by the executives for these awards during the fiscal year. This amount represents the grant date fair value of the time-based RSUs.</w:t>
      </w:r>
    </w:p>
    <w:p>
      <w:pPr>
        <w:spacing w:after="0" w:line="5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 includes the assumptions, rounded to the nearest hundredth, which we used to calculate the grant date fair value amounts:</w:t>
      </w:r>
    </w:p>
    <w:p>
      <w:pPr>
        <w:spacing w:after="0" w:line="271" w:lineRule="exact"/>
        <w:rPr>
          <w:sz w:val="20"/>
          <w:szCs w:val="20"/>
          <w:color w:val="auto"/>
        </w:rPr>
      </w:pPr>
    </w:p>
    <w:tbl>
      <w:tblPr>
        <w:tblLayout w:type="fixed"/>
        <w:tblInd w:w="480" w:type="dxa"/>
        <w:tblCellMar>
          <w:top w:w="0" w:type="dxa"/>
          <w:left w:w="0" w:type="dxa"/>
          <w:bottom w:w="0" w:type="dxa"/>
          <w:right w:w="0" w:type="dxa"/>
        </w:tblCellMar>
      </w:tblPr>
      <w:tr>
        <w:trPr>
          <w:trHeight w:val="222"/>
        </w:trPr>
        <w:tc>
          <w:tcPr>
            <w:tcW w:w="3380" w:type="dxa"/>
            <w:vAlign w:val="bottom"/>
            <w:shd w:val="clear" w:color="auto" w:fill="0066BA"/>
          </w:tcPr>
          <w:p>
            <w:pPr>
              <w:spacing w:after="0"/>
              <w:rPr>
                <w:sz w:val="19"/>
                <w:szCs w:val="19"/>
                <w:color w:val="auto"/>
              </w:rPr>
            </w:pPr>
          </w:p>
        </w:tc>
        <w:tc>
          <w:tcPr>
            <w:tcW w:w="3020" w:type="dxa"/>
            <w:vAlign w:val="bottom"/>
            <w:gridSpan w:val="2"/>
            <w:shd w:val="clear" w:color="auto" w:fill="0066BA"/>
          </w:tcPr>
          <w:p>
            <w:pPr>
              <w:ind w:left="1880"/>
              <w:spacing w:after="0"/>
              <w:rPr>
                <w:sz w:val="20"/>
                <w:szCs w:val="20"/>
                <w:color w:val="auto"/>
              </w:rPr>
            </w:pPr>
            <w:r>
              <w:rPr>
                <w:rFonts w:ascii="Arial" w:cs="Arial" w:eastAsia="Arial" w:hAnsi="Arial"/>
                <w:sz w:val="14"/>
                <w:szCs w:val="14"/>
                <w:b w:val="1"/>
                <w:bCs w:val="1"/>
                <w:color w:val="FFFFFF"/>
              </w:rPr>
              <w:t>Assumptions</w:t>
            </w:r>
          </w:p>
        </w:tc>
        <w:tc>
          <w:tcPr>
            <w:tcW w:w="1220" w:type="dxa"/>
            <w:vAlign w:val="bottom"/>
            <w:shd w:val="clear" w:color="auto" w:fill="0066BA"/>
          </w:tcPr>
          <w:p>
            <w:pPr>
              <w:spacing w:after="0"/>
              <w:rPr>
                <w:sz w:val="19"/>
                <w:szCs w:val="19"/>
                <w:color w:val="auto"/>
              </w:rPr>
            </w:pPr>
          </w:p>
        </w:tc>
        <w:tc>
          <w:tcPr>
            <w:tcW w:w="2660" w:type="dxa"/>
            <w:vAlign w:val="bottom"/>
            <w:shd w:val="clear" w:color="auto" w:fill="0066BA"/>
          </w:tcPr>
          <w:p>
            <w:pPr>
              <w:spacing w:after="0"/>
              <w:rPr>
                <w:sz w:val="19"/>
                <w:szCs w:val="19"/>
                <w:color w:val="auto"/>
              </w:rPr>
            </w:pPr>
          </w:p>
        </w:tc>
      </w:tr>
      <w:tr>
        <w:trPr>
          <w:trHeight w:val="32"/>
        </w:trPr>
        <w:tc>
          <w:tcPr>
            <w:tcW w:w="3380" w:type="dxa"/>
            <w:vAlign w:val="bottom"/>
            <w:shd w:val="clear" w:color="auto" w:fill="0066BA"/>
          </w:tcPr>
          <w:p>
            <w:pPr>
              <w:spacing w:after="0"/>
              <w:rPr>
                <w:sz w:val="2"/>
                <w:szCs w:val="2"/>
                <w:color w:val="auto"/>
              </w:rPr>
            </w:pPr>
          </w:p>
        </w:tc>
        <w:tc>
          <w:tcPr>
            <w:tcW w:w="3020" w:type="dxa"/>
            <w:vAlign w:val="bottom"/>
            <w:gridSpan w:val="2"/>
            <w:shd w:val="clear" w:color="auto" w:fill="0066BA"/>
          </w:tcPr>
          <w:p>
            <w:pPr>
              <w:spacing w:after="0"/>
              <w:rPr>
                <w:sz w:val="2"/>
                <w:szCs w:val="2"/>
                <w:color w:val="auto"/>
              </w:rPr>
            </w:pPr>
          </w:p>
        </w:tc>
        <w:tc>
          <w:tcPr>
            <w:tcW w:w="1220" w:type="dxa"/>
            <w:vAlign w:val="bottom"/>
            <w:shd w:val="clear" w:color="auto" w:fill="0066BA"/>
          </w:tcPr>
          <w:p>
            <w:pPr>
              <w:spacing w:after="0"/>
              <w:rPr>
                <w:sz w:val="2"/>
                <w:szCs w:val="2"/>
                <w:color w:val="auto"/>
              </w:rPr>
            </w:pPr>
          </w:p>
        </w:tc>
        <w:tc>
          <w:tcPr>
            <w:tcW w:w="2660" w:type="dxa"/>
            <w:vAlign w:val="bottom"/>
            <w:shd w:val="clear" w:color="auto" w:fill="0066BA"/>
          </w:tcPr>
          <w:p>
            <w:pPr>
              <w:spacing w:after="0"/>
              <w:rPr>
                <w:sz w:val="2"/>
                <w:szCs w:val="2"/>
                <w:color w:val="auto"/>
              </w:rPr>
            </w:pPr>
          </w:p>
        </w:tc>
      </w:tr>
      <w:tr>
        <w:trPr>
          <w:trHeight w:val="190"/>
        </w:trPr>
        <w:tc>
          <w:tcPr>
            <w:tcW w:w="3380" w:type="dxa"/>
            <w:vAlign w:val="bottom"/>
            <w:shd w:val="clear" w:color="auto" w:fill="0066BA"/>
          </w:tcPr>
          <w:p>
            <w:pPr>
              <w:spacing w:after="0"/>
              <w:rPr>
                <w:sz w:val="16"/>
                <w:szCs w:val="16"/>
                <w:color w:val="auto"/>
              </w:rPr>
            </w:pPr>
          </w:p>
        </w:tc>
        <w:tc>
          <w:tcPr>
            <w:tcW w:w="3020" w:type="dxa"/>
            <w:vAlign w:val="bottom"/>
            <w:gridSpan w:val="2"/>
            <w:shd w:val="clear" w:color="auto" w:fill="0066BA"/>
          </w:tcPr>
          <w:p>
            <w:pPr>
              <w:jc w:val="right"/>
              <w:ind w:right="980"/>
              <w:spacing w:after="0"/>
              <w:rPr>
                <w:sz w:val="20"/>
                <w:szCs w:val="20"/>
                <w:color w:val="auto"/>
              </w:rPr>
            </w:pPr>
            <w:r>
              <w:rPr>
                <w:rFonts w:ascii="Arial" w:cs="Arial" w:eastAsia="Arial" w:hAnsi="Arial"/>
                <w:sz w:val="14"/>
                <w:szCs w:val="14"/>
                <w:b w:val="1"/>
                <w:bCs w:val="1"/>
                <w:color w:val="FFFFFF"/>
              </w:rPr>
              <w:t>Risk-Free</w:t>
            </w:r>
          </w:p>
        </w:tc>
        <w:tc>
          <w:tcPr>
            <w:tcW w:w="1220" w:type="dxa"/>
            <w:vAlign w:val="bottom"/>
            <w:shd w:val="clear" w:color="auto" w:fill="0066BA"/>
          </w:tcPr>
          <w:p>
            <w:pPr>
              <w:jc w:val="right"/>
              <w:ind w:right="306"/>
              <w:spacing w:after="0"/>
              <w:rPr>
                <w:sz w:val="20"/>
                <w:szCs w:val="20"/>
                <w:color w:val="auto"/>
              </w:rPr>
            </w:pPr>
            <w:r>
              <w:rPr>
                <w:rFonts w:ascii="Arial" w:cs="Arial" w:eastAsia="Arial" w:hAnsi="Arial"/>
                <w:sz w:val="14"/>
                <w:szCs w:val="14"/>
                <w:b w:val="1"/>
                <w:bCs w:val="1"/>
                <w:color w:val="FFFFFF"/>
              </w:rPr>
              <w:t>Dividend</w:t>
            </w:r>
          </w:p>
        </w:tc>
        <w:tc>
          <w:tcPr>
            <w:tcW w:w="2660" w:type="dxa"/>
            <w:vAlign w:val="bottom"/>
            <w:shd w:val="clear" w:color="auto" w:fill="0066BA"/>
          </w:tcPr>
          <w:p>
            <w:pPr>
              <w:jc w:val="right"/>
              <w:ind w:right="306"/>
              <w:spacing w:after="0"/>
              <w:rPr>
                <w:sz w:val="20"/>
                <w:szCs w:val="20"/>
                <w:color w:val="auto"/>
              </w:rPr>
            </w:pPr>
            <w:r>
              <w:rPr>
                <w:rFonts w:ascii="Arial" w:cs="Arial" w:eastAsia="Arial" w:hAnsi="Arial"/>
                <w:sz w:val="14"/>
                <w:szCs w:val="14"/>
                <w:b w:val="1"/>
                <w:bCs w:val="1"/>
                <w:color w:val="FFFFFF"/>
              </w:rPr>
              <w:t>Grant Date Fair Value</w:t>
            </w:r>
          </w:p>
        </w:tc>
      </w:tr>
      <w:tr>
        <w:trPr>
          <w:trHeight w:val="207"/>
        </w:trPr>
        <w:tc>
          <w:tcPr>
            <w:tcW w:w="338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Grant Date</w:t>
            </w:r>
          </w:p>
        </w:tc>
        <w:tc>
          <w:tcPr>
            <w:tcW w:w="3020" w:type="dxa"/>
            <w:vAlign w:val="bottom"/>
            <w:gridSpan w:val="2"/>
            <w:shd w:val="clear" w:color="auto" w:fill="0066BA"/>
          </w:tcPr>
          <w:p>
            <w:pPr>
              <w:jc w:val="right"/>
              <w:ind w:right="980"/>
              <w:spacing w:after="0"/>
              <w:rPr>
                <w:sz w:val="20"/>
                <w:szCs w:val="20"/>
                <w:color w:val="auto"/>
              </w:rPr>
            </w:pPr>
            <w:r>
              <w:rPr>
                <w:rFonts w:ascii="Arial" w:cs="Arial" w:eastAsia="Arial" w:hAnsi="Arial"/>
                <w:sz w:val="14"/>
                <w:szCs w:val="14"/>
                <w:b w:val="1"/>
                <w:bCs w:val="1"/>
                <w:color w:val="FFFFFF"/>
              </w:rPr>
              <w:t>Interest Rate (%)</w:t>
            </w:r>
          </w:p>
        </w:tc>
        <w:tc>
          <w:tcPr>
            <w:tcW w:w="1220" w:type="dxa"/>
            <w:vAlign w:val="bottom"/>
            <w:shd w:val="clear" w:color="auto" w:fill="0066BA"/>
          </w:tcPr>
          <w:p>
            <w:pPr>
              <w:jc w:val="right"/>
              <w:ind w:right="306"/>
              <w:spacing w:after="0"/>
              <w:rPr>
                <w:sz w:val="20"/>
                <w:szCs w:val="20"/>
                <w:color w:val="auto"/>
              </w:rPr>
            </w:pPr>
            <w:r>
              <w:rPr>
                <w:rFonts w:ascii="Arial" w:cs="Arial" w:eastAsia="Arial" w:hAnsi="Arial"/>
                <w:sz w:val="14"/>
                <w:szCs w:val="14"/>
                <w:b w:val="1"/>
                <w:bCs w:val="1"/>
                <w:color w:val="FFFFFF"/>
              </w:rPr>
              <w:t>Yield (%)</w:t>
            </w:r>
          </w:p>
        </w:tc>
        <w:tc>
          <w:tcPr>
            <w:tcW w:w="2660" w:type="dxa"/>
            <w:vAlign w:val="bottom"/>
            <w:shd w:val="clear" w:color="auto" w:fill="0066BA"/>
          </w:tcPr>
          <w:p>
            <w:pPr>
              <w:jc w:val="right"/>
              <w:ind w:right="306"/>
              <w:spacing w:after="0"/>
              <w:rPr>
                <w:sz w:val="20"/>
                <w:szCs w:val="20"/>
                <w:color w:val="auto"/>
              </w:rPr>
            </w:pPr>
            <w:r>
              <w:rPr>
                <w:rFonts w:ascii="Arial" w:cs="Arial" w:eastAsia="Arial" w:hAnsi="Arial"/>
                <w:sz w:val="14"/>
                <w:szCs w:val="14"/>
                <w:b w:val="1"/>
                <w:bCs w:val="1"/>
                <w:color w:val="FFFFFF"/>
              </w:rPr>
              <w:t>Per Share ($)</w:t>
            </w:r>
          </w:p>
        </w:tc>
      </w:tr>
      <w:tr>
        <w:trPr>
          <w:trHeight w:val="227"/>
        </w:trPr>
        <w:tc>
          <w:tcPr>
            <w:tcW w:w="33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3/10/2021</w:t>
            </w:r>
          </w:p>
        </w:tc>
        <w:tc>
          <w:tcPr>
            <w:tcW w:w="2420" w:type="dxa"/>
            <w:vAlign w:val="bottom"/>
            <w:tcBorders>
              <w:bottom w:val="single" w:sz="8" w:color="auto"/>
            </w:tcBorders>
            <w:shd w:val="clear" w:color="auto" w:fill="EAEAEA"/>
          </w:tcPr>
          <w:p>
            <w:pPr>
              <w:jc w:val="right"/>
              <w:ind w:right="307"/>
              <w:spacing w:after="0"/>
              <w:rPr>
                <w:sz w:val="20"/>
                <w:szCs w:val="20"/>
                <w:color w:val="auto"/>
              </w:rPr>
            </w:pPr>
            <w:r>
              <w:rPr>
                <w:rFonts w:ascii="Arial" w:cs="Arial" w:eastAsia="Arial" w:hAnsi="Arial"/>
                <w:sz w:val="16"/>
                <w:szCs w:val="16"/>
                <w:color w:val="auto"/>
              </w:rPr>
              <w:t>0.80</w:t>
            </w:r>
          </w:p>
        </w:tc>
        <w:tc>
          <w:tcPr>
            <w:tcW w:w="6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6"/>
              <w:spacing w:after="0"/>
              <w:rPr>
                <w:sz w:val="20"/>
                <w:szCs w:val="20"/>
                <w:color w:val="auto"/>
              </w:rPr>
            </w:pPr>
            <w:r>
              <w:rPr>
                <w:rFonts w:ascii="Arial" w:cs="Arial" w:eastAsia="Arial" w:hAnsi="Arial"/>
                <w:sz w:val="16"/>
                <w:szCs w:val="16"/>
                <w:color w:val="auto"/>
              </w:rPr>
              <w:t>1.88</w:t>
            </w:r>
          </w:p>
        </w:tc>
        <w:tc>
          <w:tcPr>
            <w:tcW w:w="2660" w:type="dxa"/>
            <w:vAlign w:val="bottom"/>
            <w:tcBorders>
              <w:bottom w:val="single" w:sz="8" w:color="auto"/>
            </w:tcBorders>
            <w:shd w:val="clear" w:color="auto" w:fill="EAEAEA"/>
          </w:tcPr>
          <w:p>
            <w:pPr>
              <w:jc w:val="right"/>
              <w:ind w:right="306"/>
              <w:spacing w:after="0"/>
              <w:rPr>
                <w:sz w:val="20"/>
                <w:szCs w:val="20"/>
                <w:color w:val="auto"/>
              </w:rPr>
            </w:pPr>
            <w:r>
              <w:rPr>
                <w:rFonts w:ascii="Arial" w:cs="Arial" w:eastAsia="Arial" w:hAnsi="Arial"/>
                <w:sz w:val="16"/>
                <w:szCs w:val="16"/>
                <w:color w:val="auto"/>
              </w:rPr>
              <w:t>140.30</w:t>
            </w:r>
          </w:p>
        </w:tc>
      </w:tr>
      <w:tr>
        <w:trPr>
          <w:trHeight w:val="214"/>
        </w:trPr>
        <w:tc>
          <w:tcPr>
            <w:tcW w:w="3380" w:type="dxa"/>
            <w:vAlign w:val="bottom"/>
            <w:tcBorders>
              <w:bottom w:val="single" w:sz="8" w:color="0066BA"/>
            </w:tcBorders>
          </w:tcPr>
          <w:p>
            <w:pPr>
              <w:ind w:left="60"/>
              <w:spacing w:after="0"/>
              <w:rPr>
                <w:sz w:val="20"/>
                <w:szCs w:val="20"/>
                <w:color w:val="auto"/>
              </w:rPr>
            </w:pPr>
            <w:r>
              <w:rPr>
                <w:rFonts w:ascii="Arial" w:cs="Arial" w:eastAsia="Arial" w:hAnsi="Arial"/>
                <w:sz w:val="16"/>
                <w:szCs w:val="16"/>
                <w:color w:val="auto"/>
              </w:rPr>
              <w:t>3/15/2021</w:t>
            </w:r>
          </w:p>
        </w:tc>
        <w:tc>
          <w:tcPr>
            <w:tcW w:w="2420" w:type="dxa"/>
            <w:vAlign w:val="bottom"/>
            <w:tcBorders>
              <w:bottom w:val="single" w:sz="8" w:color="0066BA"/>
            </w:tcBorders>
            <w:shd w:val="clear" w:color="auto" w:fill="EAEAEA"/>
          </w:tcPr>
          <w:p>
            <w:pPr>
              <w:jc w:val="right"/>
              <w:ind w:right="307"/>
              <w:spacing w:after="0"/>
              <w:rPr>
                <w:sz w:val="20"/>
                <w:szCs w:val="20"/>
                <w:color w:val="auto"/>
              </w:rPr>
            </w:pPr>
            <w:r>
              <w:rPr>
                <w:rFonts w:ascii="Arial" w:cs="Arial" w:eastAsia="Arial" w:hAnsi="Arial"/>
                <w:sz w:val="16"/>
                <w:szCs w:val="16"/>
                <w:color w:val="auto"/>
              </w:rPr>
              <w:t>0.84</w:t>
            </w:r>
          </w:p>
        </w:tc>
        <w:tc>
          <w:tcPr>
            <w:tcW w:w="600" w:type="dxa"/>
            <w:vAlign w:val="bottom"/>
            <w:tcBorders>
              <w:bottom w:val="single" w:sz="8" w:color="0066BA"/>
            </w:tcBorders>
          </w:tcPr>
          <w:p>
            <w:pPr>
              <w:spacing w:after="0"/>
              <w:rPr>
                <w:sz w:val="18"/>
                <w:szCs w:val="18"/>
                <w:color w:val="auto"/>
              </w:rPr>
            </w:pPr>
          </w:p>
        </w:tc>
        <w:tc>
          <w:tcPr>
            <w:tcW w:w="1220" w:type="dxa"/>
            <w:vAlign w:val="bottom"/>
            <w:tcBorders>
              <w:bottom w:val="single" w:sz="8" w:color="0066BA"/>
            </w:tcBorders>
          </w:tcPr>
          <w:p>
            <w:pPr>
              <w:jc w:val="right"/>
              <w:ind w:right="306"/>
              <w:spacing w:after="0"/>
              <w:rPr>
                <w:sz w:val="20"/>
                <w:szCs w:val="20"/>
                <w:color w:val="auto"/>
              </w:rPr>
            </w:pPr>
            <w:r>
              <w:rPr>
                <w:rFonts w:ascii="Arial" w:cs="Arial" w:eastAsia="Arial" w:hAnsi="Arial"/>
                <w:sz w:val="16"/>
                <w:szCs w:val="16"/>
                <w:color w:val="auto"/>
              </w:rPr>
              <w:t>1.83</w:t>
            </w:r>
          </w:p>
        </w:tc>
        <w:tc>
          <w:tcPr>
            <w:tcW w:w="2660" w:type="dxa"/>
            <w:vAlign w:val="bottom"/>
            <w:tcBorders>
              <w:bottom w:val="single" w:sz="8" w:color="0066BA"/>
            </w:tcBorders>
            <w:shd w:val="clear" w:color="auto" w:fill="EAEAEA"/>
          </w:tcPr>
          <w:p>
            <w:pPr>
              <w:jc w:val="right"/>
              <w:ind w:right="306"/>
              <w:spacing w:after="0"/>
              <w:rPr>
                <w:sz w:val="20"/>
                <w:szCs w:val="20"/>
                <w:color w:val="auto"/>
              </w:rPr>
            </w:pPr>
            <w:r>
              <w:rPr>
                <w:rFonts w:ascii="Arial" w:cs="Arial" w:eastAsia="Arial" w:hAnsi="Arial"/>
                <w:sz w:val="16"/>
                <w:szCs w:val="16"/>
                <w:color w:val="auto"/>
              </w:rPr>
              <w:t>144.19</w:t>
            </w:r>
          </w:p>
        </w:tc>
      </w:tr>
    </w:tbl>
    <w:p>
      <w:pPr>
        <w:spacing w:after="0" w:line="92" w:lineRule="exact"/>
        <w:rPr>
          <w:sz w:val="20"/>
          <w:szCs w:val="20"/>
          <w:color w:val="auto"/>
        </w:rPr>
      </w:pPr>
    </w:p>
    <w:p>
      <w:pPr>
        <w:ind w:left="480" w:right="340"/>
        <w:spacing w:after="0" w:line="286" w:lineRule="auto"/>
        <w:rPr>
          <w:sz w:val="20"/>
          <w:szCs w:val="20"/>
          <w:color w:val="auto"/>
        </w:rPr>
      </w:pPr>
      <w:r>
        <w:rPr>
          <w:rFonts w:ascii="Arial" w:cs="Arial" w:eastAsia="Arial" w:hAnsi="Arial"/>
          <w:sz w:val="17"/>
          <w:szCs w:val="17"/>
          <w:color w:val="auto"/>
        </w:rPr>
        <w:t>The grant date fair value of the time-based RSUs is the value of our common stock on the date of grant, reduced by the present value of dividends expected to be paid on our common stock prior to vesting.</w:t>
      </w:r>
    </w:p>
    <w:p>
      <w:pPr>
        <w:spacing w:after="0" w:line="67" w:lineRule="exact"/>
        <w:rPr>
          <w:sz w:val="20"/>
          <w:szCs w:val="20"/>
          <w:color w:val="auto"/>
        </w:rPr>
      </w:pPr>
    </w:p>
    <w:p>
      <w:pPr>
        <w:ind w:left="880" w:right="180" w:hanging="399"/>
        <w:spacing w:after="0" w:line="270" w:lineRule="auto"/>
        <w:tabs>
          <w:tab w:leader="none" w:pos="860" w:val="left"/>
        </w:tabs>
        <w:rPr>
          <w:sz w:val="20"/>
          <w:szCs w:val="20"/>
          <w:color w:val="auto"/>
        </w:rPr>
      </w:pPr>
      <w:r>
        <w:rPr>
          <w:rFonts w:ascii="Arial" w:cs="Arial" w:eastAsia="Arial" w:hAnsi="Arial"/>
          <w:sz w:val="17"/>
          <w:szCs w:val="17"/>
          <w:color w:val="auto"/>
        </w:rPr>
        <w:t>(8)</w:t>
        <w:tab/>
        <w:t>This amount does not represent the actual amount paid to or realized by the executives for these awards during the fiscal year. The grant date fair value of stock options granted were computed using a Black-Scholes valuation methodology. We estimated the full grant date fair value of these stock options using the following assumptions:</w:t>
      </w:r>
    </w:p>
    <w:p>
      <w:pPr>
        <w:spacing w:after="0" w:line="211" w:lineRule="exact"/>
        <w:rPr>
          <w:sz w:val="20"/>
          <w:szCs w:val="20"/>
          <w:color w:val="auto"/>
        </w:rPr>
      </w:pPr>
    </w:p>
    <w:tbl>
      <w:tblPr>
        <w:tblLayout w:type="fixed"/>
        <w:tblInd w:w="480" w:type="dxa"/>
        <w:tblCellMar>
          <w:top w:w="0" w:type="dxa"/>
          <w:left w:w="0" w:type="dxa"/>
          <w:bottom w:w="0" w:type="dxa"/>
          <w:right w:w="0" w:type="dxa"/>
        </w:tblCellMar>
      </w:tblPr>
      <w:tr>
        <w:trPr>
          <w:trHeight w:val="197"/>
        </w:trPr>
        <w:tc>
          <w:tcPr>
            <w:tcW w:w="340" w:type="dxa"/>
            <w:vAlign w:val="bottom"/>
            <w:shd w:val="clear" w:color="auto" w:fill="0066BA"/>
          </w:tcPr>
          <w:p>
            <w:pPr>
              <w:spacing w:after="0"/>
              <w:rPr>
                <w:sz w:val="17"/>
                <w:szCs w:val="17"/>
                <w:color w:val="auto"/>
              </w:rPr>
            </w:pPr>
          </w:p>
        </w:tc>
        <w:tc>
          <w:tcPr>
            <w:tcW w:w="2320" w:type="dxa"/>
            <w:vAlign w:val="bottom"/>
            <w:shd w:val="clear" w:color="auto" w:fill="0066BA"/>
          </w:tcPr>
          <w:p>
            <w:pPr>
              <w:spacing w:after="0"/>
              <w:rPr>
                <w:sz w:val="17"/>
                <w:szCs w:val="17"/>
                <w:color w:val="auto"/>
              </w:rPr>
            </w:pPr>
          </w:p>
        </w:tc>
        <w:tc>
          <w:tcPr>
            <w:tcW w:w="1580" w:type="dxa"/>
            <w:vAlign w:val="bottom"/>
            <w:shd w:val="clear" w:color="auto" w:fill="0066BA"/>
          </w:tcPr>
          <w:p>
            <w:pPr>
              <w:spacing w:after="0"/>
              <w:rPr>
                <w:sz w:val="17"/>
                <w:szCs w:val="17"/>
                <w:color w:val="auto"/>
              </w:rPr>
            </w:pPr>
          </w:p>
        </w:tc>
        <w:tc>
          <w:tcPr>
            <w:tcW w:w="1080" w:type="dxa"/>
            <w:vAlign w:val="bottom"/>
            <w:shd w:val="clear" w:color="auto" w:fill="0066BA"/>
          </w:tcPr>
          <w:p>
            <w:pPr>
              <w:spacing w:after="0"/>
              <w:rPr>
                <w:sz w:val="17"/>
                <w:szCs w:val="17"/>
                <w:color w:val="auto"/>
              </w:rPr>
            </w:pPr>
          </w:p>
        </w:tc>
        <w:tc>
          <w:tcPr>
            <w:tcW w:w="1960" w:type="dxa"/>
            <w:vAlign w:val="bottom"/>
            <w:gridSpan w:val="2"/>
            <w:shd w:val="clear" w:color="auto" w:fill="0066BA"/>
          </w:tcPr>
          <w:p>
            <w:pPr>
              <w:jc w:val="right"/>
              <w:ind w:right="988"/>
              <w:spacing w:after="0"/>
              <w:rPr>
                <w:sz w:val="20"/>
                <w:szCs w:val="20"/>
                <w:color w:val="auto"/>
              </w:rPr>
            </w:pPr>
            <w:r>
              <w:rPr>
                <w:rFonts w:ascii="Arial" w:cs="Arial" w:eastAsia="Arial" w:hAnsi="Arial"/>
                <w:sz w:val="14"/>
                <w:szCs w:val="14"/>
                <w:b w:val="1"/>
                <w:bCs w:val="1"/>
                <w:color w:val="FFFFFF"/>
                <w:w w:val="99"/>
              </w:rPr>
              <w:t>Assumptions</w:t>
            </w:r>
          </w:p>
        </w:tc>
        <w:tc>
          <w:tcPr>
            <w:tcW w:w="1380" w:type="dxa"/>
            <w:vAlign w:val="bottom"/>
            <w:shd w:val="clear" w:color="auto" w:fill="0066BA"/>
          </w:tcPr>
          <w:p>
            <w:pPr>
              <w:spacing w:after="0"/>
              <w:rPr>
                <w:sz w:val="17"/>
                <w:szCs w:val="17"/>
                <w:color w:val="auto"/>
              </w:rPr>
            </w:pPr>
          </w:p>
        </w:tc>
        <w:tc>
          <w:tcPr>
            <w:tcW w:w="1620" w:type="dxa"/>
            <w:vAlign w:val="bottom"/>
            <w:shd w:val="clear" w:color="auto" w:fill="0066BA"/>
          </w:tcPr>
          <w:p>
            <w:pPr>
              <w:jc w:val="right"/>
              <w:ind w:right="147"/>
              <w:spacing w:after="0"/>
              <w:rPr>
                <w:sz w:val="20"/>
                <w:szCs w:val="20"/>
                <w:color w:val="auto"/>
              </w:rPr>
            </w:pPr>
            <w:r>
              <w:rPr>
                <w:rFonts w:ascii="Arial" w:cs="Arial" w:eastAsia="Arial" w:hAnsi="Arial"/>
                <w:sz w:val="14"/>
                <w:szCs w:val="14"/>
                <w:b w:val="1"/>
                <w:bCs w:val="1"/>
                <w:color w:val="FFFFFF"/>
              </w:rPr>
              <w:t>Grant Date</w:t>
            </w:r>
          </w:p>
        </w:tc>
        <w:tc>
          <w:tcPr>
            <w:tcW w:w="0" w:type="dxa"/>
            <w:vAlign w:val="bottom"/>
          </w:tcPr>
          <w:p>
            <w:pPr>
              <w:spacing w:after="0"/>
              <w:rPr>
                <w:sz w:val="1"/>
                <w:szCs w:val="1"/>
                <w:color w:val="auto"/>
              </w:rPr>
            </w:pPr>
          </w:p>
        </w:tc>
      </w:tr>
      <w:tr>
        <w:trPr>
          <w:trHeight w:val="57"/>
        </w:trPr>
        <w:tc>
          <w:tcPr>
            <w:tcW w:w="340" w:type="dxa"/>
            <w:vAlign w:val="bottom"/>
            <w:shd w:val="clear" w:color="auto" w:fill="0066BA"/>
          </w:tcPr>
          <w:p>
            <w:pPr>
              <w:spacing w:after="0"/>
              <w:rPr>
                <w:sz w:val="4"/>
                <w:szCs w:val="4"/>
                <w:color w:val="auto"/>
              </w:rPr>
            </w:pPr>
          </w:p>
        </w:tc>
        <w:tc>
          <w:tcPr>
            <w:tcW w:w="2320" w:type="dxa"/>
            <w:vAlign w:val="bottom"/>
            <w:shd w:val="clear" w:color="auto" w:fill="0066BA"/>
          </w:tcPr>
          <w:p>
            <w:pPr>
              <w:spacing w:after="0"/>
              <w:rPr>
                <w:sz w:val="4"/>
                <w:szCs w:val="4"/>
                <w:color w:val="auto"/>
              </w:rPr>
            </w:pPr>
          </w:p>
        </w:tc>
        <w:tc>
          <w:tcPr>
            <w:tcW w:w="1580" w:type="dxa"/>
            <w:vAlign w:val="bottom"/>
            <w:shd w:val="clear" w:color="auto" w:fill="0066BA"/>
          </w:tcPr>
          <w:p>
            <w:pPr>
              <w:spacing w:after="0"/>
              <w:rPr>
                <w:sz w:val="4"/>
                <w:szCs w:val="4"/>
                <w:color w:val="auto"/>
              </w:rPr>
            </w:pPr>
          </w:p>
        </w:tc>
        <w:tc>
          <w:tcPr>
            <w:tcW w:w="1080" w:type="dxa"/>
            <w:vAlign w:val="bottom"/>
            <w:shd w:val="clear" w:color="auto" w:fill="0066BA"/>
          </w:tcPr>
          <w:p>
            <w:pPr>
              <w:spacing w:after="0"/>
              <w:rPr>
                <w:sz w:val="4"/>
                <w:szCs w:val="4"/>
                <w:color w:val="auto"/>
              </w:rPr>
            </w:pPr>
          </w:p>
        </w:tc>
        <w:tc>
          <w:tcPr>
            <w:tcW w:w="200" w:type="dxa"/>
            <w:vAlign w:val="bottom"/>
            <w:shd w:val="clear" w:color="auto" w:fill="0066BA"/>
          </w:tcPr>
          <w:p>
            <w:pPr>
              <w:spacing w:after="0"/>
              <w:rPr>
                <w:sz w:val="4"/>
                <w:szCs w:val="4"/>
                <w:color w:val="auto"/>
              </w:rPr>
            </w:pPr>
          </w:p>
        </w:tc>
        <w:tc>
          <w:tcPr>
            <w:tcW w:w="1760" w:type="dxa"/>
            <w:vAlign w:val="bottom"/>
            <w:shd w:val="clear" w:color="auto" w:fill="0066BA"/>
          </w:tcPr>
          <w:p>
            <w:pPr>
              <w:spacing w:after="0"/>
              <w:rPr>
                <w:sz w:val="4"/>
                <w:szCs w:val="4"/>
                <w:color w:val="auto"/>
              </w:rPr>
            </w:pPr>
          </w:p>
        </w:tc>
        <w:tc>
          <w:tcPr>
            <w:tcW w:w="1380" w:type="dxa"/>
            <w:vAlign w:val="bottom"/>
            <w:shd w:val="clear" w:color="auto" w:fill="0066BA"/>
          </w:tcPr>
          <w:p>
            <w:pPr>
              <w:spacing w:after="0"/>
              <w:rPr>
                <w:sz w:val="4"/>
                <w:szCs w:val="4"/>
                <w:color w:val="auto"/>
              </w:rPr>
            </w:pPr>
          </w:p>
        </w:tc>
        <w:tc>
          <w:tcPr>
            <w:tcW w:w="1620" w:type="dxa"/>
            <w:vAlign w:val="bottom"/>
            <w:vMerge w:val="restart"/>
            <w:shd w:val="clear" w:color="auto" w:fill="0066BA"/>
          </w:tcPr>
          <w:p>
            <w:pPr>
              <w:jc w:val="right"/>
              <w:ind w:right="147"/>
              <w:spacing w:after="0"/>
              <w:rPr>
                <w:sz w:val="20"/>
                <w:szCs w:val="20"/>
                <w:color w:val="auto"/>
              </w:rPr>
            </w:pPr>
            <w:r>
              <w:rPr>
                <w:rFonts w:ascii="Arial" w:cs="Arial" w:eastAsia="Arial" w:hAnsi="Arial"/>
                <w:sz w:val="14"/>
                <w:szCs w:val="14"/>
                <w:b w:val="1"/>
                <w:bCs w:val="1"/>
                <w:color w:val="FFFFFF"/>
              </w:rPr>
              <w:t>Fair Value</w:t>
            </w:r>
          </w:p>
        </w:tc>
        <w:tc>
          <w:tcPr>
            <w:tcW w:w="0" w:type="dxa"/>
            <w:vAlign w:val="bottom"/>
          </w:tcPr>
          <w:p>
            <w:pPr>
              <w:spacing w:after="0"/>
              <w:rPr>
                <w:sz w:val="1"/>
                <w:szCs w:val="1"/>
                <w:color w:val="auto"/>
              </w:rPr>
            </w:pPr>
          </w:p>
        </w:tc>
      </w:tr>
      <w:tr>
        <w:trPr>
          <w:trHeight w:val="111"/>
        </w:trPr>
        <w:tc>
          <w:tcPr>
            <w:tcW w:w="2660" w:type="dxa"/>
            <w:vAlign w:val="bottom"/>
            <w:gridSpan w:val="2"/>
            <w:vMerge w:val="restart"/>
            <w:shd w:val="clear" w:color="auto" w:fill="0066BA"/>
          </w:tcPr>
          <w:p>
            <w:pPr>
              <w:ind w:left="60"/>
              <w:spacing w:after="0"/>
              <w:rPr>
                <w:sz w:val="20"/>
                <w:szCs w:val="20"/>
                <w:color w:val="auto"/>
              </w:rPr>
            </w:pPr>
            <w:r>
              <w:rPr>
                <w:rFonts w:ascii="Arial" w:cs="Arial" w:eastAsia="Arial" w:hAnsi="Arial"/>
                <w:sz w:val="14"/>
                <w:szCs w:val="14"/>
                <w:b w:val="1"/>
                <w:bCs w:val="1"/>
                <w:color w:val="FFFFFF"/>
              </w:rPr>
              <w:t>Grant Date</w:t>
            </w:r>
          </w:p>
        </w:tc>
        <w:tc>
          <w:tcPr>
            <w:tcW w:w="1580" w:type="dxa"/>
            <w:vAlign w:val="bottom"/>
            <w:shd w:val="clear" w:color="auto" w:fill="0066BA"/>
          </w:tcPr>
          <w:p>
            <w:pPr>
              <w:jc w:val="right"/>
              <w:ind w:right="131"/>
              <w:spacing w:after="0" w:line="111" w:lineRule="exact"/>
              <w:rPr>
                <w:sz w:val="20"/>
                <w:szCs w:val="20"/>
                <w:color w:val="auto"/>
              </w:rPr>
            </w:pPr>
            <w:r>
              <w:rPr>
                <w:rFonts w:ascii="Arial" w:cs="Arial" w:eastAsia="Arial" w:hAnsi="Arial"/>
                <w:sz w:val="12"/>
                <w:szCs w:val="12"/>
                <w:b w:val="1"/>
                <w:bCs w:val="1"/>
                <w:color w:val="FFFFFF"/>
              </w:rPr>
              <w:t>Risk-Free</w:t>
            </w:r>
          </w:p>
        </w:tc>
        <w:tc>
          <w:tcPr>
            <w:tcW w:w="1080" w:type="dxa"/>
            <w:vAlign w:val="bottom"/>
            <w:shd w:val="clear" w:color="auto" w:fill="0066BA"/>
          </w:tcPr>
          <w:p>
            <w:pPr>
              <w:jc w:val="right"/>
              <w:spacing w:after="0" w:line="111" w:lineRule="exact"/>
              <w:rPr>
                <w:sz w:val="20"/>
                <w:szCs w:val="20"/>
                <w:color w:val="auto"/>
              </w:rPr>
            </w:pPr>
            <w:r>
              <w:rPr>
                <w:rFonts w:ascii="Arial" w:cs="Arial" w:eastAsia="Arial" w:hAnsi="Arial"/>
                <w:sz w:val="12"/>
                <w:szCs w:val="12"/>
                <w:b w:val="1"/>
                <w:bCs w:val="1"/>
                <w:color w:val="FFFFFF"/>
              </w:rPr>
              <w:t>Dividend</w:t>
            </w:r>
          </w:p>
        </w:tc>
        <w:tc>
          <w:tcPr>
            <w:tcW w:w="200" w:type="dxa"/>
            <w:vAlign w:val="bottom"/>
            <w:shd w:val="clear" w:color="auto" w:fill="0066BA"/>
          </w:tcPr>
          <w:p>
            <w:pPr>
              <w:spacing w:after="0"/>
              <w:rPr>
                <w:sz w:val="9"/>
                <w:szCs w:val="9"/>
                <w:color w:val="auto"/>
              </w:rPr>
            </w:pPr>
          </w:p>
        </w:tc>
        <w:tc>
          <w:tcPr>
            <w:tcW w:w="1760" w:type="dxa"/>
            <w:vAlign w:val="bottom"/>
            <w:shd w:val="clear" w:color="auto" w:fill="0066BA"/>
          </w:tcPr>
          <w:p>
            <w:pPr>
              <w:jc w:val="right"/>
              <w:ind w:right="168"/>
              <w:spacing w:after="0" w:line="111" w:lineRule="exact"/>
              <w:rPr>
                <w:sz w:val="20"/>
                <w:szCs w:val="20"/>
                <w:color w:val="auto"/>
              </w:rPr>
            </w:pPr>
            <w:r>
              <w:rPr>
                <w:rFonts w:ascii="Arial" w:cs="Arial" w:eastAsia="Arial" w:hAnsi="Arial"/>
                <w:sz w:val="12"/>
                <w:szCs w:val="12"/>
                <w:b w:val="1"/>
                <w:bCs w:val="1"/>
                <w:color w:val="FFFFFF"/>
              </w:rPr>
              <w:t>Expected Volatility</w:t>
            </w:r>
          </w:p>
        </w:tc>
        <w:tc>
          <w:tcPr>
            <w:tcW w:w="1380" w:type="dxa"/>
            <w:vAlign w:val="bottom"/>
            <w:shd w:val="clear" w:color="auto" w:fill="0066BA"/>
          </w:tcPr>
          <w:p>
            <w:pPr>
              <w:jc w:val="right"/>
              <w:ind w:right="171"/>
              <w:spacing w:after="0" w:line="111" w:lineRule="exact"/>
              <w:rPr>
                <w:sz w:val="20"/>
                <w:szCs w:val="20"/>
                <w:color w:val="auto"/>
              </w:rPr>
            </w:pPr>
            <w:r>
              <w:rPr>
                <w:rFonts w:ascii="Arial" w:cs="Arial" w:eastAsia="Arial" w:hAnsi="Arial"/>
                <w:sz w:val="12"/>
                <w:szCs w:val="12"/>
                <w:b w:val="1"/>
                <w:bCs w:val="1"/>
                <w:color w:val="FFFFFF"/>
              </w:rPr>
              <w:t>Expected</w:t>
            </w:r>
          </w:p>
        </w:tc>
        <w:tc>
          <w:tcPr>
            <w:tcW w:w="1620" w:type="dxa"/>
            <w:vAlign w:val="bottom"/>
            <w:vMerge w:val="continue"/>
            <w:shd w:val="clear" w:color="auto" w:fill="0066BA"/>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660" w:type="dxa"/>
            <w:vAlign w:val="bottom"/>
            <w:gridSpan w:val="2"/>
            <w:vMerge w:val="continue"/>
            <w:shd w:val="clear" w:color="auto" w:fill="0066BA"/>
          </w:tcPr>
          <w:p>
            <w:pPr>
              <w:spacing w:after="0"/>
              <w:rPr>
                <w:sz w:val="15"/>
                <w:szCs w:val="15"/>
                <w:color w:val="auto"/>
              </w:rPr>
            </w:pPr>
          </w:p>
        </w:tc>
        <w:tc>
          <w:tcPr>
            <w:tcW w:w="1580" w:type="dxa"/>
            <w:vAlign w:val="bottom"/>
            <w:shd w:val="clear" w:color="auto" w:fill="0066BA"/>
          </w:tcPr>
          <w:p>
            <w:pPr>
              <w:jc w:val="right"/>
              <w:ind w:right="131"/>
              <w:spacing w:after="0"/>
              <w:rPr>
                <w:sz w:val="20"/>
                <w:szCs w:val="20"/>
                <w:color w:val="auto"/>
              </w:rPr>
            </w:pPr>
            <w:r>
              <w:rPr>
                <w:rFonts w:ascii="Arial" w:cs="Arial" w:eastAsia="Arial" w:hAnsi="Arial"/>
                <w:sz w:val="12"/>
                <w:szCs w:val="12"/>
                <w:b w:val="1"/>
                <w:bCs w:val="1"/>
                <w:color w:val="FFFFFF"/>
              </w:rPr>
              <w:t>Interest Rate (%)</w:t>
            </w:r>
          </w:p>
        </w:tc>
        <w:tc>
          <w:tcPr>
            <w:tcW w:w="1080" w:type="dxa"/>
            <w:vAlign w:val="bottom"/>
            <w:shd w:val="clear" w:color="auto" w:fill="0066BA"/>
          </w:tcPr>
          <w:p>
            <w:pPr>
              <w:jc w:val="right"/>
              <w:spacing w:after="0"/>
              <w:rPr>
                <w:sz w:val="20"/>
                <w:szCs w:val="20"/>
                <w:color w:val="auto"/>
              </w:rPr>
            </w:pPr>
            <w:r>
              <w:rPr>
                <w:rFonts w:ascii="Arial" w:cs="Arial" w:eastAsia="Arial" w:hAnsi="Arial"/>
                <w:sz w:val="12"/>
                <w:szCs w:val="12"/>
                <w:b w:val="1"/>
                <w:bCs w:val="1"/>
                <w:color w:val="FFFFFF"/>
              </w:rPr>
              <w:t>Yield (%)</w:t>
            </w:r>
          </w:p>
        </w:tc>
        <w:tc>
          <w:tcPr>
            <w:tcW w:w="1960" w:type="dxa"/>
            <w:vAlign w:val="bottom"/>
            <w:gridSpan w:val="2"/>
            <w:shd w:val="clear" w:color="auto" w:fill="0066BA"/>
          </w:tcPr>
          <w:p>
            <w:pPr>
              <w:jc w:val="right"/>
              <w:ind w:right="168"/>
              <w:spacing w:after="0"/>
              <w:rPr>
                <w:sz w:val="20"/>
                <w:szCs w:val="20"/>
                <w:color w:val="auto"/>
              </w:rPr>
            </w:pPr>
            <w:r>
              <w:rPr>
                <w:rFonts w:ascii="Arial" w:cs="Arial" w:eastAsia="Arial" w:hAnsi="Arial"/>
                <w:sz w:val="12"/>
                <w:szCs w:val="12"/>
                <w:b w:val="1"/>
                <w:bCs w:val="1"/>
                <w:color w:val="FFFFFF"/>
              </w:rPr>
              <w:t>(%)</w:t>
            </w:r>
          </w:p>
        </w:tc>
        <w:tc>
          <w:tcPr>
            <w:tcW w:w="1380" w:type="dxa"/>
            <w:vAlign w:val="bottom"/>
            <w:shd w:val="clear" w:color="auto" w:fill="0066BA"/>
          </w:tcPr>
          <w:p>
            <w:pPr>
              <w:jc w:val="right"/>
              <w:ind w:right="171"/>
              <w:spacing w:after="0"/>
              <w:rPr>
                <w:sz w:val="20"/>
                <w:szCs w:val="20"/>
                <w:color w:val="auto"/>
              </w:rPr>
            </w:pPr>
            <w:r>
              <w:rPr>
                <w:rFonts w:ascii="Arial" w:cs="Arial" w:eastAsia="Arial" w:hAnsi="Arial"/>
                <w:sz w:val="12"/>
                <w:szCs w:val="12"/>
                <w:b w:val="1"/>
                <w:bCs w:val="1"/>
                <w:color w:val="FFFFFF"/>
              </w:rPr>
              <w:t>Life (Years)</w:t>
            </w:r>
          </w:p>
        </w:tc>
        <w:tc>
          <w:tcPr>
            <w:tcW w:w="1620" w:type="dxa"/>
            <w:vAlign w:val="bottom"/>
            <w:shd w:val="clear" w:color="auto" w:fill="0066BA"/>
          </w:tcPr>
          <w:p>
            <w:pPr>
              <w:jc w:val="right"/>
              <w:ind w:right="147"/>
              <w:spacing w:after="0"/>
              <w:rPr>
                <w:sz w:val="20"/>
                <w:szCs w:val="20"/>
                <w:color w:val="auto"/>
              </w:rPr>
            </w:pPr>
            <w:r>
              <w:rPr>
                <w:rFonts w:ascii="Arial" w:cs="Arial" w:eastAsia="Arial" w:hAnsi="Arial"/>
                <w:sz w:val="14"/>
                <w:szCs w:val="14"/>
                <w:b w:val="1"/>
                <w:bCs w:val="1"/>
                <w:color w:val="FFFFFF"/>
              </w:rPr>
              <w:t>Per Share ($)</w:t>
            </w:r>
          </w:p>
        </w:tc>
        <w:tc>
          <w:tcPr>
            <w:tcW w:w="0" w:type="dxa"/>
            <w:vAlign w:val="bottom"/>
          </w:tcPr>
          <w:p>
            <w:pPr>
              <w:spacing w:after="0"/>
              <w:rPr>
                <w:sz w:val="1"/>
                <w:szCs w:val="1"/>
                <w:color w:val="auto"/>
              </w:rPr>
            </w:pPr>
          </w:p>
        </w:tc>
      </w:tr>
      <w:tr>
        <w:trPr>
          <w:trHeight w:val="227"/>
        </w:trPr>
        <w:tc>
          <w:tcPr>
            <w:tcW w:w="26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color w:val="auto"/>
              </w:rPr>
              <w:t>3/10/2021</w:t>
            </w:r>
          </w:p>
        </w:tc>
        <w:tc>
          <w:tcPr>
            <w:tcW w:w="1580" w:type="dxa"/>
            <w:vAlign w:val="bottom"/>
            <w:tcBorders>
              <w:bottom w:val="single" w:sz="8" w:color="auto"/>
            </w:tcBorders>
            <w:shd w:val="clear" w:color="auto" w:fill="EAEAEA"/>
          </w:tcPr>
          <w:p>
            <w:pPr>
              <w:jc w:val="right"/>
              <w:ind w:right="131"/>
              <w:spacing w:after="0"/>
              <w:rPr>
                <w:sz w:val="20"/>
                <w:szCs w:val="20"/>
                <w:color w:val="auto"/>
              </w:rPr>
            </w:pPr>
            <w:r>
              <w:rPr>
                <w:rFonts w:ascii="Arial" w:cs="Arial" w:eastAsia="Arial" w:hAnsi="Arial"/>
                <w:sz w:val="16"/>
                <w:szCs w:val="16"/>
                <w:color w:val="auto"/>
              </w:rPr>
              <w:t>0.80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shd w:val="clear" w:color="auto" w:fill="EAEAEA"/>
          </w:tcPr>
          <w:p>
            <w:pPr>
              <w:jc w:val="right"/>
              <w:ind w:right="168"/>
              <w:spacing w:after="0"/>
              <w:rPr>
                <w:sz w:val="20"/>
                <w:szCs w:val="20"/>
                <w:color w:val="auto"/>
              </w:rPr>
            </w:pPr>
            <w:r>
              <w:rPr>
                <w:rFonts w:ascii="Arial" w:cs="Arial" w:eastAsia="Arial" w:hAnsi="Arial"/>
                <w:sz w:val="16"/>
                <w:szCs w:val="16"/>
                <w:color w:val="auto"/>
              </w:rPr>
              <w:t>35.25</w:t>
            </w:r>
          </w:p>
        </w:tc>
        <w:tc>
          <w:tcPr>
            <w:tcW w:w="138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color w:val="auto"/>
              </w:rPr>
              <w:t>5.00</w:t>
            </w:r>
          </w:p>
        </w:tc>
        <w:tc>
          <w:tcPr>
            <w:tcW w:w="1620" w:type="dxa"/>
            <w:vAlign w:val="bottom"/>
            <w:tcBorders>
              <w:bottom w:val="single" w:sz="8" w:color="auto"/>
            </w:tcBorders>
            <w:shd w:val="clear" w:color="auto" w:fill="EAEAEA"/>
          </w:tcPr>
          <w:p>
            <w:pPr>
              <w:jc w:val="right"/>
              <w:ind w:right="147"/>
              <w:spacing w:after="0"/>
              <w:rPr>
                <w:sz w:val="20"/>
                <w:szCs w:val="20"/>
                <w:color w:val="auto"/>
              </w:rPr>
            </w:pPr>
            <w:r>
              <w:rPr>
                <w:rFonts w:ascii="Arial" w:cs="Arial" w:eastAsia="Arial" w:hAnsi="Arial"/>
                <w:sz w:val="16"/>
                <w:szCs w:val="16"/>
                <w:color w:val="auto"/>
              </w:rPr>
              <w:t>38.58</w:t>
            </w:r>
          </w:p>
        </w:tc>
        <w:tc>
          <w:tcPr>
            <w:tcW w:w="0" w:type="dxa"/>
            <w:vAlign w:val="bottom"/>
          </w:tcPr>
          <w:p>
            <w:pPr>
              <w:spacing w:after="0"/>
              <w:rPr>
                <w:sz w:val="1"/>
                <w:szCs w:val="1"/>
                <w:color w:val="auto"/>
              </w:rPr>
            </w:pPr>
          </w:p>
        </w:tc>
      </w:tr>
      <w:tr>
        <w:trPr>
          <w:trHeight w:val="214"/>
        </w:trPr>
        <w:tc>
          <w:tcPr>
            <w:tcW w:w="2660" w:type="dxa"/>
            <w:vAlign w:val="bottom"/>
            <w:tcBorders>
              <w:bottom w:val="single" w:sz="8" w:color="0066BA"/>
            </w:tcBorders>
            <w:gridSpan w:val="2"/>
          </w:tcPr>
          <w:p>
            <w:pPr>
              <w:ind w:left="60"/>
              <w:spacing w:after="0"/>
              <w:rPr>
                <w:sz w:val="20"/>
                <w:szCs w:val="20"/>
                <w:color w:val="auto"/>
              </w:rPr>
            </w:pPr>
            <w:r>
              <w:rPr>
                <w:rFonts w:ascii="Arial" w:cs="Arial" w:eastAsia="Arial" w:hAnsi="Arial"/>
                <w:sz w:val="16"/>
                <w:szCs w:val="16"/>
                <w:color w:val="auto"/>
              </w:rPr>
              <w:t>3/15/2021</w:t>
            </w:r>
          </w:p>
        </w:tc>
        <w:tc>
          <w:tcPr>
            <w:tcW w:w="1580" w:type="dxa"/>
            <w:vAlign w:val="bottom"/>
            <w:tcBorders>
              <w:bottom w:val="single" w:sz="8" w:color="0066BA"/>
            </w:tcBorders>
            <w:shd w:val="clear" w:color="auto" w:fill="EAEAEA"/>
          </w:tcPr>
          <w:p>
            <w:pPr>
              <w:jc w:val="right"/>
              <w:ind w:right="131"/>
              <w:spacing w:after="0"/>
              <w:rPr>
                <w:sz w:val="20"/>
                <w:szCs w:val="20"/>
                <w:color w:val="auto"/>
              </w:rPr>
            </w:pPr>
            <w:r>
              <w:rPr>
                <w:rFonts w:ascii="Arial" w:cs="Arial" w:eastAsia="Arial" w:hAnsi="Arial"/>
                <w:sz w:val="16"/>
                <w:szCs w:val="16"/>
                <w:color w:val="auto"/>
              </w:rPr>
              <w:t>0.84</w:t>
            </w:r>
          </w:p>
        </w:tc>
        <w:tc>
          <w:tcPr>
            <w:tcW w:w="1080" w:type="dxa"/>
            <w:vAlign w:val="bottom"/>
            <w:tcBorders>
              <w:bottom w:val="single" w:sz="8" w:color="0066BA"/>
            </w:tcBorders>
          </w:tcPr>
          <w:p>
            <w:pPr>
              <w:jc w:val="right"/>
              <w:spacing w:after="0"/>
              <w:rPr>
                <w:sz w:val="20"/>
                <w:szCs w:val="20"/>
                <w:color w:val="auto"/>
              </w:rPr>
            </w:pPr>
            <w:r>
              <w:rPr>
                <w:rFonts w:ascii="Arial" w:cs="Arial" w:eastAsia="Arial" w:hAnsi="Arial"/>
                <w:sz w:val="16"/>
                <w:szCs w:val="16"/>
                <w:color w:val="auto"/>
              </w:rPr>
              <w:t>1.83</w:t>
            </w:r>
          </w:p>
        </w:tc>
        <w:tc>
          <w:tcPr>
            <w:tcW w:w="200" w:type="dxa"/>
            <w:vAlign w:val="bottom"/>
            <w:tcBorders>
              <w:bottom w:val="single" w:sz="8" w:color="0066BA"/>
            </w:tcBorders>
          </w:tcPr>
          <w:p>
            <w:pPr>
              <w:spacing w:after="0"/>
              <w:rPr>
                <w:sz w:val="18"/>
                <w:szCs w:val="18"/>
                <w:color w:val="auto"/>
              </w:rPr>
            </w:pPr>
          </w:p>
        </w:tc>
        <w:tc>
          <w:tcPr>
            <w:tcW w:w="1760" w:type="dxa"/>
            <w:vAlign w:val="bottom"/>
            <w:tcBorders>
              <w:bottom w:val="single" w:sz="8" w:color="0066BA"/>
            </w:tcBorders>
            <w:shd w:val="clear" w:color="auto" w:fill="EAEAEA"/>
          </w:tcPr>
          <w:p>
            <w:pPr>
              <w:jc w:val="right"/>
              <w:ind w:right="168"/>
              <w:spacing w:after="0"/>
              <w:rPr>
                <w:sz w:val="20"/>
                <w:szCs w:val="20"/>
                <w:color w:val="auto"/>
              </w:rPr>
            </w:pPr>
            <w:r>
              <w:rPr>
                <w:rFonts w:ascii="Arial" w:cs="Arial" w:eastAsia="Arial" w:hAnsi="Arial"/>
                <w:sz w:val="16"/>
                <w:szCs w:val="16"/>
                <w:color w:val="auto"/>
              </w:rPr>
              <w:t>35.25</w:t>
            </w:r>
          </w:p>
        </w:tc>
        <w:tc>
          <w:tcPr>
            <w:tcW w:w="1380" w:type="dxa"/>
            <w:vAlign w:val="bottom"/>
            <w:tcBorders>
              <w:bottom w:val="single" w:sz="8" w:color="0066BA"/>
            </w:tcBorders>
          </w:tcPr>
          <w:p>
            <w:pPr>
              <w:jc w:val="right"/>
              <w:ind w:right="171"/>
              <w:spacing w:after="0"/>
              <w:rPr>
                <w:sz w:val="20"/>
                <w:szCs w:val="20"/>
                <w:color w:val="auto"/>
              </w:rPr>
            </w:pPr>
            <w:r>
              <w:rPr>
                <w:rFonts w:ascii="Arial" w:cs="Arial" w:eastAsia="Arial" w:hAnsi="Arial"/>
                <w:sz w:val="16"/>
                <w:szCs w:val="16"/>
                <w:color w:val="auto"/>
              </w:rPr>
              <w:t>5.00</w:t>
            </w:r>
          </w:p>
        </w:tc>
        <w:tc>
          <w:tcPr>
            <w:tcW w:w="1620" w:type="dxa"/>
            <w:vAlign w:val="bottom"/>
            <w:tcBorders>
              <w:bottom w:val="single" w:sz="8" w:color="0066BA"/>
            </w:tcBorders>
            <w:shd w:val="clear" w:color="auto" w:fill="EAEAEA"/>
          </w:tcPr>
          <w:p>
            <w:pPr>
              <w:jc w:val="right"/>
              <w:ind w:right="147"/>
              <w:spacing w:after="0"/>
              <w:rPr>
                <w:sz w:val="20"/>
                <w:szCs w:val="20"/>
                <w:color w:val="auto"/>
              </w:rPr>
            </w:pPr>
            <w:r>
              <w:rPr>
                <w:rFonts w:ascii="Arial" w:cs="Arial" w:eastAsia="Arial" w:hAnsi="Arial"/>
                <w:sz w:val="16"/>
                <w:szCs w:val="16"/>
                <w:color w:val="auto"/>
              </w:rPr>
              <w:t>39.90</w:t>
            </w:r>
          </w:p>
        </w:tc>
        <w:tc>
          <w:tcPr>
            <w:tcW w:w="0" w:type="dxa"/>
            <w:vAlign w:val="bottom"/>
          </w:tcPr>
          <w:p>
            <w:pPr>
              <w:spacing w:after="0"/>
              <w:rPr>
                <w:sz w:val="1"/>
                <w:szCs w:val="1"/>
                <w:color w:val="auto"/>
              </w:rPr>
            </w:pPr>
          </w:p>
        </w:tc>
      </w:tr>
      <w:tr>
        <w:trPr>
          <w:trHeight w:val="313"/>
        </w:trPr>
        <w:tc>
          <w:tcPr>
            <w:tcW w:w="340" w:type="dxa"/>
            <w:vAlign w:val="bottom"/>
          </w:tcPr>
          <w:p>
            <w:pPr>
              <w:spacing w:after="0"/>
              <w:rPr>
                <w:sz w:val="20"/>
                <w:szCs w:val="20"/>
                <w:color w:val="auto"/>
              </w:rPr>
            </w:pPr>
            <w:r>
              <w:rPr>
                <w:rFonts w:ascii="Arial" w:cs="Arial" w:eastAsia="Arial" w:hAnsi="Arial"/>
                <w:sz w:val="17"/>
                <w:szCs w:val="17"/>
                <w:color w:val="auto"/>
              </w:rPr>
              <w:t>(9)</w:t>
            </w:r>
          </w:p>
        </w:tc>
        <w:tc>
          <w:tcPr>
            <w:tcW w:w="9940" w:type="dxa"/>
            <w:vAlign w:val="bottom"/>
            <w:gridSpan w:val="7"/>
          </w:tcPr>
          <w:p>
            <w:pPr>
              <w:ind w:left="60"/>
              <w:spacing w:after="0"/>
              <w:rPr>
                <w:sz w:val="20"/>
                <w:szCs w:val="20"/>
                <w:color w:val="auto"/>
              </w:rPr>
            </w:pPr>
            <w:r>
              <w:rPr>
                <w:rFonts w:ascii="Arial" w:cs="Arial" w:eastAsia="Arial" w:hAnsi="Arial"/>
                <w:sz w:val="17"/>
                <w:szCs w:val="17"/>
                <w:color w:val="auto"/>
                <w:w w:val="95"/>
              </w:rPr>
              <w:t>The CEO Performance Stock Option Award is described above in the Special Equity Awards section of the Compensation Discussion and</w:t>
            </w: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2320" w:type="dxa"/>
            <w:vAlign w:val="bottom"/>
          </w:tcPr>
          <w:p>
            <w:pPr>
              <w:ind w:left="60"/>
              <w:spacing w:after="0"/>
              <w:rPr>
                <w:sz w:val="20"/>
                <w:szCs w:val="20"/>
                <w:color w:val="auto"/>
              </w:rPr>
            </w:pPr>
            <w:r>
              <w:rPr>
                <w:rFonts w:ascii="Arial" w:cs="Arial" w:eastAsia="Arial" w:hAnsi="Arial"/>
                <w:sz w:val="17"/>
                <w:szCs w:val="17"/>
                <w:color w:val="auto"/>
              </w:rPr>
              <w:t>Analysis.</w:t>
            </w: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5"/>
        </w:trPr>
        <w:tc>
          <w:tcPr>
            <w:tcW w:w="340" w:type="dxa"/>
            <w:vAlign w:val="bottom"/>
          </w:tcPr>
          <w:p>
            <w:pPr>
              <w:spacing w:after="0"/>
              <w:rPr>
                <w:sz w:val="20"/>
                <w:szCs w:val="20"/>
                <w:color w:val="auto"/>
              </w:rPr>
            </w:pPr>
            <w:r>
              <w:rPr>
                <w:rFonts w:ascii="Arial" w:cs="Arial" w:eastAsia="Arial" w:hAnsi="Arial"/>
                <w:sz w:val="17"/>
                <w:szCs w:val="17"/>
                <w:color w:val="auto"/>
              </w:rPr>
              <w:t>(10)</w:t>
            </w:r>
          </w:p>
        </w:tc>
        <w:tc>
          <w:tcPr>
            <w:tcW w:w="9940" w:type="dxa"/>
            <w:vAlign w:val="bottom"/>
            <w:gridSpan w:val="7"/>
          </w:tcPr>
          <w:p>
            <w:pPr>
              <w:ind w:left="60"/>
              <w:spacing w:after="0"/>
              <w:rPr>
                <w:sz w:val="20"/>
                <w:szCs w:val="20"/>
                <w:color w:val="auto"/>
              </w:rPr>
            </w:pPr>
            <w:r>
              <w:rPr>
                <w:rFonts w:ascii="Arial" w:cs="Arial" w:eastAsia="Arial" w:hAnsi="Arial"/>
                <w:sz w:val="17"/>
                <w:szCs w:val="17"/>
                <w:color w:val="auto"/>
                <w:w w:val="96"/>
              </w:rPr>
              <w:t>The Maxim Integration PRSUs are described above in the Special Equity Awards section of the Compensation Discussion and Analysis.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0940"/>
          </w:cols>
          <w:pgMar w:left="320" w:top="447" w:right="63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33333"/>
        </w:rPr>
        <w:t>Outstanding Equity Awards at Fiscal Year-End 2021</w:t>
      </w:r>
    </w:p>
    <w:p>
      <w:pPr>
        <w:spacing w:after="0" w:line="12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provides information with respect to outstanding stock options and unvested time-based</w:t>
      </w:r>
    </w:p>
    <w:p>
      <w:pPr>
        <w:spacing w:after="0" w:line="2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RSUs and PRSUs for each of our named executive officers as of October 30, 2021:</w:t>
      </w:r>
    </w:p>
    <w:p>
      <w:pPr>
        <w:spacing w:after="0" w:line="247" w:lineRule="exact"/>
        <w:rPr>
          <w:sz w:val="20"/>
          <w:szCs w:val="20"/>
          <w:color w:val="auto"/>
        </w:rPr>
      </w:pPr>
    </w:p>
    <w:tbl>
      <w:tblPr>
        <w:tblLayout w:type="fixed"/>
        <w:tblInd w:w="480" w:type="dxa"/>
        <w:tblCellMar>
          <w:top w:w="0" w:type="dxa"/>
          <w:left w:w="0" w:type="dxa"/>
          <w:bottom w:w="0" w:type="dxa"/>
          <w:right w:w="0" w:type="dxa"/>
        </w:tblCellMar>
      </w:tblPr>
      <w:tr>
        <w:trPr>
          <w:trHeight w:val="182"/>
        </w:trPr>
        <w:tc>
          <w:tcPr>
            <w:tcW w:w="1960" w:type="dxa"/>
            <w:vAlign w:val="bottom"/>
            <w:tcBorders>
              <w:bottom w:val="single" w:sz="8" w:color="0066BA"/>
              <w:right w:val="single" w:sz="8" w:color="0066BA"/>
            </w:tcBorders>
            <w:shd w:val="clear" w:color="auto" w:fill="0066BA"/>
          </w:tcPr>
          <w:p>
            <w:pPr>
              <w:spacing w:after="0"/>
              <w:rPr>
                <w:sz w:val="15"/>
                <w:szCs w:val="15"/>
                <w:color w:val="auto"/>
              </w:rPr>
            </w:pPr>
          </w:p>
        </w:tc>
        <w:tc>
          <w:tcPr>
            <w:tcW w:w="720" w:type="dxa"/>
            <w:vAlign w:val="bottom"/>
            <w:tcBorders>
              <w:bottom w:val="single" w:sz="8" w:color="0066BA"/>
            </w:tcBorders>
            <w:shd w:val="clear" w:color="auto" w:fill="0066BA"/>
          </w:tcPr>
          <w:p>
            <w:pPr>
              <w:spacing w:after="0"/>
              <w:rPr>
                <w:sz w:val="15"/>
                <w:szCs w:val="15"/>
                <w:color w:val="auto"/>
              </w:rPr>
            </w:pPr>
          </w:p>
        </w:tc>
        <w:tc>
          <w:tcPr>
            <w:tcW w:w="80" w:type="dxa"/>
            <w:vAlign w:val="bottom"/>
            <w:tcBorders>
              <w:bottom w:val="single" w:sz="8" w:color="0066BA"/>
            </w:tcBorders>
            <w:shd w:val="clear" w:color="auto" w:fill="0066BA"/>
          </w:tcPr>
          <w:p>
            <w:pPr>
              <w:spacing w:after="0"/>
              <w:rPr>
                <w:sz w:val="15"/>
                <w:szCs w:val="15"/>
                <w:color w:val="auto"/>
              </w:rPr>
            </w:pPr>
          </w:p>
        </w:tc>
        <w:tc>
          <w:tcPr>
            <w:tcW w:w="760" w:type="dxa"/>
            <w:vAlign w:val="bottom"/>
            <w:tcBorders>
              <w:bottom w:val="single" w:sz="8" w:color="7FB2DC"/>
            </w:tcBorders>
            <w:shd w:val="clear" w:color="auto" w:fill="0066BA"/>
          </w:tcPr>
          <w:p>
            <w:pPr>
              <w:spacing w:after="0"/>
              <w:rPr>
                <w:sz w:val="15"/>
                <w:szCs w:val="15"/>
                <w:color w:val="auto"/>
              </w:rPr>
            </w:pPr>
          </w:p>
        </w:tc>
        <w:tc>
          <w:tcPr>
            <w:tcW w:w="80" w:type="dxa"/>
            <w:vAlign w:val="bottom"/>
            <w:tcBorders>
              <w:bottom w:val="single" w:sz="8" w:color="7FB2DC"/>
            </w:tcBorders>
            <w:shd w:val="clear" w:color="auto" w:fill="0066BA"/>
          </w:tcPr>
          <w:p>
            <w:pPr>
              <w:spacing w:after="0"/>
              <w:rPr>
                <w:sz w:val="15"/>
                <w:szCs w:val="15"/>
                <w:color w:val="auto"/>
              </w:rPr>
            </w:pPr>
          </w:p>
        </w:tc>
        <w:tc>
          <w:tcPr>
            <w:tcW w:w="1720" w:type="dxa"/>
            <w:vAlign w:val="bottom"/>
            <w:tcBorders>
              <w:bottom w:val="single" w:sz="8" w:color="7FB2DC"/>
            </w:tcBorders>
            <w:gridSpan w:val="3"/>
            <w:shd w:val="clear" w:color="auto" w:fill="0066BA"/>
          </w:tcPr>
          <w:p>
            <w:pPr>
              <w:jc w:val="right"/>
              <w:spacing w:after="0"/>
              <w:rPr>
                <w:sz w:val="20"/>
                <w:szCs w:val="20"/>
                <w:color w:val="auto"/>
              </w:rPr>
            </w:pPr>
            <w:r>
              <w:rPr>
                <w:rFonts w:ascii="Arial" w:cs="Arial" w:eastAsia="Arial" w:hAnsi="Arial"/>
                <w:sz w:val="14"/>
                <w:szCs w:val="14"/>
                <w:b w:val="1"/>
                <w:bCs w:val="1"/>
                <w:color w:val="FFFFFF"/>
              </w:rPr>
              <w:t>Option Awards</w:t>
            </w:r>
          </w:p>
        </w:tc>
        <w:tc>
          <w:tcPr>
            <w:tcW w:w="80" w:type="dxa"/>
            <w:vAlign w:val="bottom"/>
            <w:tcBorders>
              <w:bottom w:val="single" w:sz="8" w:color="7FB2DC"/>
            </w:tcBorders>
            <w:shd w:val="clear" w:color="auto" w:fill="0066BA"/>
          </w:tcPr>
          <w:p>
            <w:pPr>
              <w:spacing w:after="0"/>
              <w:rPr>
                <w:sz w:val="15"/>
                <w:szCs w:val="15"/>
                <w:color w:val="auto"/>
              </w:rPr>
            </w:pPr>
          </w:p>
        </w:tc>
        <w:tc>
          <w:tcPr>
            <w:tcW w:w="440" w:type="dxa"/>
            <w:vAlign w:val="bottom"/>
            <w:tcBorders>
              <w:bottom w:val="single" w:sz="8" w:color="7FB2DC"/>
            </w:tcBorders>
            <w:shd w:val="clear" w:color="auto" w:fill="0066BA"/>
          </w:tcPr>
          <w:p>
            <w:pPr>
              <w:spacing w:after="0"/>
              <w:rPr>
                <w:sz w:val="15"/>
                <w:szCs w:val="15"/>
                <w:color w:val="auto"/>
              </w:rPr>
            </w:pPr>
          </w:p>
        </w:tc>
        <w:tc>
          <w:tcPr>
            <w:tcW w:w="80" w:type="dxa"/>
            <w:vAlign w:val="bottom"/>
            <w:tcBorders>
              <w:bottom w:val="single" w:sz="8" w:color="7FB2DC"/>
            </w:tcBorders>
            <w:shd w:val="clear" w:color="auto" w:fill="0066BA"/>
          </w:tcPr>
          <w:p>
            <w:pPr>
              <w:spacing w:after="0"/>
              <w:rPr>
                <w:sz w:val="15"/>
                <w:szCs w:val="15"/>
                <w:color w:val="auto"/>
              </w:rPr>
            </w:pPr>
          </w:p>
        </w:tc>
        <w:tc>
          <w:tcPr>
            <w:tcW w:w="860" w:type="dxa"/>
            <w:vAlign w:val="bottom"/>
            <w:tcBorders>
              <w:bottom w:val="single" w:sz="8" w:color="7FB2DC"/>
            </w:tcBorders>
            <w:shd w:val="clear" w:color="auto" w:fill="0066BA"/>
          </w:tcPr>
          <w:p>
            <w:pPr>
              <w:spacing w:after="0"/>
              <w:rPr>
                <w:sz w:val="15"/>
                <w:szCs w:val="15"/>
                <w:color w:val="auto"/>
              </w:rPr>
            </w:pPr>
          </w:p>
        </w:tc>
        <w:tc>
          <w:tcPr>
            <w:tcW w:w="200" w:type="dxa"/>
            <w:vAlign w:val="bottom"/>
            <w:tcBorders>
              <w:bottom w:val="single" w:sz="8" w:color="0066BA"/>
            </w:tcBorders>
            <w:shd w:val="clear" w:color="auto" w:fill="0066BA"/>
          </w:tcPr>
          <w:p>
            <w:pPr>
              <w:spacing w:after="0"/>
              <w:rPr>
                <w:sz w:val="15"/>
                <w:szCs w:val="15"/>
                <w:color w:val="auto"/>
              </w:rPr>
            </w:pPr>
          </w:p>
        </w:tc>
        <w:tc>
          <w:tcPr>
            <w:tcW w:w="80" w:type="dxa"/>
            <w:vAlign w:val="bottom"/>
            <w:tcBorders>
              <w:bottom w:val="single" w:sz="8" w:color="7FB2DC"/>
            </w:tcBorders>
            <w:shd w:val="clear" w:color="auto" w:fill="0066BA"/>
          </w:tcPr>
          <w:p>
            <w:pPr>
              <w:spacing w:after="0"/>
              <w:rPr>
                <w:sz w:val="15"/>
                <w:szCs w:val="15"/>
                <w:color w:val="auto"/>
              </w:rPr>
            </w:pPr>
          </w:p>
        </w:tc>
        <w:tc>
          <w:tcPr>
            <w:tcW w:w="520" w:type="dxa"/>
            <w:vAlign w:val="bottom"/>
            <w:tcBorders>
              <w:bottom w:val="single" w:sz="8" w:color="7FB2DC"/>
            </w:tcBorders>
            <w:shd w:val="clear" w:color="auto" w:fill="0066BA"/>
          </w:tcPr>
          <w:p>
            <w:pPr>
              <w:spacing w:after="0"/>
              <w:rPr>
                <w:sz w:val="15"/>
                <w:szCs w:val="15"/>
                <w:color w:val="auto"/>
              </w:rPr>
            </w:pPr>
          </w:p>
        </w:tc>
        <w:tc>
          <w:tcPr>
            <w:tcW w:w="80" w:type="dxa"/>
            <w:vAlign w:val="bottom"/>
            <w:tcBorders>
              <w:bottom w:val="single" w:sz="8" w:color="7FB2DC"/>
            </w:tcBorders>
            <w:shd w:val="clear" w:color="auto" w:fill="0066BA"/>
          </w:tcPr>
          <w:p>
            <w:pPr>
              <w:spacing w:after="0"/>
              <w:rPr>
                <w:sz w:val="15"/>
                <w:szCs w:val="15"/>
                <w:color w:val="auto"/>
              </w:rPr>
            </w:pPr>
          </w:p>
        </w:tc>
        <w:tc>
          <w:tcPr>
            <w:tcW w:w="1680" w:type="dxa"/>
            <w:vAlign w:val="bottom"/>
            <w:tcBorders>
              <w:bottom w:val="single" w:sz="8" w:color="7FB2DC"/>
            </w:tcBorders>
            <w:gridSpan w:val="4"/>
            <w:shd w:val="clear" w:color="auto" w:fill="0066BA"/>
          </w:tcPr>
          <w:p>
            <w:pPr>
              <w:jc w:val="right"/>
              <w:ind w:right="260"/>
              <w:spacing w:after="0"/>
              <w:rPr>
                <w:sz w:val="20"/>
                <w:szCs w:val="20"/>
                <w:color w:val="auto"/>
              </w:rPr>
            </w:pPr>
            <w:r>
              <w:rPr>
                <w:rFonts w:ascii="Arial" w:cs="Arial" w:eastAsia="Arial" w:hAnsi="Arial"/>
                <w:sz w:val="14"/>
                <w:szCs w:val="14"/>
                <w:b w:val="1"/>
                <w:bCs w:val="1"/>
                <w:color w:val="FFFFFF"/>
              </w:rPr>
              <w:t>Stock Awards</w:t>
            </w:r>
          </w:p>
        </w:tc>
        <w:tc>
          <w:tcPr>
            <w:tcW w:w="940" w:type="dxa"/>
            <w:vAlign w:val="bottom"/>
            <w:tcBorders>
              <w:bottom w:val="single" w:sz="8" w:color="7FB2DC"/>
            </w:tcBorders>
            <w:shd w:val="clear" w:color="auto" w:fill="0066BA"/>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1960" w:type="dxa"/>
            <w:vAlign w:val="bottom"/>
            <w:tcBorders>
              <w:right w:val="single" w:sz="8" w:color="0066BA"/>
            </w:tcBorders>
            <w:shd w:val="clear" w:color="auto" w:fill="0066BA"/>
          </w:tcPr>
          <w:p>
            <w:pPr>
              <w:spacing w:after="0"/>
              <w:rPr>
                <w:sz w:val="10"/>
                <w:szCs w:val="10"/>
                <w:color w:val="auto"/>
              </w:rPr>
            </w:pPr>
          </w:p>
        </w:tc>
        <w:tc>
          <w:tcPr>
            <w:tcW w:w="720" w:type="dxa"/>
            <w:vAlign w:val="bottom"/>
            <w:shd w:val="clear" w:color="auto" w:fill="0066BA"/>
          </w:tcPr>
          <w:p>
            <w:pPr>
              <w:spacing w:after="0"/>
              <w:rPr>
                <w:sz w:val="10"/>
                <w:szCs w:val="10"/>
                <w:color w:val="auto"/>
              </w:rPr>
            </w:pPr>
          </w:p>
        </w:tc>
        <w:tc>
          <w:tcPr>
            <w:tcW w:w="80" w:type="dxa"/>
            <w:vAlign w:val="bottom"/>
            <w:shd w:val="clear" w:color="auto" w:fill="0066BA"/>
          </w:tcPr>
          <w:p>
            <w:pPr>
              <w:spacing w:after="0"/>
              <w:rPr>
                <w:sz w:val="10"/>
                <w:szCs w:val="10"/>
                <w:color w:val="auto"/>
              </w:rPr>
            </w:pPr>
          </w:p>
        </w:tc>
        <w:tc>
          <w:tcPr>
            <w:tcW w:w="760" w:type="dxa"/>
            <w:vAlign w:val="bottom"/>
            <w:shd w:val="clear" w:color="auto" w:fill="0066BA"/>
          </w:tcPr>
          <w:p>
            <w:pPr>
              <w:spacing w:after="0"/>
              <w:rPr>
                <w:sz w:val="10"/>
                <w:szCs w:val="10"/>
                <w:color w:val="auto"/>
              </w:rPr>
            </w:pPr>
          </w:p>
        </w:tc>
        <w:tc>
          <w:tcPr>
            <w:tcW w:w="80" w:type="dxa"/>
            <w:vAlign w:val="bottom"/>
            <w:shd w:val="clear" w:color="auto" w:fill="0066BA"/>
          </w:tcPr>
          <w:p>
            <w:pPr>
              <w:spacing w:after="0"/>
              <w:rPr>
                <w:sz w:val="10"/>
                <w:szCs w:val="10"/>
                <w:color w:val="auto"/>
              </w:rPr>
            </w:pPr>
          </w:p>
        </w:tc>
        <w:tc>
          <w:tcPr>
            <w:tcW w:w="820" w:type="dxa"/>
            <w:vAlign w:val="bottom"/>
            <w:shd w:val="clear" w:color="auto" w:fill="0066BA"/>
          </w:tcPr>
          <w:p>
            <w:pPr>
              <w:spacing w:after="0"/>
              <w:rPr>
                <w:sz w:val="10"/>
                <w:szCs w:val="10"/>
                <w:color w:val="auto"/>
              </w:rPr>
            </w:pPr>
          </w:p>
        </w:tc>
        <w:tc>
          <w:tcPr>
            <w:tcW w:w="80" w:type="dxa"/>
            <w:vAlign w:val="bottom"/>
            <w:shd w:val="clear" w:color="auto" w:fill="0066BA"/>
          </w:tcPr>
          <w:p>
            <w:pPr>
              <w:spacing w:after="0"/>
              <w:rPr>
                <w:sz w:val="10"/>
                <w:szCs w:val="10"/>
                <w:color w:val="auto"/>
              </w:rPr>
            </w:pPr>
          </w:p>
        </w:tc>
        <w:tc>
          <w:tcPr>
            <w:tcW w:w="820" w:type="dxa"/>
            <w:vAlign w:val="bottom"/>
            <w:shd w:val="clear" w:color="auto" w:fill="0066BA"/>
          </w:tcPr>
          <w:p>
            <w:pPr>
              <w:jc w:val="right"/>
              <w:spacing w:after="0" w:line="118" w:lineRule="exact"/>
              <w:rPr>
                <w:sz w:val="20"/>
                <w:szCs w:val="20"/>
                <w:color w:val="auto"/>
              </w:rPr>
            </w:pPr>
            <w:r>
              <w:rPr>
                <w:rFonts w:ascii="Arial" w:cs="Arial" w:eastAsia="Arial" w:hAnsi="Arial"/>
                <w:sz w:val="12"/>
                <w:szCs w:val="12"/>
                <w:b w:val="1"/>
                <w:bCs w:val="1"/>
                <w:color w:val="FFFFFF"/>
              </w:rPr>
              <w:t>Equity</w:t>
            </w:r>
          </w:p>
        </w:tc>
        <w:tc>
          <w:tcPr>
            <w:tcW w:w="80" w:type="dxa"/>
            <w:vAlign w:val="bottom"/>
            <w:shd w:val="clear" w:color="auto" w:fill="0066BA"/>
          </w:tcPr>
          <w:p>
            <w:pPr>
              <w:spacing w:after="0"/>
              <w:rPr>
                <w:sz w:val="10"/>
                <w:szCs w:val="10"/>
                <w:color w:val="auto"/>
              </w:rPr>
            </w:pPr>
          </w:p>
        </w:tc>
        <w:tc>
          <w:tcPr>
            <w:tcW w:w="440" w:type="dxa"/>
            <w:vAlign w:val="bottom"/>
            <w:shd w:val="clear" w:color="auto" w:fill="0066BA"/>
          </w:tcPr>
          <w:p>
            <w:pPr>
              <w:spacing w:after="0"/>
              <w:rPr>
                <w:sz w:val="10"/>
                <w:szCs w:val="10"/>
                <w:color w:val="auto"/>
              </w:rPr>
            </w:pPr>
          </w:p>
        </w:tc>
        <w:tc>
          <w:tcPr>
            <w:tcW w:w="80" w:type="dxa"/>
            <w:vAlign w:val="bottom"/>
            <w:shd w:val="clear" w:color="auto" w:fill="0066BA"/>
          </w:tcPr>
          <w:p>
            <w:pPr>
              <w:spacing w:after="0"/>
              <w:rPr>
                <w:sz w:val="10"/>
                <w:szCs w:val="10"/>
                <w:color w:val="auto"/>
              </w:rPr>
            </w:pPr>
          </w:p>
        </w:tc>
        <w:tc>
          <w:tcPr>
            <w:tcW w:w="860" w:type="dxa"/>
            <w:vAlign w:val="bottom"/>
            <w:shd w:val="clear" w:color="auto" w:fill="0066BA"/>
          </w:tcPr>
          <w:p>
            <w:pPr>
              <w:spacing w:after="0"/>
              <w:rPr>
                <w:sz w:val="10"/>
                <w:szCs w:val="10"/>
                <w:color w:val="auto"/>
              </w:rPr>
            </w:pPr>
          </w:p>
        </w:tc>
        <w:tc>
          <w:tcPr>
            <w:tcW w:w="200" w:type="dxa"/>
            <w:vAlign w:val="bottom"/>
            <w:shd w:val="clear" w:color="auto" w:fill="0066BA"/>
          </w:tcPr>
          <w:p>
            <w:pPr>
              <w:spacing w:after="0"/>
              <w:rPr>
                <w:sz w:val="10"/>
                <w:szCs w:val="10"/>
                <w:color w:val="auto"/>
              </w:rPr>
            </w:pPr>
          </w:p>
        </w:tc>
        <w:tc>
          <w:tcPr>
            <w:tcW w:w="80" w:type="dxa"/>
            <w:vAlign w:val="bottom"/>
            <w:shd w:val="clear" w:color="auto" w:fill="0066BA"/>
          </w:tcPr>
          <w:p>
            <w:pPr>
              <w:spacing w:after="0"/>
              <w:rPr>
                <w:sz w:val="10"/>
                <w:szCs w:val="10"/>
                <w:color w:val="auto"/>
              </w:rPr>
            </w:pPr>
          </w:p>
        </w:tc>
        <w:tc>
          <w:tcPr>
            <w:tcW w:w="520" w:type="dxa"/>
            <w:vAlign w:val="bottom"/>
            <w:shd w:val="clear" w:color="auto" w:fill="0066BA"/>
          </w:tcPr>
          <w:p>
            <w:pPr>
              <w:spacing w:after="0"/>
              <w:rPr>
                <w:sz w:val="10"/>
                <w:szCs w:val="10"/>
                <w:color w:val="auto"/>
              </w:rPr>
            </w:pPr>
          </w:p>
        </w:tc>
        <w:tc>
          <w:tcPr>
            <w:tcW w:w="80" w:type="dxa"/>
            <w:vAlign w:val="bottom"/>
            <w:shd w:val="clear" w:color="auto" w:fill="0066BA"/>
          </w:tcPr>
          <w:p>
            <w:pPr>
              <w:spacing w:after="0"/>
              <w:rPr>
                <w:sz w:val="10"/>
                <w:szCs w:val="10"/>
                <w:color w:val="auto"/>
              </w:rPr>
            </w:pPr>
          </w:p>
        </w:tc>
        <w:tc>
          <w:tcPr>
            <w:tcW w:w="840" w:type="dxa"/>
            <w:vAlign w:val="bottom"/>
            <w:shd w:val="clear" w:color="auto" w:fill="0066BA"/>
          </w:tcPr>
          <w:p>
            <w:pPr>
              <w:spacing w:after="0"/>
              <w:rPr>
                <w:sz w:val="10"/>
                <w:szCs w:val="10"/>
                <w:color w:val="auto"/>
              </w:rPr>
            </w:pPr>
          </w:p>
        </w:tc>
        <w:tc>
          <w:tcPr>
            <w:tcW w:w="100" w:type="dxa"/>
            <w:vAlign w:val="bottom"/>
            <w:shd w:val="clear" w:color="auto" w:fill="0066BA"/>
          </w:tcPr>
          <w:p>
            <w:pPr>
              <w:spacing w:after="0"/>
              <w:rPr>
                <w:sz w:val="10"/>
                <w:szCs w:val="10"/>
                <w:color w:val="auto"/>
              </w:rPr>
            </w:pPr>
          </w:p>
        </w:tc>
        <w:tc>
          <w:tcPr>
            <w:tcW w:w="740" w:type="dxa"/>
            <w:vAlign w:val="bottom"/>
            <w:gridSpan w:val="2"/>
            <w:shd w:val="clear" w:color="auto" w:fill="0066BA"/>
          </w:tcPr>
          <w:p>
            <w:pPr>
              <w:jc w:val="right"/>
              <w:ind w:right="60"/>
              <w:spacing w:after="0" w:line="118" w:lineRule="exact"/>
              <w:rPr>
                <w:sz w:val="20"/>
                <w:szCs w:val="20"/>
                <w:color w:val="auto"/>
              </w:rPr>
            </w:pPr>
            <w:r>
              <w:rPr>
                <w:rFonts w:ascii="Arial" w:cs="Arial" w:eastAsia="Arial" w:hAnsi="Arial"/>
                <w:sz w:val="12"/>
                <w:szCs w:val="12"/>
                <w:b w:val="1"/>
                <w:bCs w:val="1"/>
                <w:color w:val="FFFFFF"/>
              </w:rPr>
              <w:t>Equity</w:t>
            </w:r>
          </w:p>
        </w:tc>
        <w:tc>
          <w:tcPr>
            <w:tcW w:w="940" w:type="dxa"/>
            <w:vAlign w:val="bottom"/>
            <w:shd w:val="clear" w:color="auto" w:fill="0066BA"/>
          </w:tcPr>
          <w:p>
            <w:pPr>
              <w:jc w:val="right"/>
              <w:spacing w:after="0" w:line="118" w:lineRule="exact"/>
              <w:rPr>
                <w:sz w:val="20"/>
                <w:szCs w:val="20"/>
                <w:color w:val="auto"/>
              </w:rPr>
            </w:pPr>
            <w:r>
              <w:rPr>
                <w:rFonts w:ascii="Arial" w:cs="Arial" w:eastAsia="Arial" w:hAnsi="Arial"/>
                <w:sz w:val="12"/>
                <w:szCs w:val="12"/>
                <w:b w:val="1"/>
                <w:bCs w:val="1"/>
                <w:color w:val="FFFFFF"/>
              </w:rPr>
              <w:t>Equity</w:t>
            </w:r>
          </w:p>
        </w:tc>
        <w:tc>
          <w:tcPr>
            <w:tcW w:w="0" w:type="dxa"/>
            <w:vAlign w:val="bottom"/>
          </w:tcPr>
          <w:p>
            <w:pPr>
              <w:spacing w:after="0"/>
              <w:rPr>
                <w:sz w:val="1"/>
                <w:szCs w:val="1"/>
                <w:color w:val="auto"/>
              </w:rPr>
            </w:pPr>
          </w:p>
        </w:tc>
      </w:tr>
      <w:tr>
        <w:trPr>
          <w:trHeight w:val="130"/>
        </w:trPr>
        <w:tc>
          <w:tcPr>
            <w:tcW w:w="1960" w:type="dxa"/>
            <w:vAlign w:val="bottom"/>
            <w:tcBorders>
              <w:right w:val="single" w:sz="8" w:color="0066BA"/>
            </w:tcBorders>
            <w:shd w:val="clear" w:color="auto" w:fill="0066BA"/>
          </w:tcPr>
          <w:p>
            <w:pPr>
              <w:spacing w:after="0"/>
              <w:rPr>
                <w:sz w:val="11"/>
                <w:szCs w:val="11"/>
                <w:color w:val="auto"/>
              </w:rPr>
            </w:pPr>
          </w:p>
        </w:tc>
        <w:tc>
          <w:tcPr>
            <w:tcW w:w="72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76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82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820" w:type="dxa"/>
            <w:vAlign w:val="bottom"/>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Incentive</w:t>
            </w:r>
          </w:p>
        </w:tc>
        <w:tc>
          <w:tcPr>
            <w:tcW w:w="80" w:type="dxa"/>
            <w:vAlign w:val="bottom"/>
            <w:shd w:val="clear" w:color="auto" w:fill="0066BA"/>
          </w:tcPr>
          <w:p>
            <w:pPr>
              <w:spacing w:after="0"/>
              <w:rPr>
                <w:sz w:val="11"/>
                <w:szCs w:val="11"/>
                <w:color w:val="auto"/>
              </w:rPr>
            </w:pPr>
          </w:p>
        </w:tc>
        <w:tc>
          <w:tcPr>
            <w:tcW w:w="44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860" w:type="dxa"/>
            <w:vAlign w:val="bottom"/>
            <w:shd w:val="clear" w:color="auto" w:fill="0066BA"/>
          </w:tcPr>
          <w:p>
            <w:pPr>
              <w:spacing w:after="0"/>
              <w:rPr>
                <w:sz w:val="11"/>
                <w:szCs w:val="11"/>
                <w:color w:val="auto"/>
              </w:rPr>
            </w:pPr>
          </w:p>
        </w:tc>
        <w:tc>
          <w:tcPr>
            <w:tcW w:w="20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52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84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740" w:type="dxa"/>
            <w:vAlign w:val="bottom"/>
            <w:gridSpan w:val="2"/>
            <w:shd w:val="clear" w:color="auto" w:fill="0066BA"/>
          </w:tcPr>
          <w:p>
            <w:pPr>
              <w:jc w:val="right"/>
              <w:ind w:right="60"/>
              <w:spacing w:after="0" w:line="130" w:lineRule="exact"/>
              <w:rPr>
                <w:sz w:val="20"/>
                <w:szCs w:val="20"/>
                <w:color w:val="auto"/>
              </w:rPr>
            </w:pPr>
            <w:r>
              <w:rPr>
                <w:rFonts w:ascii="Arial" w:cs="Arial" w:eastAsia="Arial" w:hAnsi="Arial"/>
                <w:sz w:val="12"/>
                <w:szCs w:val="12"/>
                <w:b w:val="1"/>
                <w:bCs w:val="1"/>
                <w:color w:val="FFFFFF"/>
              </w:rPr>
              <w:t>Incentive</w:t>
            </w:r>
          </w:p>
        </w:tc>
        <w:tc>
          <w:tcPr>
            <w:tcW w:w="940" w:type="dxa"/>
            <w:vAlign w:val="bottom"/>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Incentive</w:t>
            </w:r>
          </w:p>
        </w:tc>
        <w:tc>
          <w:tcPr>
            <w:tcW w:w="0" w:type="dxa"/>
            <w:vAlign w:val="bottom"/>
          </w:tcPr>
          <w:p>
            <w:pPr>
              <w:spacing w:after="0"/>
              <w:rPr>
                <w:sz w:val="1"/>
                <w:szCs w:val="1"/>
                <w:color w:val="auto"/>
              </w:rPr>
            </w:pPr>
          </w:p>
        </w:tc>
      </w:tr>
      <w:tr>
        <w:trPr>
          <w:trHeight w:val="130"/>
        </w:trPr>
        <w:tc>
          <w:tcPr>
            <w:tcW w:w="1960" w:type="dxa"/>
            <w:vAlign w:val="bottom"/>
            <w:tcBorders>
              <w:right w:val="single" w:sz="8" w:color="0066BA"/>
            </w:tcBorders>
            <w:shd w:val="clear" w:color="auto" w:fill="0066BA"/>
          </w:tcPr>
          <w:p>
            <w:pPr>
              <w:spacing w:after="0"/>
              <w:rPr>
                <w:sz w:val="11"/>
                <w:szCs w:val="11"/>
                <w:color w:val="auto"/>
              </w:rPr>
            </w:pPr>
          </w:p>
        </w:tc>
        <w:tc>
          <w:tcPr>
            <w:tcW w:w="72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76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82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820" w:type="dxa"/>
            <w:vAlign w:val="bottom"/>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w w:val="97"/>
              </w:rPr>
              <w:t>Plan Awards:</w:t>
            </w:r>
          </w:p>
        </w:tc>
        <w:tc>
          <w:tcPr>
            <w:tcW w:w="80" w:type="dxa"/>
            <w:vAlign w:val="bottom"/>
            <w:shd w:val="clear" w:color="auto" w:fill="0066BA"/>
          </w:tcPr>
          <w:p>
            <w:pPr>
              <w:spacing w:after="0"/>
              <w:rPr>
                <w:sz w:val="11"/>
                <w:szCs w:val="11"/>
                <w:color w:val="auto"/>
              </w:rPr>
            </w:pPr>
          </w:p>
        </w:tc>
        <w:tc>
          <w:tcPr>
            <w:tcW w:w="44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860" w:type="dxa"/>
            <w:vAlign w:val="bottom"/>
            <w:shd w:val="clear" w:color="auto" w:fill="0066BA"/>
          </w:tcPr>
          <w:p>
            <w:pPr>
              <w:spacing w:after="0"/>
              <w:rPr>
                <w:sz w:val="11"/>
                <w:szCs w:val="11"/>
                <w:color w:val="auto"/>
              </w:rPr>
            </w:pPr>
          </w:p>
        </w:tc>
        <w:tc>
          <w:tcPr>
            <w:tcW w:w="20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600" w:type="dxa"/>
            <w:vAlign w:val="bottom"/>
            <w:gridSpan w:val="2"/>
            <w:shd w:val="clear" w:color="auto" w:fill="0066BA"/>
          </w:tcPr>
          <w:p>
            <w:pPr>
              <w:jc w:val="right"/>
              <w:ind w:right="60"/>
              <w:spacing w:after="0" w:line="130" w:lineRule="exact"/>
              <w:rPr>
                <w:sz w:val="20"/>
                <w:szCs w:val="20"/>
                <w:color w:val="auto"/>
              </w:rPr>
            </w:pPr>
            <w:r>
              <w:rPr>
                <w:rFonts w:ascii="Arial" w:cs="Arial" w:eastAsia="Arial" w:hAnsi="Arial"/>
                <w:sz w:val="12"/>
                <w:szCs w:val="12"/>
                <w:b w:val="1"/>
                <w:bCs w:val="1"/>
                <w:color w:val="FFFFFF"/>
              </w:rPr>
              <w:t>Number</w:t>
            </w:r>
          </w:p>
        </w:tc>
        <w:tc>
          <w:tcPr>
            <w:tcW w:w="840" w:type="dxa"/>
            <w:vAlign w:val="bottom"/>
            <w:shd w:val="clear" w:color="auto" w:fill="0066BA"/>
          </w:tcPr>
          <w:p>
            <w:pPr>
              <w:spacing w:after="0"/>
              <w:rPr>
                <w:sz w:val="11"/>
                <w:szCs w:val="11"/>
                <w:color w:val="auto"/>
              </w:rPr>
            </w:pPr>
          </w:p>
        </w:tc>
        <w:tc>
          <w:tcPr>
            <w:tcW w:w="840" w:type="dxa"/>
            <w:vAlign w:val="bottom"/>
            <w:gridSpan w:val="3"/>
            <w:shd w:val="clear" w:color="auto" w:fill="0066BA"/>
          </w:tcPr>
          <w:p>
            <w:pPr>
              <w:jc w:val="right"/>
              <w:ind w:right="60"/>
              <w:spacing w:after="0" w:line="130" w:lineRule="exact"/>
              <w:rPr>
                <w:sz w:val="20"/>
                <w:szCs w:val="20"/>
                <w:color w:val="auto"/>
              </w:rPr>
            </w:pPr>
            <w:r>
              <w:rPr>
                <w:rFonts w:ascii="Arial" w:cs="Arial" w:eastAsia="Arial" w:hAnsi="Arial"/>
                <w:sz w:val="12"/>
                <w:szCs w:val="12"/>
                <w:b w:val="1"/>
                <w:bCs w:val="1"/>
                <w:color w:val="FFFFFF"/>
                <w:w w:val="99"/>
              </w:rPr>
              <w:t>Plan Awards:</w:t>
            </w:r>
          </w:p>
        </w:tc>
        <w:tc>
          <w:tcPr>
            <w:tcW w:w="940" w:type="dxa"/>
            <w:vAlign w:val="bottom"/>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Plan Awards:</w:t>
            </w:r>
          </w:p>
        </w:tc>
        <w:tc>
          <w:tcPr>
            <w:tcW w:w="0" w:type="dxa"/>
            <w:vAlign w:val="bottom"/>
          </w:tcPr>
          <w:p>
            <w:pPr>
              <w:spacing w:after="0"/>
              <w:rPr>
                <w:sz w:val="1"/>
                <w:szCs w:val="1"/>
                <w:color w:val="auto"/>
              </w:rPr>
            </w:pPr>
          </w:p>
        </w:tc>
      </w:tr>
      <w:tr>
        <w:trPr>
          <w:trHeight w:val="130"/>
        </w:trPr>
        <w:tc>
          <w:tcPr>
            <w:tcW w:w="1960" w:type="dxa"/>
            <w:vAlign w:val="bottom"/>
            <w:tcBorders>
              <w:right w:val="single" w:sz="8" w:color="0066BA"/>
            </w:tcBorders>
            <w:shd w:val="clear" w:color="auto" w:fill="0066BA"/>
          </w:tcPr>
          <w:p>
            <w:pPr>
              <w:spacing w:after="0"/>
              <w:rPr>
                <w:sz w:val="11"/>
                <w:szCs w:val="11"/>
                <w:color w:val="auto"/>
              </w:rPr>
            </w:pPr>
          </w:p>
        </w:tc>
        <w:tc>
          <w:tcPr>
            <w:tcW w:w="72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76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900" w:type="dxa"/>
            <w:vAlign w:val="bottom"/>
            <w:gridSpan w:val="2"/>
            <w:shd w:val="clear" w:color="auto" w:fill="0066BA"/>
          </w:tcPr>
          <w:p>
            <w:pPr>
              <w:jc w:val="right"/>
              <w:ind w:right="60"/>
              <w:spacing w:after="0" w:line="130" w:lineRule="exact"/>
              <w:rPr>
                <w:sz w:val="20"/>
                <w:szCs w:val="20"/>
                <w:color w:val="auto"/>
              </w:rPr>
            </w:pPr>
            <w:r>
              <w:rPr>
                <w:rFonts w:ascii="Arial" w:cs="Arial" w:eastAsia="Arial" w:hAnsi="Arial"/>
                <w:sz w:val="12"/>
                <w:szCs w:val="12"/>
                <w:b w:val="1"/>
                <w:bCs w:val="1"/>
                <w:color w:val="FFFFFF"/>
              </w:rPr>
              <w:t>Number of</w:t>
            </w:r>
          </w:p>
        </w:tc>
        <w:tc>
          <w:tcPr>
            <w:tcW w:w="820" w:type="dxa"/>
            <w:vAlign w:val="bottom"/>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Number of</w:t>
            </w:r>
          </w:p>
        </w:tc>
        <w:tc>
          <w:tcPr>
            <w:tcW w:w="80" w:type="dxa"/>
            <w:vAlign w:val="bottom"/>
            <w:shd w:val="clear" w:color="auto" w:fill="0066BA"/>
          </w:tcPr>
          <w:p>
            <w:pPr>
              <w:spacing w:after="0"/>
              <w:rPr>
                <w:sz w:val="11"/>
                <w:szCs w:val="11"/>
                <w:color w:val="auto"/>
              </w:rPr>
            </w:pPr>
          </w:p>
        </w:tc>
        <w:tc>
          <w:tcPr>
            <w:tcW w:w="44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860" w:type="dxa"/>
            <w:vAlign w:val="bottom"/>
            <w:shd w:val="clear" w:color="auto" w:fill="0066BA"/>
          </w:tcPr>
          <w:p>
            <w:pPr>
              <w:spacing w:after="0"/>
              <w:rPr>
                <w:sz w:val="11"/>
                <w:szCs w:val="11"/>
                <w:color w:val="auto"/>
              </w:rPr>
            </w:pPr>
          </w:p>
        </w:tc>
        <w:tc>
          <w:tcPr>
            <w:tcW w:w="20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600" w:type="dxa"/>
            <w:vAlign w:val="bottom"/>
            <w:gridSpan w:val="2"/>
            <w:shd w:val="clear" w:color="auto" w:fill="0066BA"/>
          </w:tcPr>
          <w:p>
            <w:pPr>
              <w:jc w:val="right"/>
              <w:ind w:right="60"/>
              <w:spacing w:after="0" w:line="130" w:lineRule="exact"/>
              <w:rPr>
                <w:sz w:val="20"/>
                <w:szCs w:val="20"/>
                <w:color w:val="auto"/>
              </w:rPr>
            </w:pPr>
            <w:r>
              <w:rPr>
                <w:rFonts w:ascii="Arial" w:cs="Arial" w:eastAsia="Arial" w:hAnsi="Arial"/>
                <w:sz w:val="12"/>
                <w:szCs w:val="12"/>
                <w:b w:val="1"/>
                <w:bCs w:val="1"/>
                <w:color w:val="FFFFFF"/>
                <w:w w:val="95"/>
              </w:rPr>
              <w:t>of Shares</w:t>
            </w:r>
          </w:p>
        </w:tc>
        <w:tc>
          <w:tcPr>
            <w:tcW w:w="840" w:type="dxa"/>
            <w:vAlign w:val="bottom"/>
            <w:shd w:val="clear" w:color="auto" w:fill="0066BA"/>
          </w:tcPr>
          <w:p>
            <w:pPr>
              <w:spacing w:after="0"/>
              <w:rPr>
                <w:sz w:val="11"/>
                <w:szCs w:val="11"/>
                <w:color w:val="auto"/>
              </w:rPr>
            </w:pPr>
          </w:p>
        </w:tc>
        <w:tc>
          <w:tcPr>
            <w:tcW w:w="100" w:type="dxa"/>
            <w:vAlign w:val="bottom"/>
            <w:shd w:val="clear" w:color="auto" w:fill="0066BA"/>
          </w:tcPr>
          <w:p>
            <w:pPr>
              <w:spacing w:after="0"/>
              <w:rPr>
                <w:sz w:val="11"/>
                <w:szCs w:val="11"/>
                <w:color w:val="auto"/>
              </w:rPr>
            </w:pPr>
          </w:p>
        </w:tc>
        <w:tc>
          <w:tcPr>
            <w:tcW w:w="740" w:type="dxa"/>
            <w:vAlign w:val="bottom"/>
            <w:gridSpan w:val="2"/>
            <w:shd w:val="clear" w:color="auto" w:fill="0066BA"/>
          </w:tcPr>
          <w:p>
            <w:pPr>
              <w:jc w:val="right"/>
              <w:ind w:right="60"/>
              <w:spacing w:after="0" w:line="130" w:lineRule="exact"/>
              <w:rPr>
                <w:sz w:val="20"/>
                <w:szCs w:val="20"/>
                <w:color w:val="auto"/>
              </w:rPr>
            </w:pPr>
            <w:r>
              <w:rPr>
                <w:rFonts w:ascii="Arial" w:cs="Arial" w:eastAsia="Arial" w:hAnsi="Arial"/>
                <w:sz w:val="12"/>
                <w:szCs w:val="12"/>
                <w:b w:val="1"/>
                <w:bCs w:val="1"/>
                <w:color w:val="FFFFFF"/>
              </w:rPr>
              <w:t>Number of</w:t>
            </w:r>
          </w:p>
        </w:tc>
        <w:tc>
          <w:tcPr>
            <w:tcW w:w="940" w:type="dxa"/>
            <w:vAlign w:val="bottom"/>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Market or</w:t>
            </w:r>
          </w:p>
        </w:tc>
        <w:tc>
          <w:tcPr>
            <w:tcW w:w="0" w:type="dxa"/>
            <w:vAlign w:val="bottom"/>
          </w:tcPr>
          <w:p>
            <w:pPr>
              <w:spacing w:after="0"/>
              <w:rPr>
                <w:sz w:val="1"/>
                <w:szCs w:val="1"/>
                <w:color w:val="auto"/>
              </w:rPr>
            </w:pPr>
          </w:p>
        </w:tc>
      </w:tr>
      <w:tr>
        <w:trPr>
          <w:trHeight w:val="135"/>
        </w:trPr>
        <w:tc>
          <w:tcPr>
            <w:tcW w:w="1960" w:type="dxa"/>
            <w:vAlign w:val="bottom"/>
            <w:tcBorders>
              <w:right w:val="single" w:sz="8" w:color="0066BA"/>
            </w:tcBorders>
            <w:shd w:val="clear" w:color="auto" w:fill="0066BA"/>
          </w:tcPr>
          <w:p>
            <w:pPr>
              <w:spacing w:after="0"/>
              <w:rPr>
                <w:sz w:val="11"/>
                <w:szCs w:val="11"/>
                <w:color w:val="auto"/>
              </w:rPr>
            </w:pPr>
          </w:p>
        </w:tc>
        <w:tc>
          <w:tcPr>
            <w:tcW w:w="72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760" w:type="dxa"/>
            <w:vAlign w:val="bottom"/>
            <w:shd w:val="clear" w:color="auto" w:fill="0066BA"/>
          </w:tcPr>
          <w:p>
            <w:pPr>
              <w:jc w:val="right"/>
              <w:ind w:right="4"/>
              <w:spacing w:after="0" w:line="136" w:lineRule="exact"/>
              <w:rPr>
                <w:sz w:val="20"/>
                <w:szCs w:val="20"/>
                <w:color w:val="auto"/>
              </w:rPr>
            </w:pPr>
            <w:r>
              <w:rPr>
                <w:rFonts w:ascii="Arial" w:cs="Arial" w:eastAsia="Arial" w:hAnsi="Arial"/>
                <w:sz w:val="12"/>
                <w:szCs w:val="12"/>
                <w:b w:val="1"/>
                <w:bCs w:val="1"/>
                <w:color w:val="FFFFFF"/>
              </w:rPr>
              <w:t>Number of</w:t>
            </w:r>
          </w:p>
        </w:tc>
        <w:tc>
          <w:tcPr>
            <w:tcW w:w="80" w:type="dxa"/>
            <w:vAlign w:val="bottom"/>
            <w:shd w:val="clear" w:color="auto" w:fill="0066BA"/>
          </w:tcPr>
          <w:p>
            <w:pPr>
              <w:spacing w:after="0"/>
              <w:rPr>
                <w:sz w:val="11"/>
                <w:szCs w:val="11"/>
                <w:color w:val="auto"/>
              </w:rPr>
            </w:pPr>
          </w:p>
        </w:tc>
        <w:tc>
          <w:tcPr>
            <w:tcW w:w="900" w:type="dxa"/>
            <w:vAlign w:val="bottom"/>
            <w:gridSpan w:val="2"/>
            <w:shd w:val="clear" w:color="auto" w:fill="0066BA"/>
          </w:tcPr>
          <w:p>
            <w:pPr>
              <w:jc w:val="right"/>
              <w:ind w:right="60"/>
              <w:spacing w:after="0" w:line="136" w:lineRule="exact"/>
              <w:rPr>
                <w:sz w:val="20"/>
                <w:szCs w:val="20"/>
                <w:color w:val="auto"/>
              </w:rPr>
            </w:pPr>
            <w:r>
              <w:rPr>
                <w:rFonts w:ascii="Arial" w:cs="Arial" w:eastAsia="Arial" w:hAnsi="Arial"/>
                <w:sz w:val="12"/>
                <w:szCs w:val="12"/>
                <w:b w:val="1"/>
                <w:bCs w:val="1"/>
                <w:color w:val="FFFFFF"/>
              </w:rPr>
              <w:t>Securities</w:t>
            </w:r>
          </w:p>
        </w:tc>
        <w:tc>
          <w:tcPr>
            <w:tcW w:w="820" w:type="dxa"/>
            <w:vAlign w:val="bottom"/>
            <w:shd w:val="clear" w:color="auto" w:fill="0066BA"/>
          </w:tcPr>
          <w:p>
            <w:pPr>
              <w:jc w:val="right"/>
              <w:spacing w:after="0" w:line="136" w:lineRule="exact"/>
              <w:rPr>
                <w:sz w:val="20"/>
                <w:szCs w:val="20"/>
                <w:color w:val="auto"/>
              </w:rPr>
            </w:pPr>
            <w:r>
              <w:rPr>
                <w:rFonts w:ascii="Arial" w:cs="Arial" w:eastAsia="Arial" w:hAnsi="Arial"/>
                <w:sz w:val="12"/>
                <w:szCs w:val="12"/>
                <w:b w:val="1"/>
                <w:bCs w:val="1"/>
                <w:color w:val="FFFFFF"/>
              </w:rPr>
              <w:t>Securities</w:t>
            </w:r>
          </w:p>
        </w:tc>
        <w:tc>
          <w:tcPr>
            <w:tcW w:w="80" w:type="dxa"/>
            <w:vAlign w:val="bottom"/>
            <w:shd w:val="clear" w:color="auto" w:fill="0066BA"/>
          </w:tcPr>
          <w:p>
            <w:pPr>
              <w:spacing w:after="0"/>
              <w:rPr>
                <w:sz w:val="11"/>
                <w:szCs w:val="11"/>
                <w:color w:val="auto"/>
              </w:rPr>
            </w:pPr>
          </w:p>
        </w:tc>
        <w:tc>
          <w:tcPr>
            <w:tcW w:w="44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860" w:type="dxa"/>
            <w:vAlign w:val="bottom"/>
            <w:shd w:val="clear" w:color="auto" w:fill="0066BA"/>
          </w:tcPr>
          <w:p>
            <w:pPr>
              <w:spacing w:after="0"/>
              <w:rPr>
                <w:sz w:val="11"/>
                <w:szCs w:val="11"/>
                <w:color w:val="auto"/>
              </w:rPr>
            </w:pPr>
          </w:p>
        </w:tc>
        <w:tc>
          <w:tcPr>
            <w:tcW w:w="20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600" w:type="dxa"/>
            <w:vAlign w:val="bottom"/>
            <w:gridSpan w:val="2"/>
            <w:shd w:val="clear" w:color="auto" w:fill="0066BA"/>
          </w:tcPr>
          <w:p>
            <w:pPr>
              <w:jc w:val="right"/>
              <w:ind w:right="60"/>
              <w:spacing w:after="0" w:line="136" w:lineRule="exact"/>
              <w:rPr>
                <w:sz w:val="20"/>
                <w:szCs w:val="20"/>
                <w:color w:val="auto"/>
              </w:rPr>
            </w:pPr>
            <w:r>
              <w:rPr>
                <w:rFonts w:ascii="Arial" w:cs="Arial" w:eastAsia="Arial" w:hAnsi="Arial"/>
                <w:sz w:val="12"/>
                <w:szCs w:val="12"/>
                <w:b w:val="1"/>
                <w:bCs w:val="1"/>
                <w:color w:val="FFFFFF"/>
              </w:rPr>
              <w:t>or Units/</w:t>
            </w:r>
          </w:p>
        </w:tc>
        <w:tc>
          <w:tcPr>
            <w:tcW w:w="840" w:type="dxa"/>
            <w:vAlign w:val="bottom"/>
            <w:shd w:val="clear" w:color="auto" w:fill="0066BA"/>
          </w:tcPr>
          <w:p>
            <w:pPr>
              <w:jc w:val="right"/>
              <w:ind w:right="4"/>
              <w:spacing w:after="0" w:line="136" w:lineRule="exact"/>
              <w:rPr>
                <w:sz w:val="20"/>
                <w:szCs w:val="20"/>
                <w:color w:val="auto"/>
              </w:rPr>
            </w:pPr>
            <w:r>
              <w:rPr>
                <w:rFonts w:ascii="Arial" w:cs="Arial" w:eastAsia="Arial" w:hAnsi="Arial"/>
                <w:sz w:val="12"/>
                <w:szCs w:val="12"/>
                <w:b w:val="1"/>
                <w:bCs w:val="1"/>
                <w:color w:val="FFFFFF"/>
                <w:w w:val="99"/>
              </w:rPr>
              <w:t>Market Value</w:t>
            </w:r>
          </w:p>
        </w:tc>
        <w:tc>
          <w:tcPr>
            <w:tcW w:w="100" w:type="dxa"/>
            <w:vAlign w:val="bottom"/>
            <w:shd w:val="clear" w:color="auto" w:fill="0066BA"/>
          </w:tcPr>
          <w:p>
            <w:pPr>
              <w:spacing w:after="0"/>
              <w:rPr>
                <w:sz w:val="11"/>
                <w:szCs w:val="11"/>
                <w:color w:val="auto"/>
              </w:rPr>
            </w:pPr>
          </w:p>
        </w:tc>
        <w:tc>
          <w:tcPr>
            <w:tcW w:w="740" w:type="dxa"/>
            <w:vAlign w:val="bottom"/>
            <w:gridSpan w:val="2"/>
            <w:shd w:val="clear" w:color="auto" w:fill="0066BA"/>
          </w:tcPr>
          <w:p>
            <w:pPr>
              <w:jc w:val="right"/>
              <w:ind w:right="60"/>
              <w:spacing w:after="0" w:line="136" w:lineRule="exact"/>
              <w:rPr>
                <w:sz w:val="20"/>
                <w:szCs w:val="20"/>
                <w:color w:val="auto"/>
              </w:rPr>
            </w:pPr>
            <w:r>
              <w:rPr>
                <w:rFonts w:ascii="Arial" w:cs="Arial" w:eastAsia="Arial" w:hAnsi="Arial"/>
                <w:sz w:val="12"/>
                <w:szCs w:val="12"/>
                <w:b w:val="1"/>
                <w:bCs w:val="1"/>
                <w:color w:val="FFFFFF"/>
              </w:rPr>
              <w:t>Unearned</w:t>
            </w:r>
          </w:p>
        </w:tc>
        <w:tc>
          <w:tcPr>
            <w:tcW w:w="940" w:type="dxa"/>
            <w:vAlign w:val="bottom"/>
            <w:shd w:val="clear" w:color="auto" w:fill="0066BA"/>
          </w:tcPr>
          <w:p>
            <w:pPr>
              <w:jc w:val="right"/>
              <w:spacing w:after="0" w:line="136" w:lineRule="exact"/>
              <w:rPr>
                <w:sz w:val="20"/>
                <w:szCs w:val="20"/>
                <w:color w:val="auto"/>
              </w:rPr>
            </w:pPr>
            <w:r>
              <w:rPr>
                <w:rFonts w:ascii="Arial" w:cs="Arial" w:eastAsia="Arial" w:hAnsi="Arial"/>
                <w:sz w:val="12"/>
                <w:szCs w:val="12"/>
                <w:b w:val="1"/>
                <w:bCs w:val="1"/>
                <w:color w:val="FFFFFF"/>
              </w:rPr>
              <w:t>Payout Value</w:t>
            </w:r>
          </w:p>
        </w:tc>
        <w:tc>
          <w:tcPr>
            <w:tcW w:w="0" w:type="dxa"/>
            <w:vAlign w:val="bottom"/>
          </w:tcPr>
          <w:p>
            <w:pPr>
              <w:spacing w:after="0"/>
              <w:rPr>
                <w:sz w:val="1"/>
                <w:szCs w:val="1"/>
                <w:color w:val="auto"/>
              </w:rPr>
            </w:pPr>
          </w:p>
        </w:tc>
      </w:tr>
      <w:tr>
        <w:trPr>
          <w:trHeight w:val="130"/>
        </w:trPr>
        <w:tc>
          <w:tcPr>
            <w:tcW w:w="1960" w:type="dxa"/>
            <w:vAlign w:val="bottom"/>
            <w:tcBorders>
              <w:right w:val="single" w:sz="8" w:color="0066BA"/>
            </w:tcBorders>
            <w:shd w:val="clear" w:color="auto" w:fill="0066BA"/>
          </w:tcPr>
          <w:p>
            <w:pPr>
              <w:spacing w:after="0"/>
              <w:rPr>
                <w:sz w:val="11"/>
                <w:szCs w:val="11"/>
                <w:color w:val="auto"/>
              </w:rPr>
            </w:pPr>
          </w:p>
        </w:tc>
        <w:tc>
          <w:tcPr>
            <w:tcW w:w="72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760" w:type="dxa"/>
            <w:vAlign w:val="bottom"/>
            <w:shd w:val="clear" w:color="auto" w:fill="0066BA"/>
          </w:tcPr>
          <w:p>
            <w:pPr>
              <w:jc w:val="right"/>
              <w:ind w:right="4"/>
              <w:spacing w:after="0" w:line="130" w:lineRule="exact"/>
              <w:rPr>
                <w:sz w:val="20"/>
                <w:szCs w:val="20"/>
                <w:color w:val="auto"/>
              </w:rPr>
            </w:pPr>
            <w:r>
              <w:rPr>
                <w:rFonts w:ascii="Arial" w:cs="Arial" w:eastAsia="Arial" w:hAnsi="Arial"/>
                <w:sz w:val="12"/>
                <w:szCs w:val="12"/>
                <w:b w:val="1"/>
                <w:bCs w:val="1"/>
                <w:color w:val="FFFFFF"/>
              </w:rPr>
              <w:t>Securities</w:t>
            </w:r>
          </w:p>
        </w:tc>
        <w:tc>
          <w:tcPr>
            <w:tcW w:w="80" w:type="dxa"/>
            <w:vAlign w:val="bottom"/>
            <w:shd w:val="clear" w:color="auto" w:fill="0066BA"/>
          </w:tcPr>
          <w:p>
            <w:pPr>
              <w:spacing w:after="0"/>
              <w:rPr>
                <w:sz w:val="11"/>
                <w:szCs w:val="11"/>
                <w:color w:val="auto"/>
              </w:rPr>
            </w:pPr>
          </w:p>
        </w:tc>
        <w:tc>
          <w:tcPr>
            <w:tcW w:w="900" w:type="dxa"/>
            <w:vAlign w:val="bottom"/>
            <w:gridSpan w:val="2"/>
            <w:shd w:val="clear" w:color="auto" w:fill="0066BA"/>
          </w:tcPr>
          <w:p>
            <w:pPr>
              <w:jc w:val="right"/>
              <w:ind w:right="60"/>
              <w:spacing w:after="0" w:line="130" w:lineRule="exact"/>
              <w:rPr>
                <w:sz w:val="20"/>
                <w:szCs w:val="20"/>
                <w:color w:val="auto"/>
              </w:rPr>
            </w:pPr>
            <w:r>
              <w:rPr>
                <w:rFonts w:ascii="Arial" w:cs="Arial" w:eastAsia="Arial" w:hAnsi="Arial"/>
                <w:sz w:val="12"/>
                <w:szCs w:val="12"/>
                <w:b w:val="1"/>
                <w:bCs w:val="1"/>
                <w:color w:val="FFFFFF"/>
              </w:rPr>
              <w:t>Underlying</w:t>
            </w:r>
          </w:p>
        </w:tc>
        <w:tc>
          <w:tcPr>
            <w:tcW w:w="820" w:type="dxa"/>
            <w:vAlign w:val="bottom"/>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Underlying</w:t>
            </w:r>
          </w:p>
        </w:tc>
        <w:tc>
          <w:tcPr>
            <w:tcW w:w="80" w:type="dxa"/>
            <w:vAlign w:val="bottom"/>
            <w:shd w:val="clear" w:color="auto" w:fill="0066BA"/>
          </w:tcPr>
          <w:p>
            <w:pPr>
              <w:spacing w:after="0"/>
              <w:rPr>
                <w:sz w:val="11"/>
                <w:szCs w:val="11"/>
                <w:color w:val="auto"/>
              </w:rPr>
            </w:pPr>
          </w:p>
        </w:tc>
        <w:tc>
          <w:tcPr>
            <w:tcW w:w="44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860" w:type="dxa"/>
            <w:vAlign w:val="bottom"/>
            <w:shd w:val="clear" w:color="auto" w:fill="0066BA"/>
          </w:tcPr>
          <w:p>
            <w:pPr>
              <w:spacing w:after="0"/>
              <w:rPr>
                <w:sz w:val="11"/>
                <w:szCs w:val="11"/>
                <w:color w:val="auto"/>
              </w:rPr>
            </w:pPr>
          </w:p>
        </w:tc>
        <w:tc>
          <w:tcPr>
            <w:tcW w:w="20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600" w:type="dxa"/>
            <w:vAlign w:val="bottom"/>
            <w:gridSpan w:val="2"/>
            <w:shd w:val="clear" w:color="auto" w:fill="0066BA"/>
          </w:tcPr>
          <w:p>
            <w:pPr>
              <w:jc w:val="right"/>
              <w:ind w:right="60"/>
              <w:spacing w:after="0" w:line="130" w:lineRule="exact"/>
              <w:rPr>
                <w:sz w:val="20"/>
                <w:szCs w:val="20"/>
                <w:color w:val="auto"/>
              </w:rPr>
            </w:pPr>
            <w:r>
              <w:rPr>
                <w:rFonts w:ascii="Arial" w:cs="Arial" w:eastAsia="Arial" w:hAnsi="Arial"/>
                <w:sz w:val="12"/>
                <w:szCs w:val="12"/>
                <w:b w:val="1"/>
                <w:bCs w:val="1"/>
                <w:color w:val="FFFFFF"/>
                <w:w w:val="89"/>
              </w:rPr>
              <w:t>Awards of</w:t>
            </w:r>
          </w:p>
        </w:tc>
        <w:tc>
          <w:tcPr>
            <w:tcW w:w="840" w:type="dxa"/>
            <w:vAlign w:val="bottom"/>
            <w:shd w:val="clear" w:color="auto" w:fill="0066BA"/>
          </w:tcPr>
          <w:p>
            <w:pPr>
              <w:jc w:val="right"/>
              <w:ind w:right="4"/>
              <w:spacing w:after="0" w:line="130" w:lineRule="exact"/>
              <w:rPr>
                <w:sz w:val="20"/>
                <w:szCs w:val="20"/>
                <w:color w:val="auto"/>
              </w:rPr>
            </w:pPr>
            <w:r>
              <w:rPr>
                <w:rFonts w:ascii="Arial" w:cs="Arial" w:eastAsia="Arial" w:hAnsi="Arial"/>
                <w:sz w:val="12"/>
                <w:szCs w:val="12"/>
                <w:b w:val="1"/>
                <w:bCs w:val="1"/>
                <w:color w:val="FFFFFF"/>
              </w:rPr>
              <w:t>of Shares or</w:t>
            </w:r>
          </w:p>
        </w:tc>
        <w:tc>
          <w:tcPr>
            <w:tcW w:w="840" w:type="dxa"/>
            <w:vAlign w:val="bottom"/>
            <w:gridSpan w:val="3"/>
            <w:shd w:val="clear" w:color="auto" w:fill="0066BA"/>
          </w:tcPr>
          <w:p>
            <w:pPr>
              <w:jc w:val="right"/>
              <w:ind w:right="60"/>
              <w:spacing w:after="0" w:line="130" w:lineRule="exact"/>
              <w:rPr>
                <w:sz w:val="20"/>
                <w:szCs w:val="20"/>
                <w:color w:val="auto"/>
              </w:rPr>
            </w:pPr>
            <w:r>
              <w:rPr>
                <w:rFonts w:ascii="Arial" w:cs="Arial" w:eastAsia="Arial" w:hAnsi="Arial"/>
                <w:sz w:val="12"/>
                <w:szCs w:val="12"/>
                <w:b w:val="1"/>
                <w:bCs w:val="1"/>
                <w:color w:val="FFFFFF"/>
                <w:w w:val="94"/>
              </w:rPr>
              <w:t>Shares, Units,</w:t>
            </w:r>
          </w:p>
        </w:tc>
        <w:tc>
          <w:tcPr>
            <w:tcW w:w="940" w:type="dxa"/>
            <w:vAlign w:val="bottom"/>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of Unearned</w:t>
            </w:r>
          </w:p>
        </w:tc>
        <w:tc>
          <w:tcPr>
            <w:tcW w:w="0" w:type="dxa"/>
            <w:vAlign w:val="bottom"/>
          </w:tcPr>
          <w:p>
            <w:pPr>
              <w:spacing w:after="0"/>
              <w:rPr>
                <w:sz w:val="1"/>
                <w:szCs w:val="1"/>
                <w:color w:val="auto"/>
              </w:rPr>
            </w:pPr>
          </w:p>
        </w:tc>
      </w:tr>
      <w:tr>
        <w:trPr>
          <w:trHeight w:val="130"/>
        </w:trPr>
        <w:tc>
          <w:tcPr>
            <w:tcW w:w="1960" w:type="dxa"/>
            <w:vAlign w:val="bottom"/>
            <w:tcBorders>
              <w:right w:val="single" w:sz="8" w:color="0066BA"/>
            </w:tcBorders>
            <w:shd w:val="clear" w:color="auto" w:fill="0066BA"/>
          </w:tcPr>
          <w:p>
            <w:pPr>
              <w:spacing w:after="0"/>
              <w:rPr>
                <w:sz w:val="11"/>
                <w:szCs w:val="11"/>
                <w:color w:val="auto"/>
              </w:rPr>
            </w:pPr>
          </w:p>
        </w:tc>
        <w:tc>
          <w:tcPr>
            <w:tcW w:w="72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760" w:type="dxa"/>
            <w:vAlign w:val="bottom"/>
            <w:shd w:val="clear" w:color="auto" w:fill="0066BA"/>
          </w:tcPr>
          <w:p>
            <w:pPr>
              <w:jc w:val="right"/>
              <w:ind w:right="4"/>
              <w:spacing w:after="0" w:line="130" w:lineRule="exact"/>
              <w:rPr>
                <w:sz w:val="20"/>
                <w:szCs w:val="20"/>
                <w:color w:val="auto"/>
              </w:rPr>
            </w:pPr>
            <w:r>
              <w:rPr>
                <w:rFonts w:ascii="Arial" w:cs="Arial" w:eastAsia="Arial" w:hAnsi="Arial"/>
                <w:sz w:val="12"/>
                <w:szCs w:val="12"/>
                <w:b w:val="1"/>
                <w:bCs w:val="1"/>
                <w:color w:val="FFFFFF"/>
              </w:rPr>
              <w:t>Underlying</w:t>
            </w:r>
          </w:p>
        </w:tc>
        <w:tc>
          <w:tcPr>
            <w:tcW w:w="80" w:type="dxa"/>
            <w:vAlign w:val="bottom"/>
            <w:shd w:val="clear" w:color="auto" w:fill="0066BA"/>
          </w:tcPr>
          <w:p>
            <w:pPr>
              <w:spacing w:after="0"/>
              <w:rPr>
                <w:sz w:val="11"/>
                <w:szCs w:val="11"/>
                <w:color w:val="auto"/>
              </w:rPr>
            </w:pPr>
          </w:p>
        </w:tc>
        <w:tc>
          <w:tcPr>
            <w:tcW w:w="900" w:type="dxa"/>
            <w:vAlign w:val="bottom"/>
            <w:gridSpan w:val="2"/>
            <w:shd w:val="clear" w:color="auto" w:fill="0066BA"/>
          </w:tcPr>
          <w:p>
            <w:pPr>
              <w:jc w:val="right"/>
              <w:ind w:right="60"/>
              <w:spacing w:after="0" w:line="130" w:lineRule="exact"/>
              <w:rPr>
                <w:sz w:val="20"/>
                <w:szCs w:val="20"/>
                <w:color w:val="auto"/>
              </w:rPr>
            </w:pPr>
            <w:r>
              <w:rPr>
                <w:rFonts w:ascii="Arial" w:cs="Arial" w:eastAsia="Arial" w:hAnsi="Arial"/>
                <w:sz w:val="12"/>
                <w:szCs w:val="12"/>
                <w:b w:val="1"/>
                <w:bCs w:val="1"/>
                <w:color w:val="FFFFFF"/>
              </w:rPr>
              <w:t>Unexercised</w:t>
            </w:r>
          </w:p>
        </w:tc>
        <w:tc>
          <w:tcPr>
            <w:tcW w:w="820" w:type="dxa"/>
            <w:vAlign w:val="bottom"/>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Unexercised</w:t>
            </w:r>
          </w:p>
        </w:tc>
        <w:tc>
          <w:tcPr>
            <w:tcW w:w="80" w:type="dxa"/>
            <w:vAlign w:val="bottom"/>
            <w:shd w:val="clear" w:color="auto" w:fill="0066BA"/>
          </w:tcPr>
          <w:p>
            <w:pPr>
              <w:spacing w:after="0"/>
              <w:rPr>
                <w:sz w:val="11"/>
                <w:szCs w:val="11"/>
                <w:color w:val="auto"/>
              </w:rPr>
            </w:pPr>
          </w:p>
        </w:tc>
        <w:tc>
          <w:tcPr>
            <w:tcW w:w="44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860" w:type="dxa"/>
            <w:vAlign w:val="bottom"/>
            <w:shd w:val="clear" w:color="auto" w:fill="0066BA"/>
          </w:tcPr>
          <w:p>
            <w:pPr>
              <w:spacing w:after="0"/>
              <w:rPr>
                <w:sz w:val="11"/>
                <w:szCs w:val="11"/>
                <w:color w:val="auto"/>
              </w:rPr>
            </w:pPr>
          </w:p>
        </w:tc>
        <w:tc>
          <w:tcPr>
            <w:tcW w:w="200" w:type="dxa"/>
            <w:vAlign w:val="bottom"/>
            <w:shd w:val="clear" w:color="auto" w:fill="0066BA"/>
          </w:tcPr>
          <w:p>
            <w:pPr>
              <w:spacing w:after="0"/>
              <w:rPr>
                <w:sz w:val="11"/>
                <w:szCs w:val="11"/>
                <w:color w:val="auto"/>
              </w:rPr>
            </w:pPr>
          </w:p>
        </w:tc>
        <w:tc>
          <w:tcPr>
            <w:tcW w:w="680" w:type="dxa"/>
            <w:vAlign w:val="bottom"/>
            <w:gridSpan w:val="3"/>
            <w:shd w:val="clear" w:color="auto" w:fill="0066BA"/>
          </w:tcPr>
          <w:p>
            <w:pPr>
              <w:jc w:val="right"/>
              <w:ind w:right="60"/>
              <w:spacing w:after="0" w:line="130" w:lineRule="exact"/>
              <w:rPr>
                <w:sz w:val="20"/>
                <w:szCs w:val="20"/>
                <w:color w:val="auto"/>
              </w:rPr>
            </w:pPr>
            <w:r>
              <w:rPr>
                <w:rFonts w:ascii="Arial" w:cs="Arial" w:eastAsia="Arial" w:hAnsi="Arial"/>
                <w:sz w:val="12"/>
                <w:szCs w:val="12"/>
                <w:b w:val="1"/>
                <w:bCs w:val="1"/>
                <w:color w:val="FFFFFF"/>
                <w:w w:val="97"/>
              </w:rPr>
              <w:t>Stock That</w:t>
            </w:r>
          </w:p>
        </w:tc>
        <w:tc>
          <w:tcPr>
            <w:tcW w:w="840" w:type="dxa"/>
            <w:vAlign w:val="bottom"/>
            <w:shd w:val="clear" w:color="auto" w:fill="0066BA"/>
          </w:tcPr>
          <w:p>
            <w:pPr>
              <w:jc w:val="right"/>
              <w:ind w:right="4"/>
              <w:spacing w:after="0" w:line="130" w:lineRule="exact"/>
              <w:rPr>
                <w:sz w:val="20"/>
                <w:szCs w:val="20"/>
                <w:color w:val="auto"/>
              </w:rPr>
            </w:pPr>
            <w:r>
              <w:rPr>
                <w:rFonts w:ascii="Arial" w:cs="Arial" w:eastAsia="Arial" w:hAnsi="Arial"/>
                <w:sz w:val="12"/>
                <w:szCs w:val="12"/>
                <w:b w:val="1"/>
                <w:bCs w:val="1"/>
                <w:color w:val="FFFFFF"/>
                <w:w w:val="96"/>
              </w:rPr>
              <w:t>Units/Awards</w:t>
            </w:r>
          </w:p>
        </w:tc>
        <w:tc>
          <w:tcPr>
            <w:tcW w:w="100" w:type="dxa"/>
            <w:vAlign w:val="bottom"/>
            <w:shd w:val="clear" w:color="auto" w:fill="0066BA"/>
          </w:tcPr>
          <w:p>
            <w:pPr>
              <w:spacing w:after="0"/>
              <w:rPr>
                <w:sz w:val="11"/>
                <w:szCs w:val="11"/>
                <w:color w:val="auto"/>
              </w:rPr>
            </w:pPr>
          </w:p>
        </w:tc>
        <w:tc>
          <w:tcPr>
            <w:tcW w:w="740" w:type="dxa"/>
            <w:vAlign w:val="bottom"/>
            <w:gridSpan w:val="2"/>
            <w:shd w:val="clear" w:color="auto" w:fill="0066BA"/>
          </w:tcPr>
          <w:p>
            <w:pPr>
              <w:jc w:val="right"/>
              <w:ind w:right="60"/>
              <w:spacing w:after="0" w:line="130" w:lineRule="exact"/>
              <w:rPr>
                <w:sz w:val="20"/>
                <w:szCs w:val="20"/>
                <w:color w:val="auto"/>
              </w:rPr>
            </w:pPr>
            <w:r>
              <w:rPr>
                <w:rFonts w:ascii="Arial" w:cs="Arial" w:eastAsia="Arial" w:hAnsi="Arial"/>
                <w:sz w:val="12"/>
                <w:szCs w:val="12"/>
                <w:b w:val="1"/>
                <w:bCs w:val="1"/>
                <w:color w:val="FFFFFF"/>
              </w:rPr>
              <w:t>or Other</w:t>
            </w:r>
          </w:p>
        </w:tc>
        <w:tc>
          <w:tcPr>
            <w:tcW w:w="940" w:type="dxa"/>
            <w:vAlign w:val="bottom"/>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Shares, Units</w:t>
            </w:r>
          </w:p>
        </w:tc>
        <w:tc>
          <w:tcPr>
            <w:tcW w:w="0" w:type="dxa"/>
            <w:vAlign w:val="bottom"/>
          </w:tcPr>
          <w:p>
            <w:pPr>
              <w:spacing w:after="0"/>
              <w:rPr>
                <w:sz w:val="1"/>
                <w:szCs w:val="1"/>
                <w:color w:val="auto"/>
              </w:rPr>
            </w:pPr>
          </w:p>
        </w:tc>
      </w:tr>
      <w:tr>
        <w:trPr>
          <w:trHeight w:val="130"/>
        </w:trPr>
        <w:tc>
          <w:tcPr>
            <w:tcW w:w="1960" w:type="dxa"/>
            <w:vAlign w:val="bottom"/>
            <w:tcBorders>
              <w:right w:val="single" w:sz="8" w:color="0066BA"/>
            </w:tcBorders>
            <w:shd w:val="clear" w:color="auto" w:fill="0066BA"/>
          </w:tcPr>
          <w:p>
            <w:pPr>
              <w:spacing w:after="0"/>
              <w:rPr>
                <w:sz w:val="11"/>
                <w:szCs w:val="11"/>
                <w:color w:val="auto"/>
              </w:rPr>
            </w:pPr>
          </w:p>
        </w:tc>
        <w:tc>
          <w:tcPr>
            <w:tcW w:w="72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760" w:type="dxa"/>
            <w:vAlign w:val="bottom"/>
            <w:shd w:val="clear" w:color="auto" w:fill="0066BA"/>
          </w:tcPr>
          <w:p>
            <w:pPr>
              <w:jc w:val="right"/>
              <w:ind w:right="4"/>
              <w:spacing w:after="0" w:line="130" w:lineRule="exact"/>
              <w:rPr>
                <w:sz w:val="20"/>
                <w:szCs w:val="20"/>
                <w:color w:val="auto"/>
              </w:rPr>
            </w:pPr>
            <w:r>
              <w:rPr>
                <w:rFonts w:ascii="Arial" w:cs="Arial" w:eastAsia="Arial" w:hAnsi="Arial"/>
                <w:sz w:val="12"/>
                <w:szCs w:val="12"/>
                <w:b w:val="1"/>
                <w:bCs w:val="1"/>
                <w:color w:val="FFFFFF"/>
                <w:w w:val="92"/>
              </w:rPr>
              <w:t>Unexercised</w:t>
            </w:r>
          </w:p>
        </w:tc>
        <w:tc>
          <w:tcPr>
            <w:tcW w:w="80" w:type="dxa"/>
            <w:vAlign w:val="bottom"/>
            <w:shd w:val="clear" w:color="auto" w:fill="0066BA"/>
          </w:tcPr>
          <w:p>
            <w:pPr>
              <w:spacing w:after="0"/>
              <w:rPr>
                <w:sz w:val="11"/>
                <w:szCs w:val="11"/>
                <w:color w:val="auto"/>
              </w:rPr>
            </w:pPr>
          </w:p>
        </w:tc>
        <w:tc>
          <w:tcPr>
            <w:tcW w:w="900" w:type="dxa"/>
            <w:vAlign w:val="bottom"/>
            <w:gridSpan w:val="2"/>
            <w:shd w:val="clear" w:color="auto" w:fill="0066BA"/>
          </w:tcPr>
          <w:p>
            <w:pPr>
              <w:jc w:val="right"/>
              <w:ind w:right="60"/>
              <w:spacing w:after="0" w:line="130" w:lineRule="exact"/>
              <w:rPr>
                <w:sz w:val="20"/>
                <w:szCs w:val="20"/>
                <w:color w:val="auto"/>
              </w:rPr>
            </w:pPr>
            <w:r>
              <w:rPr>
                <w:rFonts w:ascii="Arial" w:cs="Arial" w:eastAsia="Arial" w:hAnsi="Arial"/>
                <w:sz w:val="12"/>
                <w:szCs w:val="12"/>
                <w:b w:val="1"/>
                <w:bCs w:val="1"/>
                <w:color w:val="FFFFFF"/>
              </w:rPr>
              <w:t>Unexercised</w:t>
            </w:r>
          </w:p>
        </w:tc>
        <w:tc>
          <w:tcPr>
            <w:tcW w:w="820" w:type="dxa"/>
            <w:vAlign w:val="bottom"/>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Unearned</w:t>
            </w:r>
          </w:p>
        </w:tc>
        <w:tc>
          <w:tcPr>
            <w:tcW w:w="80" w:type="dxa"/>
            <w:vAlign w:val="bottom"/>
            <w:shd w:val="clear" w:color="auto" w:fill="0066BA"/>
          </w:tcPr>
          <w:p>
            <w:pPr>
              <w:spacing w:after="0"/>
              <w:rPr>
                <w:sz w:val="11"/>
                <w:szCs w:val="11"/>
                <w:color w:val="auto"/>
              </w:rPr>
            </w:pPr>
          </w:p>
        </w:tc>
        <w:tc>
          <w:tcPr>
            <w:tcW w:w="520" w:type="dxa"/>
            <w:vAlign w:val="bottom"/>
            <w:gridSpan w:val="2"/>
            <w:shd w:val="clear" w:color="auto" w:fill="0066BA"/>
          </w:tcPr>
          <w:p>
            <w:pPr>
              <w:jc w:val="right"/>
              <w:ind w:right="80"/>
              <w:spacing w:after="0" w:line="130" w:lineRule="exact"/>
              <w:rPr>
                <w:sz w:val="20"/>
                <w:szCs w:val="20"/>
                <w:color w:val="auto"/>
              </w:rPr>
            </w:pPr>
            <w:r>
              <w:rPr>
                <w:rFonts w:ascii="Arial" w:cs="Arial" w:eastAsia="Arial" w:hAnsi="Arial"/>
                <w:sz w:val="12"/>
                <w:szCs w:val="12"/>
                <w:b w:val="1"/>
                <w:bCs w:val="1"/>
                <w:color w:val="FFFFFF"/>
              </w:rPr>
              <w:t>Option</w:t>
            </w:r>
          </w:p>
        </w:tc>
        <w:tc>
          <w:tcPr>
            <w:tcW w:w="1060" w:type="dxa"/>
            <w:vAlign w:val="bottom"/>
            <w:gridSpan w:val="2"/>
            <w:shd w:val="clear" w:color="auto" w:fill="0066BA"/>
          </w:tcPr>
          <w:p>
            <w:pPr>
              <w:jc w:val="right"/>
              <w:ind w:right="260"/>
              <w:spacing w:after="0" w:line="130" w:lineRule="exact"/>
              <w:rPr>
                <w:sz w:val="20"/>
                <w:szCs w:val="20"/>
                <w:color w:val="auto"/>
              </w:rPr>
            </w:pPr>
            <w:r>
              <w:rPr>
                <w:rFonts w:ascii="Arial" w:cs="Arial" w:eastAsia="Arial" w:hAnsi="Arial"/>
                <w:sz w:val="12"/>
                <w:szCs w:val="12"/>
                <w:b w:val="1"/>
                <w:bCs w:val="1"/>
                <w:color w:val="FFFFFF"/>
              </w:rPr>
              <w:t>Option</w:t>
            </w:r>
          </w:p>
        </w:tc>
        <w:tc>
          <w:tcPr>
            <w:tcW w:w="80" w:type="dxa"/>
            <w:vAlign w:val="bottom"/>
            <w:shd w:val="clear" w:color="auto" w:fill="0066BA"/>
          </w:tcPr>
          <w:p>
            <w:pPr>
              <w:spacing w:after="0"/>
              <w:rPr>
                <w:sz w:val="11"/>
                <w:szCs w:val="11"/>
                <w:color w:val="auto"/>
              </w:rPr>
            </w:pPr>
          </w:p>
        </w:tc>
        <w:tc>
          <w:tcPr>
            <w:tcW w:w="600" w:type="dxa"/>
            <w:vAlign w:val="bottom"/>
            <w:gridSpan w:val="2"/>
            <w:shd w:val="clear" w:color="auto" w:fill="0066BA"/>
          </w:tcPr>
          <w:p>
            <w:pPr>
              <w:jc w:val="right"/>
              <w:ind w:right="60"/>
              <w:spacing w:after="0" w:line="130" w:lineRule="exact"/>
              <w:rPr>
                <w:sz w:val="20"/>
                <w:szCs w:val="20"/>
                <w:color w:val="auto"/>
              </w:rPr>
            </w:pPr>
            <w:r>
              <w:rPr>
                <w:rFonts w:ascii="Arial" w:cs="Arial" w:eastAsia="Arial" w:hAnsi="Arial"/>
                <w:sz w:val="12"/>
                <w:szCs w:val="12"/>
                <w:b w:val="1"/>
                <w:bCs w:val="1"/>
                <w:color w:val="FFFFFF"/>
                <w:w w:val="99"/>
              </w:rPr>
              <w:t>Have Not</w:t>
            </w:r>
          </w:p>
        </w:tc>
        <w:tc>
          <w:tcPr>
            <w:tcW w:w="840" w:type="dxa"/>
            <w:vAlign w:val="bottom"/>
            <w:shd w:val="clear" w:color="auto" w:fill="0066BA"/>
          </w:tcPr>
          <w:p>
            <w:pPr>
              <w:jc w:val="right"/>
              <w:ind w:right="4"/>
              <w:spacing w:after="0" w:line="130" w:lineRule="exact"/>
              <w:rPr>
                <w:sz w:val="20"/>
                <w:szCs w:val="20"/>
                <w:color w:val="auto"/>
              </w:rPr>
            </w:pPr>
            <w:r>
              <w:rPr>
                <w:rFonts w:ascii="Arial" w:cs="Arial" w:eastAsia="Arial" w:hAnsi="Arial"/>
                <w:sz w:val="12"/>
                <w:szCs w:val="12"/>
                <w:b w:val="1"/>
                <w:bCs w:val="1"/>
                <w:color w:val="FFFFFF"/>
                <w:w w:val="97"/>
              </w:rPr>
              <w:t>of Stock That</w:t>
            </w:r>
          </w:p>
        </w:tc>
        <w:tc>
          <w:tcPr>
            <w:tcW w:w="100" w:type="dxa"/>
            <w:vAlign w:val="bottom"/>
            <w:shd w:val="clear" w:color="auto" w:fill="0066BA"/>
          </w:tcPr>
          <w:p>
            <w:pPr>
              <w:spacing w:after="0"/>
              <w:rPr>
                <w:sz w:val="11"/>
                <w:szCs w:val="11"/>
                <w:color w:val="auto"/>
              </w:rPr>
            </w:pPr>
          </w:p>
        </w:tc>
        <w:tc>
          <w:tcPr>
            <w:tcW w:w="740" w:type="dxa"/>
            <w:vAlign w:val="bottom"/>
            <w:gridSpan w:val="2"/>
            <w:shd w:val="clear" w:color="auto" w:fill="0066BA"/>
          </w:tcPr>
          <w:p>
            <w:pPr>
              <w:jc w:val="right"/>
              <w:ind w:right="60"/>
              <w:spacing w:after="0" w:line="130" w:lineRule="exact"/>
              <w:rPr>
                <w:sz w:val="20"/>
                <w:szCs w:val="20"/>
                <w:color w:val="auto"/>
              </w:rPr>
            </w:pPr>
            <w:r>
              <w:rPr>
                <w:rFonts w:ascii="Arial" w:cs="Arial" w:eastAsia="Arial" w:hAnsi="Arial"/>
                <w:sz w:val="12"/>
                <w:szCs w:val="12"/>
                <w:b w:val="1"/>
                <w:bCs w:val="1"/>
                <w:color w:val="FFFFFF"/>
                <w:w w:val="99"/>
              </w:rPr>
              <w:t>Rights That</w:t>
            </w:r>
          </w:p>
        </w:tc>
        <w:tc>
          <w:tcPr>
            <w:tcW w:w="940" w:type="dxa"/>
            <w:vAlign w:val="bottom"/>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w w:val="97"/>
              </w:rPr>
              <w:t>or Other Rights</w:t>
            </w:r>
          </w:p>
        </w:tc>
        <w:tc>
          <w:tcPr>
            <w:tcW w:w="0" w:type="dxa"/>
            <w:vAlign w:val="bottom"/>
          </w:tcPr>
          <w:p>
            <w:pPr>
              <w:spacing w:after="0"/>
              <w:rPr>
                <w:sz w:val="1"/>
                <w:szCs w:val="1"/>
                <w:color w:val="auto"/>
              </w:rPr>
            </w:pPr>
          </w:p>
        </w:tc>
      </w:tr>
      <w:tr>
        <w:trPr>
          <w:trHeight w:val="130"/>
        </w:trPr>
        <w:tc>
          <w:tcPr>
            <w:tcW w:w="1960" w:type="dxa"/>
            <w:vAlign w:val="bottom"/>
            <w:tcBorders>
              <w:right w:val="single" w:sz="8" w:color="0066BA"/>
            </w:tcBorders>
            <w:vMerge w:val="restart"/>
            <w:shd w:val="clear" w:color="auto" w:fill="0066BA"/>
          </w:tcPr>
          <w:p>
            <w:pPr>
              <w:ind w:left="40"/>
              <w:spacing w:after="0"/>
              <w:rPr>
                <w:sz w:val="20"/>
                <w:szCs w:val="20"/>
                <w:color w:val="auto"/>
              </w:rPr>
            </w:pPr>
            <w:r>
              <w:rPr>
                <w:rFonts w:ascii="Arial" w:cs="Arial" w:eastAsia="Arial" w:hAnsi="Arial"/>
                <w:sz w:val="14"/>
                <w:szCs w:val="14"/>
                <w:b w:val="1"/>
                <w:bCs w:val="1"/>
                <w:color w:val="FFFFFF"/>
              </w:rPr>
              <w:t>Name</w:t>
            </w:r>
          </w:p>
        </w:tc>
        <w:tc>
          <w:tcPr>
            <w:tcW w:w="720" w:type="dxa"/>
            <w:vAlign w:val="bottom"/>
            <w:shd w:val="clear" w:color="auto" w:fill="0066BA"/>
          </w:tcPr>
          <w:p>
            <w:pPr>
              <w:spacing w:after="0"/>
              <w:rPr>
                <w:sz w:val="11"/>
                <w:szCs w:val="11"/>
                <w:color w:val="auto"/>
              </w:rPr>
            </w:pPr>
          </w:p>
        </w:tc>
        <w:tc>
          <w:tcPr>
            <w:tcW w:w="80" w:type="dxa"/>
            <w:vAlign w:val="bottom"/>
            <w:shd w:val="clear" w:color="auto" w:fill="0066BA"/>
          </w:tcPr>
          <w:p>
            <w:pPr>
              <w:spacing w:after="0"/>
              <w:rPr>
                <w:sz w:val="11"/>
                <w:szCs w:val="11"/>
                <w:color w:val="auto"/>
              </w:rPr>
            </w:pPr>
          </w:p>
        </w:tc>
        <w:tc>
          <w:tcPr>
            <w:tcW w:w="760" w:type="dxa"/>
            <w:vAlign w:val="bottom"/>
            <w:shd w:val="clear" w:color="auto" w:fill="0066BA"/>
          </w:tcPr>
          <w:p>
            <w:pPr>
              <w:jc w:val="right"/>
              <w:ind w:right="4"/>
              <w:spacing w:after="0" w:line="130" w:lineRule="exact"/>
              <w:rPr>
                <w:sz w:val="20"/>
                <w:szCs w:val="20"/>
                <w:color w:val="auto"/>
              </w:rPr>
            </w:pPr>
            <w:r>
              <w:rPr>
                <w:rFonts w:ascii="Arial" w:cs="Arial" w:eastAsia="Arial" w:hAnsi="Arial"/>
                <w:sz w:val="12"/>
                <w:szCs w:val="12"/>
                <w:b w:val="1"/>
                <w:bCs w:val="1"/>
                <w:color w:val="FFFFFF"/>
              </w:rPr>
              <w:t>Options (#)</w:t>
            </w:r>
          </w:p>
        </w:tc>
        <w:tc>
          <w:tcPr>
            <w:tcW w:w="80" w:type="dxa"/>
            <w:vAlign w:val="bottom"/>
            <w:shd w:val="clear" w:color="auto" w:fill="0066BA"/>
          </w:tcPr>
          <w:p>
            <w:pPr>
              <w:spacing w:after="0"/>
              <w:rPr>
                <w:sz w:val="11"/>
                <w:szCs w:val="11"/>
                <w:color w:val="auto"/>
              </w:rPr>
            </w:pPr>
          </w:p>
        </w:tc>
        <w:tc>
          <w:tcPr>
            <w:tcW w:w="900" w:type="dxa"/>
            <w:vAlign w:val="bottom"/>
            <w:gridSpan w:val="2"/>
            <w:shd w:val="clear" w:color="auto" w:fill="0066BA"/>
          </w:tcPr>
          <w:p>
            <w:pPr>
              <w:jc w:val="right"/>
              <w:ind w:right="60"/>
              <w:spacing w:after="0" w:line="130" w:lineRule="exact"/>
              <w:rPr>
                <w:sz w:val="20"/>
                <w:szCs w:val="20"/>
                <w:color w:val="auto"/>
              </w:rPr>
            </w:pPr>
            <w:r>
              <w:rPr>
                <w:rFonts w:ascii="Arial" w:cs="Arial" w:eastAsia="Arial" w:hAnsi="Arial"/>
                <w:sz w:val="12"/>
                <w:szCs w:val="12"/>
                <w:b w:val="1"/>
                <w:bCs w:val="1"/>
                <w:color w:val="FFFFFF"/>
              </w:rPr>
              <w:t>Options (#)</w:t>
            </w:r>
          </w:p>
        </w:tc>
        <w:tc>
          <w:tcPr>
            <w:tcW w:w="820" w:type="dxa"/>
            <w:vAlign w:val="bottom"/>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Options</w:t>
            </w:r>
          </w:p>
        </w:tc>
        <w:tc>
          <w:tcPr>
            <w:tcW w:w="600" w:type="dxa"/>
            <w:vAlign w:val="bottom"/>
            <w:gridSpan w:val="3"/>
            <w:shd w:val="clear" w:color="auto" w:fill="0066BA"/>
          </w:tcPr>
          <w:p>
            <w:pPr>
              <w:jc w:val="right"/>
              <w:ind w:right="80"/>
              <w:spacing w:after="0" w:line="130" w:lineRule="exact"/>
              <w:rPr>
                <w:sz w:val="20"/>
                <w:szCs w:val="20"/>
                <w:color w:val="auto"/>
              </w:rPr>
            </w:pPr>
            <w:r>
              <w:rPr>
                <w:rFonts w:ascii="Arial" w:cs="Arial" w:eastAsia="Arial" w:hAnsi="Arial"/>
                <w:sz w:val="12"/>
                <w:szCs w:val="12"/>
                <w:b w:val="1"/>
                <w:bCs w:val="1"/>
                <w:color w:val="FFFFFF"/>
              </w:rPr>
              <w:t>Exercise</w:t>
            </w:r>
          </w:p>
        </w:tc>
        <w:tc>
          <w:tcPr>
            <w:tcW w:w="1060" w:type="dxa"/>
            <w:vAlign w:val="bottom"/>
            <w:gridSpan w:val="2"/>
            <w:shd w:val="clear" w:color="auto" w:fill="0066BA"/>
          </w:tcPr>
          <w:p>
            <w:pPr>
              <w:jc w:val="right"/>
              <w:ind w:right="260"/>
              <w:spacing w:after="0" w:line="130" w:lineRule="exact"/>
              <w:rPr>
                <w:sz w:val="20"/>
                <w:szCs w:val="20"/>
                <w:color w:val="auto"/>
              </w:rPr>
            </w:pPr>
            <w:r>
              <w:rPr>
                <w:rFonts w:ascii="Arial" w:cs="Arial" w:eastAsia="Arial" w:hAnsi="Arial"/>
                <w:sz w:val="12"/>
                <w:szCs w:val="12"/>
                <w:b w:val="1"/>
                <w:bCs w:val="1"/>
                <w:color w:val="FFFFFF"/>
              </w:rPr>
              <w:t>Expiration</w:t>
            </w:r>
          </w:p>
        </w:tc>
        <w:tc>
          <w:tcPr>
            <w:tcW w:w="80" w:type="dxa"/>
            <w:vAlign w:val="bottom"/>
            <w:shd w:val="clear" w:color="auto" w:fill="0066BA"/>
          </w:tcPr>
          <w:p>
            <w:pPr>
              <w:spacing w:after="0"/>
              <w:rPr>
                <w:sz w:val="11"/>
                <w:szCs w:val="11"/>
                <w:color w:val="auto"/>
              </w:rPr>
            </w:pPr>
          </w:p>
        </w:tc>
        <w:tc>
          <w:tcPr>
            <w:tcW w:w="600" w:type="dxa"/>
            <w:vAlign w:val="bottom"/>
            <w:gridSpan w:val="2"/>
            <w:shd w:val="clear" w:color="auto" w:fill="0066BA"/>
          </w:tcPr>
          <w:p>
            <w:pPr>
              <w:jc w:val="right"/>
              <w:ind w:right="60"/>
              <w:spacing w:after="0" w:line="130" w:lineRule="exact"/>
              <w:rPr>
                <w:sz w:val="20"/>
                <w:szCs w:val="20"/>
                <w:color w:val="auto"/>
              </w:rPr>
            </w:pPr>
            <w:r>
              <w:rPr>
                <w:rFonts w:ascii="Arial" w:cs="Arial" w:eastAsia="Arial" w:hAnsi="Arial"/>
                <w:sz w:val="12"/>
                <w:szCs w:val="12"/>
                <w:b w:val="1"/>
                <w:bCs w:val="1"/>
                <w:color w:val="FFFFFF"/>
                <w:w w:val="90"/>
              </w:rPr>
              <w:t>Vested (#)</w:t>
            </w:r>
          </w:p>
        </w:tc>
        <w:tc>
          <w:tcPr>
            <w:tcW w:w="840" w:type="dxa"/>
            <w:vAlign w:val="bottom"/>
            <w:shd w:val="clear" w:color="auto" w:fill="0066BA"/>
          </w:tcPr>
          <w:p>
            <w:pPr>
              <w:jc w:val="right"/>
              <w:ind w:right="4"/>
              <w:spacing w:after="0" w:line="130" w:lineRule="exact"/>
              <w:rPr>
                <w:sz w:val="20"/>
                <w:szCs w:val="20"/>
                <w:color w:val="auto"/>
              </w:rPr>
            </w:pPr>
            <w:r>
              <w:rPr>
                <w:rFonts w:ascii="Arial" w:cs="Arial" w:eastAsia="Arial" w:hAnsi="Arial"/>
                <w:sz w:val="12"/>
                <w:szCs w:val="12"/>
                <w:b w:val="1"/>
                <w:bCs w:val="1"/>
                <w:color w:val="FFFFFF"/>
              </w:rPr>
              <w:t>Have Not</w:t>
            </w:r>
          </w:p>
        </w:tc>
        <w:tc>
          <w:tcPr>
            <w:tcW w:w="100" w:type="dxa"/>
            <w:vAlign w:val="bottom"/>
            <w:shd w:val="clear" w:color="auto" w:fill="0066BA"/>
          </w:tcPr>
          <w:p>
            <w:pPr>
              <w:spacing w:after="0"/>
              <w:rPr>
                <w:sz w:val="11"/>
                <w:szCs w:val="11"/>
                <w:color w:val="auto"/>
              </w:rPr>
            </w:pPr>
          </w:p>
        </w:tc>
        <w:tc>
          <w:tcPr>
            <w:tcW w:w="740" w:type="dxa"/>
            <w:vAlign w:val="bottom"/>
            <w:gridSpan w:val="2"/>
            <w:shd w:val="clear" w:color="auto" w:fill="0066BA"/>
          </w:tcPr>
          <w:p>
            <w:pPr>
              <w:jc w:val="right"/>
              <w:ind w:right="60"/>
              <w:spacing w:after="0" w:line="130" w:lineRule="exact"/>
              <w:rPr>
                <w:sz w:val="20"/>
                <w:szCs w:val="20"/>
                <w:color w:val="auto"/>
              </w:rPr>
            </w:pPr>
            <w:r>
              <w:rPr>
                <w:rFonts w:ascii="Arial" w:cs="Arial" w:eastAsia="Arial" w:hAnsi="Arial"/>
                <w:sz w:val="12"/>
                <w:szCs w:val="12"/>
                <w:b w:val="1"/>
                <w:bCs w:val="1"/>
                <w:color w:val="FFFFFF"/>
              </w:rPr>
              <w:t>Have Not</w:t>
            </w:r>
          </w:p>
        </w:tc>
        <w:tc>
          <w:tcPr>
            <w:tcW w:w="940" w:type="dxa"/>
            <w:vAlign w:val="bottom"/>
            <w:shd w:val="clear" w:color="auto" w:fill="0066BA"/>
          </w:tcPr>
          <w:p>
            <w:pPr>
              <w:jc w:val="right"/>
              <w:spacing w:after="0" w:line="130" w:lineRule="exact"/>
              <w:rPr>
                <w:sz w:val="20"/>
                <w:szCs w:val="20"/>
                <w:color w:val="auto"/>
              </w:rPr>
            </w:pPr>
            <w:r>
              <w:rPr>
                <w:rFonts w:ascii="Arial" w:cs="Arial" w:eastAsia="Arial" w:hAnsi="Arial"/>
                <w:sz w:val="12"/>
                <w:szCs w:val="12"/>
                <w:b w:val="1"/>
                <w:bCs w:val="1"/>
                <w:color w:val="FFFFFF"/>
              </w:rPr>
              <w:t>That Have Not</w:t>
            </w:r>
          </w:p>
        </w:tc>
        <w:tc>
          <w:tcPr>
            <w:tcW w:w="0" w:type="dxa"/>
            <w:vAlign w:val="bottom"/>
          </w:tcPr>
          <w:p>
            <w:pPr>
              <w:spacing w:after="0"/>
              <w:rPr>
                <w:sz w:val="1"/>
                <w:szCs w:val="1"/>
                <w:color w:val="auto"/>
              </w:rPr>
            </w:pPr>
          </w:p>
        </w:tc>
      </w:tr>
      <w:tr>
        <w:trPr>
          <w:trHeight w:val="156"/>
        </w:trPr>
        <w:tc>
          <w:tcPr>
            <w:tcW w:w="1960" w:type="dxa"/>
            <w:vAlign w:val="bottom"/>
            <w:tcBorders>
              <w:right w:val="single" w:sz="8" w:color="0066BA"/>
            </w:tcBorders>
            <w:vMerge w:val="continue"/>
            <w:shd w:val="clear" w:color="auto" w:fill="0066BA"/>
          </w:tcPr>
          <w:p>
            <w:pPr>
              <w:spacing w:after="0"/>
              <w:rPr>
                <w:sz w:val="13"/>
                <w:szCs w:val="13"/>
                <w:color w:val="auto"/>
              </w:rPr>
            </w:pPr>
          </w:p>
        </w:tc>
        <w:tc>
          <w:tcPr>
            <w:tcW w:w="800" w:type="dxa"/>
            <w:vAlign w:val="bottom"/>
            <w:gridSpan w:val="2"/>
            <w:shd w:val="clear" w:color="auto" w:fill="0066BA"/>
          </w:tcPr>
          <w:p>
            <w:pPr>
              <w:jc w:val="right"/>
              <w:ind w:right="60"/>
              <w:spacing w:after="0"/>
              <w:rPr>
                <w:sz w:val="20"/>
                <w:szCs w:val="20"/>
                <w:color w:val="auto"/>
              </w:rPr>
            </w:pPr>
            <w:r>
              <w:rPr>
                <w:rFonts w:ascii="Arial" w:cs="Arial" w:eastAsia="Arial" w:hAnsi="Arial"/>
                <w:sz w:val="12"/>
                <w:szCs w:val="12"/>
                <w:b w:val="1"/>
                <w:bCs w:val="1"/>
                <w:color w:val="FFFFFF"/>
              </w:rPr>
              <w:t>Grant Date</w:t>
            </w:r>
          </w:p>
        </w:tc>
        <w:tc>
          <w:tcPr>
            <w:tcW w:w="760" w:type="dxa"/>
            <w:vAlign w:val="bottom"/>
            <w:shd w:val="clear" w:color="auto" w:fill="0066BA"/>
          </w:tcPr>
          <w:p>
            <w:pPr>
              <w:jc w:val="right"/>
              <w:ind w:right="4"/>
              <w:spacing w:after="0"/>
              <w:rPr>
                <w:sz w:val="20"/>
                <w:szCs w:val="20"/>
                <w:color w:val="auto"/>
              </w:rPr>
            </w:pPr>
            <w:r>
              <w:rPr>
                <w:rFonts w:ascii="Arial" w:cs="Arial" w:eastAsia="Arial" w:hAnsi="Arial"/>
                <w:sz w:val="12"/>
                <w:szCs w:val="12"/>
                <w:b w:val="1"/>
                <w:bCs w:val="1"/>
                <w:color w:val="FFFFFF"/>
                <w:w w:val="98"/>
              </w:rPr>
              <w:t>Exercisable</w:t>
            </w:r>
          </w:p>
        </w:tc>
        <w:tc>
          <w:tcPr>
            <w:tcW w:w="980" w:type="dxa"/>
            <w:vAlign w:val="bottom"/>
            <w:gridSpan w:val="3"/>
            <w:shd w:val="clear" w:color="auto" w:fill="0066BA"/>
          </w:tcPr>
          <w:p>
            <w:pPr>
              <w:jc w:val="right"/>
              <w:ind w:right="60"/>
              <w:spacing w:after="0"/>
              <w:rPr>
                <w:sz w:val="20"/>
                <w:szCs w:val="20"/>
                <w:color w:val="auto"/>
              </w:rPr>
            </w:pPr>
            <w:r>
              <w:rPr>
                <w:rFonts w:ascii="Arial" w:cs="Arial" w:eastAsia="Arial" w:hAnsi="Arial"/>
                <w:sz w:val="12"/>
                <w:szCs w:val="12"/>
                <w:b w:val="1"/>
                <w:bCs w:val="1"/>
                <w:color w:val="FFFFFF"/>
                <w:w w:val="93"/>
              </w:rPr>
              <w:t>Unexercisable(1)</w:t>
            </w:r>
          </w:p>
        </w:tc>
        <w:tc>
          <w:tcPr>
            <w:tcW w:w="1420" w:type="dxa"/>
            <w:vAlign w:val="bottom"/>
            <w:gridSpan w:val="4"/>
            <w:shd w:val="clear" w:color="auto" w:fill="0066BA"/>
          </w:tcPr>
          <w:p>
            <w:pPr>
              <w:jc w:val="right"/>
              <w:ind w:right="80"/>
              <w:spacing w:after="0"/>
              <w:rPr>
                <w:sz w:val="20"/>
                <w:szCs w:val="20"/>
                <w:color w:val="auto"/>
              </w:rPr>
            </w:pPr>
            <w:r>
              <w:rPr>
                <w:rFonts w:ascii="Arial" w:cs="Arial" w:eastAsia="Arial" w:hAnsi="Arial"/>
                <w:sz w:val="12"/>
                <w:szCs w:val="12"/>
                <w:b w:val="1"/>
                <w:bCs w:val="1"/>
                <w:color w:val="FFFFFF"/>
              </w:rPr>
              <w:t>(#)(6)   Price ($)</w:t>
            </w:r>
          </w:p>
        </w:tc>
        <w:tc>
          <w:tcPr>
            <w:tcW w:w="1060" w:type="dxa"/>
            <w:vAlign w:val="bottom"/>
            <w:gridSpan w:val="2"/>
            <w:shd w:val="clear" w:color="auto" w:fill="0066BA"/>
          </w:tcPr>
          <w:p>
            <w:pPr>
              <w:jc w:val="right"/>
              <w:ind w:right="260"/>
              <w:spacing w:after="0"/>
              <w:rPr>
                <w:sz w:val="20"/>
                <w:szCs w:val="20"/>
                <w:color w:val="auto"/>
              </w:rPr>
            </w:pPr>
            <w:r>
              <w:rPr>
                <w:rFonts w:ascii="Arial" w:cs="Arial" w:eastAsia="Arial" w:hAnsi="Arial"/>
                <w:sz w:val="12"/>
                <w:szCs w:val="12"/>
                <w:b w:val="1"/>
                <w:bCs w:val="1"/>
                <w:color w:val="FFFFFF"/>
              </w:rPr>
              <w:t>Date(2)</w:t>
            </w:r>
          </w:p>
        </w:tc>
        <w:tc>
          <w:tcPr>
            <w:tcW w:w="680" w:type="dxa"/>
            <w:vAlign w:val="bottom"/>
            <w:gridSpan w:val="3"/>
            <w:shd w:val="clear" w:color="auto" w:fill="0066BA"/>
          </w:tcPr>
          <w:p>
            <w:pPr>
              <w:jc w:val="right"/>
              <w:ind w:right="60"/>
              <w:spacing w:after="0"/>
              <w:rPr>
                <w:sz w:val="20"/>
                <w:szCs w:val="20"/>
                <w:color w:val="auto"/>
              </w:rPr>
            </w:pPr>
            <w:r>
              <w:rPr>
                <w:rFonts w:ascii="Arial" w:cs="Arial" w:eastAsia="Arial" w:hAnsi="Arial"/>
                <w:sz w:val="12"/>
                <w:szCs w:val="12"/>
                <w:b w:val="1"/>
                <w:bCs w:val="1"/>
                <w:color w:val="FFFFFF"/>
              </w:rPr>
              <w:t>(3)</w:t>
            </w:r>
          </w:p>
        </w:tc>
        <w:tc>
          <w:tcPr>
            <w:tcW w:w="840" w:type="dxa"/>
            <w:vAlign w:val="bottom"/>
            <w:shd w:val="clear" w:color="auto" w:fill="0066BA"/>
          </w:tcPr>
          <w:p>
            <w:pPr>
              <w:jc w:val="right"/>
              <w:ind w:right="4"/>
              <w:spacing w:after="0"/>
              <w:rPr>
                <w:sz w:val="20"/>
                <w:szCs w:val="20"/>
                <w:color w:val="auto"/>
              </w:rPr>
            </w:pPr>
            <w:r>
              <w:rPr>
                <w:rFonts w:ascii="Arial" w:cs="Arial" w:eastAsia="Arial" w:hAnsi="Arial"/>
                <w:sz w:val="12"/>
                <w:szCs w:val="12"/>
                <w:b w:val="1"/>
                <w:bCs w:val="1"/>
                <w:color w:val="FFFFFF"/>
              </w:rPr>
              <w:t>Vested ($)(4)</w:t>
            </w:r>
          </w:p>
        </w:tc>
        <w:tc>
          <w:tcPr>
            <w:tcW w:w="100" w:type="dxa"/>
            <w:vAlign w:val="bottom"/>
            <w:shd w:val="clear" w:color="auto" w:fill="0066BA"/>
          </w:tcPr>
          <w:p>
            <w:pPr>
              <w:spacing w:after="0"/>
              <w:rPr>
                <w:sz w:val="13"/>
                <w:szCs w:val="13"/>
                <w:color w:val="auto"/>
              </w:rPr>
            </w:pPr>
          </w:p>
        </w:tc>
        <w:tc>
          <w:tcPr>
            <w:tcW w:w="740" w:type="dxa"/>
            <w:vAlign w:val="bottom"/>
            <w:gridSpan w:val="2"/>
            <w:shd w:val="clear" w:color="auto" w:fill="0066BA"/>
          </w:tcPr>
          <w:p>
            <w:pPr>
              <w:jc w:val="right"/>
              <w:ind w:right="60"/>
              <w:spacing w:after="0"/>
              <w:rPr>
                <w:sz w:val="20"/>
                <w:szCs w:val="20"/>
                <w:color w:val="auto"/>
              </w:rPr>
            </w:pPr>
            <w:r>
              <w:rPr>
                <w:rFonts w:ascii="Arial" w:cs="Arial" w:eastAsia="Arial" w:hAnsi="Arial"/>
                <w:sz w:val="12"/>
                <w:szCs w:val="12"/>
                <w:b w:val="1"/>
                <w:bCs w:val="1"/>
                <w:color w:val="FFFFFF"/>
                <w:w w:val="91"/>
              </w:rPr>
              <w:t>Vested (#)(5)</w:t>
            </w:r>
          </w:p>
        </w:tc>
        <w:tc>
          <w:tcPr>
            <w:tcW w:w="940" w:type="dxa"/>
            <w:vAlign w:val="bottom"/>
            <w:shd w:val="clear" w:color="auto" w:fill="0066BA"/>
          </w:tcPr>
          <w:p>
            <w:pPr>
              <w:jc w:val="right"/>
              <w:spacing w:after="0"/>
              <w:rPr>
                <w:sz w:val="20"/>
                <w:szCs w:val="20"/>
                <w:color w:val="auto"/>
              </w:rPr>
            </w:pPr>
            <w:r>
              <w:rPr>
                <w:rFonts w:ascii="Arial" w:cs="Arial" w:eastAsia="Arial" w:hAnsi="Arial"/>
                <w:sz w:val="12"/>
                <w:szCs w:val="12"/>
                <w:b w:val="1"/>
                <w:bCs w:val="1"/>
                <w:color w:val="FFFFFF"/>
              </w:rPr>
              <w:t>Vested ($)(4)</w:t>
            </w:r>
          </w:p>
        </w:tc>
        <w:tc>
          <w:tcPr>
            <w:tcW w:w="0" w:type="dxa"/>
            <w:vAlign w:val="bottom"/>
          </w:tcPr>
          <w:p>
            <w:pPr>
              <w:spacing w:after="0"/>
              <w:rPr>
                <w:sz w:val="1"/>
                <w:szCs w:val="1"/>
                <w:color w:val="auto"/>
              </w:rPr>
            </w:pPr>
          </w:p>
        </w:tc>
      </w:tr>
      <w:tr>
        <w:trPr>
          <w:trHeight w:val="260"/>
        </w:trPr>
        <w:tc>
          <w:tcPr>
            <w:tcW w:w="1960" w:type="dxa"/>
            <w:vAlign w:val="bottom"/>
            <w:tcBorders>
              <w:right w:val="single" w:sz="8" w:color="EAEAEA"/>
            </w:tcBorders>
          </w:tcPr>
          <w:p>
            <w:pPr>
              <w:spacing w:after="0"/>
              <w:rPr>
                <w:sz w:val="22"/>
                <w:szCs w:val="22"/>
                <w:color w:val="auto"/>
              </w:rPr>
            </w:pPr>
          </w:p>
        </w:tc>
        <w:tc>
          <w:tcPr>
            <w:tcW w:w="800" w:type="dxa"/>
            <w:vAlign w:val="bottom"/>
            <w:tcBorders>
              <w:bottom w:val="single" w:sz="8" w:color="EAEAEA"/>
            </w:tcBorders>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3/9/2016</w:t>
            </w: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18,536</w:t>
            </w:r>
          </w:p>
        </w:tc>
        <w:tc>
          <w:tcPr>
            <w:tcW w:w="80" w:type="dxa"/>
            <w:vAlign w:val="bottom"/>
            <w:tcBorders>
              <w:bottom w:val="single" w:sz="8" w:color="EAEAEA"/>
            </w:tcBorders>
            <w:shd w:val="clear" w:color="auto" w:fill="EAEAEA"/>
          </w:tcPr>
          <w:p>
            <w:pPr>
              <w:spacing w:after="0"/>
              <w:rPr>
                <w:sz w:val="22"/>
                <w:szCs w:val="22"/>
                <w:color w:val="auto"/>
              </w:rPr>
            </w:pPr>
          </w:p>
        </w:tc>
        <w:tc>
          <w:tcPr>
            <w:tcW w:w="900" w:type="dxa"/>
            <w:vAlign w:val="bottom"/>
            <w:tcBorders>
              <w:bottom w:val="single" w:sz="8" w:color="EAEAEA"/>
            </w:tcBorders>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EAEAEA"/>
            </w:tcBorders>
            <w:gridSpan w:val="3"/>
            <w:shd w:val="clear" w:color="auto" w:fill="EAEAEA"/>
          </w:tcPr>
          <w:p>
            <w:pPr>
              <w:jc w:val="right"/>
              <w:ind w:right="80"/>
              <w:spacing w:after="0"/>
              <w:rPr>
                <w:sz w:val="20"/>
                <w:szCs w:val="20"/>
                <w:color w:val="auto"/>
              </w:rPr>
            </w:pPr>
            <w:r>
              <w:rPr>
                <w:rFonts w:ascii="Arial" w:cs="Arial" w:eastAsia="Arial" w:hAnsi="Arial"/>
                <w:sz w:val="16"/>
                <w:szCs w:val="16"/>
                <w:color w:val="auto"/>
              </w:rPr>
              <w:t>54.93</w:t>
            </w:r>
          </w:p>
        </w:tc>
        <w:tc>
          <w:tcPr>
            <w:tcW w:w="860" w:type="dxa"/>
            <w:vAlign w:val="bottom"/>
          </w:tcPr>
          <w:p>
            <w:pPr>
              <w:jc w:val="right"/>
              <w:spacing w:after="0"/>
              <w:rPr>
                <w:sz w:val="20"/>
                <w:szCs w:val="20"/>
                <w:color w:val="auto"/>
              </w:rPr>
            </w:pPr>
            <w:r>
              <w:rPr>
                <w:rFonts w:ascii="Arial" w:cs="Arial" w:eastAsia="Arial" w:hAnsi="Arial"/>
                <w:sz w:val="16"/>
                <w:szCs w:val="16"/>
                <w:color w:val="auto"/>
              </w:rPr>
              <w:t>3/9/2026</w:t>
            </w:r>
          </w:p>
        </w:tc>
        <w:tc>
          <w:tcPr>
            <w:tcW w:w="200" w:type="dxa"/>
            <w:vAlign w:val="bottom"/>
          </w:tcPr>
          <w:p>
            <w:pPr>
              <w:spacing w:after="0"/>
              <w:rPr>
                <w:sz w:val="22"/>
                <w:szCs w:val="22"/>
                <w:color w:val="auto"/>
              </w:rPr>
            </w:pPr>
          </w:p>
        </w:tc>
        <w:tc>
          <w:tcPr>
            <w:tcW w:w="80" w:type="dxa"/>
            <w:vAlign w:val="bottom"/>
            <w:tcBorders>
              <w:bottom w:val="single" w:sz="8" w:color="EAEAEA"/>
            </w:tcBorders>
            <w:shd w:val="clear" w:color="auto" w:fill="EAEAEA"/>
          </w:tcPr>
          <w:p>
            <w:pPr>
              <w:spacing w:after="0"/>
              <w:rPr>
                <w:sz w:val="22"/>
                <w:szCs w:val="22"/>
                <w:color w:val="auto"/>
              </w:rPr>
            </w:pPr>
          </w:p>
        </w:tc>
        <w:tc>
          <w:tcPr>
            <w:tcW w:w="600" w:type="dxa"/>
            <w:vAlign w:val="bottom"/>
            <w:tcBorders>
              <w:bottom w:val="single" w:sz="8" w:color="EAEAEA"/>
            </w:tcBorders>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AEAEA"/>
            </w:tcBorders>
            <w:shd w:val="clear" w:color="auto" w:fill="EAEAEA"/>
          </w:tcPr>
          <w:p>
            <w:pPr>
              <w:spacing w:after="0"/>
              <w:rPr>
                <w:sz w:val="22"/>
                <w:szCs w:val="22"/>
                <w:color w:val="auto"/>
              </w:rPr>
            </w:pPr>
          </w:p>
        </w:tc>
        <w:tc>
          <w:tcPr>
            <w:tcW w:w="740" w:type="dxa"/>
            <w:vAlign w:val="bottom"/>
            <w:tcBorders>
              <w:bottom w:val="single" w:sz="8" w:color="EAEAEA"/>
            </w:tcBorders>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1960" w:type="dxa"/>
            <w:vAlign w:val="bottom"/>
            <w:tcBorders>
              <w:right w:val="single" w:sz="8" w:color="EAEAEA"/>
            </w:tcBorders>
          </w:tcPr>
          <w:p>
            <w:pPr>
              <w:spacing w:after="0"/>
              <w:rPr>
                <w:sz w:val="22"/>
                <w:szCs w:val="22"/>
                <w:color w:val="auto"/>
              </w:rPr>
            </w:pPr>
          </w:p>
        </w:tc>
        <w:tc>
          <w:tcPr>
            <w:tcW w:w="800" w:type="dxa"/>
            <w:vAlign w:val="bottom"/>
            <w:tcBorders>
              <w:top w:val="single" w:sz="8" w:color="auto"/>
              <w:bottom w:val="single" w:sz="8" w:color="EAEAEA"/>
            </w:tcBorders>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3/8/2017</w:t>
            </w:r>
          </w:p>
        </w:tc>
        <w:tc>
          <w:tcPr>
            <w:tcW w:w="76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91,484</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900" w:type="dxa"/>
            <w:vAlign w:val="bottom"/>
            <w:tcBorders>
              <w:top w:val="single" w:sz="8" w:color="auto"/>
              <w:bottom w:val="single" w:sz="8" w:color="EAEAEA"/>
            </w:tcBorders>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22,872</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520" w:type="dxa"/>
            <w:vAlign w:val="bottom"/>
            <w:tcBorders>
              <w:top w:val="single" w:sz="8" w:color="auto"/>
              <w:bottom w:val="single" w:sz="8" w:color="EAEAEA"/>
            </w:tcBorders>
            <w:gridSpan w:val="2"/>
            <w:shd w:val="clear" w:color="auto" w:fill="EAEAEA"/>
          </w:tcPr>
          <w:p>
            <w:pPr>
              <w:jc w:val="right"/>
              <w:ind w:right="80"/>
              <w:spacing w:after="0"/>
              <w:rPr>
                <w:sz w:val="20"/>
                <w:szCs w:val="20"/>
                <w:color w:val="auto"/>
              </w:rPr>
            </w:pPr>
            <w:r>
              <w:rPr>
                <w:rFonts w:ascii="Arial" w:cs="Arial" w:eastAsia="Arial" w:hAnsi="Arial"/>
                <w:sz w:val="16"/>
                <w:szCs w:val="16"/>
                <w:color w:val="auto"/>
              </w:rPr>
              <w:t>83.48</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3/8/2027</w:t>
            </w: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600" w:type="dxa"/>
            <w:vAlign w:val="bottom"/>
            <w:tcBorders>
              <w:top w:val="single" w:sz="8" w:color="auto"/>
              <w:bottom w:val="single" w:sz="8" w:color="EAEAEA"/>
            </w:tcBorders>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EAEAEA"/>
            </w:tcBorders>
            <w:shd w:val="clear" w:color="auto" w:fill="EAEAEA"/>
          </w:tcPr>
          <w:p>
            <w:pPr>
              <w:spacing w:after="0"/>
              <w:rPr>
                <w:sz w:val="22"/>
                <w:szCs w:val="22"/>
                <w:color w:val="auto"/>
              </w:rPr>
            </w:pPr>
          </w:p>
        </w:tc>
        <w:tc>
          <w:tcPr>
            <w:tcW w:w="740" w:type="dxa"/>
            <w:vAlign w:val="bottom"/>
            <w:tcBorders>
              <w:top w:val="single" w:sz="8" w:color="auto"/>
              <w:bottom w:val="single" w:sz="8" w:color="EAEAEA"/>
            </w:tcBorders>
            <w:gridSpan w:val="2"/>
            <w:shd w:val="clear" w:color="auto" w:fill="EAEAEA"/>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1960" w:type="dxa"/>
            <w:vAlign w:val="bottom"/>
            <w:tcBorders>
              <w:right w:val="single" w:sz="8" w:color="EAEAEA"/>
            </w:tcBorders>
            <w:vMerge w:val="restart"/>
          </w:tcPr>
          <w:p>
            <w:pPr>
              <w:ind w:left="40"/>
              <w:spacing w:after="0"/>
              <w:rPr>
                <w:sz w:val="20"/>
                <w:szCs w:val="20"/>
                <w:color w:val="auto"/>
              </w:rPr>
            </w:pPr>
            <w:r>
              <w:rPr>
                <w:rFonts w:ascii="Arial" w:cs="Arial" w:eastAsia="Arial" w:hAnsi="Arial"/>
                <w:sz w:val="16"/>
                <w:szCs w:val="16"/>
                <w:b w:val="1"/>
                <w:bCs w:val="1"/>
                <w:color w:val="0066BA"/>
              </w:rPr>
              <w:t>Vincent</w:t>
            </w:r>
          </w:p>
        </w:tc>
        <w:tc>
          <w:tcPr>
            <w:tcW w:w="7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8"/>
                <w:shd w:val="clear" w:color="auto" w:fill="EAEAEA"/>
              </w:rPr>
              <w:t>3/29/2018</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76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82,995</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27,666</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4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91.13</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3/29/2028</w:t>
            </w: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5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6,592</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4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1,143,646</w:t>
            </w:r>
          </w:p>
        </w:tc>
        <w:tc>
          <w:tcPr>
            <w:tcW w:w="100" w:type="dxa"/>
            <w:vAlign w:val="bottom"/>
            <w:tcBorders>
              <w:top w:val="single" w:sz="8" w:color="auto"/>
              <w:bottom w:val="single" w:sz="8" w:color="EAEAEA"/>
            </w:tcBorders>
            <w:shd w:val="clear" w:color="auto" w:fill="EAEAEA"/>
          </w:tcPr>
          <w:p>
            <w:pPr>
              <w:spacing w:after="0"/>
              <w:rPr>
                <w:sz w:val="22"/>
                <w:szCs w:val="22"/>
                <w:color w:val="auto"/>
              </w:rPr>
            </w:pPr>
          </w:p>
        </w:tc>
        <w:tc>
          <w:tcPr>
            <w:tcW w:w="6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6"/>
        </w:trPr>
        <w:tc>
          <w:tcPr>
            <w:tcW w:w="1960" w:type="dxa"/>
            <w:vAlign w:val="bottom"/>
            <w:tcBorders>
              <w:right w:val="single" w:sz="8" w:color="EAEAEA"/>
            </w:tcBorders>
            <w:vMerge w:val="continue"/>
          </w:tcPr>
          <w:p>
            <w:pPr>
              <w:spacing w:after="0"/>
              <w:rPr>
                <w:sz w:val="8"/>
                <w:szCs w:val="8"/>
                <w:color w:val="auto"/>
              </w:rPr>
            </w:pPr>
          </w:p>
        </w:tc>
        <w:tc>
          <w:tcPr>
            <w:tcW w:w="72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w w:val="98"/>
              </w:rPr>
              <w:t>3/13/2019</w:t>
            </w:r>
          </w:p>
        </w:tc>
        <w:tc>
          <w:tcPr>
            <w:tcW w:w="80" w:type="dxa"/>
            <w:vAlign w:val="bottom"/>
            <w:tcBorders>
              <w:top w:val="single" w:sz="8" w:color="auto"/>
            </w:tcBorders>
            <w:shd w:val="clear" w:color="auto" w:fill="EAEAEA"/>
          </w:tcPr>
          <w:p>
            <w:pPr>
              <w:spacing w:after="0"/>
              <w:rPr>
                <w:sz w:val="8"/>
                <w:szCs w:val="8"/>
                <w:color w:val="auto"/>
              </w:rPr>
            </w:pPr>
          </w:p>
        </w:tc>
        <w:tc>
          <w:tcPr>
            <w:tcW w:w="76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6"/>
                <w:szCs w:val="16"/>
                <w:color w:val="auto"/>
              </w:rPr>
              <w:t>50,401</w:t>
            </w:r>
          </w:p>
        </w:tc>
        <w:tc>
          <w:tcPr>
            <w:tcW w:w="80" w:type="dxa"/>
            <w:vAlign w:val="bottom"/>
            <w:tcBorders>
              <w:top w:val="single" w:sz="8" w:color="auto"/>
            </w:tcBorders>
            <w:shd w:val="clear" w:color="auto" w:fill="EAEAEA"/>
          </w:tcPr>
          <w:p>
            <w:pPr>
              <w:spacing w:after="0"/>
              <w:rPr>
                <w:sz w:val="8"/>
                <w:szCs w:val="8"/>
                <w:color w:val="auto"/>
              </w:rPr>
            </w:pPr>
          </w:p>
        </w:tc>
        <w:tc>
          <w:tcPr>
            <w:tcW w:w="82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50,402</w:t>
            </w:r>
          </w:p>
        </w:tc>
        <w:tc>
          <w:tcPr>
            <w:tcW w:w="80" w:type="dxa"/>
            <w:vAlign w:val="bottom"/>
            <w:tcBorders>
              <w:top w:val="single" w:sz="8" w:color="auto"/>
            </w:tcBorders>
            <w:shd w:val="clear" w:color="auto" w:fill="EAEAEA"/>
          </w:tcPr>
          <w:p>
            <w:pPr>
              <w:spacing w:after="0"/>
              <w:rPr>
                <w:sz w:val="8"/>
                <w:szCs w:val="8"/>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shd w:val="clear" w:color="auto" w:fill="EAEAEA"/>
          </w:tcPr>
          <w:p>
            <w:pPr>
              <w:spacing w:after="0"/>
              <w:rPr>
                <w:sz w:val="8"/>
                <w:szCs w:val="8"/>
                <w:color w:val="auto"/>
              </w:rPr>
            </w:pPr>
          </w:p>
        </w:tc>
        <w:tc>
          <w:tcPr>
            <w:tcW w:w="44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w w:val="85"/>
              </w:rPr>
              <w:t>108.08</w:t>
            </w:r>
          </w:p>
        </w:tc>
        <w:tc>
          <w:tcPr>
            <w:tcW w:w="80" w:type="dxa"/>
            <w:vAlign w:val="bottom"/>
            <w:tcBorders>
              <w:top w:val="single" w:sz="8" w:color="auto"/>
            </w:tcBorders>
            <w:shd w:val="clear" w:color="auto" w:fill="EAEAEA"/>
          </w:tcPr>
          <w:p>
            <w:pPr>
              <w:spacing w:after="0"/>
              <w:rPr>
                <w:sz w:val="8"/>
                <w:szCs w:val="8"/>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3/13/2029</w:t>
            </w:r>
          </w:p>
        </w:tc>
        <w:tc>
          <w:tcPr>
            <w:tcW w:w="200" w:type="dxa"/>
            <w:vAlign w:val="bottom"/>
            <w:tcBorders>
              <w:top w:val="single" w:sz="8" w:color="auto"/>
            </w:tcBorders>
          </w:tcPr>
          <w:p>
            <w:pPr>
              <w:spacing w:after="0"/>
              <w:rPr>
                <w:sz w:val="8"/>
                <w:szCs w:val="8"/>
                <w:color w:val="auto"/>
              </w:rPr>
            </w:pPr>
          </w:p>
        </w:tc>
        <w:tc>
          <w:tcPr>
            <w:tcW w:w="80" w:type="dxa"/>
            <w:vAlign w:val="bottom"/>
            <w:tcBorders>
              <w:top w:val="single" w:sz="8" w:color="auto"/>
            </w:tcBorders>
            <w:shd w:val="clear" w:color="auto" w:fill="EAEAEA"/>
          </w:tcPr>
          <w:p>
            <w:pPr>
              <w:spacing w:after="0"/>
              <w:rPr>
                <w:sz w:val="8"/>
                <w:szCs w:val="8"/>
                <w:color w:val="auto"/>
              </w:rPr>
            </w:pPr>
          </w:p>
        </w:tc>
        <w:tc>
          <w:tcPr>
            <w:tcW w:w="52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11,382</w:t>
            </w:r>
          </w:p>
        </w:tc>
        <w:tc>
          <w:tcPr>
            <w:tcW w:w="80" w:type="dxa"/>
            <w:vAlign w:val="bottom"/>
            <w:tcBorders>
              <w:top w:val="single" w:sz="8" w:color="auto"/>
            </w:tcBorders>
            <w:shd w:val="clear" w:color="auto" w:fill="EAEAEA"/>
          </w:tcPr>
          <w:p>
            <w:pPr>
              <w:spacing w:after="0"/>
              <w:rPr>
                <w:sz w:val="8"/>
                <w:szCs w:val="8"/>
                <w:color w:val="auto"/>
              </w:rPr>
            </w:pPr>
          </w:p>
        </w:tc>
        <w:tc>
          <w:tcPr>
            <w:tcW w:w="84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6"/>
                <w:szCs w:val="16"/>
                <w:color w:val="auto"/>
              </w:rPr>
              <w:t>1,974,663</w:t>
            </w:r>
          </w:p>
        </w:tc>
        <w:tc>
          <w:tcPr>
            <w:tcW w:w="100" w:type="dxa"/>
            <w:vAlign w:val="bottom"/>
            <w:tcBorders>
              <w:top w:val="single" w:sz="8" w:color="auto"/>
            </w:tcBorders>
            <w:shd w:val="clear" w:color="auto" w:fill="EAEAEA"/>
          </w:tcPr>
          <w:p>
            <w:pPr>
              <w:spacing w:after="0"/>
              <w:rPr>
                <w:sz w:val="8"/>
                <w:szCs w:val="8"/>
                <w:color w:val="auto"/>
              </w:rPr>
            </w:pPr>
          </w:p>
        </w:tc>
        <w:tc>
          <w:tcPr>
            <w:tcW w:w="66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45,526</w:t>
            </w:r>
          </w:p>
        </w:tc>
        <w:tc>
          <w:tcPr>
            <w:tcW w:w="80" w:type="dxa"/>
            <w:vAlign w:val="bottom"/>
            <w:tcBorders>
              <w:top w:val="single" w:sz="8" w:color="auto"/>
            </w:tcBorders>
            <w:shd w:val="clear" w:color="auto" w:fill="EAEAEA"/>
          </w:tcPr>
          <w:p>
            <w:pPr>
              <w:spacing w:after="0"/>
              <w:rPr>
                <w:sz w:val="8"/>
                <w:szCs w:val="8"/>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7,898,306</w:t>
            </w:r>
          </w:p>
        </w:tc>
        <w:tc>
          <w:tcPr>
            <w:tcW w:w="0" w:type="dxa"/>
            <w:vAlign w:val="bottom"/>
          </w:tcPr>
          <w:p>
            <w:pPr>
              <w:spacing w:after="0"/>
              <w:rPr>
                <w:sz w:val="1"/>
                <w:szCs w:val="1"/>
                <w:color w:val="auto"/>
              </w:rPr>
            </w:pPr>
          </w:p>
        </w:tc>
      </w:tr>
      <w:tr>
        <w:trPr>
          <w:trHeight w:val="157"/>
        </w:trPr>
        <w:tc>
          <w:tcPr>
            <w:tcW w:w="1960" w:type="dxa"/>
            <w:vAlign w:val="bottom"/>
            <w:tcBorders>
              <w:right w:val="single" w:sz="8" w:color="EAEAEA"/>
            </w:tcBorders>
          </w:tcPr>
          <w:p>
            <w:pPr>
              <w:ind w:left="40"/>
              <w:spacing w:after="0" w:line="137" w:lineRule="exact"/>
              <w:rPr>
                <w:sz w:val="20"/>
                <w:szCs w:val="20"/>
                <w:color w:val="auto"/>
              </w:rPr>
            </w:pPr>
            <w:r>
              <w:rPr>
                <w:rFonts w:ascii="Arial" w:cs="Arial" w:eastAsia="Arial" w:hAnsi="Arial"/>
                <w:sz w:val="14"/>
                <w:szCs w:val="14"/>
                <w:b w:val="1"/>
                <w:bCs w:val="1"/>
                <w:color w:val="0066BA"/>
              </w:rPr>
              <w:t>Roche</w:t>
            </w:r>
          </w:p>
        </w:tc>
        <w:tc>
          <w:tcPr>
            <w:tcW w:w="720" w:type="dxa"/>
            <w:vAlign w:val="bottom"/>
            <w:tcBorders>
              <w:bottom w:val="single" w:sz="8" w:color="EAEAEA"/>
            </w:tcBorders>
            <w:vMerge w:val="continue"/>
            <w:shd w:val="clear" w:color="auto" w:fill="EAEAEA"/>
          </w:tcPr>
          <w:p>
            <w:pPr>
              <w:spacing w:after="0"/>
              <w:rPr>
                <w:sz w:val="13"/>
                <w:szCs w:val="13"/>
                <w:color w:val="auto"/>
              </w:rPr>
            </w:pPr>
          </w:p>
        </w:tc>
        <w:tc>
          <w:tcPr>
            <w:tcW w:w="80" w:type="dxa"/>
            <w:vAlign w:val="bottom"/>
            <w:tcBorders>
              <w:bottom w:val="single" w:sz="8" w:color="EAEAEA"/>
            </w:tcBorders>
            <w:shd w:val="clear" w:color="auto" w:fill="EAEAEA"/>
          </w:tcPr>
          <w:p>
            <w:pPr>
              <w:spacing w:after="0"/>
              <w:rPr>
                <w:sz w:val="13"/>
                <w:szCs w:val="13"/>
                <w:color w:val="auto"/>
              </w:rPr>
            </w:pPr>
          </w:p>
        </w:tc>
        <w:tc>
          <w:tcPr>
            <w:tcW w:w="760" w:type="dxa"/>
            <w:vAlign w:val="bottom"/>
            <w:vMerge w:val="continue"/>
          </w:tcPr>
          <w:p>
            <w:pPr>
              <w:spacing w:after="0"/>
              <w:rPr>
                <w:sz w:val="13"/>
                <w:szCs w:val="13"/>
                <w:color w:val="auto"/>
              </w:rPr>
            </w:pPr>
          </w:p>
        </w:tc>
        <w:tc>
          <w:tcPr>
            <w:tcW w:w="80" w:type="dxa"/>
            <w:vAlign w:val="bottom"/>
            <w:tcBorders>
              <w:bottom w:val="single" w:sz="8" w:color="EAEAEA"/>
            </w:tcBorders>
            <w:shd w:val="clear" w:color="auto" w:fill="EAEAEA"/>
          </w:tcPr>
          <w:p>
            <w:pPr>
              <w:spacing w:after="0"/>
              <w:rPr>
                <w:sz w:val="13"/>
                <w:szCs w:val="13"/>
                <w:color w:val="auto"/>
              </w:rPr>
            </w:pPr>
          </w:p>
        </w:tc>
        <w:tc>
          <w:tcPr>
            <w:tcW w:w="820" w:type="dxa"/>
            <w:vAlign w:val="bottom"/>
            <w:tcBorders>
              <w:bottom w:val="single" w:sz="8" w:color="EAEAEA"/>
            </w:tcBorders>
            <w:vMerge w:val="continue"/>
            <w:shd w:val="clear" w:color="auto" w:fill="EAEAEA"/>
          </w:tcPr>
          <w:p>
            <w:pPr>
              <w:spacing w:after="0"/>
              <w:rPr>
                <w:sz w:val="13"/>
                <w:szCs w:val="13"/>
                <w:color w:val="auto"/>
              </w:rPr>
            </w:pPr>
          </w:p>
        </w:tc>
        <w:tc>
          <w:tcPr>
            <w:tcW w:w="80" w:type="dxa"/>
            <w:vAlign w:val="bottom"/>
            <w:tcBorders>
              <w:bottom w:val="single" w:sz="8" w:color="EAEAEA"/>
            </w:tcBorders>
            <w:shd w:val="clear" w:color="auto" w:fill="EAEAEA"/>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Borders>
              <w:bottom w:val="single" w:sz="8" w:color="EAEAEA"/>
            </w:tcBorders>
            <w:shd w:val="clear" w:color="auto" w:fill="EAEAEA"/>
          </w:tcPr>
          <w:p>
            <w:pPr>
              <w:spacing w:after="0"/>
              <w:rPr>
                <w:sz w:val="13"/>
                <w:szCs w:val="13"/>
                <w:color w:val="auto"/>
              </w:rPr>
            </w:pPr>
          </w:p>
        </w:tc>
        <w:tc>
          <w:tcPr>
            <w:tcW w:w="440" w:type="dxa"/>
            <w:vAlign w:val="bottom"/>
            <w:tcBorders>
              <w:bottom w:val="single" w:sz="8" w:color="EAEAEA"/>
            </w:tcBorders>
            <w:vMerge w:val="continue"/>
            <w:shd w:val="clear" w:color="auto" w:fill="EAEAEA"/>
          </w:tcPr>
          <w:p>
            <w:pPr>
              <w:spacing w:after="0"/>
              <w:rPr>
                <w:sz w:val="13"/>
                <w:szCs w:val="13"/>
                <w:color w:val="auto"/>
              </w:rPr>
            </w:pPr>
          </w:p>
        </w:tc>
        <w:tc>
          <w:tcPr>
            <w:tcW w:w="80" w:type="dxa"/>
            <w:vAlign w:val="bottom"/>
            <w:tcBorders>
              <w:bottom w:val="single" w:sz="8" w:color="EAEAEA"/>
            </w:tcBorders>
            <w:shd w:val="clear" w:color="auto" w:fill="EAEAEA"/>
          </w:tcPr>
          <w:p>
            <w:pPr>
              <w:spacing w:after="0"/>
              <w:rPr>
                <w:sz w:val="13"/>
                <w:szCs w:val="13"/>
                <w:color w:val="auto"/>
              </w:rPr>
            </w:pPr>
          </w:p>
        </w:tc>
        <w:tc>
          <w:tcPr>
            <w:tcW w:w="8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EAEAEA"/>
            </w:tcBorders>
            <w:shd w:val="clear" w:color="auto" w:fill="EAEAEA"/>
          </w:tcPr>
          <w:p>
            <w:pPr>
              <w:spacing w:after="0"/>
              <w:rPr>
                <w:sz w:val="13"/>
                <w:szCs w:val="13"/>
                <w:color w:val="auto"/>
              </w:rPr>
            </w:pPr>
          </w:p>
        </w:tc>
        <w:tc>
          <w:tcPr>
            <w:tcW w:w="520" w:type="dxa"/>
            <w:vAlign w:val="bottom"/>
            <w:tcBorders>
              <w:bottom w:val="single" w:sz="8" w:color="EAEAEA"/>
            </w:tcBorders>
            <w:vMerge w:val="continue"/>
            <w:shd w:val="clear" w:color="auto" w:fill="EAEAEA"/>
          </w:tcPr>
          <w:p>
            <w:pPr>
              <w:spacing w:after="0"/>
              <w:rPr>
                <w:sz w:val="13"/>
                <w:szCs w:val="13"/>
                <w:color w:val="auto"/>
              </w:rPr>
            </w:pPr>
          </w:p>
        </w:tc>
        <w:tc>
          <w:tcPr>
            <w:tcW w:w="80" w:type="dxa"/>
            <w:vAlign w:val="bottom"/>
            <w:tcBorders>
              <w:bottom w:val="single" w:sz="8" w:color="EAEAEA"/>
            </w:tcBorders>
            <w:shd w:val="clear" w:color="auto" w:fill="EAEAEA"/>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Borders>
              <w:bottom w:val="single" w:sz="8" w:color="EAEAEA"/>
            </w:tcBorders>
            <w:shd w:val="clear" w:color="auto" w:fill="EAEAEA"/>
          </w:tcPr>
          <w:p>
            <w:pPr>
              <w:spacing w:after="0"/>
              <w:rPr>
                <w:sz w:val="13"/>
                <w:szCs w:val="13"/>
                <w:color w:val="auto"/>
              </w:rPr>
            </w:pPr>
          </w:p>
        </w:tc>
        <w:tc>
          <w:tcPr>
            <w:tcW w:w="660" w:type="dxa"/>
            <w:vAlign w:val="bottom"/>
            <w:tcBorders>
              <w:bottom w:val="single" w:sz="8" w:color="EAEAEA"/>
            </w:tcBorders>
            <w:vMerge w:val="continue"/>
            <w:shd w:val="clear" w:color="auto" w:fill="EAEAEA"/>
          </w:tcPr>
          <w:p>
            <w:pPr>
              <w:spacing w:after="0"/>
              <w:rPr>
                <w:sz w:val="13"/>
                <w:szCs w:val="13"/>
                <w:color w:val="auto"/>
              </w:rPr>
            </w:pPr>
          </w:p>
        </w:tc>
        <w:tc>
          <w:tcPr>
            <w:tcW w:w="80" w:type="dxa"/>
            <w:vAlign w:val="bottom"/>
            <w:tcBorders>
              <w:bottom w:val="single" w:sz="8" w:color="EAEAEA"/>
            </w:tcBorders>
            <w:shd w:val="clear" w:color="auto" w:fill="EAEAEA"/>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1960" w:type="dxa"/>
            <w:vAlign w:val="bottom"/>
            <w:tcBorders>
              <w:right w:val="single" w:sz="8" w:color="EAEAEA"/>
            </w:tcBorders>
          </w:tcPr>
          <w:p>
            <w:pPr>
              <w:spacing w:after="0"/>
              <w:rPr>
                <w:sz w:val="22"/>
                <w:szCs w:val="22"/>
                <w:color w:val="auto"/>
              </w:rPr>
            </w:pPr>
          </w:p>
        </w:tc>
        <w:tc>
          <w:tcPr>
            <w:tcW w:w="7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8"/>
              </w:rPr>
              <w:t>3/11/2020</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76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33,655</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100,965</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4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94.41</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3/11/2030</w:t>
            </w: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5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20,526</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4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3,561,056</w:t>
            </w:r>
          </w:p>
        </w:tc>
        <w:tc>
          <w:tcPr>
            <w:tcW w:w="100" w:type="dxa"/>
            <w:vAlign w:val="bottom"/>
            <w:tcBorders>
              <w:top w:val="single" w:sz="8" w:color="auto"/>
              <w:bottom w:val="single" w:sz="8" w:color="EAEAEA"/>
            </w:tcBorders>
            <w:shd w:val="clear" w:color="auto" w:fill="EAEAEA"/>
          </w:tcPr>
          <w:p>
            <w:pPr>
              <w:spacing w:after="0"/>
              <w:rPr>
                <w:sz w:val="22"/>
                <w:szCs w:val="22"/>
                <w:color w:val="auto"/>
              </w:rPr>
            </w:pPr>
          </w:p>
        </w:tc>
        <w:tc>
          <w:tcPr>
            <w:tcW w:w="6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54,736</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9,496,149</w:t>
            </w:r>
          </w:p>
        </w:tc>
        <w:tc>
          <w:tcPr>
            <w:tcW w:w="0" w:type="dxa"/>
            <w:vAlign w:val="bottom"/>
          </w:tcPr>
          <w:p>
            <w:pPr>
              <w:spacing w:after="0"/>
              <w:rPr>
                <w:sz w:val="1"/>
                <w:szCs w:val="1"/>
                <w:color w:val="auto"/>
              </w:rPr>
            </w:pPr>
          </w:p>
        </w:tc>
      </w:tr>
      <w:tr>
        <w:trPr>
          <w:trHeight w:val="253"/>
        </w:trPr>
        <w:tc>
          <w:tcPr>
            <w:tcW w:w="1960" w:type="dxa"/>
            <w:vAlign w:val="bottom"/>
            <w:tcBorders>
              <w:right w:val="single" w:sz="8" w:color="EAEAEA"/>
            </w:tcBorders>
          </w:tcPr>
          <w:p>
            <w:pPr>
              <w:spacing w:after="0"/>
              <w:rPr>
                <w:sz w:val="22"/>
                <w:szCs w:val="22"/>
                <w:color w:val="auto"/>
              </w:rPr>
            </w:pPr>
          </w:p>
        </w:tc>
        <w:tc>
          <w:tcPr>
            <w:tcW w:w="7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12/15/2020</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76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460,000</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4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5"/>
              </w:rPr>
              <w:t>144.06</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12/15/2030</w:t>
            </w: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5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4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EAEAEA"/>
            </w:tcBorders>
            <w:shd w:val="clear" w:color="auto" w:fill="EAEAEA"/>
          </w:tcPr>
          <w:p>
            <w:pPr>
              <w:spacing w:after="0"/>
              <w:rPr>
                <w:sz w:val="22"/>
                <w:szCs w:val="22"/>
                <w:color w:val="auto"/>
              </w:rPr>
            </w:pPr>
          </w:p>
        </w:tc>
        <w:tc>
          <w:tcPr>
            <w:tcW w:w="6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1960" w:type="dxa"/>
            <w:vAlign w:val="bottom"/>
            <w:tcBorders>
              <w:right w:val="single" w:sz="8" w:color="EAEAEA"/>
            </w:tcBorders>
          </w:tcPr>
          <w:p>
            <w:pPr>
              <w:spacing w:after="0"/>
              <w:rPr>
                <w:sz w:val="22"/>
                <w:szCs w:val="22"/>
                <w:color w:val="auto"/>
              </w:rPr>
            </w:pPr>
          </w:p>
        </w:tc>
        <w:tc>
          <w:tcPr>
            <w:tcW w:w="7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8"/>
              </w:rPr>
              <w:t>3/10/2021</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76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70,786</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4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5"/>
              </w:rPr>
              <w:t>147.11</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3/10/2031</w:t>
            </w: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5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19,361</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4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3,358,940</w:t>
            </w:r>
          </w:p>
        </w:tc>
        <w:tc>
          <w:tcPr>
            <w:tcW w:w="100" w:type="dxa"/>
            <w:vAlign w:val="bottom"/>
            <w:tcBorders>
              <w:top w:val="single" w:sz="8" w:color="auto"/>
              <w:bottom w:val="single" w:sz="8" w:color="EAEAEA"/>
            </w:tcBorders>
            <w:shd w:val="clear" w:color="auto" w:fill="EAEAEA"/>
          </w:tcPr>
          <w:p>
            <w:pPr>
              <w:spacing w:after="0"/>
              <w:rPr>
                <w:sz w:val="22"/>
                <w:szCs w:val="22"/>
                <w:color w:val="auto"/>
              </w:rPr>
            </w:pPr>
          </w:p>
        </w:tc>
        <w:tc>
          <w:tcPr>
            <w:tcW w:w="6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38,722</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6,717,880</w:t>
            </w:r>
          </w:p>
        </w:tc>
        <w:tc>
          <w:tcPr>
            <w:tcW w:w="0" w:type="dxa"/>
            <w:vAlign w:val="bottom"/>
          </w:tcPr>
          <w:p>
            <w:pPr>
              <w:spacing w:after="0"/>
              <w:rPr>
                <w:sz w:val="1"/>
                <w:szCs w:val="1"/>
                <w:color w:val="auto"/>
              </w:rPr>
            </w:pPr>
          </w:p>
        </w:tc>
      </w:tr>
      <w:tr>
        <w:trPr>
          <w:trHeight w:val="253"/>
        </w:trPr>
        <w:tc>
          <w:tcPr>
            <w:tcW w:w="1960" w:type="dxa"/>
            <w:vAlign w:val="bottom"/>
            <w:tcBorders>
              <w:top w:val="single" w:sz="8" w:color="0066BA"/>
              <w:right w:val="single" w:sz="8" w:color="EAEAEA"/>
            </w:tcBorders>
          </w:tcPr>
          <w:p>
            <w:pPr>
              <w:spacing w:after="0"/>
              <w:rPr>
                <w:sz w:val="22"/>
                <w:szCs w:val="22"/>
                <w:color w:val="auto"/>
              </w:rPr>
            </w:pPr>
          </w:p>
        </w:tc>
        <w:tc>
          <w:tcPr>
            <w:tcW w:w="72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8"/>
              </w:rPr>
              <w:t>3/29/2018</w:t>
            </w: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760" w:type="dxa"/>
            <w:vAlign w:val="bottom"/>
            <w:tcBorders>
              <w:top w:val="single" w:sz="8" w:color="0066BA"/>
            </w:tcBorders>
          </w:tcPr>
          <w:p>
            <w:pPr>
              <w:jc w:val="right"/>
              <w:ind w:right="4"/>
              <w:spacing w:after="0"/>
              <w:rPr>
                <w:sz w:val="20"/>
                <w:szCs w:val="20"/>
                <w:color w:val="auto"/>
              </w:rPr>
            </w:pPr>
            <w:r>
              <w:rPr>
                <w:rFonts w:ascii="Arial" w:cs="Arial" w:eastAsia="Arial" w:hAnsi="Arial"/>
                <w:sz w:val="16"/>
                <w:szCs w:val="16"/>
                <w:color w:val="auto"/>
              </w:rPr>
              <w:t>4,134</w:t>
            </w: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82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8,695</w:t>
            </w: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82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44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91.13</w:t>
            </w: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86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3/29/2028</w:t>
            </w:r>
          </w:p>
        </w:tc>
        <w:tc>
          <w:tcPr>
            <w:tcW w:w="200" w:type="dxa"/>
            <w:vAlign w:val="bottom"/>
            <w:tcBorders>
              <w:top w:val="single" w:sz="8" w:color="0066BA"/>
            </w:tcBorders>
          </w:tcPr>
          <w:p>
            <w:pPr>
              <w:spacing w:after="0"/>
              <w:rPr>
                <w:sz w:val="22"/>
                <w:szCs w:val="22"/>
                <w:color w:val="auto"/>
              </w:rPr>
            </w:pP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52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2,072</w:t>
            </w: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840" w:type="dxa"/>
            <w:vAlign w:val="bottom"/>
            <w:tcBorders>
              <w:top w:val="single" w:sz="8" w:color="0066BA"/>
            </w:tcBorders>
          </w:tcPr>
          <w:p>
            <w:pPr>
              <w:jc w:val="right"/>
              <w:ind w:right="4"/>
              <w:spacing w:after="0"/>
              <w:rPr>
                <w:sz w:val="20"/>
                <w:szCs w:val="20"/>
                <w:color w:val="auto"/>
              </w:rPr>
            </w:pPr>
            <w:r>
              <w:rPr>
                <w:rFonts w:ascii="Arial" w:cs="Arial" w:eastAsia="Arial" w:hAnsi="Arial"/>
                <w:sz w:val="16"/>
                <w:szCs w:val="16"/>
                <w:color w:val="auto"/>
              </w:rPr>
              <w:t>359,471</w:t>
            </w:r>
          </w:p>
        </w:tc>
        <w:tc>
          <w:tcPr>
            <w:tcW w:w="100" w:type="dxa"/>
            <w:vAlign w:val="bottom"/>
            <w:tcBorders>
              <w:top w:val="single" w:sz="8" w:color="0066BA"/>
              <w:bottom w:val="single" w:sz="8" w:color="EAEAEA"/>
            </w:tcBorders>
            <w:shd w:val="clear" w:color="auto" w:fill="EAEAEA"/>
          </w:tcPr>
          <w:p>
            <w:pPr>
              <w:spacing w:after="0"/>
              <w:rPr>
                <w:sz w:val="22"/>
                <w:szCs w:val="22"/>
                <w:color w:val="auto"/>
              </w:rPr>
            </w:pPr>
          </w:p>
        </w:tc>
        <w:tc>
          <w:tcPr>
            <w:tcW w:w="66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94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1960" w:type="dxa"/>
            <w:vAlign w:val="bottom"/>
            <w:tcBorders>
              <w:right w:val="single" w:sz="8" w:color="EAEAEA"/>
            </w:tcBorders>
          </w:tcPr>
          <w:p>
            <w:pPr>
              <w:ind w:left="40"/>
              <w:spacing w:after="0"/>
              <w:rPr>
                <w:sz w:val="20"/>
                <w:szCs w:val="20"/>
                <w:color w:val="auto"/>
              </w:rPr>
            </w:pPr>
            <w:r>
              <w:rPr>
                <w:rFonts w:ascii="Arial" w:cs="Arial" w:eastAsia="Arial" w:hAnsi="Arial"/>
                <w:sz w:val="16"/>
                <w:szCs w:val="16"/>
                <w:b w:val="1"/>
                <w:bCs w:val="1"/>
                <w:color w:val="0066BA"/>
              </w:rPr>
              <w:t>Prashanth</w:t>
            </w:r>
          </w:p>
        </w:tc>
        <w:tc>
          <w:tcPr>
            <w:tcW w:w="7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8"/>
              </w:rPr>
              <w:t>3/13/2019</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76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13,256</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13,257</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4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5"/>
              </w:rPr>
              <w:t>108.08</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3/13/2029</w:t>
            </w: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5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2,994</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4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519,429</w:t>
            </w:r>
          </w:p>
        </w:tc>
        <w:tc>
          <w:tcPr>
            <w:tcW w:w="100" w:type="dxa"/>
            <w:vAlign w:val="bottom"/>
            <w:tcBorders>
              <w:top w:val="single" w:sz="8" w:color="auto"/>
              <w:bottom w:val="single" w:sz="8" w:color="EAEAEA"/>
            </w:tcBorders>
            <w:shd w:val="clear" w:color="auto" w:fill="EAEAEA"/>
          </w:tcPr>
          <w:p>
            <w:pPr>
              <w:spacing w:after="0"/>
              <w:rPr>
                <w:sz w:val="22"/>
                <w:szCs w:val="22"/>
                <w:color w:val="auto"/>
              </w:rPr>
            </w:pPr>
          </w:p>
        </w:tc>
        <w:tc>
          <w:tcPr>
            <w:tcW w:w="6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11,974</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2,077,369</w:t>
            </w:r>
          </w:p>
        </w:tc>
        <w:tc>
          <w:tcPr>
            <w:tcW w:w="0" w:type="dxa"/>
            <w:vAlign w:val="bottom"/>
          </w:tcPr>
          <w:p>
            <w:pPr>
              <w:spacing w:after="0"/>
              <w:rPr>
                <w:sz w:val="1"/>
                <w:szCs w:val="1"/>
                <w:color w:val="auto"/>
              </w:rPr>
            </w:pPr>
          </w:p>
        </w:tc>
      </w:tr>
      <w:tr>
        <w:trPr>
          <w:trHeight w:val="253"/>
        </w:trPr>
        <w:tc>
          <w:tcPr>
            <w:tcW w:w="1960" w:type="dxa"/>
            <w:vAlign w:val="bottom"/>
            <w:tcBorders>
              <w:right w:val="single" w:sz="8" w:color="EAEAEA"/>
            </w:tcBorders>
          </w:tcPr>
          <w:p>
            <w:pPr>
              <w:ind w:left="40"/>
              <w:spacing w:after="0"/>
              <w:rPr>
                <w:sz w:val="20"/>
                <w:szCs w:val="20"/>
                <w:color w:val="auto"/>
              </w:rPr>
            </w:pPr>
            <w:r>
              <w:rPr>
                <w:rFonts w:ascii="Arial" w:cs="Arial" w:eastAsia="Arial" w:hAnsi="Arial"/>
                <w:sz w:val="16"/>
                <w:szCs w:val="16"/>
                <w:b w:val="1"/>
                <w:bCs w:val="1"/>
                <w:color w:val="0066BA"/>
              </w:rPr>
              <w:t>Mahendra-</w:t>
            </w:r>
          </w:p>
        </w:tc>
        <w:tc>
          <w:tcPr>
            <w:tcW w:w="7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8"/>
              </w:rPr>
              <w:t>3/11/2020</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76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8,750</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26,251</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4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94.41</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3/11/2030</w:t>
            </w: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5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5,337</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4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925,916</w:t>
            </w:r>
          </w:p>
        </w:tc>
        <w:tc>
          <w:tcPr>
            <w:tcW w:w="100" w:type="dxa"/>
            <w:vAlign w:val="bottom"/>
            <w:tcBorders>
              <w:top w:val="single" w:sz="8" w:color="auto"/>
              <w:bottom w:val="single" w:sz="8" w:color="EAEAEA"/>
            </w:tcBorders>
            <w:shd w:val="clear" w:color="auto" w:fill="EAEAEA"/>
          </w:tcPr>
          <w:p>
            <w:pPr>
              <w:spacing w:after="0"/>
              <w:rPr>
                <w:sz w:val="22"/>
                <w:szCs w:val="22"/>
                <w:color w:val="auto"/>
              </w:rPr>
            </w:pPr>
          </w:p>
        </w:tc>
        <w:tc>
          <w:tcPr>
            <w:tcW w:w="6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14,232</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2,469,110</w:t>
            </w:r>
          </w:p>
        </w:tc>
        <w:tc>
          <w:tcPr>
            <w:tcW w:w="0" w:type="dxa"/>
            <w:vAlign w:val="bottom"/>
          </w:tcPr>
          <w:p>
            <w:pPr>
              <w:spacing w:after="0"/>
              <w:rPr>
                <w:sz w:val="1"/>
                <w:szCs w:val="1"/>
                <w:color w:val="auto"/>
              </w:rPr>
            </w:pPr>
          </w:p>
        </w:tc>
      </w:tr>
      <w:tr>
        <w:trPr>
          <w:trHeight w:val="130"/>
        </w:trPr>
        <w:tc>
          <w:tcPr>
            <w:tcW w:w="1960" w:type="dxa"/>
            <w:vAlign w:val="bottom"/>
            <w:tcBorders>
              <w:right w:val="single" w:sz="8" w:color="EAEAEA"/>
            </w:tcBorders>
          </w:tcPr>
          <w:p>
            <w:pPr>
              <w:ind w:left="40"/>
              <w:spacing w:after="0" w:line="130" w:lineRule="exact"/>
              <w:rPr>
                <w:sz w:val="20"/>
                <w:szCs w:val="20"/>
                <w:color w:val="auto"/>
              </w:rPr>
            </w:pPr>
            <w:r>
              <w:rPr>
                <w:rFonts w:ascii="Arial" w:cs="Arial" w:eastAsia="Arial" w:hAnsi="Arial"/>
                <w:sz w:val="14"/>
                <w:szCs w:val="14"/>
                <w:b w:val="1"/>
                <w:bCs w:val="1"/>
                <w:color w:val="0066BA"/>
              </w:rPr>
              <w:t>Rajah</w:t>
            </w:r>
          </w:p>
        </w:tc>
        <w:tc>
          <w:tcPr>
            <w:tcW w:w="72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w w:val="87"/>
              </w:rPr>
              <w:t>12/15/2020</w:t>
            </w:r>
          </w:p>
        </w:tc>
        <w:tc>
          <w:tcPr>
            <w:tcW w:w="80" w:type="dxa"/>
            <w:vAlign w:val="bottom"/>
            <w:tcBorders>
              <w:top w:val="single" w:sz="8" w:color="auto"/>
            </w:tcBorders>
            <w:shd w:val="clear" w:color="auto" w:fill="EAEAEA"/>
          </w:tcPr>
          <w:p>
            <w:pPr>
              <w:spacing w:after="0"/>
              <w:rPr>
                <w:sz w:val="11"/>
                <w:szCs w:val="11"/>
                <w:color w:val="auto"/>
              </w:rPr>
            </w:pPr>
          </w:p>
        </w:tc>
        <w:tc>
          <w:tcPr>
            <w:tcW w:w="76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shd w:val="clear" w:color="auto" w:fill="EAEAEA"/>
          </w:tcPr>
          <w:p>
            <w:pPr>
              <w:spacing w:after="0"/>
              <w:rPr>
                <w:sz w:val="11"/>
                <w:szCs w:val="11"/>
                <w:color w:val="auto"/>
              </w:rPr>
            </w:pPr>
          </w:p>
        </w:tc>
        <w:tc>
          <w:tcPr>
            <w:tcW w:w="82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shd w:val="clear" w:color="auto" w:fill="EAEAEA"/>
          </w:tcPr>
          <w:p>
            <w:pPr>
              <w:spacing w:after="0"/>
              <w:rPr>
                <w:sz w:val="11"/>
                <w:szCs w:val="11"/>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shd w:val="clear" w:color="auto" w:fill="EAEAEA"/>
          </w:tcPr>
          <w:p>
            <w:pPr>
              <w:spacing w:after="0"/>
              <w:rPr>
                <w:sz w:val="11"/>
                <w:szCs w:val="11"/>
                <w:color w:val="auto"/>
              </w:rPr>
            </w:pPr>
          </w:p>
        </w:tc>
        <w:tc>
          <w:tcPr>
            <w:tcW w:w="44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shd w:val="clear" w:color="auto" w:fill="EAEAEA"/>
          </w:tcPr>
          <w:p>
            <w:pPr>
              <w:spacing w:after="0"/>
              <w:rPr>
                <w:sz w:val="11"/>
                <w:szCs w:val="11"/>
                <w:color w:val="auto"/>
              </w:rPr>
            </w:pPr>
          </w:p>
        </w:tc>
        <w:tc>
          <w:tcPr>
            <w:tcW w:w="1060" w:type="dxa"/>
            <w:vAlign w:val="bottom"/>
            <w:tcBorders>
              <w:top w:val="single" w:sz="8" w:color="auto"/>
            </w:tcBorders>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shd w:val="clear" w:color="auto" w:fill="EAEAEA"/>
          </w:tcPr>
          <w:p>
            <w:pPr>
              <w:spacing w:after="0"/>
              <w:rPr>
                <w:sz w:val="11"/>
                <w:szCs w:val="11"/>
                <w:color w:val="auto"/>
              </w:rPr>
            </w:pPr>
          </w:p>
        </w:tc>
        <w:tc>
          <w:tcPr>
            <w:tcW w:w="52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shd w:val="clear" w:color="auto" w:fill="EAEAEA"/>
          </w:tcPr>
          <w:p>
            <w:pPr>
              <w:spacing w:after="0"/>
              <w:rPr>
                <w:sz w:val="11"/>
                <w:szCs w:val="11"/>
                <w:color w:val="auto"/>
              </w:rPr>
            </w:pPr>
          </w:p>
        </w:tc>
        <w:tc>
          <w:tcPr>
            <w:tcW w:w="84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tcBorders>
            <w:shd w:val="clear" w:color="auto" w:fill="EAEAEA"/>
          </w:tcPr>
          <w:p>
            <w:pPr>
              <w:spacing w:after="0"/>
              <w:rPr>
                <w:sz w:val="11"/>
                <w:szCs w:val="11"/>
                <w:color w:val="auto"/>
              </w:rPr>
            </w:pPr>
          </w:p>
        </w:tc>
        <w:tc>
          <w:tcPr>
            <w:tcW w:w="66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19,443</w:t>
            </w:r>
          </w:p>
        </w:tc>
        <w:tc>
          <w:tcPr>
            <w:tcW w:w="80" w:type="dxa"/>
            <w:vAlign w:val="bottom"/>
            <w:tcBorders>
              <w:top w:val="single" w:sz="8" w:color="auto"/>
            </w:tcBorders>
            <w:shd w:val="clear" w:color="auto" w:fill="EAEAEA"/>
          </w:tcPr>
          <w:p>
            <w:pPr>
              <w:spacing w:after="0"/>
              <w:rPr>
                <w:sz w:val="11"/>
                <w:szCs w:val="11"/>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3,373,166</w:t>
            </w:r>
          </w:p>
        </w:tc>
        <w:tc>
          <w:tcPr>
            <w:tcW w:w="0" w:type="dxa"/>
            <w:vAlign w:val="bottom"/>
          </w:tcPr>
          <w:p>
            <w:pPr>
              <w:spacing w:after="0"/>
              <w:rPr>
                <w:sz w:val="1"/>
                <w:szCs w:val="1"/>
                <w:color w:val="auto"/>
              </w:rPr>
            </w:pPr>
          </w:p>
        </w:tc>
      </w:tr>
      <w:tr>
        <w:trPr>
          <w:trHeight w:val="123"/>
        </w:trPr>
        <w:tc>
          <w:tcPr>
            <w:tcW w:w="1960" w:type="dxa"/>
            <w:vAlign w:val="bottom"/>
            <w:tcBorders>
              <w:right w:val="single" w:sz="8" w:color="EAEAEA"/>
            </w:tcBorders>
          </w:tcPr>
          <w:p>
            <w:pPr>
              <w:spacing w:after="0"/>
              <w:rPr>
                <w:sz w:val="10"/>
                <w:szCs w:val="10"/>
                <w:color w:val="auto"/>
              </w:rPr>
            </w:pPr>
          </w:p>
        </w:tc>
        <w:tc>
          <w:tcPr>
            <w:tcW w:w="720" w:type="dxa"/>
            <w:vAlign w:val="bottom"/>
            <w:tcBorders>
              <w:bottom w:val="single" w:sz="8" w:color="EAEAEA"/>
            </w:tcBorders>
            <w:vMerge w:val="continue"/>
            <w:shd w:val="clear" w:color="auto" w:fill="EAEAEA"/>
          </w:tcPr>
          <w:p>
            <w:pPr>
              <w:spacing w:after="0"/>
              <w:rPr>
                <w:sz w:val="10"/>
                <w:szCs w:val="10"/>
                <w:color w:val="auto"/>
              </w:rPr>
            </w:pPr>
          </w:p>
        </w:tc>
        <w:tc>
          <w:tcPr>
            <w:tcW w:w="80" w:type="dxa"/>
            <w:vAlign w:val="bottom"/>
            <w:tcBorders>
              <w:bottom w:val="single" w:sz="8" w:color="EAEAEA"/>
            </w:tcBorders>
            <w:shd w:val="clear" w:color="auto" w:fill="EAEAEA"/>
          </w:tcPr>
          <w:p>
            <w:pPr>
              <w:spacing w:after="0"/>
              <w:rPr>
                <w:sz w:val="10"/>
                <w:szCs w:val="10"/>
                <w:color w:val="auto"/>
              </w:rPr>
            </w:pPr>
          </w:p>
        </w:tc>
        <w:tc>
          <w:tcPr>
            <w:tcW w:w="760" w:type="dxa"/>
            <w:vAlign w:val="bottom"/>
            <w:vMerge w:val="continue"/>
          </w:tcPr>
          <w:p>
            <w:pPr>
              <w:spacing w:after="0"/>
              <w:rPr>
                <w:sz w:val="10"/>
                <w:szCs w:val="10"/>
                <w:color w:val="auto"/>
              </w:rPr>
            </w:pPr>
          </w:p>
        </w:tc>
        <w:tc>
          <w:tcPr>
            <w:tcW w:w="80" w:type="dxa"/>
            <w:vAlign w:val="bottom"/>
            <w:tcBorders>
              <w:bottom w:val="single" w:sz="8" w:color="EAEAEA"/>
            </w:tcBorders>
            <w:shd w:val="clear" w:color="auto" w:fill="EAEAEA"/>
          </w:tcPr>
          <w:p>
            <w:pPr>
              <w:spacing w:after="0"/>
              <w:rPr>
                <w:sz w:val="10"/>
                <w:szCs w:val="10"/>
                <w:color w:val="auto"/>
              </w:rPr>
            </w:pPr>
          </w:p>
        </w:tc>
        <w:tc>
          <w:tcPr>
            <w:tcW w:w="820" w:type="dxa"/>
            <w:vAlign w:val="bottom"/>
            <w:tcBorders>
              <w:bottom w:val="single" w:sz="8" w:color="EAEAEA"/>
            </w:tcBorders>
            <w:vMerge w:val="continue"/>
            <w:shd w:val="clear" w:color="auto" w:fill="EAEAEA"/>
          </w:tcPr>
          <w:p>
            <w:pPr>
              <w:spacing w:after="0"/>
              <w:rPr>
                <w:sz w:val="10"/>
                <w:szCs w:val="10"/>
                <w:color w:val="auto"/>
              </w:rPr>
            </w:pPr>
          </w:p>
        </w:tc>
        <w:tc>
          <w:tcPr>
            <w:tcW w:w="80" w:type="dxa"/>
            <w:vAlign w:val="bottom"/>
            <w:tcBorders>
              <w:bottom w:val="single" w:sz="8" w:color="EAEAEA"/>
            </w:tcBorders>
            <w:shd w:val="clear" w:color="auto" w:fill="EAEAEA"/>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Borders>
              <w:bottom w:val="single" w:sz="8" w:color="EAEAEA"/>
            </w:tcBorders>
            <w:shd w:val="clear" w:color="auto" w:fill="EAEAEA"/>
          </w:tcPr>
          <w:p>
            <w:pPr>
              <w:spacing w:after="0"/>
              <w:rPr>
                <w:sz w:val="10"/>
                <w:szCs w:val="10"/>
                <w:color w:val="auto"/>
              </w:rPr>
            </w:pPr>
          </w:p>
        </w:tc>
        <w:tc>
          <w:tcPr>
            <w:tcW w:w="440" w:type="dxa"/>
            <w:vAlign w:val="bottom"/>
            <w:tcBorders>
              <w:bottom w:val="single" w:sz="8" w:color="EAEAEA"/>
            </w:tcBorders>
            <w:vMerge w:val="continue"/>
            <w:shd w:val="clear" w:color="auto" w:fill="EAEAEA"/>
          </w:tcPr>
          <w:p>
            <w:pPr>
              <w:spacing w:after="0"/>
              <w:rPr>
                <w:sz w:val="10"/>
                <w:szCs w:val="10"/>
                <w:color w:val="auto"/>
              </w:rPr>
            </w:pPr>
          </w:p>
        </w:tc>
        <w:tc>
          <w:tcPr>
            <w:tcW w:w="80" w:type="dxa"/>
            <w:vAlign w:val="bottom"/>
            <w:tcBorders>
              <w:bottom w:val="single" w:sz="8" w:color="EAEAEA"/>
            </w:tcBorders>
            <w:shd w:val="clear" w:color="auto" w:fill="EAEAEA"/>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80" w:type="dxa"/>
            <w:vAlign w:val="bottom"/>
            <w:tcBorders>
              <w:bottom w:val="single" w:sz="8" w:color="EAEAEA"/>
            </w:tcBorders>
            <w:shd w:val="clear" w:color="auto" w:fill="EAEAEA"/>
          </w:tcPr>
          <w:p>
            <w:pPr>
              <w:spacing w:after="0"/>
              <w:rPr>
                <w:sz w:val="10"/>
                <w:szCs w:val="10"/>
                <w:color w:val="auto"/>
              </w:rPr>
            </w:pPr>
          </w:p>
        </w:tc>
        <w:tc>
          <w:tcPr>
            <w:tcW w:w="520" w:type="dxa"/>
            <w:vAlign w:val="bottom"/>
            <w:tcBorders>
              <w:bottom w:val="single" w:sz="8" w:color="EAEAEA"/>
            </w:tcBorders>
            <w:vMerge w:val="continue"/>
            <w:shd w:val="clear" w:color="auto" w:fill="EAEAEA"/>
          </w:tcPr>
          <w:p>
            <w:pPr>
              <w:spacing w:after="0"/>
              <w:rPr>
                <w:sz w:val="10"/>
                <w:szCs w:val="10"/>
                <w:color w:val="auto"/>
              </w:rPr>
            </w:pPr>
          </w:p>
        </w:tc>
        <w:tc>
          <w:tcPr>
            <w:tcW w:w="80" w:type="dxa"/>
            <w:vAlign w:val="bottom"/>
            <w:tcBorders>
              <w:bottom w:val="single" w:sz="8" w:color="EAEAEA"/>
            </w:tcBorders>
            <w:shd w:val="clear" w:color="auto" w:fill="EAEAEA"/>
          </w:tcPr>
          <w:p>
            <w:pPr>
              <w:spacing w:after="0"/>
              <w:rPr>
                <w:sz w:val="10"/>
                <w:szCs w:val="10"/>
                <w:color w:val="auto"/>
              </w:rPr>
            </w:pPr>
          </w:p>
        </w:tc>
        <w:tc>
          <w:tcPr>
            <w:tcW w:w="840" w:type="dxa"/>
            <w:vAlign w:val="bottom"/>
            <w:vMerge w:val="continue"/>
          </w:tcPr>
          <w:p>
            <w:pPr>
              <w:spacing w:after="0"/>
              <w:rPr>
                <w:sz w:val="10"/>
                <w:szCs w:val="10"/>
                <w:color w:val="auto"/>
              </w:rPr>
            </w:pPr>
          </w:p>
        </w:tc>
        <w:tc>
          <w:tcPr>
            <w:tcW w:w="100" w:type="dxa"/>
            <w:vAlign w:val="bottom"/>
            <w:tcBorders>
              <w:bottom w:val="single" w:sz="8" w:color="EAEAEA"/>
            </w:tcBorders>
            <w:shd w:val="clear" w:color="auto" w:fill="EAEAEA"/>
          </w:tcPr>
          <w:p>
            <w:pPr>
              <w:spacing w:after="0"/>
              <w:rPr>
                <w:sz w:val="10"/>
                <w:szCs w:val="10"/>
                <w:color w:val="auto"/>
              </w:rPr>
            </w:pPr>
          </w:p>
        </w:tc>
        <w:tc>
          <w:tcPr>
            <w:tcW w:w="660" w:type="dxa"/>
            <w:vAlign w:val="bottom"/>
            <w:tcBorders>
              <w:bottom w:val="single" w:sz="8" w:color="EAEAEA"/>
            </w:tcBorders>
            <w:vMerge w:val="continue"/>
            <w:shd w:val="clear" w:color="auto" w:fill="EAEAEA"/>
          </w:tcPr>
          <w:p>
            <w:pPr>
              <w:spacing w:after="0"/>
              <w:rPr>
                <w:sz w:val="10"/>
                <w:szCs w:val="10"/>
                <w:color w:val="auto"/>
              </w:rPr>
            </w:pPr>
          </w:p>
        </w:tc>
        <w:tc>
          <w:tcPr>
            <w:tcW w:w="80" w:type="dxa"/>
            <w:vAlign w:val="bottom"/>
            <w:tcBorders>
              <w:bottom w:val="single" w:sz="8" w:color="EAEAEA"/>
            </w:tcBorders>
            <w:shd w:val="clear" w:color="auto" w:fill="EAEAEA"/>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1960" w:type="dxa"/>
            <w:vAlign w:val="bottom"/>
            <w:tcBorders>
              <w:right w:val="single" w:sz="8" w:color="EAEAEA"/>
            </w:tcBorders>
          </w:tcPr>
          <w:p>
            <w:pPr>
              <w:spacing w:after="0"/>
              <w:rPr>
                <w:sz w:val="22"/>
                <w:szCs w:val="22"/>
                <w:color w:val="auto"/>
              </w:rPr>
            </w:pPr>
          </w:p>
        </w:tc>
        <w:tc>
          <w:tcPr>
            <w:tcW w:w="7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8"/>
              </w:rPr>
              <w:t>3/10/2021</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76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19,306</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4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5"/>
              </w:rPr>
              <w:t>147.11</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3/10/2031</w:t>
            </w: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5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5,281</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4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916,201</w:t>
            </w:r>
          </w:p>
        </w:tc>
        <w:tc>
          <w:tcPr>
            <w:tcW w:w="100" w:type="dxa"/>
            <w:vAlign w:val="bottom"/>
            <w:tcBorders>
              <w:top w:val="single" w:sz="8" w:color="auto"/>
              <w:bottom w:val="single" w:sz="8" w:color="EAEAEA"/>
            </w:tcBorders>
            <w:shd w:val="clear" w:color="auto" w:fill="EAEAEA"/>
          </w:tcPr>
          <w:p>
            <w:pPr>
              <w:spacing w:after="0"/>
              <w:rPr>
                <w:sz w:val="22"/>
                <w:szCs w:val="22"/>
                <w:color w:val="auto"/>
              </w:rPr>
            </w:pPr>
          </w:p>
        </w:tc>
        <w:tc>
          <w:tcPr>
            <w:tcW w:w="6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10,562</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1,832,401</w:t>
            </w:r>
          </w:p>
        </w:tc>
        <w:tc>
          <w:tcPr>
            <w:tcW w:w="0" w:type="dxa"/>
            <w:vAlign w:val="bottom"/>
          </w:tcPr>
          <w:p>
            <w:pPr>
              <w:spacing w:after="0"/>
              <w:rPr>
                <w:sz w:val="1"/>
                <w:szCs w:val="1"/>
                <w:color w:val="auto"/>
              </w:rPr>
            </w:pPr>
          </w:p>
        </w:tc>
      </w:tr>
      <w:tr>
        <w:trPr>
          <w:trHeight w:val="253"/>
        </w:trPr>
        <w:tc>
          <w:tcPr>
            <w:tcW w:w="1960" w:type="dxa"/>
            <w:vAlign w:val="bottom"/>
            <w:tcBorders>
              <w:top w:val="single" w:sz="8" w:color="0066BA"/>
              <w:right w:val="single" w:sz="8" w:color="EAEAEA"/>
            </w:tcBorders>
          </w:tcPr>
          <w:p>
            <w:pPr>
              <w:spacing w:after="0"/>
              <w:rPr>
                <w:sz w:val="22"/>
                <w:szCs w:val="22"/>
                <w:color w:val="auto"/>
              </w:rPr>
            </w:pPr>
          </w:p>
        </w:tc>
        <w:tc>
          <w:tcPr>
            <w:tcW w:w="72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8"/>
              </w:rPr>
              <w:t>3/12/2014</w:t>
            </w: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760" w:type="dxa"/>
            <w:vAlign w:val="bottom"/>
            <w:tcBorders>
              <w:top w:val="single" w:sz="8" w:color="0066BA"/>
            </w:tcBorders>
          </w:tcPr>
          <w:p>
            <w:pPr>
              <w:jc w:val="right"/>
              <w:ind w:right="4"/>
              <w:spacing w:after="0"/>
              <w:rPr>
                <w:sz w:val="20"/>
                <w:szCs w:val="20"/>
                <w:color w:val="auto"/>
              </w:rPr>
            </w:pPr>
            <w:r>
              <w:rPr>
                <w:rFonts w:ascii="Arial" w:cs="Arial" w:eastAsia="Arial" w:hAnsi="Arial"/>
                <w:sz w:val="16"/>
                <w:szCs w:val="16"/>
                <w:color w:val="auto"/>
              </w:rPr>
              <w:t>2,210</w:t>
            </w: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82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82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44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51.73</w:t>
            </w: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86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3/12/2024</w:t>
            </w:r>
          </w:p>
        </w:tc>
        <w:tc>
          <w:tcPr>
            <w:tcW w:w="200" w:type="dxa"/>
            <w:vAlign w:val="bottom"/>
            <w:tcBorders>
              <w:top w:val="single" w:sz="8" w:color="0066BA"/>
            </w:tcBorders>
          </w:tcPr>
          <w:p>
            <w:pPr>
              <w:spacing w:after="0"/>
              <w:rPr>
                <w:sz w:val="22"/>
                <w:szCs w:val="22"/>
                <w:color w:val="auto"/>
              </w:rPr>
            </w:pP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52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840" w:type="dxa"/>
            <w:vAlign w:val="bottom"/>
            <w:tcBorders>
              <w:top w:val="single" w:sz="8" w:color="0066BA"/>
            </w:tcBorders>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0066BA"/>
              <w:bottom w:val="single" w:sz="8" w:color="EAEAEA"/>
            </w:tcBorders>
            <w:shd w:val="clear" w:color="auto" w:fill="EAEAEA"/>
          </w:tcPr>
          <w:p>
            <w:pPr>
              <w:spacing w:after="0"/>
              <w:rPr>
                <w:sz w:val="22"/>
                <w:szCs w:val="22"/>
                <w:color w:val="auto"/>
              </w:rPr>
            </w:pPr>
          </w:p>
        </w:tc>
        <w:tc>
          <w:tcPr>
            <w:tcW w:w="66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94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1960" w:type="dxa"/>
            <w:vAlign w:val="bottom"/>
            <w:tcBorders>
              <w:right w:val="single" w:sz="8" w:color="EAEAEA"/>
            </w:tcBorders>
          </w:tcPr>
          <w:p>
            <w:pPr>
              <w:spacing w:after="0"/>
              <w:rPr>
                <w:sz w:val="22"/>
                <w:szCs w:val="22"/>
                <w:color w:val="auto"/>
              </w:rPr>
            </w:pPr>
          </w:p>
        </w:tc>
        <w:tc>
          <w:tcPr>
            <w:tcW w:w="7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8"/>
              </w:rPr>
              <w:t>3/11/2015</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76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10,750</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4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57.29</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3/11/2025</w:t>
            </w: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5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4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EAEAEA"/>
            </w:tcBorders>
            <w:shd w:val="clear" w:color="auto" w:fill="EAEAEA"/>
          </w:tcPr>
          <w:p>
            <w:pPr>
              <w:spacing w:after="0"/>
              <w:rPr>
                <w:sz w:val="22"/>
                <w:szCs w:val="22"/>
                <w:color w:val="auto"/>
              </w:rPr>
            </w:pPr>
          </w:p>
        </w:tc>
        <w:tc>
          <w:tcPr>
            <w:tcW w:w="6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1960" w:type="dxa"/>
            <w:vAlign w:val="bottom"/>
            <w:tcBorders>
              <w:right w:val="single" w:sz="8" w:color="EAEAEA"/>
            </w:tcBorders>
          </w:tcPr>
          <w:p>
            <w:pPr>
              <w:spacing w:after="0"/>
              <w:rPr>
                <w:sz w:val="22"/>
                <w:szCs w:val="22"/>
                <w:color w:val="auto"/>
              </w:rPr>
            </w:pPr>
          </w:p>
        </w:tc>
        <w:tc>
          <w:tcPr>
            <w:tcW w:w="7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3/9/2016</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76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8,687</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4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54.93</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3/9/2026</w:t>
            </w: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5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4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EAEAEA"/>
            </w:tcBorders>
            <w:shd w:val="clear" w:color="auto" w:fill="EAEAEA"/>
          </w:tcPr>
          <w:p>
            <w:pPr>
              <w:spacing w:after="0"/>
              <w:rPr>
                <w:sz w:val="22"/>
                <w:szCs w:val="22"/>
                <w:color w:val="auto"/>
              </w:rPr>
            </w:pPr>
          </w:p>
        </w:tc>
        <w:tc>
          <w:tcPr>
            <w:tcW w:w="6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1960" w:type="dxa"/>
            <w:vAlign w:val="bottom"/>
            <w:tcBorders>
              <w:right w:val="single" w:sz="8" w:color="EAEAEA"/>
            </w:tcBorders>
          </w:tcPr>
          <w:p>
            <w:pPr>
              <w:spacing w:after="0"/>
              <w:rPr>
                <w:sz w:val="22"/>
                <w:szCs w:val="22"/>
                <w:color w:val="auto"/>
              </w:rPr>
            </w:pPr>
          </w:p>
        </w:tc>
        <w:tc>
          <w:tcPr>
            <w:tcW w:w="7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10/17/2016</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76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26,999</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4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61.70</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10/17/2026</w:t>
            </w: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5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4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EAEAEA"/>
            </w:tcBorders>
            <w:shd w:val="clear" w:color="auto" w:fill="EAEAEA"/>
          </w:tcPr>
          <w:p>
            <w:pPr>
              <w:spacing w:after="0"/>
              <w:rPr>
                <w:sz w:val="22"/>
                <w:szCs w:val="22"/>
                <w:color w:val="auto"/>
              </w:rPr>
            </w:pPr>
          </w:p>
        </w:tc>
        <w:tc>
          <w:tcPr>
            <w:tcW w:w="6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1960" w:type="dxa"/>
            <w:vAlign w:val="bottom"/>
            <w:tcBorders>
              <w:right w:val="single" w:sz="8" w:color="EAEAEA"/>
            </w:tcBorders>
          </w:tcPr>
          <w:p>
            <w:pPr>
              <w:spacing w:after="0"/>
              <w:rPr>
                <w:sz w:val="22"/>
                <w:szCs w:val="22"/>
                <w:color w:val="auto"/>
              </w:rPr>
            </w:pPr>
          </w:p>
        </w:tc>
        <w:tc>
          <w:tcPr>
            <w:tcW w:w="7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3/8/2017</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76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14,075</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3,519</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4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83.48</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3/8/2027</w:t>
            </w: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5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4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EAEAEA"/>
            </w:tcBorders>
            <w:shd w:val="clear" w:color="auto" w:fill="EAEAEA"/>
          </w:tcPr>
          <w:p>
            <w:pPr>
              <w:spacing w:after="0"/>
              <w:rPr>
                <w:sz w:val="22"/>
                <w:szCs w:val="22"/>
                <w:color w:val="auto"/>
              </w:rPr>
            </w:pPr>
          </w:p>
        </w:tc>
        <w:tc>
          <w:tcPr>
            <w:tcW w:w="6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1960" w:type="dxa"/>
            <w:vAlign w:val="bottom"/>
            <w:tcBorders>
              <w:right w:val="single" w:sz="8" w:color="EAEAEA"/>
            </w:tcBorders>
          </w:tcPr>
          <w:p>
            <w:pPr>
              <w:ind w:left="40"/>
              <w:spacing w:after="0"/>
              <w:rPr>
                <w:sz w:val="20"/>
                <w:szCs w:val="20"/>
                <w:color w:val="auto"/>
              </w:rPr>
            </w:pPr>
            <w:r>
              <w:rPr>
                <w:rFonts w:ascii="Arial" w:cs="Arial" w:eastAsia="Arial" w:hAnsi="Arial"/>
                <w:sz w:val="16"/>
                <w:szCs w:val="16"/>
                <w:b w:val="1"/>
                <w:bCs w:val="1"/>
                <w:color w:val="0066BA"/>
              </w:rPr>
              <w:t>Martin</w:t>
            </w:r>
          </w:p>
        </w:tc>
        <w:tc>
          <w:tcPr>
            <w:tcW w:w="72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w w:val="98"/>
              </w:rPr>
              <w:t>3/29/2018</w:t>
            </w:r>
          </w:p>
        </w:tc>
        <w:tc>
          <w:tcPr>
            <w:tcW w:w="80" w:type="dxa"/>
            <w:vAlign w:val="bottom"/>
            <w:tcBorders>
              <w:top w:val="single" w:sz="8" w:color="auto"/>
              <w:bottom w:val="single" w:sz="8" w:color="auto"/>
            </w:tcBorders>
            <w:shd w:val="clear" w:color="auto" w:fill="EAEAEA"/>
          </w:tcPr>
          <w:p>
            <w:pPr>
              <w:spacing w:after="0"/>
              <w:rPr>
                <w:sz w:val="21"/>
                <w:szCs w:val="21"/>
                <w:color w:val="auto"/>
              </w:rPr>
            </w:pPr>
          </w:p>
        </w:tc>
        <w:tc>
          <w:tcPr>
            <w:tcW w:w="7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15,414</w:t>
            </w:r>
          </w:p>
        </w:tc>
        <w:tc>
          <w:tcPr>
            <w:tcW w:w="80" w:type="dxa"/>
            <w:vAlign w:val="bottom"/>
            <w:tcBorders>
              <w:top w:val="single" w:sz="8" w:color="auto"/>
              <w:bottom w:val="single" w:sz="8" w:color="auto"/>
            </w:tcBorders>
            <w:shd w:val="clear" w:color="auto" w:fill="EAEAEA"/>
          </w:tcPr>
          <w:p>
            <w:pPr>
              <w:spacing w:after="0"/>
              <w:rPr>
                <w:sz w:val="21"/>
                <w:szCs w:val="21"/>
                <w:color w:val="auto"/>
              </w:rPr>
            </w:pPr>
          </w:p>
        </w:tc>
        <w:tc>
          <w:tcPr>
            <w:tcW w:w="82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5,138</w:t>
            </w:r>
          </w:p>
        </w:tc>
        <w:tc>
          <w:tcPr>
            <w:tcW w:w="80" w:type="dxa"/>
            <w:vAlign w:val="bottom"/>
            <w:tcBorders>
              <w:top w:val="single" w:sz="8" w:color="auto"/>
              <w:bottom w:val="single" w:sz="8" w:color="auto"/>
            </w:tcBorders>
            <w:shd w:val="clear" w:color="auto" w:fill="EAEAEA"/>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shd w:val="clear" w:color="auto" w:fill="EAEAEA"/>
          </w:tcPr>
          <w:p>
            <w:pPr>
              <w:spacing w:after="0"/>
              <w:rPr>
                <w:sz w:val="21"/>
                <w:szCs w:val="21"/>
                <w:color w:val="auto"/>
              </w:rPr>
            </w:pPr>
          </w:p>
        </w:tc>
        <w:tc>
          <w:tcPr>
            <w:tcW w:w="44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91.13</w:t>
            </w:r>
          </w:p>
        </w:tc>
        <w:tc>
          <w:tcPr>
            <w:tcW w:w="80" w:type="dxa"/>
            <w:vAlign w:val="bottom"/>
            <w:tcBorders>
              <w:top w:val="single" w:sz="8" w:color="auto"/>
              <w:bottom w:val="single" w:sz="8" w:color="auto"/>
            </w:tcBorders>
            <w:shd w:val="clear" w:color="auto" w:fill="EAEAEA"/>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3/29/2028</w:t>
            </w:r>
          </w:p>
        </w:tc>
        <w:tc>
          <w:tcPr>
            <w:tcW w:w="2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shd w:val="clear" w:color="auto" w:fill="EAEAEA"/>
          </w:tcPr>
          <w:p>
            <w:pPr>
              <w:spacing w:after="0"/>
              <w:rPr>
                <w:sz w:val="21"/>
                <w:szCs w:val="21"/>
                <w:color w:val="auto"/>
              </w:rPr>
            </w:pPr>
          </w:p>
        </w:tc>
        <w:tc>
          <w:tcPr>
            <w:tcW w:w="52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1,225</w:t>
            </w:r>
          </w:p>
        </w:tc>
        <w:tc>
          <w:tcPr>
            <w:tcW w:w="80" w:type="dxa"/>
            <w:vAlign w:val="bottom"/>
            <w:tcBorders>
              <w:top w:val="single" w:sz="8" w:color="auto"/>
              <w:bottom w:val="single" w:sz="8" w:color="auto"/>
            </w:tcBorders>
            <w:shd w:val="clear" w:color="auto" w:fill="EAEAEA"/>
          </w:tcPr>
          <w:p>
            <w:pPr>
              <w:spacing w:after="0"/>
              <w:rPr>
                <w:sz w:val="21"/>
                <w:szCs w:val="21"/>
                <w:color w:val="auto"/>
              </w:rPr>
            </w:pPr>
          </w:p>
        </w:tc>
        <w:tc>
          <w:tcPr>
            <w:tcW w:w="8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212,525</w:t>
            </w:r>
          </w:p>
        </w:tc>
        <w:tc>
          <w:tcPr>
            <w:tcW w:w="100" w:type="dxa"/>
            <w:vAlign w:val="bottom"/>
            <w:tcBorders>
              <w:top w:val="single" w:sz="8" w:color="auto"/>
              <w:bottom w:val="single" w:sz="8" w:color="auto"/>
            </w:tcBorders>
            <w:shd w:val="clear" w:color="auto" w:fill="EAEAEA"/>
          </w:tcPr>
          <w:p>
            <w:pPr>
              <w:spacing w:after="0"/>
              <w:rPr>
                <w:sz w:val="21"/>
                <w:szCs w:val="21"/>
                <w:color w:val="auto"/>
              </w:rPr>
            </w:pPr>
          </w:p>
        </w:tc>
        <w:tc>
          <w:tcPr>
            <w:tcW w:w="660" w:type="dxa"/>
            <w:vAlign w:val="bottom"/>
            <w:tcBorders>
              <w:top w:val="single" w:sz="8" w:color="auto"/>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shd w:val="clear" w:color="auto" w:fill="EAEAEA"/>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1960" w:type="dxa"/>
            <w:vAlign w:val="bottom"/>
            <w:tcBorders>
              <w:right w:val="single" w:sz="8" w:color="EAEAEA"/>
            </w:tcBorders>
          </w:tcPr>
          <w:p>
            <w:pPr>
              <w:ind w:left="40"/>
              <w:spacing w:after="0" w:line="181" w:lineRule="exact"/>
              <w:rPr>
                <w:sz w:val="20"/>
                <w:szCs w:val="20"/>
                <w:color w:val="auto"/>
              </w:rPr>
            </w:pPr>
            <w:r>
              <w:rPr>
                <w:rFonts w:ascii="Arial" w:cs="Arial" w:eastAsia="Arial" w:hAnsi="Arial"/>
                <w:sz w:val="16"/>
                <w:szCs w:val="16"/>
                <w:b w:val="1"/>
                <w:bCs w:val="1"/>
                <w:color w:val="0066BA"/>
              </w:rPr>
              <w:t>Cotter</w:t>
            </w:r>
          </w:p>
        </w:tc>
        <w:tc>
          <w:tcPr>
            <w:tcW w:w="72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w w:val="98"/>
              </w:rPr>
              <w:t>9/17/2018</w:t>
            </w:r>
          </w:p>
        </w:tc>
        <w:tc>
          <w:tcPr>
            <w:tcW w:w="80" w:type="dxa"/>
            <w:vAlign w:val="bottom"/>
            <w:shd w:val="clear" w:color="auto" w:fill="EAEAEA"/>
          </w:tcPr>
          <w:p>
            <w:pPr>
              <w:spacing w:after="0"/>
              <w:rPr>
                <w:sz w:val="15"/>
                <w:szCs w:val="15"/>
                <w:color w:val="auto"/>
              </w:rPr>
            </w:pPr>
          </w:p>
        </w:tc>
        <w:tc>
          <w:tcPr>
            <w:tcW w:w="760" w:type="dxa"/>
            <w:vAlign w:val="bottom"/>
            <w:vMerge w:val="restart"/>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5"/>
                <w:szCs w:val="15"/>
                <w:color w:val="auto"/>
              </w:rPr>
            </w:pPr>
          </w:p>
        </w:tc>
        <w:tc>
          <w:tcPr>
            <w:tcW w:w="82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5"/>
                <w:szCs w:val="15"/>
                <w:color w:val="auto"/>
              </w:rPr>
            </w:pPr>
          </w:p>
        </w:tc>
        <w:tc>
          <w:tcPr>
            <w:tcW w:w="44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5"/>
                <w:szCs w:val="15"/>
                <w:color w:val="auto"/>
              </w:rPr>
            </w:pP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5"/>
                <w:szCs w:val="15"/>
                <w:color w:val="auto"/>
              </w:rPr>
            </w:pPr>
          </w:p>
        </w:tc>
        <w:tc>
          <w:tcPr>
            <w:tcW w:w="52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834</w:t>
            </w:r>
          </w:p>
        </w:tc>
        <w:tc>
          <w:tcPr>
            <w:tcW w:w="80" w:type="dxa"/>
            <w:vAlign w:val="bottom"/>
            <w:shd w:val="clear" w:color="auto" w:fill="EAEAEA"/>
          </w:tcPr>
          <w:p>
            <w:pPr>
              <w:spacing w:after="0"/>
              <w:rPr>
                <w:sz w:val="15"/>
                <w:szCs w:val="15"/>
                <w:color w:val="auto"/>
              </w:rPr>
            </w:pPr>
          </w:p>
        </w:tc>
        <w:tc>
          <w:tcPr>
            <w:tcW w:w="840" w:type="dxa"/>
            <w:vAlign w:val="bottom"/>
            <w:vMerge w:val="restart"/>
          </w:tcPr>
          <w:p>
            <w:pPr>
              <w:jc w:val="right"/>
              <w:ind w:right="4"/>
              <w:spacing w:after="0"/>
              <w:rPr>
                <w:sz w:val="20"/>
                <w:szCs w:val="20"/>
                <w:color w:val="auto"/>
              </w:rPr>
            </w:pPr>
            <w:r>
              <w:rPr>
                <w:rFonts w:ascii="Arial" w:cs="Arial" w:eastAsia="Arial" w:hAnsi="Arial"/>
                <w:sz w:val="16"/>
                <w:szCs w:val="16"/>
                <w:color w:val="auto"/>
              </w:rPr>
              <w:t>144,691</w:t>
            </w:r>
          </w:p>
        </w:tc>
        <w:tc>
          <w:tcPr>
            <w:tcW w:w="100" w:type="dxa"/>
            <w:vAlign w:val="bottom"/>
            <w:shd w:val="clear" w:color="auto" w:fill="EAEAEA"/>
          </w:tcPr>
          <w:p>
            <w:pPr>
              <w:spacing w:after="0"/>
              <w:rPr>
                <w:sz w:val="15"/>
                <w:szCs w:val="15"/>
                <w:color w:val="auto"/>
              </w:rPr>
            </w:pPr>
          </w:p>
        </w:tc>
        <w:tc>
          <w:tcPr>
            <w:tcW w:w="660" w:type="dxa"/>
            <w:vAlign w:val="bottom"/>
            <w:vMerge w:val="restart"/>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AEAEA"/>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8"/>
        </w:trPr>
        <w:tc>
          <w:tcPr>
            <w:tcW w:w="1960" w:type="dxa"/>
            <w:vAlign w:val="bottom"/>
            <w:tcBorders>
              <w:right w:val="single" w:sz="8" w:color="EAEAEA"/>
            </w:tcBorders>
          </w:tcPr>
          <w:p>
            <w:pPr>
              <w:spacing w:after="0"/>
              <w:rPr>
                <w:sz w:val="6"/>
                <w:szCs w:val="6"/>
                <w:color w:val="auto"/>
              </w:rPr>
            </w:pPr>
          </w:p>
        </w:tc>
        <w:tc>
          <w:tcPr>
            <w:tcW w:w="720" w:type="dxa"/>
            <w:vAlign w:val="bottom"/>
            <w:tcBorders>
              <w:bottom w:val="single" w:sz="8" w:color="EAEAEA"/>
            </w:tcBorders>
            <w:vMerge w:val="continue"/>
            <w:shd w:val="clear" w:color="auto" w:fill="EAEAEA"/>
          </w:tcPr>
          <w:p>
            <w:pPr>
              <w:spacing w:after="0"/>
              <w:rPr>
                <w:sz w:val="6"/>
                <w:szCs w:val="6"/>
                <w:color w:val="auto"/>
              </w:rPr>
            </w:pPr>
          </w:p>
        </w:tc>
        <w:tc>
          <w:tcPr>
            <w:tcW w:w="80" w:type="dxa"/>
            <w:vAlign w:val="bottom"/>
            <w:tcBorders>
              <w:bottom w:val="single" w:sz="8" w:color="EAEAEA"/>
            </w:tcBorders>
            <w:shd w:val="clear" w:color="auto" w:fill="EAEAEA"/>
          </w:tcPr>
          <w:p>
            <w:pPr>
              <w:spacing w:after="0"/>
              <w:rPr>
                <w:sz w:val="6"/>
                <w:szCs w:val="6"/>
                <w:color w:val="auto"/>
              </w:rPr>
            </w:pPr>
          </w:p>
        </w:tc>
        <w:tc>
          <w:tcPr>
            <w:tcW w:w="760" w:type="dxa"/>
            <w:vAlign w:val="bottom"/>
            <w:vMerge w:val="continue"/>
          </w:tcPr>
          <w:p>
            <w:pPr>
              <w:spacing w:after="0"/>
              <w:rPr>
                <w:sz w:val="6"/>
                <w:szCs w:val="6"/>
                <w:color w:val="auto"/>
              </w:rPr>
            </w:pPr>
          </w:p>
        </w:tc>
        <w:tc>
          <w:tcPr>
            <w:tcW w:w="80" w:type="dxa"/>
            <w:vAlign w:val="bottom"/>
            <w:tcBorders>
              <w:bottom w:val="single" w:sz="8" w:color="EAEAEA"/>
            </w:tcBorders>
            <w:shd w:val="clear" w:color="auto" w:fill="EAEAEA"/>
          </w:tcPr>
          <w:p>
            <w:pPr>
              <w:spacing w:after="0"/>
              <w:rPr>
                <w:sz w:val="6"/>
                <w:szCs w:val="6"/>
                <w:color w:val="auto"/>
              </w:rPr>
            </w:pPr>
          </w:p>
        </w:tc>
        <w:tc>
          <w:tcPr>
            <w:tcW w:w="820" w:type="dxa"/>
            <w:vAlign w:val="bottom"/>
            <w:tcBorders>
              <w:bottom w:val="single" w:sz="8" w:color="EAEAEA"/>
            </w:tcBorders>
            <w:vMerge w:val="continue"/>
            <w:shd w:val="clear" w:color="auto" w:fill="EAEAEA"/>
          </w:tcPr>
          <w:p>
            <w:pPr>
              <w:spacing w:after="0"/>
              <w:rPr>
                <w:sz w:val="6"/>
                <w:szCs w:val="6"/>
                <w:color w:val="auto"/>
              </w:rPr>
            </w:pPr>
          </w:p>
        </w:tc>
        <w:tc>
          <w:tcPr>
            <w:tcW w:w="80" w:type="dxa"/>
            <w:vAlign w:val="bottom"/>
            <w:tcBorders>
              <w:bottom w:val="single" w:sz="8" w:color="EAEAEA"/>
            </w:tcBorders>
            <w:shd w:val="clear" w:color="auto" w:fill="EAEAEA"/>
          </w:tcPr>
          <w:p>
            <w:pPr>
              <w:spacing w:after="0"/>
              <w:rPr>
                <w:sz w:val="6"/>
                <w:szCs w:val="6"/>
                <w:color w:val="auto"/>
              </w:rPr>
            </w:pPr>
          </w:p>
        </w:tc>
        <w:tc>
          <w:tcPr>
            <w:tcW w:w="820" w:type="dxa"/>
            <w:vAlign w:val="bottom"/>
            <w:vMerge w:val="continue"/>
          </w:tcPr>
          <w:p>
            <w:pPr>
              <w:spacing w:after="0"/>
              <w:rPr>
                <w:sz w:val="6"/>
                <w:szCs w:val="6"/>
                <w:color w:val="auto"/>
              </w:rPr>
            </w:pPr>
          </w:p>
        </w:tc>
        <w:tc>
          <w:tcPr>
            <w:tcW w:w="80" w:type="dxa"/>
            <w:vAlign w:val="bottom"/>
            <w:tcBorders>
              <w:bottom w:val="single" w:sz="8" w:color="EAEAEA"/>
            </w:tcBorders>
            <w:shd w:val="clear" w:color="auto" w:fill="EAEAEA"/>
          </w:tcPr>
          <w:p>
            <w:pPr>
              <w:spacing w:after="0"/>
              <w:rPr>
                <w:sz w:val="6"/>
                <w:szCs w:val="6"/>
                <w:color w:val="auto"/>
              </w:rPr>
            </w:pPr>
          </w:p>
        </w:tc>
        <w:tc>
          <w:tcPr>
            <w:tcW w:w="440" w:type="dxa"/>
            <w:vAlign w:val="bottom"/>
            <w:tcBorders>
              <w:bottom w:val="single" w:sz="8" w:color="EAEAEA"/>
            </w:tcBorders>
            <w:vMerge w:val="continue"/>
            <w:shd w:val="clear" w:color="auto" w:fill="EAEAEA"/>
          </w:tcPr>
          <w:p>
            <w:pPr>
              <w:spacing w:after="0"/>
              <w:rPr>
                <w:sz w:val="6"/>
                <w:szCs w:val="6"/>
                <w:color w:val="auto"/>
              </w:rPr>
            </w:pPr>
          </w:p>
        </w:tc>
        <w:tc>
          <w:tcPr>
            <w:tcW w:w="80" w:type="dxa"/>
            <w:vAlign w:val="bottom"/>
            <w:tcBorders>
              <w:bottom w:val="single" w:sz="8" w:color="EAEAEA"/>
            </w:tcBorders>
            <w:shd w:val="clear" w:color="auto" w:fill="EAEAEA"/>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80" w:type="dxa"/>
            <w:vAlign w:val="bottom"/>
            <w:tcBorders>
              <w:bottom w:val="single" w:sz="8" w:color="EAEAEA"/>
            </w:tcBorders>
            <w:shd w:val="clear" w:color="auto" w:fill="EAEAEA"/>
          </w:tcPr>
          <w:p>
            <w:pPr>
              <w:spacing w:after="0"/>
              <w:rPr>
                <w:sz w:val="6"/>
                <w:szCs w:val="6"/>
                <w:color w:val="auto"/>
              </w:rPr>
            </w:pPr>
          </w:p>
        </w:tc>
        <w:tc>
          <w:tcPr>
            <w:tcW w:w="520" w:type="dxa"/>
            <w:vAlign w:val="bottom"/>
            <w:tcBorders>
              <w:bottom w:val="single" w:sz="8" w:color="EAEAEA"/>
            </w:tcBorders>
            <w:vMerge w:val="continue"/>
            <w:shd w:val="clear" w:color="auto" w:fill="EAEAEA"/>
          </w:tcPr>
          <w:p>
            <w:pPr>
              <w:spacing w:after="0"/>
              <w:rPr>
                <w:sz w:val="6"/>
                <w:szCs w:val="6"/>
                <w:color w:val="auto"/>
              </w:rPr>
            </w:pPr>
          </w:p>
        </w:tc>
        <w:tc>
          <w:tcPr>
            <w:tcW w:w="80" w:type="dxa"/>
            <w:vAlign w:val="bottom"/>
            <w:tcBorders>
              <w:bottom w:val="single" w:sz="8" w:color="EAEAEA"/>
            </w:tcBorders>
            <w:shd w:val="clear" w:color="auto" w:fill="EAEAEA"/>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Borders>
              <w:bottom w:val="single" w:sz="8" w:color="EAEAEA"/>
            </w:tcBorders>
            <w:shd w:val="clear" w:color="auto" w:fill="EAEAEA"/>
          </w:tcPr>
          <w:p>
            <w:pPr>
              <w:spacing w:after="0"/>
              <w:rPr>
                <w:sz w:val="6"/>
                <w:szCs w:val="6"/>
                <w:color w:val="auto"/>
              </w:rPr>
            </w:pPr>
          </w:p>
        </w:tc>
        <w:tc>
          <w:tcPr>
            <w:tcW w:w="660" w:type="dxa"/>
            <w:vAlign w:val="bottom"/>
            <w:tcBorders>
              <w:bottom w:val="single" w:sz="8" w:color="EAEAEA"/>
            </w:tcBorders>
            <w:vMerge w:val="continue"/>
            <w:shd w:val="clear" w:color="auto" w:fill="EAEAEA"/>
          </w:tcPr>
          <w:p>
            <w:pPr>
              <w:spacing w:after="0"/>
              <w:rPr>
                <w:sz w:val="6"/>
                <w:szCs w:val="6"/>
                <w:color w:val="auto"/>
              </w:rPr>
            </w:pPr>
          </w:p>
        </w:tc>
        <w:tc>
          <w:tcPr>
            <w:tcW w:w="80" w:type="dxa"/>
            <w:vAlign w:val="bottom"/>
            <w:tcBorders>
              <w:bottom w:val="single" w:sz="8" w:color="EAEAEA"/>
            </w:tcBorders>
            <w:shd w:val="clear" w:color="auto" w:fill="EAEAEA"/>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1960" w:type="dxa"/>
            <w:vAlign w:val="bottom"/>
            <w:tcBorders>
              <w:right w:val="single" w:sz="8" w:color="EAEAEA"/>
            </w:tcBorders>
          </w:tcPr>
          <w:p>
            <w:pPr>
              <w:spacing w:after="0"/>
              <w:rPr>
                <w:sz w:val="22"/>
                <w:szCs w:val="22"/>
                <w:color w:val="auto"/>
              </w:rPr>
            </w:pPr>
          </w:p>
        </w:tc>
        <w:tc>
          <w:tcPr>
            <w:tcW w:w="7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8"/>
              </w:rPr>
              <w:t>3/13/2019</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76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5,082</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5,082</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4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5"/>
              </w:rPr>
              <w:t>108.08</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3/13/2029</w:t>
            </w: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5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1,148</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4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199,167</w:t>
            </w:r>
          </w:p>
        </w:tc>
        <w:tc>
          <w:tcPr>
            <w:tcW w:w="100" w:type="dxa"/>
            <w:vAlign w:val="bottom"/>
            <w:tcBorders>
              <w:top w:val="single" w:sz="8" w:color="auto"/>
              <w:bottom w:val="single" w:sz="8" w:color="EAEAEA"/>
            </w:tcBorders>
            <w:shd w:val="clear" w:color="auto" w:fill="EAEAEA"/>
          </w:tcPr>
          <w:p>
            <w:pPr>
              <w:spacing w:after="0"/>
              <w:rPr>
                <w:sz w:val="22"/>
                <w:szCs w:val="22"/>
                <w:color w:val="auto"/>
              </w:rPr>
            </w:pPr>
          </w:p>
        </w:tc>
        <w:tc>
          <w:tcPr>
            <w:tcW w:w="6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4,590</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796,319</w:t>
            </w:r>
          </w:p>
        </w:tc>
        <w:tc>
          <w:tcPr>
            <w:tcW w:w="0" w:type="dxa"/>
            <w:vAlign w:val="bottom"/>
          </w:tcPr>
          <w:p>
            <w:pPr>
              <w:spacing w:after="0"/>
              <w:rPr>
                <w:sz w:val="1"/>
                <w:szCs w:val="1"/>
                <w:color w:val="auto"/>
              </w:rPr>
            </w:pPr>
          </w:p>
        </w:tc>
      </w:tr>
      <w:tr>
        <w:trPr>
          <w:trHeight w:val="253"/>
        </w:trPr>
        <w:tc>
          <w:tcPr>
            <w:tcW w:w="1960" w:type="dxa"/>
            <w:vAlign w:val="bottom"/>
            <w:tcBorders>
              <w:right w:val="single" w:sz="8" w:color="EAEAEA"/>
            </w:tcBorders>
          </w:tcPr>
          <w:p>
            <w:pPr>
              <w:spacing w:after="0"/>
              <w:rPr>
                <w:sz w:val="22"/>
                <w:szCs w:val="22"/>
                <w:color w:val="auto"/>
              </w:rPr>
            </w:pPr>
          </w:p>
        </w:tc>
        <w:tc>
          <w:tcPr>
            <w:tcW w:w="7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8"/>
              </w:rPr>
              <w:t>6/17/2019</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76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3,756</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3,756</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4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5"/>
              </w:rPr>
              <w:t>108.08</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3/13/2029</w:t>
            </w: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5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849</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4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147,293</w:t>
            </w:r>
          </w:p>
        </w:tc>
        <w:tc>
          <w:tcPr>
            <w:tcW w:w="100" w:type="dxa"/>
            <w:vAlign w:val="bottom"/>
            <w:tcBorders>
              <w:top w:val="single" w:sz="8" w:color="auto"/>
              <w:bottom w:val="single" w:sz="8" w:color="EAEAEA"/>
            </w:tcBorders>
            <w:shd w:val="clear" w:color="auto" w:fill="EAEAEA"/>
          </w:tcPr>
          <w:p>
            <w:pPr>
              <w:spacing w:after="0"/>
              <w:rPr>
                <w:sz w:val="22"/>
                <w:szCs w:val="22"/>
                <w:color w:val="auto"/>
              </w:rPr>
            </w:pPr>
          </w:p>
        </w:tc>
        <w:tc>
          <w:tcPr>
            <w:tcW w:w="6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3,394</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588,825</w:t>
            </w:r>
          </w:p>
        </w:tc>
        <w:tc>
          <w:tcPr>
            <w:tcW w:w="0" w:type="dxa"/>
            <w:vAlign w:val="bottom"/>
          </w:tcPr>
          <w:p>
            <w:pPr>
              <w:spacing w:after="0"/>
              <w:rPr>
                <w:sz w:val="1"/>
                <w:szCs w:val="1"/>
                <w:color w:val="auto"/>
              </w:rPr>
            </w:pPr>
          </w:p>
        </w:tc>
      </w:tr>
      <w:tr>
        <w:trPr>
          <w:trHeight w:val="253"/>
        </w:trPr>
        <w:tc>
          <w:tcPr>
            <w:tcW w:w="1960" w:type="dxa"/>
            <w:vAlign w:val="bottom"/>
            <w:tcBorders>
              <w:right w:val="single" w:sz="8" w:color="EAEAEA"/>
            </w:tcBorders>
          </w:tcPr>
          <w:p>
            <w:pPr>
              <w:spacing w:after="0"/>
              <w:rPr>
                <w:sz w:val="22"/>
                <w:szCs w:val="22"/>
                <w:color w:val="auto"/>
              </w:rPr>
            </w:pPr>
          </w:p>
        </w:tc>
        <w:tc>
          <w:tcPr>
            <w:tcW w:w="7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8"/>
              </w:rPr>
              <w:t>3/11/2020</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76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6,058</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18,174</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4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94.41</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3/11/2030</w:t>
            </w: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5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3,696</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4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641,219</w:t>
            </w:r>
          </w:p>
        </w:tc>
        <w:tc>
          <w:tcPr>
            <w:tcW w:w="100" w:type="dxa"/>
            <w:vAlign w:val="bottom"/>
            <w:tcBorders>
              <w:top w:val="single" w:sz="8" w:color="auto"/>
              <w:bottom w:val="single" w:sz="8" w:color="EAEAEA"/>
            </w:tcBorders>
            <w:shd w:val="clear" w:color="auto" w:fill="EAEAEA"/>
          </w:tcPr>
          <w:p>
            <w:pPr>
              <w:spacing w:after="0"/>
              <w:rPr>
                <w:sz w:val="22"/>
                <w:szCs w:val="22"/>
                <w:color w:val="auto"/>
              </w:rPr>
            </w:pPr>
          </w:p>
        </w:tc>
        <w:tc>
          <w:tcPr>
            <w:tcW w:w="6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9,854</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1,709,570</w:t>
            </w:r>
          </w:p>
        </w:tc>
        <w:tc>
          <w:tcPr>
            <w:tcW w:w="0" w:type="dxa"/>
            <w:vAlign w:val="bottom"/>
          </w:tcPr>
          <w:p>
            <w:pPr>
              <w:spacing w:after="0"/>
              <w:rPr>
                <w:sz w:val="1"/>
                <w:szCs w:val="1"/>
                <w:color w:val="auto"/>
              </w:rPr>
            </w:pPr>
          </w:p>
        </w:tc>
      </w:tr>
      <w:tr>
        <w:trPr>
          <w:trHeight w:val="253"/>
        </w:trPr>
        <w:tc>
          <w:tcPr>
            <w:tcW w:w="1960" w:type="dxa"/>
            <w:vAlign w:val="bottom"/>
            <w:tcBorders>
              <w:right w:val="single" w:sz="8" w:color="EAEAEA"/>
            </w:tcBorders>
          </w:tcPr>
          <w:p>
            <w:pPr>
              <w:spacing w:after="0"/>
              <w:rPr>
                <w:sz w:val="22"/>
                <w:szCs w:val="22"/>
                <w:color w:val="auto"/>
              </w:rPr>
            </w:pPr>
          </w:p>
        </w:tc>
        <w:tc>
          <w:tcPr>
            <w:tcW w:w="7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12/15/2020</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76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4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106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5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4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EAEAEA"/>
            </w:tcBorders>
            <w:shd w:val="clear" w:color="auto" w:fill="EAEAEA"/>
          </w:tcPr>
          <w:p>
            <w:pPr>
              <w:spacing w:after="0"/>
              <w:rPr>
                <w:sz w:val="22"/>
                <w:szCs w:val="22"/>
                <w:color w:val="auto"/>
              </w:rPr>
            </w:pPr>
          </w:p>
        </w:tc>
        <w:tc>
          <w:tcPr>
            <w:tcW w:w="6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13,460</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2,335,175</w:t>
            </w:r>
          </w:p>
        </w:tc>
        <w:tc>
          <w:tcPr>
            <w:tcW w:w="0" w:type="dxa"/>
            <w:vAlign w:val="bottom"/>
          </w:tcPr>
          <w:p>
            <w:pPr>
              <w:spacing w:after="0"/>
              <w:rPr>
                <w:sz w:val="1"/>
                <w:szCs w:val="1"/>
                <w:color w:val="auto"/>
              </w:rPr>
            </w:pPr>
          </w:p>
        </w:tc>
      </w:tr>
      <w:tr>
        <w:trPr>
          <w:trHeight w:val="253"/>
        </w:trPr>
        <w:tc>
          <w:tcPr>
            <w:tcW w:w="1960" w:type="dxa"/>
            <w:vAlign w:val="bottom"/>
            <w:tcBorders>
              <w:right w:val="single" w:sz="8" w:color="EAEAEA"/>
            </w:tcBorders>
          </w:tcPr>
          <w:p>
            <w:pPr>
              <w:spacing w:after="0"/>
              <w:rPr>
                <w:sz w:val="22"/>
                <w:szCs w:val="22"/>
                <w:color w:val="auto"/>
              </w:rPr>
            </w:pPr>
          </w:p>
        </w:tc>
        <w:tc>
          <w:tcPr>
            <w:tcW w:w="7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8"/>
              </w:rPr>
              <w:t>3/10/2021</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76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14,158</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4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5"/>
              </w:rPr>
              <w:t>147.11</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3/10/2031</w:t>
            </w: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5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3,873</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4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671,927</w:t>
            </w:r>
          </w:p>
        </w:tc>
        <w:tc>
          <w:tcPr>
            <w:tcW w:w="100" w:type="dxa"/>
            <w:vAlign w:val="bottom"/>
            <w:tcBorders>
              <w:top w:val="single" w:sz="8" w:color="auto"/>
              <w:bottom w:val="single" w:sz="8" w:color="EAEAEA"/>
            </w:tcBorders>
            <w:shd w:val="clear" w:color="auto" w:fill="EAEAEA"/>
          </w:tcPr>
          <w:p>
            <w:pPr>
              <w:spacing w:after="0"/>
              <w:rPr>
                <w:sz w:val="22"/>
                <w:szCs w:val="22"/>
                <w:color w:val="auto"/>
              </w:rPr>
            </w:pPr>
          </w:p>
        </w:tc>
        <w:tc>
          <w:tcPr>
            <w:tcW w:w="6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7,746</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1,343,854</w:t>
            </w:r>
          </w:p>
        </w:tc>
        <w:tc>
          <w:tcPr>
            <w:tcW w:w="0" w:type="dxa"/>
            <w:vAlign w:val="bottom"/>
          </w:tcPr>
          <w:p>
            <w:pPr>
              <w:spacing w:after="0"/>
              <w:rPr>
                <w:sz w:val="1"/>
                <w:szCs w:val="1"/>
                <w:color w:val="auto"/>
              </w:rPr>
            </w:pPr>
          </w:p>
        </w:tc>
      </w:tr>
      <w:tr>
        <w:trPr>
          <w:trHeight w:val="253"/>
        </w:trPr>
        <w:tc>
          <w:tcPr>
            <w:tcW w:w="1960" w:type="dxa"/>
            <w:vAlign w:val="bottom"/>
            <w:tcBorders>
              <w:top w:val="single" w:sz="8" w:color="0066BA"/>
              <w:right w:val="single" w:sz="8" w:color="EAEAEA"/>
            </w:tcBorders>
          </w:tcPr>
          <w:p>
            <w:pPr>
              <w:spacing w:after="0"/>
              <w:rPr>
                <w:sz w:val="22"/>
                <w:szCs w:val="22"/>
                <w:color w:val="auto"/>
              </w:rPr>
            </w:pPr>
          </w:p>
        </w:tc>
        <w:tc>
          <w:tcPr>
            <w:tcW w:w="72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3/8/2017</w:t>
            </w: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760" w:type="dxa"/>
            <w:vAlign w:val="bottom"/>
            <w:tcBorders>
              <w:top w:val="single" w:sz="8" w:color="0066BA"/>
            </w:tcBorders>
          </w:tcPr>
          <w:p>
            <w:pPr>
              <w:jc w:val="right"/>
              <w:ind w:right="4"/>
              <w:spacing w:after="0"/>
              <w:rPr>
                <w:sz w:val="20"/>
                <w:szCs w:val="20"/>
                <w:color w:val="auto"/>
              </w:rPr>
            </w:pPr>
            <w:r>
              <w:rPr>
                <w:rFonts w:ascii="Arial" w:cs="Arial" w:eastAsia="Arial" w:hAnsi="Arial"/>
                <w:sz w:val="16"/>
                <w:szCs w:val="16"/>
                <w:color w:val="auto"/>
              </w:rPr>
              <w:t>10,638</w:t>
            </w: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82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3,910</w:t>
            </w: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82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44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83.48</w:t>
            </w: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86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3/8/2027</w:t>
            </w:r>
          </w:p>
        </w:tc>
        <w:tc>
          <w:tcPr>
            <w:tcW w:w="200" w:type="dxa"/>
            <w:vAlign w:val="bottom"/>
            <w:tcBorders>
              <w:top w:val="single" w:sz="8" w:color="0066BA"/>
            </w:tcBorders>
          </w:tcPr>
          <w:p>
            <w:pPr>
              <w:spacing w:after="0"/>
              <w:rPr>
                <w:sz w:val="22"/>
                <w:szCs w:val="22"/>
                <w:color w:val="auto"/>
              </w:rPr>
            </w:pP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52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840" w:type="dxa"/>
            <w:vAlign w:val="bottom"/>
            <w:tcBorders>
              <w:top w:val="single" w:sz="8" w:color="0066BA"/>
            </w:tcBorders>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0066BA"/>
              <w:bottom w:val="single" w:sz="8" w:color="EAEAEA"/>
            </w:tcBorders>
            <w:shd w:val="clear" w:color="auto" w:fill="EAEAEA"/>
          </w:tcPr>
          <w:p>
            <w:pPr>
              <w:spacing w:after="0"/>
              <w:rPr>
                <w:sz w:val="22"/>
                <w:szCs w:val="22"/>
                <w:color w:val="auto"/>
              </w:rPr>
            </w:pPr>
          </w:p>
        </w:tc>
        <w:tc>
          <w:tcPr>
            <w:tcW w:w="66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94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1960" w:type="dxa"/>
            <w:vAlign w:val="bottom"/>
            <w:tcBorders>
              <w:right w:val="single" w:sz="8" w:color="EAEAEA"/>
            </w:tcBorders>
          </w:tcPr>
          <w:p>
            <w:pPr>
              <w:spacing w:after="0"/>
              <w:rPr>
                <w:sz w:val="22"/>
                <w:szCs w:val="22"/>
                <w:color w:val="auto"/>
              </w:rPr>
            </w:pPr>
          </w:p>
        </w:tc>
        <w:tc>
          <w:tcPr>
            <w:tcW w:w="7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8"/>
              </w:rPr>
              <w:t>3/29/2018</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76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15,414</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5,138</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4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91.13</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3/29/2028</w:t>
            </w: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5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1,225</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4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212,525</w:t>
            </w:r>
          </w:p>
        </w:tc>
        <w:tc>
          <w:tcPr>
            <w:tcW w:w="100" w:type="dxa"/>
            <w:vAlign w:val="bottom"/>
            <w:tcBorders>
              <w:top w:val="single" w:sz="8" w:color="auto"/>
              <w:bottom w:val="single" w:sz="8" w:color="EAEAEA"/>
            </w:tcBorders>
            <w:shd w:val="clear" w:color="auto" w:fill="EAEAEA"/>
          </w:tcPr>
          <w:p>
            <w:pPr>
              <w:spacing w:after="0"/>
              <w:rPr>
                <w:sz w:val="22"/>
                <w:szCs w:val="22"/>
                <w:color w:val="auto"/>
              </w:rPr>
            </w:pPr>
          </w:p>
        </w:tc>
        <w:tc>
          <w:tcPr>
            <w:tcW w:w="6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1960" w:type="dxa"/>
            <w:vAlign w:val="bottom"/>
            <w:tcBorders>
              <w:right w:val="single" w:sz="8" w:color="EAEAEA"/>
            </w:tcBorders>
            <w:vMerge w:val="restart"/>
          </w:tcPr>
          <w:p>
            <w:pPr>
              <w:ind w:left="40"/>
              <w:spacing w:after="0"/>
              <w:rPr>
                <w:sz w:val="20"/>
                <w:szCs w:val="20"/>
                <w:color w:val="auto"/>
              </w:rPr>
            </w:pPr>
            <w:r>
              <w:rPr>
                <w:rFonts w:ascii="Arial" w:cs="Arial" w:eastAsia="Arial" w:hAnsi="Arial"/>
                <w:sz w:val="16"/>
                <w:szCs w:val="16"/>
                <w:b w:val="1"/>
                <w:bCs w:val="1"/>
                <w:color w:val="0066BA"/>
              </w:rPr>
              <w:t>John</w:t>
            </w:r>
          </w:p>
        </w:tc>
        <w:tc>
          <w:tcPr>
            <w:tcW w:w="7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8"/>
              </w:rPr>
              <w:t>9/17/2018</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76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4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106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5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834</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4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144,691</w:t>
            </w:r>
          </w:p>
        </w:tc>
        <w:tc>
          <w:tcPr>
            <w:tcW w:w="100" w:type="dxa"/>
            <w:vAlign w:val="bottom"/>
            <w:tcBorders>
              <w:top w:val="single" w:sz="8" w:color="auto"/>
              <w:bottom w:val="single" w:sz="8" w:color="EAEAEA"/>
            </w:tcBorders>
            <w:shd w:val="clear" w:color="auto" w:fill="EAEAEA"/>
          </w:tcPr>
          <w:p>
            <w:pPr>
              <w:spacing w:after="0"/>
              <w:rPr>
                <w:sz w:val="22"/>
                <w:szCs w:val="22"/>
                <w:color w:val="auto"/>
              </w:rPr>
            </w:pPr>
          </w:p>
        </w:tc>
        <w:tc>
          <w:tcPr>
            <w:tcW w:w="6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6"/>
        </w:trPr>
        <w:tc>
          <w:tcPr>
            <w:tcW w:w="1960" w:type="dxa"/>
            <w:vAlign w:val="bottom"/>
            <w:tcBorders>
              <w:right w:val="single" w:sz="8" w:color="EAEAEA"/>
            </w:tcBorders>
            <w:vMerge w:val="continue"/>
          </w:tcPr>
          <w:p>
            <w:pPr>
              <w:spacing w:after="0"/>
              <w:rPr>
                <w:sz w:val="8"/>
                <w:szCs w:val="8"/>
                <w:color w:val="auto"/>
              </w:rPr>
            </w:pPr>
          </w:p>
        </w:tc>
        <w:tc>
          <w:tcPr>
            <w:tcW w:w="72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w w:val="98"/>
              </w:rPr>
              <w:t>3/13/2019</w:t>
            </w:r>
          </w:p>
        </w:tc>
        <w:tc>
          <w:tcPr>
            <w:tcW w:w="80" w:type="dxa"/>
            <w:vAlign w:val="bottom"/>
            <w:tcBorders>
              <w:top w:val="single" w:sz="8" w:color="auto"/>
            </w:tcBorders>
            <w:shd w:val="clear" w:color="auto" w:fill="EAEAEA"/>
          </w:tcPr>
          <w:p>
            <w:pPr>
              <w:spacing w:after="0"/>
              <w:rPr>
                <w:sz w:val="8"/>
                <w:szCs w:val="8"/>
                <w:color w:val="auto"/>
              </w:rPr>
            </w:pPr>
          </w:p>
        </w:tc>
        <w:tc>
          <w:tcPr>
            <w:tcW w:w="76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6"/>
                <w:szCs w:val="16"/>
                <w:color w:val="auto"/>
              </w:rPr>
              <w:t>8,838</w:t>
            </w:r>
          </w:p>
        </w:tc>
        <w:tc>
          <w:tcPr>
            <w:tcW w:w="80" w:type="dxa"/>
            <w:vAlign w:val="bottom"/>
            <w:tcBorders>
              <w:top w:val="single" w:sz="8" w:color="auto"/>
            </w:tcBorders>
            <w:shd w:val="clear" w:color="auto" w:fill="EAEAEA"/>
          </w:tcPr>
          <w:p>
            <w:pPr>
              <w:spacing w:after="0"/>
              <w:rPr>
                <w:sz w:val="8"/>
                <w:szCs w:val="8"/>
                <w:color w:val="auto"/>
              </w:rPr>
            </w:pPr>
          </w:p>
        </w:tc>
        <w:tc>
          <w:tcPr>
            <w:tcW w:w="82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8,838</w:t>
            </w:r>
          </w:p>
        </w:tc>
        <w:tc>
          <w:tcPr>
            <w:tcW w:w="80" w:type="dxa"/>
            <w:vAlign w:val="bottom"/>
            <w:tcBorders>
              <w:top w:val="single" w:sz="8" w:color="auto"/>
            </w:tcBorders>
            <w:shd w:val="clear" w:color="auto" w:fill="EAEAEA"/>
          </w:tcPr>
          <w:p>
            <w:pPr>
              <w:spacing w:after="0"/>
              <w:rPr>
                <w:sz w:val="8"/>
                <w:szCs w:val="8"/>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shd w:val="clear" w:color="auto" w:fill="EAEAEA"/>
          </w:tcPr>
          <w:p>
            <w:pPr>
              <w:spacing w:after="0"/>
              <w:rPr>
                <w:sz w:val="8"/>
                <w:szCs w:val="8"/>
                <w:color w:val="auto"/>
              </w:rPr>
            </w:pPr>
          </w:p>
        </w:tc>
        <w:tc>
          <w:tcPr>
            <w:tcW w:w="44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w w:val="85"/>
              </w:rPr>
              <w:t>108.08</w:t>
            </w:r>
          </w:p>
        </w:tc>
        <w:tc>
          <w:tcPr>
            <w:tcW w:w="80" w:type="dxa"/>
            <w:vAlign w:val="bottom"/>
            <w:tcBorders>
              <w:top w:val="single" w:sz="8" w:color="auto"/>
            </w:tcBorders>
            <w:shd w:val="clear" w:color="auto" w:fill="EAEAEA"/>
          </w:tcPr>
          <w:p>
            <w:pPr>
              <w:spacing w:after="0"/>
              <w:rPr>
                <w:sz w:val="8"/>
                <w:szCs w:val="8"/>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3/13/2029</w:t>
            </w:r>
          </w:p>
        </w:tc>
        <w:tc>
          <w:tcPr>
            <w:tcW w:w="200" w:type="dxa"/>
            <w:vAlign w:val="bottom"/>
            <w:tcBorders>
              <w:top w:val="single" w:sz="8" w:color="auto"/>
            </w:tcBorders>
          </w:tcPr>
          <w:p>
            <w:pPr>
              <w:spacing w:after="0"/>
              <w:rPr>
                <w:sz w:val="8"/>
                <w:szCs w:val="8"/>
                <w:color w:val="auto"/>
              </w:rPr>
            </w:pPr>
          </w:p>
        </w:tc>
        <w:tc>
          <w:tcPr>
            <w:tcW w:w="80" w:type="dxa"/>
            <w:vAlign w:val="bottom"/>
            <w:tcBorders>
              <w:top w:val="single" w:sz="8" w:color="auto"/>
            </w:tcBorders>
            <w:shd w:val="clear" w:color="auto" w:fill="EAEAEA"/>
          </w:tcPr>
          <w:p>
            <w:pPr>
              <w:spacing w:after="0"/>
              <w:rPr>
                <w:sz w:val="8"/>
                <w:szCs w:val="8"/>
                <w:color w:val="auto"/>
              </w:rPr>
            </w:pPr>
          </w:p>
        </w:tc>
        <w:tc>
          <w:tcPr>
            <w:tcW w:w="52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1,996</w:t>
            </w:r>
          </w:p>
        </w:tc>
        <w:tc>
          <w:tcPr>
            <w:tcW w:w="80" w:type="dxa"/>
            <w:vAlign w:val="bottom"/>
            <w:tcBorders>
              <w:top w:val="single" w:sz="8" w:color="auto"/>
            </w:tcBorders>
            <w:shd w:val="clear" w:color="auto" w:fill="EAEAEA"/>
          </w:tcPr>
          <w:p>
            <w:pPr>
              <w:spacing w:after="0"/>
              <w:rPr>
                <w:sz w:val="8"/>
                <w:szCs w:val="8"/>
                <w:color w:val="auto"/>
              </w:rPr>
            </w:pPr>
          </w:p>
        </w:tc>
        <w:tc>
          <w:tcPr>
            <w:tcW w:w="84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6"/>
                <w:szCs w:val="16"/>
                <w:color w:val="auto"/>
              </w:rPr>
              <w:t>346,286</w:t>
            </w:r>
          </w:p>
        </w:tc>
        <w:tc>
          <w:tcPr>
            <w:tcW w:w="100" w:type="dxa"/>
            <w:vAlign w:val="bottom"/>
            <w:tcBorders>
              <w:top w:val="single" w:sz="8" w:color="auto"/>
            </w:tcBorders>
            <w:shd w:val="clear" w:color="auto" w:fill="EAEAEA"/>
          </w:tcPr>
          <w:p>
            <w:pPr>
              <w:spacing w:after="0"/>
              <w:rPr>
                <w:sz w:val="8"/>
                <w:szCs w:val="8"/>
                <w:color w:val="auto"/>
              </w:rPr>
            </w:pPr>
          </w:p>
        </w:tc>
        <w:tc>
          <w:tcPr>
            <w:tcW w:w="66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7,984</w:t>
            </w:r>
          </w:p>
        </w:tc>
        <w:tc>
          <w:tcPr>
            <w:tcW w:w="80" w:type="dxa"/>
            <w:vAlign w:val="bottom"/>
            <w:tcBorders>
              <w:top w:val="single" w:sz="8" w:color="auto"/>
            </w:tcBorders>
            <w:shd w:val="clear" w:color="auto" w:fill="EAEAEA"/>
          </w:tcPr>
          <w:p>
            <w:pPr>
              <w:spacing w:after="0"/>
              <w:rPr>
                <w:sz w:val="8"/>
                <w:szCs w:val="8"/>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1,385,144</w:t>
            </w:r>
          </w:p>
        </w:tc>
        <w:tc>
          <w:tcPr>
            <w:tcW w:w="0" w:type="dxa"/>
            <w:vAlign w:val="bottom"/>
          </w:tcPr>
          <w:p>
            <w:pPr>
              <w:spacing w:after="0"/>
              <w:rPr>
                <w:sz w:val="1"/>
                <w:szCs w:val="1"/>
                <w:color w:val="auto"/>
              </w:rPr>
            </w:pPr>
          </w:p>
        </w:tc>
      </w:tr>
      <w:tr>
        <w:trPr>
          <w:trHeight w:val="157"/>
        </w:trPr>
        <w:tc>
          <w:tcPr>
            <w:tcW w:w="1960" w:type="dxa"/>
            <w:vAlign w:val="bottom"/>
            <w:tcBorders>
              <w:right w:val="single" w:sz="8" w:color="EAEAEA"/>
            </w:tcBorders>
          </w:tcPr>
          <w:p>
            <w:pPr>
              <w:ind w:left="40"/>
              <w:spacing w:after="0" w:line="137" w:lineRule="exact"/>
              <w:rPr>
                <w:sz w:val="20"/>
                <w:szCs w:val="20"/>
                <w:color w:val="auto"/>
              </w:rPr>
            </w:pPr>
            <w:r>
              <w:rPr>
                <w:rFonts w:ascii="Arial" w:cs="Arial" w:eastAsia="Arial" w:hAnsi="Arial"/>
                <w:sz w:val="14"/>
                <w:szCs w:val="14"/>
                <w:b w:val="1"/>
                <w:bCs w:val="1"/>
                <w:color w:val="0066BA"/>
              </w:rPr>
              <w:t>Hassett</w:t>
            </w:r>
          </w:p>
        </w:tc>
        <w:tc>
          <w:tcPr>
            <w:tcW w:w="720" w:type="dxa"/>
            <w:vAlign w:val="bottom"/>
            <w:tcBorders>
              <w:bottom w:val="single" w:sz="8" w:color="EAEAEA"/>
            </w:tcBorders>
            <w:vMerge w:val="continue"/>
            <w:shd w:val="clear" w:color="auto" w:fill="EAEAEA"/>
          </w:tcPr>
          <w:p>
            <w:pPr>
              <w:spacing w:after="0"/>
              <w:rPr>
                <w:sz w:val="13"/>
                <w:szCs w:val="13"/>
                <w:color w:val="auto"/>
              </w:rPr>
            </w:pPr>
          </w:p>
        </w:tc>
        <w:tc>
          <w:tcPr>
            <w:tcW w:w="80" w:type="dxa"/>
            <w:vAlign w:val="bottom"/>
            <w:tcBorders>
              <w:bottom w:val="single" w:sz="8" w:color="EAEAEA"/>
            </w:tcBorders>
            <w:shd w:val="clear" w:color="auto" w:fill="EAEAEA"/>
          </w:tcPr>
          <w:p>
            <w:pPr>
              <w:spacing w:after="0"/>
              <w:rPr>
                <w:sz w:val="13"/>
                <w:szCs w:val="13"/>
                <w:color w:val="auto"/>
              </w:rPr>
            </w:pPr>
          </w:p>
        </w:tc>
        <w:tc>
          <w:tcPr>
            <w:tcW w:w="760" w:type="dxa"/>
            <w:vAlign w:val="bottom"/>
            <w:vMerge w:val="continue"/>
          </w:tcPr>
          <w:p>
            <w:pPr>
              <w:spacing w:after="0"/>
              <w:rPr>
                <w:sz w:val="13"/>
                <w:szCs w:val="13"/>
                <w:color w:val="auto"/>
              </w:rPr>
            </w:pPr>
          </w:p>
        </w:tc>
        <w:tc>
          <w:tcPr>
            <w:tcW w:w="80" w:type="dxa"/>
            <w:vAlign w:val="bottom"/>
            <w:tcBorders>
              <w:bottom w:val="single" w:sz="8" w:color="EAEAEA"/>
            </w:tcBorders>
            <w:shd w:val="clear" w:color="auto" w:fill="EAEAEA"/>
          </w:tcPr>
          <w:p>
            <w:pPr>
              <w:spacing w:after="0"/>
              <w:rPr>
                <w:sz w:val="13"/>
                <w:szCs w:val="13"/>
                <w:color w:val="auto"/>
              </w:rPr>
            </w:pPr>
          </w:p>
        </w:tc>
        <w:tc>
          <w:tcPr>
            <w:tcW w:w="820" w:type="dxa"/>
            <w:vAlign w:val="bottom"/>
            <w:tcBorders>
              <w:bottom w:val="single" w:sz="8" w:color="EAEAEA"/>
            </w:tcBorders>
            <w:vMerge w:val="continue"/>
            <w:shd w:val="clear" w:color="auto" w:fill="EAEAEA"/>
          </w:tcPr>
          <w:p>
            <w:pPr>
              <w:spacing w:after="0"/>
              <w:rPr>
                <w:sz w:val="13"/>
                <w:szCs w:val="13"/>
                <w:color w:val="auto"/>
              </w:rPr>
            </w:pPr>
          </w:p>
        </w:tc>
        <w:tc>
          <w:tcPr>
            <w:tcW w:w="80" w:type="dxa"/>
            <w:vAlign w:val="bottom"/>
            <w:tcBorders>
              <w:bottom w:val="single" w:sz="8" w:color="EAEAEA"/>
            </w:tcBorders>
            <w:shd w:val="clear" w:color="auto" w:fill="EAEAEA"/>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Borders>
              <w:bottom w:val="single" w:sz="8" w:color="EAEAEA"/>
            </w:tcBorders>
            <w:shd w:val="clear" w:color="auto" w:fill="EAEAEA"/>
          </w:tcPr>
          <w:p>
            <w:pPr>
              <w:spacing w:after="0"/>
              <w:rPr>
                <w:sz w:val="13"/>
                <w:szCs w:val="13"/>
                <w:color w:val="auto"/>
              </w:rPr>
            </w:pPr>
          </w:p>
        </w:tc>
        <w:tc>
          <w:tcPr>
            <w:tcW w:w="440" w:type="dxa"/>
            <w:vAlign w:val="bottom"/>
            <w:tcBorders>
              <w:bottom w:val="single" w:sz="8" w:color="EAEAEA"/>
            </w:tcBorders>
            <w:vMerge w:val="continue"/>
            <w:shd w:val="clear" w:color="auto" w:fill="EAEAEA"/>
          </w:tcPr>
          <w:p>
            <w:pPr>
              <w:spacing w:after="0"/>
              <w:rPr>
                <w:sz w:val="13"/>
                <w:szCs w:val="13"/>
                <w:color w:val="auto"/>
              </w:rPr>
            </w:pPr>
          </w:p>
        </w:tc>
        <w:tc>
          <w:tcPr>
            <w:tcW w:w="80" w:type="dxa"/>
            <w:vAlign w:val="bottom"/>
            <w:tcBorders>
              <w:bottom w:val="single" w:sz="8" w:color="EAEAEA"/>
            </w:tcBorders>
            <w:shd w:val="clear" w:color="auto" w:fill="EAEAEA"/>
          </w:tcPr>
          <w:p>
            <w:pPr>
              <w:spacing w:after="0"/>
              <w:rPr>
                <w:sz w:val="13"/>
                <w:szCs w:val="13"/>
                <w:color w:val="auto"/>
              </w:rPr>
            </w:pPr>
          </w:p>
        </w:tc>
        <w:tc>
          <w:tcPr>
            <w:tcW w:w="8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EAEAEA"/>
            </w:tcBorders>
            <w:shd w:val="clear" w:color="auto" w:fill="EAEAEA"/>
          </w:tcPr>
          <w:p>
            <w:pPr>
              <w:spacing w:after="0"/>
              <w:rPr>
                <w:sz w:val="13"/>
                <w:szCs w:val="13"/>
                <w:color w:val="auto"/>
              </w:rPr>
            </w:pPr>
          </w:p>
        </w:tc>
        <w:tc>
          <w:tcPr>
            <w:tcW w:w="520" w:type="dxa"/>
            <w:vAlign w:val="bottom"/>
            <w:tcBorders>
              <w:bottom w:val="single" w:sz="8" w:color="EAEAEA"/>
            </w:tcBorders>
            <w:vMerge w:val="continue"/>
            <w:shd w:val="clear" w:color="auto" w:fill="EAEAEA"/>
          </w:tcPr>
          <w:p>
            <w:pPr>
              <w:spacing w:after="0"/>
              <w:rPr>
                <w:sz w:val="13"/>
                <w:szCs w:val="13"/>
                <w:color w:val="auto"/>
              </w:rPr>
            </w:pPr>
          </w:p>
        </w:tc>
        <w:tc>
          <w:tcPr>
            <w:tcW w:w="80" w:type="dxa"/>
            <w:vAlign w:val="bottom"/>
            <w:tcBorders>
              <w:bottom w:val="single" w:sz="8" w:color="EAEAEA"/>
            </w:tcBorders>
            <w:shd w:val="clear" w:color="auto" w:fill="EAEAEA"/>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Borders>
              <w:bottom w:val="single" w:sz="8" w:color="EAEAEA"/>
            </w:tcBorders>
            <w:shd w:val="clear" w:color="auto" w:fill="EAEAEA"/>
          </w:tcPr>
          <w:p>
            <w:pPr>
              <w:spacing w:after="0"/>
              <w:rPr>
                <w:sz w:val="13"/>
                <w:szCs w:val="13"/>
                <w:color w:val="auto"/>
              </w:rPr>
            </w:pPr>
          </w:p>
        </w:tc>
        <w:tc>
          <w:tcPr>
            <w:tcW w:w="660" w:type="dxa"/>
            <w:vAlign w:val="bottom"/>
            <w:tcBorders>
              <w:bottom w:val="single" w:sz="8" w:color="EAEAEA"/>
            </w:tcBorders>
            <w:vMerge w:val="continue"/>
            <w:shd w:val="clear" w:color="auto" w:fill="EAEAEA"/>
          </w:tcPr>
          <w:p>
            <w:pPr>
              <w:spacing w:after="0"/>
              <w:rPr>
                <w:sz w:val="13"/>
                <w:szCs w:val="13"/>
                <w:color w:val="auto"/>
              </w:rPr>
            </w:pPr>
          </w:p>
        </w:tc>
        <w:tc>
          <w:tcPr>
            <w:tcW w:w="80" w:type="dxa"/>
            <w:vAlign w:val="bottom"/>
            <w:tcBorders>
              <w:bottom w:val="single" w:sz="8" w:color="EAEAEA"/>
            </w:tcBorders>
            <w:shd w:val="clear" w:color="auto" w:fill="EAEAEA"/>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1960" w:type="dxa"/>
            <w:vAlign w:val="bottom"/>
            <w:tcBorders>
              <w:right w:val="single" w:sz="8" w:color="EAEAEA"/>
            </w:tcBorders>
          </w:tcPr>
          <w:p>
            <w:pPr>
              <w:spacing w:after="0"/>
              <w:rPr>
                <w:sz w:val="22"/>
                <w:szCs w:val="22"/>
                <w:color w:val="auto"/>
              </w:rPr>
            </w:pPr>
          </w:p>
        </w:tc>
        <w:tc>
          <w:tcPr>
            <w:tcW w:w="7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8"/>
              </w:rPr>
              <w:t>3/11/2020</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76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6,058</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18,174</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4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94.41</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3/11/2030</w:t>
            </w: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5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3,696</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4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641,219</w:t>
            </w:r>
          </w:p>
        </w:tc>
        <w:tc>
          <w:tcPr>
            <w:tcW w:w="100" w:type="dxa"/>
            <w:vAlign w:val="bottom"/>
            <w:tcBorders>
              <w:top w:val="single" w:sz="8" w:color="auto"/>
              <w:bottom w:val="single" w:sz="8" w:color="EAEAEA"/>
            </w:tcBorders>
            <w:shd w:val="clear" w:color="auto" w:fill="EAEAEA"/>
          </w:tcPr>
          <w:p>
            <w:pPr>
              <w:spacing w:after="0"/>
              <w:rPr>
                <w:sz w:val="22"/>
                <w:szCs w:val="22"/>
                <w:color w:val="auto"/>
              </w:rPr>
            </w:pPr>
          </w:p>
        </w:tc>
        <w:tc>
          <w:tcPr>
            <w:tcW w:w="6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9,854</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1,709,570</w:t>
            </w:r>
          </w:p>
        </w:tc>
        <w:tc>
          <w:tcPr>
            <w:tcW w:w="0" w:type="dxa"/>
            <w:vAlign w:val="bottom"/>
          </w:tcPr>
          <w:p>
            <w:pPr>
              <w:spacing w:after="0"/>
              <w:rPr>
                <w:sz w:val="1"/>
                <w:szCs w:val="1"/>
                <w:color w:val="auto"/>
              </w:rPr>
            </w:pPr>
          </w:p>
        </w:tc>
      </w:tr>
      <w:tr>
        <w:trPr>
          <w:trHeight w:val="253"/>
        </w:trPr>
        <w:tc>
          <w:tcPr>
            <w:tcW w:w="1960" w:type="dxa"/>
            <w:vAlign w:val="bottom"/>
            <w:tcBorders>
              <w:right w:val="single" w:sz="8" w:color="EAEAEA"/>
            </w:tcBorders>
          </w:tcPr>
          <w:p>
            <w:pPr>
              <w:spacing w:after="0"/>
              <w:rPr>
                <w:sz w:val="22"/>
                <w:szCs w:val="22"/>
                <w:color w:val="auto"/>
              </w:rPr>
            </w:pPr>
          </w:p>
        </w:tc>
        <w:tc>
          <w:tcPr>
            <w:tcW w:w="7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12/15/2020</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76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4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106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5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4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EAEAEA"/>
            </w:tcBorders>
            <w:shd w:val="clear" w:color="auto" w:fill="EAEAEA"/>
          </w:tcPr>
          <w:p>
            <w:pPr>
              <w:spacing w:after="0"/>
              <w:rPr>
                <w:sz w:val="22"/>
                <w:szCs w:val="22"/>
                <w:color w:val="auto"/>
              </w:rPr>
            </w:pPr>
          </w:p>
        </w:tc>
        <w:tc>
          <w:tcPr>
            <w:tcW w:w="6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13,460</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2,335,175</w:t>
            </w:r>
          </w:p>
        </w:tc>
        <w:tc>
          <w:tcPr>
            <w:tcW w:w="0" w:type="dxa"/>
            <w:vAlign w:val="bottom"/>
          </w:tcPr>
          <w:p>
            <w:pPr>
              <w:spacing w:after="0"/>
              <w:rPr>
                <w:sz w:val="1"/>
                <w:szCs w:val="1"/>
                <w:color w:val="auto"/>
              </w:rPr>
            </w:pPr>
          </w:p>
        </w:tc>
      </w:tr>
      <w:tr>
        <w:trPr>
          <w:trHeight w:val="253"/>
        </w:trPr>
        <w:tc>
          <w:tcPr>
            <w:tcW w:w="1960" w:type="dxa"/>
            <w:vAlign w:val="bottom"/>
            <w:tcBorders>
              <w:right w:val="single" w:sz="8" w:color="EAEAEA"/>
            </w:tcBorders>
          </w:tcPr>
          <w:p>
            <w:pPr>
              <w:spacing w:after="0"/>
              <w:rPr>
                <w:sz w:val="22"/>
                <w:szCs w:val="22"/>
                <w:color w:val="auto"/>
              </w:rPr>
            </w:pPr>
          </w:p>
        </w:tc>
        <w:tc>
          <w:tcPr>
            <w:tcW w:w="7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8"/>
              </w:rPr>
              <w:t>3/10/2021</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76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14,158</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4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5"/>
              </w:rPr>
              <w:t>147.11</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3/10/2031</w:t>
            </w: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5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3,873</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4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671,927</w:t>
            </w:r>
          </w:p>
        </w:tc>
        <w:tc>
          <w:tcPr>
            <w:tcW w:w="100" w:type="dxa"/>
            <w:vAlign w:val="bottom"/>
            <w:tcBorders>
              <w:top w:val="single" w:sz="8" w:color="auto"/>
              <w:bottom w:val="single" w:sz="8" w:color="EAEAEA"/>
            </w:tcBorders>
            <w:shd w:val="clear" w:color="auto" w:fill="EAEAEA"/>
          </w:tcPr>
          <w:p>
            <w:pPr>
              <w:spacing w:after="0"/>
              <w:rPr>
                <w:sz w:val="22"/>
                <w:szCs w:val="22"/>
                <w:color w:val="auto"/>
              </w:rPr>
            </w:pPr>
          </w:p>
        </w:tc>
        <w:tc>
          <w:tcPr>
            <w:tcW w:w="6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7,746</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1,343,854</w:t>
            </w:r>
          </w:p>
        </w:tc>
        <w:tc>
          <w:tcPr>
            <w:tcW w:w="0" w:type="dxa"/>
            <w:vAlign w:val="bottom"/>
          </w:tcPr>
          <w:p>
            <w:pPr>
              <w:spacing w:after="0"/>
              <w:rPr>
                <w:sz w:val="1"/>
                <w:szCs w:val="1"/>
                <w:color w:val="auto"/>
              </w:rPr>
            </w:pPr>
          </w:p>
        </w:tc>
      </w:tr>
      <w:tr>
        <w:trPr>
          <w:trHeight w:val="253"/>
        </w:trPr>
        <w:tc>
          <w:tcPr>
            <w:tcW w:w="1960" w:type="dxa"/>
            <w:vAlign w:val="bottom"/>
            <w:tcBorders>
              <w:top w:val="single" w:sz="8" w:color="0066BA"/>
              <w:right w:val="single" w:sz="8" w:color="EAEAEA"/>
            </w:tcBorders>
          </w:tcPr>
          <w:p>
            <w:pPr>
              <w:spacing w:after="0"/>
              <w:rPr>
                <w:sz w:val="22"/>
                <w:szCs w:val="22"/>
                <w:color w:val="auto"/>
              </w:rPr>
            </w:pPr>
          </w:p>
        </w:tc>
        <w:tc>
          <w:tcPr>
            <w:tcW w:w="72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3/8/2017</w:t>
            </w: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760" w:type="dxa"/>
            <w:vAlign w:val="bottom"/>
            <w:tcBorders>
              <w:top w:val="single" w:sz="8" w:color="0066BA"/>
            </w:tcBorders>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82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1,173</w:t>
            </w: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820" w:type="dxa"/>
            <w:vAlign w:val="bottom"/>
            <w:tcBorders>
              <w:top w:val="single" w:sz="8" w:color="0066BA"/>
            </w:tcBorders>
          </w:tcPr>
          <w:p>
            <w:pPr>
              <w:spacing w:after="0"/>
              <w:rPr>
                <w:sz w:val="22"/>
                <w:szCs w:val="22"/>
                <w:color w:val="auto"/>
              </w:rPr>
            </w:pP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44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83.48</w:t>
            </w: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86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3/8/2027</w:t>
            </w:r>
          </w:p>
        </w:tc>
        <w:tc>
          <w:tcPr>
            <w:tcW w:w="200" w:type="dxa"/>
            <w:vAlign w:val="bottom"/>
            <w:tcBorders>
              <w:top w:val="single" w:sz="8" w:color="0066BA"/>
            </w:tcBorders>
          </w:tcPr>
          <w:p>
            <w:pPr>
              <w:spacing w:after="0"/>
              <w:rPr>
                <w:sz w:val="22"/>
                <w:szCs w:val="22"/>
                <w:color w:val="auto"/>
              </w:rPr>
            </w:pP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52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840" w:type="dxa"/>
            <w:vAlign w:val="bottom"/>
            <w:tcBorders>
              <w:top w:val="single" w:sz="8" w:color="0066BA"/>
            </w:tcBorders>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0066BA"/>
              <w:bottom w:val="single" w:sz="8" w:color="EAEAEA"/>
            </w:tcBorders>
            <w:shd w:val="clear" w:color="auto" w:fill="EAEAEA"/>
          </w:tcPr>
          <w:p>
            <w:pPr>
              <w:spacing w:after="0"/>
              <w:rPr>
                <w:sz w:val="22"/>
                <w:szCs w:val="22"/>
                <w:color w:val="auto"/>
              </w:rPr>
            </w:pPr>
          </w:p>
        </w:tc>
        <w:tc>
          <w:tcPr>
            <w:tcW w:w="660" w:type="dxa"/>
            <w:vAlign w:val="bottom"/>
            <w:tcBorders>
              <w:top w:val="single" w:sz="8" w:color="0066BA"/>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0066BA"/>
              <w:bottom w:val="single" w:sz="8" w:color="EAEAEA"/>
            </w:tcBorders>
            <w:shd w:val="clear" w:color="auto" w:fill="EAEAEA"/>
          </w:tcPr>
          <w:p>
            <w:pPr>
              <w:spacing w:after="0"/>
              <w:rPr>
                <w:sz w:val="22"/>
                <w:szCs w:val="22"/>
                <w:color w:val="auto"/>
              </w:rPr>
            </w:pPr>
          </w:p>
        </w:tc>
        <w:tc>
          <w:tcPr>
            <w:tcW w:w="940" w:type="dxa"/>
            <w:vAlign w:val="bottom"/>
            <w:tcBorders>
              <w:top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1960" w:type="dxa"/>
            <w:vAlign w:val="bottom"/>
            <w:tcBorders>
              <w:right w:val="single" w:sz="8" w:color="EAEAEA"/>
            </w:tcBorders>
          </w:tcPr>
          <w:p>
            <w:pPr>
              <w:spacing w:after="0"/>
              <w:rPr>
                <w:sz w:val="22"/>
                <w:szCs w:val="22"/>
                <w:color w:val="auto"/>
              </w:rPr>
            </w:pPr>
          </w:p>
        </w:tc>
        <w:tc>
          <w:tcPr>
            <w:tcW w:w="7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8"/>
              </w:rPr>
              <w:t>6/15/2017</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76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6,079</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4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79.75</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6/15/2027</w:t>
            </w: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5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4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EAEAEA"/>
            </w:tcBorders>
            <w:shd w:val="clear" w:color="auto" w:fill="EAEAEA"/>
          </w:tcPr>
          <w:p>
            <w:pPr>
              <w:spacing w:after="0"/>
              <w:rPr>
                <w:sz w:val="22"/>
                <w:szCs w:val="22"/>
                <w:color w:val="auto"/>
              </w:rPr>
            </w:pPr>
          </w:p>
        </w:tc>
        <w:tc>
          <w:tcPr>
            <w:tcW w:w="6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1960" w:type="dxa"/>
            <w:vAlign w:val="bottom"/>
            <w:tcBorders>
              <w:right w:val="single" w:sz="8" w:color="EAEAEA"/>
            </w:tcBorders>
            <w:vMerge w:val="restart"/>
          </w:tcPr>
          <w:p>
            <w:pPr>
              <w:ind w:left="40"/>
              <w:spacing w:after="0"/>
              <w:rPr>
                <w:sz w:val="20"/>
                <w:szCs w:val="20"/>
                <w:color w:val="auto"/>
              </w:rPr>
            </w:pPr>
            <w:r>
              <w:rPr>
                <w:rFonts w:ascii="Arial" w:cs="Arial" w:eastAsia="Arial" w:hAnsi="Arial"/>
                <w:sz w:val="16"/>
                <w:szCs w:val="16"/>
                <w:b w:val="1"/>
                <w:bCs w:val="1"/>
                <w:color w:val="0066BA"/>
              </w:rPr>
              <w:t>Greg</w:t>
            </w:r>
          </w:p>
        </w:tc>
        <w:tc>
          <w:tcPr>
            <w:tcW w:w="7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8"/>
              </w:rPr>
              <w:t>3/29/2018</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76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5,929</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4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91.13</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3/29/2028</w:t>
            </w: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5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1,413</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4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245,141</w:t>
            </w:r>
          </w:p>
        </w:tc>
        <w:tc>
          <w:tcPr>
            <w:tcW w:w="100" w:type="dxa"/>
            <w:vAlign w:val="bottom"/>
            <w:tcBorders>
              <w:top w:val="single" w:sz="8" w:color="auto"/>
              <w:bottom w:val="single" w:sz="8" w:color="EAEAEA"/>
            </w:tcBorders>
            <w:shd w:val="clear" w:color="auto" w:fill="EAEAEA"/>
          </w:tcPr>
          <w:p>
            <w:pPr>
              <w:spacing w:after="0"/>
              <w:rPr>
                <w:sz w:val="22"/>
                <w:szCs w:val="22"/>
                <w:color w:val="auto"/>
              </w:rPr>
            </w:pPr>
          </w:p>
        </w:tc>
        <w:tc>
          <w:tcPr>
            <w:tcW w:w="6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6"/>
        </w:trPr>
        <w:tc>
          <w:tcPr>
            <w:tcW w:w="1960" w:type="dxa"/>
            <w:vAlign w:val="bottom"/>
            <w:tcBorders>
              <w:right w:val="single" w:sz="8" w:color="EAEAEA"/>
            </w:tcBorders>
            <w:vMerge w:val="continue"/>
          </w:tcPr>
          <w:p>
            <w:pPr>
              <w:spacing w:after="0"/>
              <w:rPr>
                <w:sz w:val="8"/>
                <w:szCs w:val="8"/>
                <w:color w:val="auto"/>
              </w:rPr>
            </w:pPr>
          </w:p>
        </w:tc>
        <w:tc>
          <w:tcPr>
            <w:tcW w:w="72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w w:val="98"/>
              </w:rPr>
              <w:t>3/13/2019</w:t>
            </w:r>
          </w:p>
        </w:tc>
        <w:tc>
          <w:tcPr>
            <w:tcW w:w="80" w:type="dxa"/>
            <w:vAlign w:val="bottom"/>
            <w:tcBorders>
              <w:top w:val="single" w:sz="8" w:color="auto"/>
            </w:tcBorders>
            <w:shd w:val="clear" w:color="auto" w:fill="EAEAEA"/>
          </w:tcPr>
          <w:p>
            <w:pPr>
              <w:spacing w:after="0"/>
              <w:rPr>
                <w:sz w:val="8"/>
                <w:szCs w:val="8"/>
                <w:color w:val="auto"/>
              </w:rPr>
            </w:pPr>
          </w:p>
        </w:tc>
        <w:tc>
          <w:tcPr>
            <w:tcW w:w="76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6"/>
                <w:szCs w:val="16"/>
                <w:color w:val="auto"/>
              </w:rPr>
              <w:t>8,838</w:t>
            </w:r>
          </w:p>
        </w:tc>
        <w:tc>
          <w:tcPr>
            <w:tcW w:w="80" w:type="dxa"/>
            <w:vAlign w:val="bottom"/>
            <w:tcBorders>
              <w:top w:val="single" w:sz="8" w:color="auto"/>
            </w:tcBorders>
            <w:shd w:val="clear" w:color="auto" w:fill="EAEAEA"/>
          </w:tcPr>
          <w:p>
            <w:pPr>
              <w:spacing w:after="0"/>
              <w:rPr>
                <w:sz w:val="8"/>
                <w:szCs w:val="8"/>
                <w:color w:val="auto"/>
              </w:rPr>
            </w:pPr>
          </w:p>
        </w:tc>
        <w:tc>
          <w:tcPr>
            <w:tcW w:w="82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8,838</w:t>
            </w:r>
          </w:p>
        </w:tc>
        <w:tc>
          <w:tcPr>
            <w:tcW w:w="80" w:type="dxa"/>
            <w:vAlign w:val="bottom"/>
            <w:tcBorders>
              <w:top w:val="single" w:sz="8" w:color="auto"/>
            </w:tcBorders>
            <w:shd w:val="clear" w:color="auto" w:fill="EAEAEA"/>
          </w:tcPr>
          <w:p>
            <w:pPr>
              <w:spacing w:after="0"/>
              <w:rPr>
                <w:sz w:val="8"/>
                <w:szCs w:val="8"/>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tcBorders>
            <w:shd w:val="clear" w:color="auto" w:fill="EAEAEA"/>
          </w:tcPr>
          <w:p>
            <w:pPr>
              <w:spacing w:after="0"/>
              <w:rPr>
                <w:sz w:val="8"/>
                <w:szCs w:val="8"/>
                <w:color w:val="auto"/>
              </w:rPr>
            </w:pPr>
          </w:p>
        </w:tc>
        <w:tc>
          <w:tcPr>
            <w:tcW w:w="44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w w:val="85"/>
              </w:rPr>
              <w:t>108.08</w:t>
            </w:r>
          </w:p>
        </w:tc>
        <w:tc>
          <w:tcPr>
            <w:tcW w:w="80" w:type="dxa"/>
            <w:vAlign w:val="bottom"/>
            <w:tcBorders>
              <w:top w:val="single" w:sz="8" w:color="auto"/>
            </w:tcBorders>
            <w:shd w:val="clear" w:color="auto" w:fill="EAEAEA"/>
          </w:tcPr>
          <w:p>
            <w:pPr>
              <w:spacing w:after="0"/>
              <w:rPr>
                <w:sz w:val="8"/>
                <w:szCs w:val="8"/>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3/13/2029</w:t>
            </w:r>
          </w:p>
        </w:tc>
        <w:tc>
          <w:tcPr>
            <w:tcW w:w="200" w:type="dxa"/>
            <w:vAlign w:val="bottom"/>
            <w:tcBorders>
              <w:top w:val="single" w:sz="8" w:color="auto"/>
            </w:tcBorders>
          </w:tcPr>
          <w:p>
            <w:pPr>
              <w:spacing w:after="0"/>
              <w:rPr>
                <w:sz w:val="8"/>
                <w:szCs w:val="8"/>
                <w:color w:val="auto"/>
              </w:rPr>
            </w:pPr>
          </w:p>
        </w:tc>
        <w:tc>
          <w:tcPr>
            <w:tcW w:w="80" w:type="dxa"/>
            <w:vAlign w:val="bottom"/>
            <w:tcBorders>
              <w:top w:val="single" w:sz="8" w:color="auto"/>
            </w:tcBorders>
            <w:shd w:val="clear" w:color="auto" w:fill="EAEAEA"/>
          </w:tcPr>
          <w:p>
            <w:pPr>
              <w:spacing w:after="0"/>
              <w:rPr>
                <w:sz w:val="8"/>
                <w:szCs w:val="8"/>
                <w:color w:val="auto"/>
              </w:rPr>
            </w:pPr>
          </w:p>
        </w:tc>
        <w:tc>
          <w:tcPr>
            <w:tcW w:w="52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1,996</w:t>
            </w:r>
          </w:p>
        </w:tc>
        <w:tc>
          <w:tcPr>
            <w:tcW w:w="80" w:type="dxa"/>
            <w:vAlign w:val="bottom"/>
            <w:tcBorders>
              <w:top w:val="single" w:sz="8" w:color="auto"/>
            </w:tcBorders>
            <w:shd w:val="clear" w:color="auto" w:fill="EAEAEA"/>
          </w:tcPr>
          <w:p>
            <w:pPr>
              <w:spacing w:after="0"/>
              <w:rPr>
                <w:sz w:val="8"/>
                <w:szCs w:val="8"/>
                <w:color w:val="auto"/>
              </w:rPr>
            </w:pPr>
          </w:p>
        </w:tc>
        <w:tc>
          <w:tcPr>
            <w:tcW w:w="840" w:type="dxa"/>
            <w:vAlign w:val="bottom"/>
            <w:tcBorders>
              <w:top w:val="single" w:sz="8" w:color="auto"/>
            </w:tcBorders>
            <w:vMerge w:val="restart"/>
          </w:tcPr>
          <w:p>
            <w:pPr>
              <w:jc w:val="right"/>
              <w:ind w:right="4"/>
              <w:spacing w:after="0"/>
              <w:rPr>
                <w:sz w:val="20"/>
                <w:szCs w:val="20"/>
                <w:color w:val="auto"/>
              </w:rPr>
            </w:pPr>
            <w:r>
              <w:rPr>
                <w:rFonts w:ascii="Arial" w:cs="Arial" w:eastAsia="Arial" w:hAnsi="Arial"/>
                <w:sz w:val="16"/>
                <w:szCs w:val="16"/>
                <w:color w:val="auto"/>
              </w:rPr>
              <w:t>346,286</w:t>
            </w:r>
          </w:p>
        </w:tc>
        <w:tc>
          <w:tcPr>
            <w:tcW w:w="100" w:type="dxa"/>
            <w:vAlign w:val="bottom"/>
            <w:tcBorders>
              <w:top w:val="single" w:sz="8" w:color="auto"/>
            </w:tcBorders>
            <w:shd w:val="clear" w:color="auto" w:fill="EAEAEA"/>
          </w:tcPr>
          <w:p>
            <w:pPr>
              <w:spacing w:after="0"/>
              <w:rPr>
                <w:sz w:val="8"/>
                <w:szCs w:val="8"/>
                <w:color w:val="auto"/>
              </w:rPr>
            </w:pPr>
          </w:p>
        </w:tc>
        <w:tc>
          <w:tcPr>
            <w:tcW w:w="660" w:type="dxa"/>
            <w:vAlign w:val="bottom"/>
            <w:tcBorders>
              <w:top w:val="single" w:sz="8" w:color="auto"/>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7,984</w:t>
            </w:r>
          </w:p>
        </w:tc>
        <w:tc>
          <w:tcPr>
            <w:tcW w:w="80" w:type="dxa"/>
            <w:vAlign w:val="bottom"/>
            <w:tcBorders>
              <w:top w:val="single" w:sz="8" w:color="auto"/>
            </w:tcBorders>
            <w:shd w:val="clear" w:color="auto" w:fill="EAEAEA"/>
          </w:tcPr>
          <w:p>
            <w:pPr>
              <w:spacing w:after="0"/>
              <w:rPr>
                <w:sz w:val="8"/>
                <w:szCs w:val="8"/>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1,385,144</w:t>
            </w:r>
          </w:p>
        </w:tc>
        <w:tc>
          <w:tcPr>
            <w:tcW w:w="0" w:type="dxa"/>
            <w:vAlign w:val="bottom"/>
          </w:tcPr>
          <w:p>
            <w:pPr>
              <w:spacing w:after="0"/>
              <w:rPr>
                <w:sz w:val="1"/>
                <w:szCs w:val="1"/>
                <w:color w:val="auto"/>
              </w:rPr>
            </w:pPr>
          </w:p>
        </w:tc>
      </w:tr>
      <w:tr>
        <w:trPr>
          <w:trHeight w:val="157"/>
        </w:trPr>
        <w:tc>
          <w:tcPr>
            <w:tcW w:w="1960" w:type="dxa"/>
            <w:vAlign w:val="bottom"/>
            <w:tcBorders>
              <w:right w:val="single" w:sz="8" w:color="EAEAEA"/>
            </w:tcBorders>
          </w:tcPr>
          <w:p>
            <w:pPr>
              <w:ind w:left="40"/>
              <w:spacing w:after="0" w:line="137" w:lineRule="exact"/>
              <w:rPr>
                <w:sz w:val="20"/>
                <w:szCs w:val="20"/>
                <w:color w:val="auto"/>
              </w:rPr>
            </w:pPr>
            <w:r>
              <w:rPr>
                <w:rFonts w:ascii="Arial" w:cs="Arial" w:eastAsia="Arial" w:hAnsi="Arial"/>
                <w:sz w:val="14"/>
                <w:szCs w:val="14"/>
                <w:b w:val="1"/>
                <w:bCs w:val="1"/>
                <w:color w:val="0066BA"/>
              </w:rPr>
              <w:t>Henderson</w:t>
            </w:r>
          </w:p>
        </w:tc>
        <w:tc>
          <w:tcPr>
            <w:tcW w:w="720" w:type="dxa"/>
            <w:vAlign w:val="bottom"/>
            <w:tcBorders>
              <w:bottom w:val="single" w:sz="8" w:color="EAEAEA"/>
            </w:tcBorders>
            <w:vMerge w:val="continue"/>
            <w:shd w:val="clear" w:color="auto" w:fill="EAEAEA"/>
          </w:tcPr>
          <w:p>
            <w:pPr>
              <w:spacing w:after="0"/>
              <w:rPr>
                <w:sz w:val="13"/>
                <w:szCs w:val="13"/>
                <w:color w:val="auto"/>
              </w:rPr>
            </w:pPr>
          </w:p>
        </w:tc>
        <w:tc>
          <w:tcPr>
            <w:tcW w:w="80" w:type="dxa"/>
            <w:vAlign w:val="bottom"/>
            <w:tcBorders>
              <w:bottom w:val="single" w:sz="8" w:color="EAEAEA"/>
            </w:tcBorders>
            <w:shd w:val="clear" w:color="auto" w:fill="EAEAEA"/>
          </w:tcPr>
          <w:p>
            <w:pPr>
              <w:spacing w:after="0"/>
              <w:rPr>
                <w:sz w:val="13"/>
                <w:szCs w:val="13"/>
                <w:color w:val="auto"/>
              </w:rPr>
            </w:pPr>
          </w:p>
        </w:tc>
        <w:tc>
          <w:tcPr>
            <w:tcW w:w="760" w:type="dxa"/>
            <w:vAlign w:val="bottom"/>
            <w:vMerge w:val="continue"/>
          </w:tcPr>
          <w:p>
            <w:pPr>
              <w:spacing w:after="0"/>
              <w:rPr>
                <w:sz w:val="13"/>
                <w:szCs w:val="13"/>
                <w:color w:val="auto"/>
              </w:rPr>
            </w:pPr>
          </w:p>
        </w:tc>
        <w:tc>
          <w:tcPr>
            <w:tcW w:w="80" w:type="dxa"/>
            <w:vAlign w:val="bottom"/>
            <w:tcBorders>
              <w:bottom w:val="single" w:sz="8" w:color="EAEAEA"/>
            </w:tcBorders>
            <w:shd w:val="clear" w:color="auto" w:fill="EAEAEA"/>
          </w:tcPr>
          <w:p>
            <w:pPr>
              <w:spacing w:after="0"/>
              <w:rPr>
                <w:sz w:val="13"/>
                <w:szCs w:val="13"/>
                <w:color w:val="auto"/>
              </w:rPr>
            </w:pPr>
          </w:p>
        </w:tc>
        <w:tc>
          <w:tcPr>
            <w:tcW w:w="820" w:type="dxa"/>
            <w:vAlign w:val="bottom"/>
            <w:tcBorders>
              <w:bottom w:val="single" w:sz="8" w:color="EAEAEA"/>
            </w:tcBorders>
            <w:vMerge w:val="continue"/>
            <w:shd w:val="clear" w:color="auto" w:fill="EAEAEA"/>
          </w:tcPr>
          <w:p>
            <w:pPr>
              <w:spacing w:after="0"/>
              <w:rPr>
                <w:sz w:val="13"/>
                <w:szCs w:val="13"/>
                <w:color w:val="auto"/>
              </w:rPr>
            </w:pPr>
          </w:p>
        </w:tc>
        <w:tc>
          <w:tcPr>
            <w:tcW w:w="80" w:type="dxa"/>
            <w:vAlign w:val="bottom"/>
            <w:tcBorders>
              <w:bottom w:val="single" w:sz="8" w:color="EAEAEA"/>
            </w:tcBorders>
            <w:shd w:val="clear" w:color="auto" w:fill="EAEAEA"/>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Borders>
              <w:bottom w:val="single" w:sz="8" w:color="EAEAEA"/>
            </w:tcBorders>
            <w:shd w:val="clear" w:color="auto" w:fill="EAEAEA"/>
          </w:tcPr>
          <w:p>
            <w:pPr>
              <w:spacing w:after="0"/>
              <w:rPr>
                <w:sz w:val="13"/>
                <w:szCs w:val="13"/>
                <w:color w:val="auto"/>
              </w:rPr>
            </w:pPr>
          </w:p>
        </w:tc>
        <w:tc>
          <w:tcPr>
            <w:tcW w:w="440" w:type="dxa"/>
            <w:vAlign w:val="bottom"/>
            <w:tcBorders>
              <w:bottom w:val="single" w:sz="8" w:color="EAEAEA"/>
            </w:tcBorders>
            <w:vMerge w:val="continue"/>
            <w:shd w:val="clear" w:color="auto" w:fill="EAEAEA"/>
          </w:tcPr>
          <w:p>
            <w:pPr>
              <w:spacing w:after="0"/>
              <w:rPr>
                <w:sz w:val="13"/>
                <w:szCs w:val="13"/>
                <w:color w:val="auto"/>
              </w:rPr>
            </w:pPr>
          </w:p>
        </w:tc>
        <w:tc>
          <w:tcPr>
            <w:tcW w:w="80" w:type="dxa"/>
            <w:vAlign w:val="bottom"/>
            <w:tcBorders>
              <w:bottom w:val="single" w:sz="8" w:color="EAEAEA"/>
            </w:tcBorders>
            <w:shd w:val="clear" w:color="auto" w:fill="EAEAEA"/>
          </w:tcPr>
          <w:p>
            <w:pPr>
              <w:spacing w:after="0"/>
              <w:rPr>
                <w:sz w:val="13"/>
                <w:szCs w:val="13"/>
                <w:color w:val="auto"/>
              </w:rPr>
            </w:pPr>
          </w:p>
        </w:tc>
        <w:tc>
          <w:tcPr>
            <w:tcW w:w="8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EAEAEA"/>
            </w:tcBorders>
            <w:shd w:val="clear" w:color="auto" w:fill="EAEAEA"/>
          </w:tcPr>
          <w:p>
            <w:pPr>
              <w:spacing w:after="0"/>
              <w:rPr>
                <w:sz w:val="13"/>
                <w:szCs w:val="13"/>
                <w:color w:val="auto"/>
              </w:rPr>
            </w:pPr>
          </w:p>
        </w:tc>
        <w:tc>
          <w:tcPr>
            <w:tcW w:w="520" w:type="dxa"/>
            <w:vAlign w:val="bottom"/>
            <w:tcBorders>
              <w:bottom w:val="single" w:sz="8" w:color="EAEAEA"/>
            </w:tcBorders>
            <w:vMerge w:val="continue"/>
            <w:shd w:val="clear" w:color="auto" w:fill="EAEAEA"/>
          </w:tcPr>
          <w:p>
            <w:pPr>
              <w:spacing w:after="0"/>
              <w:rPr>
                <w:sz w:val="13"/>
                <w:szCs w:val="13"/>
                <w:color w:val="auto"/>
              </w:rPr>
            </w:pPr>
          </w:p>
        </w:tc>
        <w:tc>
          <w:tcPr>
            <w:tcW w:w="80" w:type="dxa"/>
            <w:vAlign w:val="bottom"/>
            <w:tcBorders>
              <w:bottom w:val="single" w:sz="8" w:color="EAEAEA"/>
            </w:tcBorders>
            <w:shd w:val="clear" w:color="auto" w:fill="EAEAEA"/>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Borders>
              <w:bottom w:val="single" w:sz="8" w:color="EAEAEA"/>
            </w:tcBorders>
            <w:shd w:val="clear" w:color="auto" w:fill="EAEAEA"/>
          </w:tcPr>
          <w:p>
            <w:pPr>
              <w:spacing w:after="0"/>
              <w:rPr>
                <w:sz w:val="13"/>
                <w:szCs w:val="13"/>
                <w:color w:val="auto"/>
              </w:rPr>
            </w:pPr>
          </w:p>
        </w:tc>
        <w:tc>
          <w:tcPr>
            <w:tcW w:w="660" w:type="dxa"/>
            <w:vAlign w:val="bottom"/>
            <w:tcBorders>
              <w:bottom w:val="single" w:sz="8" w:color="EAEAEA"/>
            </w:tcBorders>
            <w:vMerge w:val="continue"/>
            <w:shd w:val="clear" w:color="auto" w:fill="EAEAEA"/>
          </w:tcPr>
          <w:p>
            <w:pPr>
              <w:spacing w:after="0"/>
              <w:rPr>
                <w:sz w:val="13"/>
                <w:szCs w:val="13"/>
                <w:color w:val="auto"/>
              </w:rPr>
            </w:pPr>
          </w:p>
        </w:tc>
        <w:tc>
          <w:tcPr>
            <w:tcW w:w="80" w:type="dxa"/>
            <w:vAlign w:val="bottom"/>
            <w:tcBorders>
              <w:bottom w:val="single" w:sz="8" w:color="EAEAEA"/>
            </w:tcBorders>
            <w:shd w:val="clear" w:color="auto" w:fill="EAEAEA"/>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1960" w:type="dxa"/>
            <w:vAlign w:val="bottom"/>
            <w:tcBorders>
              <w:right w:val="single" w:sz="8" w:color="EAEAEA"/>
            </w:tcBorders>
          </w:tcPr>
          <w:p>
            <w:pPr>
              <w:spacing w:after="0"/>
              <w:rPr>
                <w:sz w:val="22"/>
                <w:szCs w:val="22"/>
                <w:color w:val="auto"/>
              </w:rPr>
            </w:pPr>
          </w:p>
        </w:tc>
        <w:tc>
          <w:tcPr>
            <w:tcW w:w="7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8"/>
              </w:rPr>
              <w:t>3/11/2020</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76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18,174</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4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94.41</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3/11/2030</w:t>
            </w: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5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3,696</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4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641,219</w:t>
            </w:r>
          </w:p>
        </w:tc>
        <w:tc>
          <w:tcPr>
            <w:tcW w:w="100" w:type="dxa"/>
            <w:vAlign w:val="bottom"/>
            <w:tcBorders>
              <w:top w:val="single" w:sz="8" w:color="auto"/>
              <w:bottom w:val="single" w:sz="8" w:color="EAEAEA"/>
            </w:tcBorders>
            <w:shd w:val="clear" w:color="auto" w:fill="EAEAEA"/>
          </w:tcPr>
          <w:p>
            <w:pPr>
              <w:spacing w:after="0"/>
              <w:rPr>
                <w:sz w:val="22"/>
                <w:szCs w:val="22"/>
                <w:color w:val="auto"/>
              </w:rPr>
            </w:pPr>
          </w:p>
        </w:tc>
        <w:tc>
          <w:tcPr>
            <w:tcW w:w="6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9,854</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1,709,570</w:t>
            </w:r>
          </w:p>
        </w:tc>
        <w:tc>
          <w:tcPr>
            <w:tcW w:w="0" w:type="dxa"/>
            <w:vAlign w:val="bottom"/>
          </w:tcPr>
          <w:p>
            <w:pPr>
              <w:spacing w:after="0"/>
              <w:rPr>
                <w:sz w:val="1"/>
                <w:szCs w:val="1"/>
                <w:color w:val="auto"/>
              </w:rPr>
            </w:pPr>
          </w:p>
        </w:tc>
      </w:tr>
      <w:tr>
        <w:trPr>
          <w:trHeight w:val="253"/>
        </w:trPr>
        <w:tc>
          <w:tcPr>
            <w:tcW w:w="1960" w:type="dxa"/>
            <w:vAlign w:val="bottom"/>
            <w:tcBorders>
              <w:right w:val="single" w:sz="8" w:color="EAEAEA"/>
            </w:tcBorders>
          </w:tcPr>
          <w:p>
            <w:pPr>
              <w:spacing w:after="0"/>
              <w:rPr>
                <w:sz w:val="22"/>
                <w:szCs w:val="22"/>
                <w:color w:val="auto"/>
              </w:rPr>
            </w:pPr>
          </w:p>
        </w:tc>
        <w:tc>
          <w:tcPr>
            <w:tcW w:w="7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7"/>
              </w:rPr>
              <w:t>12/15/2020</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76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4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106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5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4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EAEAEA"/>
            </w:tcBorders>
            <w:shd w:val="clear" w:color="auto" w:fill="EAEAEA"/>
          </w:tcPr>
          <w:p>
            <w:pPr>
              <w:spacing w:after="0"/>
              <w:rPr>
                <w:sz w:val="22"/>
                <w:szCs w:val="22"/>
                <w:color w:val="auto"/>
              </w:rPr>
            </w:pPr>
          </w:p>
        </w:tc>
        <w:tc>
          <w:tcPr>
            <w:tcW w:w="6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13,460</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2,335,175</w:t>
            </w:r>
          </w:p>
        </w:tc>
        <w:tc>
          <w:tcPr>
            <w:tcW w:w="0" w:type="dxa"/>
            <w:vAlign w:val="bottom"/>
          </w:tcPr>
          <w:p>
            <w:pPr>
              <w:spacing w:after="0"/>
              <w:rPr>
                <w:sz w:val="1"/>
                <w:szCs w:val="1"/>
                <w:color w:val="auto"/>
              </w:rPr>
            </w:pPr>
          </w:p>
        </w:tc>
      </w:tr>
      <w:tr>
        <w:trPr>
          <w:trHeight w:val="253"/>
        </w:trPr>
        <w:tc>
          <w:tcPr>
            <w:tcW w:w="1960" w:type="dxa"/>
            <w:vAlign w:val="bottom"/>
            <w:tcBorders>
              <w:right w:val="single" w:sz="8" w:color="EAEAEA"/>
            </w:tcBorders>
          </w:tcPr>
          <w:p>
            <w:pPr>
              <w:spacing w:after="0"/>
              <w:rPr>
                <w:sz w:val="22"/>
                <w:szCs w:val="22"/>
                <w:color w:val="auto"/>
              </w:rPr>
            </w:pPr>
          </w:p>
        </w:tc>
        <w:tc>
          <w:tcPr>
            <w:tcW w:w="7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98"/>
              </w:rPr>
              <w:t>3/10/2021</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76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14,158</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44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w w:val="85"/>
              </w:rPr>
              <w:t>147.11</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3/10/2031</w:t>
            </w: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52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3,873</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840" w:type="dxa"/>
            <w:vAlign w:val="bottom"/>
            <w:tcBorders>
              <w:top w:val="single" w:sz="8" w:color="auto"/>
            </w:tcBorders>
          </w:tcPr>
          <w:p>
            <w:pPr>
              <w:jc w:val="right"/>
              <w:ind w:right="4"/>
              <w:spacing w:after="0"/>
              <w:rPr>
                <w:sz w:val="20"/>
                <w:szCs w:val="20"/>
                <w:color w:val="auto"/>
              </w:rPr>
            </w:pPr>
            <w:r>
              <w:rPr>
                <w:rFonts w:ascii="Arial" w:cs="Arial" w:eastAsia="Arial" w:hAnsi="Arial"/>
                <w:sz w:val="16"/>
                <w:szCs w:val="16"/>
                <w:color w:val="auto"/>
              </w:rPr>
              <w:t>671,927</w:t>
            </w:r>
          </w:p>
        </w:tc>
        <w:tc>
          <w:tcPr>
            <w:tcW w:w="100" w:type="dxa"/>
            <w:vAlign w:val="bottom"/>
            <w:tcBorders>
              <w:top w:val="single" w:sz="8" w:color="auto"/>
              <w:bottom w:val="single" w:sz="8" w:color="EAEAEA"/>
            </w:tcBorders>
            <w:shd w:val="clear" w:color="auto" w:fill="EAEAEA"/>
          </w:tcPr>
          <w:p>
            <w:pPr>
              <w:spacing w:after="0"/>
              <w:rPr>
                <w:sz w:val="22"/>
                <w:szCs w:val="22"/>
                <w:color w:val="auto"/>
              </w:rPr>
            </w:pPr>
          </w:p>
        </w:tc>
        <w:tc>
          <w:tcPr>
            <w:tcW w:w="660" w:type="dxa"/>
            <w:vAlign w:val="bottom"/>
            <w:tcBorders>
              <w:top w:val="single" w:sz="8" w:color="auto"/>
              <w:bottom w:val="single" w:sz="8" w:color="EAEAEA"/>
            </w:tcBorders>
            <w:shd w:val="clear" w:color="auto" w:fill="EAEAEA"/>
          </w:tcPr>
          <w:p>
            <w:pPr>
              <w:jc w:val="right"/>
              <w:spacing w:after="0"/>
              <w:rPr>
                <w:sz w:val="20"/>
                <w:szCs w:val="20"/>
                <w:color w:val="auto"/>
              </w:rPr>
            </w:pPr>
            <w:r>
              <w:rPr>
                <w:rFonts w:ascii="Arial" w:cs="Arial" w:eastAsia="Arial" w:hAnsi="Arial"/>
                <w:sz w:val="16"/>
                <w:szCs w:val="16"/>
                <w:color w:val="auto"/>
              </w:rPr>
              <w:t>7,746</w:t>
            </w:r>
          </w:p>
        </w:tc>
        <w:tc>
          <w:tcPr>
            <w:tcW w:w="80" w:type="dxa"/>
            <w:vAlign w:val="bottom"/>
            <w:tcBorders>
              <w:top w:val="single" w:sz="8" w:color="auto"/>
              <w:bottom w:val="single" w:sz="8" w:color="EAEAEA"/>
            </w:tcBorders>
            <w:shd w:val="clear" w:color="auto" w:fill="EAEAEA"/>
          </w:tcPr>
          <w:p>
            <w:pPr>
              <w:spacing w:after="0"/>
              <w:rPr>
                <w:sz w:val="22"/>
                <w:szCs w:val="2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1,343,854</w:t>
            </w:r>
          </w:p>
        </w:tc>
        <w:tc>
          <w:tcPr>
            <w:tcW w:w="0" w:type="dxa"/>
            <w:vAlign w:val="bottom"/>
          </w:tcPr>
          <w:p>
            <w:pPr>
              <w:spacing w:after="0"/>
              <w:rPr>
                <w:sz w:val="1"/>
                <w:szCs w:val="1"/>
                <w:color w:val="auto"/>
              </w:rPr>
            </w:pPr>
          </w:p>
        </w:tc>
      </w:tr>
      <w:tr>
        <w:trPr>
          <w:trHeight w:val="174"/>
        </w:trPr>
        <w:tc>
          <w:tcPr>
            <w:tcW w:w="1960" w:type="dxa"/>
            <w:vAlign w:val="bottom"/>
            <w:tcBorders>
              <w:top w:val="single" w:sz="8" w:color="0066BA"/>
              <w:right w:val="single" w:sz="8" w:color="EAEAEA"/>
            </w:tcBorders>
          </w:tcPr>
          <w:p>
            <w:pPr>
              <w:ind w:left="60"/>
              <w:spacing w:after="0" w:line="175" w:lineRule="exact"/>
              <w:rPr>
                <w:sz w:val="20"/>
                <w:szCs w:val="20"/>
                <w:color w:val="auto"/>
              </w:rPr>
            </w:pPr>
            <w:r>
              <w:rPr>
                <w:rFonts w:ascii="Arial" w:cs="Arial" w:eastAsia="Arial" w:hAnsi="Arial"/>
                <w:sz w:val="16"/>
                <w:szCs w:val="16"/>
                <w:b w:val="1"/>
                <w:bCs w:val="1"/>
                <w:color w:val="0066BA"/>
              </w:rPr>
              <w:t>Anelise</w:t>
            </w:r>
          </w:p>
        </w:tc>
        <w:tc>
          <w:tcPr>
            <w:tcW w:w="720" w:type="dxa"/>
            <w:vAlign w:val="bottom"/>
            <w:tcBorders>
              <w:top w:val="single" w:sz="8" w:color="0066BA"/>
            </w:tcBorders>
            <w:vMerge w:val="restart"/>
            <w:shd w:val="clear" w:color="auto" w:fill="EAEAEA"/>
          </w:tcPr>
          <w:p>
            <w:pPr>
              <w:jc w:val="right"/>
              <w:spacing w:after="0"/>
              <w:rPr>
                <w:sz w:val="20"/>
                <w:szCs w:val="20"/>
                <w:color w:val="auto"/>
              </w:rPr>
            </w:pPr>
            <w:r>
              <w:rPr>
                <w:rFonts w:ascii="Arial" w:cs="Arial" w:eastAsia="Arial" w:hAnsi="Arial"/>
                <w:sz w:val="16"/>
                <w:szCs w:val="16"/>
                <w:color w:val="auto"/>
                <w:w w:val="98"/>
              </w:rPr>
              <w:t>3/15/2021</w:t>
            </w:r>
          </w:p>
        </w:tc>
        <w:tc>
          <w:tcPr>
            <w:tcW w:w="80" w:type="dxa"/>
            <w:vAlign w:val="bottom"/>
            <w:tcBorders>
              <w:top w:val="single" w:sz="8" w:color="0066BA"/>
            </w:tcBorders>
            <w:shd w:val="clear" w:color="auto" w:fill="EAEAEA"/>
          </w:tcPr>
          <w:p>
            <w:pPr>
              <w:spacing w:after="0"/>
              <w:rPr>
                <w:sz w:val="15"/>
                <w:szCs w:val="15"/>
                <w:color w:val="auto"/>
              </w:rPr>
            </w:pPr>
          </w:p>
        </w:tc>
        <w:tc>
          <w:tcPr>
            <w:tcW w:w="760" w:type="dxa"/>
            <w:vAlign w:val="bottom"/>
            <w:tcBorders>
              <w:top w:val="single" w:sz="8" w:color="0066BA"/>
            </w:tcBorders>
            <w:vMerge w:val="restart"/>
          </w:tcPr>
          <w:p>
            <w:pPr>
              <w:jc w:val="right"/>
              <w:ind w:right="4"/>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0066BA"/>
            </w:tcBorders>
            <w:shd w:val="clear" w:color="auto" w:fill="EAEAEA"/>
          </w:tcPr>
          <w:p>
            <w:pPr>
              <w:spacing w:after="0"/>
              <w:rPr>
                <w:sz w:val="15"/>
                <w:szCs w:val="15"/>
                <w:color w:val="auto"/>
              </w:rPr>
            </w:pPr>
          </w:p>
        </w:tc>
        <w:tc>
          <w:tcPr>
            <w:tcW w:w="820" w:type="dxa"/>
            <w:vAlign w:val="bottom"/>
            <w:tcBorders>
              <w:top w:val="single" w:sz="8" w:color="0066BA"/>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8,366</w:t>
            </w:r>
          </w:p>
        </w:tc>
        <w:tc>
          <w:tcPr>
            <w:tcW w:w="80" w:type="dxa"/>
            <w:vAlign w:val="bottom"/>
            <w:tcBorders>
              <w:top w:val="single" w:sz="8" w:color="0066BA"/>
            </w:tcBorders>
            <w:shd w:val="clear" w:color="auto" w:fill="EAEAEA"/>
          </w:tcPr>
          <w:p>
            <w:pPr>
              <w:spacing w:after="0"/>
              <w:rPr>
                <w:sz w:val="15"/>
                <w:szCs w:val="15"/>
                <w:color w:val="auto"/>
              </w:rPr>
            </w:pPr>
          </w:p>
        </w:tc>
        <w:tc>
          <w:tcPr>
            <w:tcW w:w="820" w:type="dxa"/>
            <w:vAlign w:val="bottom"/>
            <w:tcBorders>
              <w:top w:val="single" w:sz="8" w:color="0066BA"/>
            </w:tcBorders>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0066BA"/>
            </w:tcBorders>
            <w:shd w:val="clear" w:color="auto" w:fill="EAEAEA"/>
          </w:tcPr>
          <w:p>
            <w:pPr>
              <w:spacing w:after="0"/>
              <w:rPr>
                <w:sz w:val="15"/>
                <w:szCs w:val="15"/>
                <w:color w:val="auto"/>
              </w:rPr>
            </w:pPr>
          </w:p>
        </w:tc>
        <w:tc>
          <w:tcPr>
            <w:tcW w:w="440" w:type="dxa"/>
            <w:vAlign w:val="bottom"/>
            <w:tcBorders>
              <w:top w:val="single" w:sz="8" w:color="0066BA"/>
            </w:tcBorders>
            <w:vMerge w:val="restart"/>
            <w:shd w:val="clear" w:color="auto" w:fill="EAEAEA"/>
          </w:tcPr>
          <w:p>
            <w:pPr>
              <w:jc w:val="right"/>
              <w:spacing w:after="0"/>
              <w:rPr>
                <w:sz w:val="20"/>
                <w:szCs w:val="20"/>
                <w:color w:val="auto"/>
              </w:rPr>
            </w:pPr>
            <w:r>
              <w:rPr>
                <w:rFonts w:ascii="Arial" w:cs="Arial" w:eastAsia="Arial" w:hAnsi="Arial"/>
                <w:sz w:val="16"/>
                <w:szCs w:val="16"/>
                <w:color w:val="auto"/>
                <w:w w:val="85"/>
              </w:rPr>
              <w:t>151.00</w:t>
            </w:r>
          </w:p>
        </w:tc>
        <w:tc>
          <w:tcPr>
            <w:tcW w:w="80" w:type="dxa"/>
            <w:vAlign w:val="bottom"/>
            <w:tcBorders>
              <w:top w:val="single" w:sz="8" w:color="0066BA"/>
            </w:tcBorders>
            <w:shd w:val="clear" w:color="auto" w:fill="EAEAEA"/>
          </w:tcPr>
          <w:p>
            <w:pPr>
              <w:spacing w:after="0"/>
              <w:rPr>
                <w:sz w:val="15"/>
                <w:szCs w:val="15"/>
                <w:color w:val="auto"/>
              </w:rPr>
            </w:pPr>
          </w:p>
        </w:tc>
        <w:tc>
          <w:tcPr>
            <w:tcW w:w="860" w:type="dxa"/>
            <w:vAlign w:val="bottom"/>
            <w:tcBorders>
              <w:top w:val="single" w:sz="8" w:color="0066BA"/>
            </w:tcBorders>
            <w:vMerge w:val="restart"/>
          </w:tcPr>
          <w:p>
            <w:pPr>
              <w:jc w:val="right"/>
              <w:spacing w:after="0"/>
              <w:rPr>
                <w:sz w:val="20"/>
                <w:szCs w:val="20"/>
                <w:color w:val="auto"/>
              </w:rPr>
            </w:pPr>
            <w:r>
              <w:rPr>
                <w:rFonts w:ascii="Arial" w:cs="Arial" w:eastAsia="Arial" w:hAnsi="Arial"/>
                <w:sz w:val="16"/>
                <w:szCs w:val="16"/>
                <w:color w:val="auto"/>
              </w:rPr>
              <w:t>3/15/2031</w:t>
            </w:r>
          </w:p>
        </w:tc>
        <w:tc>
          <w:tcPr>
            <w:tcW w:w="200" w:type="dxa"/>
            <w:vAlign w:val="bottom"/>
            <w:tcBorders>
              <w:top w:val="single" w:sz="8" w:color="0066BA"/>
            </w:tcBorders>
          </w:tcPr>
          <w:p>
            <w:pPr>
              <w:spacing w:after="0"/>
              <w:rPr>
                <w:sz w:val="15"/>
                <w:szCs w:val="15"/>
                <w:color w:val="auto"/>
              </w:rPr>
            </w:pPr>
          </w:p>
        </w:tc>
        <w:tc>
          <w:tcPr>
            <w:tcW w:w="80" w:type="dxa"/>
            <w:vAlign w:val="bottom"/>
            <w:tcBorders>
              <w:top w:val="single" w:sz="8" w:color="0066BA"/>
            </w:tcBorders>
            <w:shd w:val="clear" w:color="auto" w:fill="EAEAEA"/>
          </w:tcPr>
          <w:p>
            <w:pPr>
              <w:spacing w:after="0"/>
              <w:rPr>
                <w:sz w:val="15"/>
                <w:szCs w:val="15"/>
                <w:color w:val="auto"/>
              </w:rPr>
            </w:pPr>
          </w:p>
        </w:tc>
        <w:tc>
          <w:tcPr>
            <w:tcW w:w="520" w:type="dxa"/>
            <w:vAlign w:val="bottom"/>
            <w:tcBorders>
              <w:top w:val="single" w:sz="8" w:color="0066BA"/>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2,289</w:t>
            </w:r>
          </w:p>
        </w:tc>
        <w:tc>
          <w:tcPr>
            <w:tcW w:w="80" w:type="dxa"/>
            <w:vAlign w:val="bottom"/>
            <w:tcBorders>
              <w:top w:val="single" w:sz="8" w:color="0066BA"/>
            </w:tcBorders>
            <w:shd w:val="clear" w:color="auto" w:fill="EAEAEA"/>
          </w:tcPr>
          <w:p>
            <w:pPr>
              <w:spacing w:after="0"/>
              <w:rPr>
                <w:sz w:val="15"/>
                <w:szCs w:val="15"/>
                <w:color w:val="auto"/>
              </w:rPr>
            </w:pPr>
          </w:p>
        </w:tc>
        <w:tc>
          <w:tcPr>
            <w:tcW w:w="840" w:type="dxa"/>
            <w:vAlign w:val="bottom"/>
            <w:tcBorders>
              <w:top w:val="single" w:sz="8" w:color="0066BA"/>
            </w:tcBorders>
            <w:vMerge w:val="restart"/>
          </w:tcPr>
          <w:p>
            <w:pPr>
              <w:jc w:val="right"/>
              <w:ind w:right="4"/>
              <w:spacing w:after="0"/>
              <w:rPr>
                <w:sz w:val="20"/>
                <w:szCs w:val="20"/>
                <w:color w:val="auto"/>
              </w:rPr>
            </w:pPr>
            <w:r>
              <w:rPr>
                <w:rFonts w:ascii="Arial" w:cs="Arial" w:eastAsia="Arial" w:hAnsi="Arial"/>
                <w:sz w:val="16"/>
                <w:szCs w:val="16"/>
                <w:color w:val="auto"/>
              </w:rPr>
              <w:t>397,119</w:t>
            </w:r>
          </w:p>
        </w:tc>
        <w:tc>
          <w:tcPr>
            <w:tcW w:w="100" w:type="dxa"/>
            <w:vAlign w:val="bottom"/>
            <w:tcBorders>
              <w:top w:val="single" w:sz="8" w:color="0066BA"/>
            </w:tcBorders>
            <w:shd w:val="clear" w:color="auto" w:fill="EAEAEA"/>
          </w:tcPr>
          <w:p>
            <w:pPr>
              <w:spacing w:after="0"/>
              <w:rPr>
                <w:sz w:val="15"/>
                <w:szCs w:val="15"/>
                <w:color w:val="auto"/>
              </w:rPr>
            </w:pPr>
          </w:p>
        </w:tc>
        <w:tc>
          <w:tcPr>
            <w:tcW w:w="660" w:type="dxa"/>
            <w:vAlign w:val="bottom"/>
            <w:tcBorders>
              <w:top w:val="single" w:sz="8" w:color="0066BA"/>
            </w:tcBorders>
            <w:vMerge w:val="restart"/>
            <w:shd w:val="clear" w:color="auto" w:fill="EAEAEA"/>
          </w:tcPr>
          <w:p>
            <w:pPr>
              <w:jc w:val="right"/>
              <w:spacing w:after="0"/>
              <w:rPr>
                <w:sz w:val="20"/>
                <w:szCs w:val="20"/>
                <w:color w:val="auto"/>
              </w:rPr>
            </w:pPr>
            <w:r>
              <w:rPr>
                <w:rFonts w:ascii="Arial" w:cs="Arial" w:eastAsia="Arial" w:hAnsi="Arial"/>
                <w:sz w:val="16"/>
                <w:szCs w:val="16"/>
                <w:color w:val="auto"/>
              </w:rPr>
              <w:t>15,955</w:t>
            </w:r>
          </w:p>
        </w:tc>
        <w:tc>
          <w:tcPr>
            <w:tcW w:w="80" w:type="dxa"/>
            <w:vAlign w:val="bottom"/>
            <w:tcBorders>
              <w:top w:val="single" w:sz="8" w:color="0066BA"/>
            </w:tcBorders>
            <w:shd w:val="clear" w:color="auto" w:fill="EAEAEA"/>
          </w:tcPr>
          <w:p>
            <w:pPr>
              <w:spacing w:after="0"/>
              <w:rPr>
                <w:sz w:val="15"/>
                <w:szCs w:val="15"/>
                <w:color w:val="auto"/>
              </w:rPr>
            </w:pPr>
          </w:p>
        </w:tc>
        <w:tc>
          <w:tcPr>
            <w:tcW w:w="940" w:type="dxa"/>
            <w:vAlign w:val="bottom"/>
            <w:tcBorders>
              <w:top w:val="single" w:sz="8" w:color="0066BA"/>
            </w:tcBorders>
            <w:vMerge w:val="restart"/>
          </w:tcPr>
          <w:p>
            <w:pPr>
              <w:jc w:val="right"/>
              <w:spacing w:after="0"/>
              <w:rPr>
                <w:sz w:val="20"/>
                <w:szCs w:val="20"/>
                <w:color w:val="auto"/>
              </w:rPr>
            </w:pPr>
            <w:r>
              <w:rPr>
                <w:rFonts w:ascii="Arial" w:cs="Arial" w:eastAsia="Arial" w:hAnsi="Arial"/>
                <w:sz w:val="16"/>
                <w:szCs w:val="16"/>
                <w:color w:val="auto"/>
              </w:rPr>
              <w:t>2,768,033</w:t>
            </w:r>
          </w:p>
        </w:tc>
        <w:tc>
          <w:tcPr>
            <w:tcW w:w="0" w:type="dxa"/>
            <w:vAlign w:val="bottom"/>
          </w:tcPr>
          <w:p>
            <w:pPr>
              <w:spacing w:after="0"/>
              <w:rPr>
                <w:sz w:val="1"/>
                <w:szCs w:val="1"/>
                <w:color w:val="auto"/>
              </w:rPr>
            </w:pPr>
          </w:p>
        </w:tc>
      </w:tr>
      <w:tr>
        <w:trPr>
          <w:trHeight w:val="112"/>
        </w:trPr>
        <w:tc>
          <w:tcPr>
            <w:tcW w:w="1960" w:type="dxa"/>
            <w:vAlign w:val="bottom"/>
            <w:tcBorders>
              <w:right w:val="single" w:sz="8" w:color="EAEAEA"/>
            </w:tcBorders>
            <w:vMerge w:val="restart"/>
          </w:tcPr>
          <w:p>
            <w:pPr>
              <w:ind w:left="60"/>
              <w:spacing w:after="0"/>
              <w:rPr>
                <w:sz w:val="20"/>
                <w:szCs w:val="20"/>
                <w:color w:val="auto"/>
              </w:rPr>
            </w:pPr>
            <w:r>
              <w:rPr>
                <w:rFonts w:ascii="Arial" w:cs="Arial" w:eastAsia="Arial" w:hAnsi="Arial"/>
                <w:sz w:val="16"/>
                <w:szCs w:val="16"/>
                <w:b w:val="1"/>
                <w:bCs w:val="1"/>
                <w:color w:val="0066BA"/>
              </w:rPr>
              <w:t>Sacks</w:t>
            </w:r>
          </w:p>
        </w:tc>
        <w:tc>
          <w:tcPr>
            <w:tcW w:w="720" w:type="dxa"/>
            <w:vAlign w:val="bottom"/>
            <w:vMerge w:val="continue"/>
            <w:shd w:val="clear" w:color="auto" w:fill="EAEAEA"/>
          </w:tcPr>
          <w:p>
            <w:pPr>
              <w:spacing w:after="0"/>
              <w:rPr>
                <w:sz w:val="9"/>
                <w:szCs w:val="9"/>
                <w:color w:val="auto"/>
              </w:rPr>
            </w:pPr>
          </w:p>
        </w:tc>
        <w:tc>
          <w:tcPr>
            <w:tcW w:w="80" w:type="dxa"/>
            <w:vAlign w:val="bottom"/>
            <w:shd w:val="clear" w:color="auto" w:fill="EAEAEA"/>
          </w:tcPr>
          <w:p>
            <w:pPr>
              <w:spacing w:after="0"/>
              <w:rPr>
                <w:sz w:val="9"/>
                <w:szCs w:val="9"/>
                <w:color w:val="auto"/>
              </w:rPr>
            </w:pPr>
          </w:p>
        </w:tc>
        <w:tc>
          <w:tcPr>
            <w:tcW w:w="760" w:type="dxa"/>
            <w:vAlign w:val="bottom"/>
            <w:vMerge w:val="continue"/>
          </w:tcPr>
          <w:p>
            <w:pPr>
              <w:spacing w:after="0"/>
              <w:rPr>
                <w:sz w:val="9"/>
                <w:szCs w:val="9"/>
                <w:color w:val="auto"/>
              </w:rPr>
            </w:pPr>
          </w:p>
        </w:tc>
        <w:tc>
          <w:tcPr>
            <w:tcW w:w="80" w:type="dxa"/>
            <w:vAlign w:val="bottom"/>
            <w:shd w:val="clear" w:color="auto" w:fill="EAEAEA"/>
          </w:tcPr>
          <w:p>
            <w:pPr>
              <w:spacing w:after="0"/>
              <w:rPr>
                <w:sz w:val="9"/>
                <w:szCs w:val="9"/>
                <w:color w:val="auto"/>
              </w:rPr>
            </w:pPr>
          </w:p>
        </w:tc>
        <w:tc>
          <w:tcPr>
            <w:tcW w:w="820" w:type="dxa"/>
            <w:vAlign w:val="bottom"/>
            <w:vMerge w:val="continue"/>
            <w:shd w:val="clear" w:color="auto" w:fill="EAEAEA"/>
          </w:tcPr>
          <w:p>
            <w:pPr>
              <w:spacing w:after="0"/>
              <w:rPr>
                <w:sz w:val="9"/>
                <w:szCs w:val="9"/>
                <w:color w:val="auto"/>
              </w:rPr>
            </w:pPr>
          </w:p>
        </w:tc>
        <w:tc>
          <w:tcPr>
            <w:tcW w:w="80" w:type="dxa"/>
            <w:vAlign w:val="bottom"/>
            <w:shd w:val="clear" w:color="auto" w:fill="EAEAEA"/>
          </w:tcPr>
          <w:p>
            <w:pPr>
              <w:spacing w:after="0"/>
              <w:rPr>
                <w:sz w:val="9"/>
                <w:szCs w:val="9"/>
                <w:color w:val="auto"/>
              </w:rPr>
            </w:pPr>
          </w:p>
        </w:tc>
        <w:tc>
          <w:tcPr>
            <w:tcW w:w="820" w:type="dxa"/>
            <w:vAlign w:val="bottom"/>
            <w:vMerge w:val="continue"/>
          </w:tcPr>
          <w:p>
            <w:pPr>
              <w:spacing w:after="0"/>
              <w:rPr>
                <w:sz w:val="9"/>
                <w:szCs w:val="9"/>
                <w:color w:val="auto"/>
              </w:rPr>
            </w:pPr>
          </w:p>
        </w:tc>
        <w:tc>
          <w:tcPr>
            <w:tcW w:w="80" w:type="dxa"/>
            <w:vAlign w:val="bottom"/>
            <w:shd w:val="clear" w:color="auto" w:fill="EAEAEA"/>
          </w:tcPr>
          <w:p>
            <w:pPr>
              <w:spacing w:after="0"/>
              <w:rPr>
                <w:sz w:val="9"/>
                <w:szCs w:val="9"/>
                <w:color w:val="auto"/>
              </w:rPr>
            </w:pPr>
          </w:p>
        </w:tc>
        <w:tc>
          <w:tcPr>
            <w:tcW w:w="440" w:type="dxa"/>
            <w:vAlign w:val="bottom"/>
            <w:vMerge w:val="continue"/>
            <w:shd w:val="clear" w:color="auto" w:fill="EAEAEA"/>
          </w:tcPr>
          <w:p>
            <w:pPr>
              <w:spacing w:after="0"/>
              <w:rPr>
                <w:sz w:val="9"/>
                <w:szCs w:val="9"/>
                <w:color w:val="auto"/>
              </w:rPr>
            </w:pPr>
          </w:p>
        </w:tc>
        <w:tc>
          <w:tcPr>
            <w:tcW w:w="80" w:type="dxa"/>
            <w:vAlign w:val="bottom"/>
            <w:shd w:val="clear" w:color="auto" w:fill="EAEAEA"/>
          </w:tcPr>
          <w:p>
            <w:pPr>
              <w:spacing w:after="0"/>
              <w:rPr>
                <w:sz w:val="9"/>
                <w:szCs w:val="9"/>
                <w:color w:val="auto"/>
              </w:rPr>
            </w:pPr>
          </w:p>
        </w:tc>
        <w:tc>
          <w:tcPr>
            <w:tcW w:w="8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shd w:val="clear" w:color="auto" w:fill="EAEAEA"/>
          </w:tcPr>
          <w:p>
            <w:pPr>
              <w:spacing w:after="0"/>
              <w:rPr>
                <w:sz w:val="9"/>
                <w:szCs w:val="9"/>
                <w:color w:val="auto"/>
              </w:rPr>
            </w:pPr>
          </w:p>
        </w:tc>
        <w:tc>
          <w:tcPr>
            <w:tcW w:w="520" w:type="dxa"/>
            <w:vAlign w:val="bottom"/>
            <w:vMerge w:val="continue"/>
            <w:shd w:val="clear" w:color="auto" w:fill="EAEAEA"/>
          </w:tcPr>
          <w:p>
            <w:pPr>
              <w:spacing w:after="0"/>
              <w:rPr>
                <w:sz w:val="9"/>
                <w:szCs w:val="9"/>
                <w:color w:val="auto"/>
              </w:rPr>
            </w:pPr>
          </w:p>
        </w:tc>
        <w:tc>
          <w:tcPr>
            <w:tcW w:w="80" w:type="dxa"/>
            <w:vAlign w:val="bottom"/>
            <w:shd w:val="clear" w:color="auto" w:fill="EAEAEA"/>
          </w:tcPr>
          <w:p>
            <w:pPr>
              <w:spacing w:after="0"/>
              <w:rPr>
                <w:sz w:val="9"/>
                <w:szCs w:val="9"/>
                <w:color w:val="auto"/>
              </w:rPr>
            </w:pPr>
          </w:p>
        </w:tc>
        <w:tc>
          <w:tcPr>
            <w:tcW w:w="840" w:type="dxa"/>
            <w:vAlign w:val="bottom"/>
            <w:vMerge w:val="continue"/>
          </w:tcPr>
          <w:p>
            <w:pPr>
              <w:spacing w:after="0"/>
              <w:rPr>
                <w:sz w:val="9"/>
                <w:szCs w:val="9"/>
                <w:color w:val="auto"/>
              </w:rPr>
            </w:pPr>
          </w:p>
        </w:tc>
        <w:tc>
          <w:tcPr>
            <w:tcW w:w="100" w:type="dxa"/>
            <w:vAlign w:val="bottom"/>
            <w:shd w:val="clear" w:color="auto" w:fill="EAEAEA"/>
          </w:tcPr>
          <w:p>
            <w:pPr>
              <w:spacing w:after="0"/>
              <w:rPr>
                <w:sz w:val="9"/>
                <w:szCs w:val="9"/>
                <w:color w:val="auto"/>
              </w:rPr>
            </w:pPr>
          </w:p>
        </w:tc>
        <w:tc>
          <w:tcPr>
            <w:tcW w:w="660" w:type="dxa"/>
            <w:vAlign w:val="bottom"/>
            <w:vMerge w:val="continue"/>
            <w:shd w:val="clear" w:color="auto" w:fill="EAEAEA"/>
          </w:tcPr>
          <w:p>
            <w:pPr>
              <w:spacing w:after="0"/>
              <w:rPr>
                <w:sz w:val="9"/>
                <w:szCs w:val="9"/>
                <w:color w:val="auto"/>
              </w:rPr>
            </w:pPr>
          </w:p>
        </w:tc>
        <w:tc>
          <w:tcPr>
            <w:tcW w:w="80" w:type="dxa"/>
            <w:vAlign w:val="bottom"/>
            <w:shd w:val="clear" w:color="auto" w:fill="EAEAEA"/>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960" w:type="dxa"/>
            <w:vAlign w:val="bottom"/>
            <w:tcBorders>
              <w:bottom w:val="single" w:sz="8" w:color="0066BA"/>
              <w:right w:val="single" w:sz="8" w:color="EAEAEA"/>
            </w:tcBorders>
            <w:vMerge w:val="continue"/>
          </w:tcPr>
          <w:p>
            <w:pPr>
              <w:spacing w:after="0"/>
              <w:rPr>
                <w:sz w:val="8"/>
                <w:szCs w:val="8"/>
                <w:color w:val="auto"/>
              </w:rPr>
            </w:pPr>
          </w:p>
        </w:tc>
        <w:tc>
          <w:tcPr>
            <w:tcW w:w="720" w:type="dxa"/>
            <w:vAlign w:val="bottom"/>
            <w:tcBorders>
              <w:bottom w:val="single" w:sz="8" w:color="0066BA"/>
            </w:tcBorders>
            <w:shd w:val="clear" w:color="auto" w:fill="EAEAEA"/>
          </w:tcPr>
          <w:p>
            <w:pPr>
              <w:spacing w:after="0"/>
              <w:rPr>
                <w:sz w:val="8"/>
                <w:szCs w:val="8"/>
                <w:color w:val="auto"/>
              </w:rPr>
            </w:pPr>
          </w:p>
        </w:tc>
        <w:tc>
          <w:tcPr>
            <w:tcW w:w="80" w:type="dxa"/>
            <w:vAlign w:val="bottom"/>
            <w:tcBorders>
              <w:bottom w:val="single" w:sz="8" w:color="0066BA"/>
            </w:tcBorders>
            <w:shd w:val="clear" w:color="auto" w:fill="EAEAEA"/>
          </w:tcPr>
          <w:p>
            <w:pPr>
              <w:spacing w:after="0"/>
              <w:rPr>
                <w:sz w:val="8"/>
                <w:szCs w:val="8"/>
                <w:color w:val="auto"/>
              </w:rPr>
            </w:pPr>
          </w:p>
        </w:tc>
        <w:tc>
          <w:tcPr>
            <w:tcW w:w="760" w:type="dxa"/>
            <w:vAlign w:val="bottom"/>
            <w:tcBorders>
              <w:bottom w:val="single" w:sz="8" w:color="0066BA"/>
            </w:tcBorders>
          </w:tcPr>
          <w:p>
            <w:pPr>
              <w:spacing w:after="0"/>
              <w:rPr>
                <w:sz w:val="8"/>
                <w:szCs w:val="8"/>
                <w:color w:val="auto"/>
              </w:rPr>
            </w:pPr>
          </w:p>
        </w:tc>
        <w:tc>
          <w:tcPr>
            <w:tcW w:w="80" w:type="dxa"/>
            <w:vAlign w:val="bottom"/>
            <w:tcBorders>
              <w:bottom w:val="single" w:sz="8" w:color="0066BA"/>
            </w:tcBorders>
            <w:shd w:val="clear" w:color="auto" w:fill="EAEAEA"/>
          </w:tcPr>
          <w:p>
            <w:pPr>
              <w:spacing w:after="0"/>
              <w:rPr>
                <w:sz w:val="8"/>
                <w:szCs w:val="8"/>
                <w:color w:val="auto"/>
              </w:rPr>
            </w:pPr>
          </w:p>
        </w:tc>
        <w:tc>
          <w:tcPr>
            <w:tcW w:w="820" w:type="dxa"/>
            <w:vAlign w:val="bottom"/>
            <w:tcBorders>
              <w:bottom w:val="single" w:sz="8" w:color="0066BA"/>
            </w:tcBorders>
            <w:shd w:val="clear" w:color="auto" w:fill="EAEAEA"/>
          </w:tcPr>
          <w:p>
            <w:pPr>
              <w:spacing w:after="0"/>
              <w:rPr>
                <w:sz w:val="8"/>
                <w:szCs w:val="8"/>
                <w:color w:val="auto"/>
              </w:rPr>
            </w:pPr>
          </w:p>
        </w:tc>
        <w:tc>
          <w:tcPr>
            <w:tcW w:w="80" w:type="dxa"/>
            <w:vAlign w:val="bottom"/>
            <w:tcBorders>
              <w:bottom w:val="single" w:sz="8" w:color="0066BA"/>
            </w:tcBorders>
            <w:shd w:val="clear" w:color="auto" w:fill="EAEAEA"/>
          </w:tcPr>
          <w:p>
            <w:pPr>
              <w:spacing w:after="0"/>
              <w:rPr>
                <w:sz w:val="8"/>
                <w:szCs w:val="8"/>
                <w:color w:val="auto"/>
              </w:rPr>
            </w:pPr>
          </w:p>
        </w:tc>
        <w:tc>
          <w:tcPr>
            <w:tcW w:w="820" w:type="dxa"/>
            <w:vAlign w:val="bottom"/>
            <w:tcBorders>
              <w:bottom w:val="single" w:sz="8" w:color="0066BA"/>
            </w:tcBorders>
          </w:tcPr>
          <w:p>
            <w:pPr>
              <w:spacing w:after="0"/>
              <w:rPr>
                <w:sz w:val="8"/>
                <w:szCs w:val="8"/>
                <w:color w:val="auto"/>
              </w:rPr>
            </w:pPr>
          </w:p>
        </w:tc>
        <w:tc>
          <w:tcPr>
            <w:tcW w:w="80" w:type="dxa"/>
            <w:vAlign w:val="bottom"/>
            <w:tcBorders>
              <w:bottom w:val="single" w:sz="8" w:color="0066BA"/>
            </w:tcBorders>
            <w:shd w:val="clear" w:color="auto" w:fill="EAEAEA"/>
          </w:tcPr>
          <w:p>
            <w:pPr>
              <w:spacing w:after="0"/>
              <w:rPr>
                <w:sz w:val="8"/>
                <w:szCs w:val="8"/>
                <w:color w:val="auto"/>
              </w:rPr>
            </w:pPr>
          </w:p>
        </w:tc>
        <w:tc>
          <w:tcPr>
            <w:tcW w:w="440" w:type="dxa"/>
            <w:vAlign w:val="bottom"/>
            <w:tcBorders>
              <w:bottom w:val="single" w:sz="8" w:color="0066BA"/>
            </w:tcBorders>
            <w:shd w:val="clear" w:color="auto" w:fill="EAEAEA"/>
          </w:tcPr>
          <w:p>
            <w:pPr>
              <w:spacing w:after="0"/>
              <w:rPr>
                <w:sz w:val="8"/>
                <w:szCs w:val="8"/>
                <w:color w:val="auto"/>
              </w:rPr>
            </w:pPr>
          </w:p>
        </w:tc>
        <w:tc>
          <w:tcPr>
            <w:tcW w:w="80" w:type="dxa"/>
            <w:vAlign w:val="bottom"/>
            <w:tcBorders>
              <w:bottom w:val="single" w:sz="8" w:color="0066BA"/>
            </w:tcBorders>
            <w:shd w:val="clear" w:color="auto" w:fill="EAEAEA"/>
          </w:tcPr>
          <w:p>
            <w:pPr>
              <w:spacing w:after="0"/>
              <w:rPr>
                <w:sz w:val="8"/>
                <w:szCs w:val="8"/>
                <w:color w:val="auto"/>
              </w:rPr>
            </w:pPr>
          </w:p>
        </w:tc>
        <w:tc>
          <w:tcPr>
            <w:tcW w:w="860" w:type="dxa"/>
            <w:vAlign w:val="bottom"/>
            <w:tcBorders>
              <w:bottom w:val="single" w:sz="8" w:color="0066BA"/>
            </w:tcBorders>
          </w:tcPr>
          <w:p>
            <w:pPr>
              <w:spacing w:after="0"/>
              <w:rPr>
                <w:sz w:val="8"/>
                <w:szCs w:val="8"/>
                <w:color w:val="auto"/>
              </w:rPr>
            </w:pPr>
          </w:p>
        </w:tc>
        <w:tc>
          <w:tcPr>
            <w:tcW w:w="200" w:type="dxa"/>
            <w:vAlign w:val="bottom"/>
            <w:tcBorders>
              <w:bottom w:val="single" w:sz="8" w:color="0066BA"/>
            </w:tcBorders>
          </w:tcPr>
          <w:p>
            <w:pPr>
              <w:spacing w:after="0"/>
              <w:rPr>
                <w:sz w:val="8"/>
                <w:szCs w:val="8"/>
                <w:color w:val="auto"/>
              </w:rPr>
            </w:pPr>
          </w:p>
        </w:tc>
        <w:tc>
          <w:tcPr>
            <w:tcW w:w="80" w:type="dxa"/>
            <w:vAlign w:val="bottom"/>
            <w:tcBorders>
              <w:bottom w:val="single" w:sz="8" w:color="0066BA"/>
            </w:tcBorders>
            <w:shd w:val="clear" w:color="auto" w:fill="EAEAEA"/>
          </w:tcPr>
          <w:p>
            <w:pPr>
              <w:spacing w:after="0"/>
              <w:rPr>
                <w:sz w:val="8"/>
                <w:szCs w:val="8"/>
                <w:color w:val="auto"/>
              </w:rPr>
            </w:pPr>
          </w:p>
        </w:tc>
        <w:tc>
          <w:tcPr>
            <w:tcW w:w="520" w:type="dxa"/>
            <w:vAlign w:val="bottom"/>
            <w:tcBorders>
              <w:bottom w:val="single" w:sz="8" w:color="0066BA"/>
            </w:tcBorders>
            <w:shd w:val="clear" w:color="auto" w:fill="EAEAEA"/>
          </w:tcPr>
          <w:p>
            <w:pPr>
              <w:spacing w:after="0"/>
              <w:rPr>
                <w:sz w:val="8"/>
                <w:szCs w:val="8"/>
                <w:color w:val="auto"/>
              </w:rPr>
            </w:pPr>
          </w:p>
        </w:tc>
        <w:tc>
          <w:tcPr>
            <w:tcW w:w="80" w:type="dxa"/>
            <w:vAlign w:val="bottom"/>
            <w:tcBorders>
              <w:bottom w:val="single" w:sz="8" w:color="0066BA"/>
            </w:tcBorders>
            <w:shd w:val="clear" w:color="auto" w:fill="EAEAEA"/>
          </w:tcPr>
          <w:p>
            <w:pPr>
              <w:spacing w:after="0"/>
              <w:rPr>
                <w:sz w:val="8"/>
                <w:szCs w:val="8"/>
                <w:color w:val="auto"/>
              </w:rPr>
            </w:pPr>
          </w:p>
        </w:tc>
        <w:tc>
          <w:tcPr>
            <w:tcW w:w="840" w:type="dxa"/>
            <w:vAlign w:val="bottom"/>
            <w:tcBorders>
              <w:bottom w:val="single" w:sz="8" w:color="0066BA"/>
            </w:tcBorders>
          </w:tcPr>
          <w:p>
            <w:pPr>
              <w:spacing w:after="0"/>
              <w:rPr>
                <w:sz w:val="8"/>
                <w:szCs w:val="8"/>
                <w:color w:val="auto"/>
              </w:rPr>
            </w:pPr>
          </w:p>
        </w:tc>
        <w:tc>
          <w:tcPr>
            <w:tcW w:w="100" w:type="dxa"/>
            <w:vAlign w:val="bottom"/>
            <w:tcBorders>
              <w:bottom w:val="single" w:sz="8" w:color="0066BA"/>
            </w:tcBorders>
            <w:shd w:val="clear" w:color="auto" w:fill="EAEAEA"/>
          </w:tcPr>
          <w:p>
            <w:pPr>
              <w:spacing w:after="0"/>
              <w:rPr>
                <w:sz w:val="8"/>
                <w:szCs w:val="8"/>
                <w:color w:val="auto"/>
              </w:rPr>
            </w:pPr>
          </w:p>
        </w:tc>
        <w:tc>
          <w:tcPr>
            <w:tcW w:w="660" w:type="dxa"/>
            <w:vAlign w:val="bottom"/>
            <w:tcBorders>
              <w:bottom w:val="single" w:sz="8" w:color="0066BA"/>
            </w:tcBorders>
            <w:shd w:val="clear" w:color="auto" w:fill="EAEAEA"/>
          </w:tcPr>
          <w:p>
            <w:pPr>
              <w:spacing w:after="0"/>
              <w:rPr>
                <w:sz w:val="8"/>
                <w:szCs w:val="8"/>
                <w:color w:val="auto"/>
              </w:rPr>
            </w:pPr>
          </w:p>
        </w:tc>
        <w:tc>
          <w:tcPr>
            <w:tcW w:w="80" w:type="dxa"/>
            <w:vAlign w:val="bottom"/>
            <w:tcBorders>
              <w:bottom w:val="single" w:sz="8" w:color="0066BA"/>
            </w:tcBorders>
            <w:shd w:val="clear" w:color="auto" w:fill="EAEAEA"/>
          </w:tcPr>
          <w:p>
            <w:pPr>
              <w:spacing w:after="0"/>
              <w:rPr>
                <w:sz w:val="8"/>
                <w:szCs w:val="8"/>
                <w:color w:val="auto"/>
              </w:rPr>
            </w:pPr>
          </w:p>
        </w:tc>
        <w:tc>
          <w:tcPr>
            <w:tcW w:w="940" w:type="dxa"/>
            <w:vAlign w:val="bottom"/>
            <w:tcBorders>
              <w:bottom w:val="single" w:sz="8" w:color="0066B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760"/>
          </w:cols>
          <w:pgMar w:left="320" w:top="447" w:right="819" w:bottom="1440" w:gutter="0" w:footer="0" w:header="0"/>
        </w:sectPr>
      </w:pPr>
    </w:p>
    <w:p>
      <w:pPr>
        <w:spacing w:after="0" w:line="25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0760"/>
          </w:cols>
          <w:pgMar w:left="320" w:top="447" w:right="819" w:bottom="1440" w:gutter="0" w:footer="0" w:header="0"/>
          <w:type w:val="continuous"/>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880" w:hanging="405"/>
        <w:spacing w:after="0"/>
        <w:tabs>
          <w:tab w:leader="none" w:pos="8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unexercisable options held by these executive officers vest, subject to continued employment, as follows:</w:t>
      </w:r>
    </w:p>
    <w:p>
      <w:pPr>
        <w:spacing w:after="0" w:line="259" w:lineRule="exact"/>
        <w:rPr>
          <w:sz w:val="20"/>
          <w:szCs w:val="20"/>
          <w:color w:val="auto"/>
        </w:rPr>
      </w:pPr>
    </w:p>
    <w:tbl>
      <w:tblPr>
        <w:tblLayout w:type="fixed"/>
        <w:tblInd w:w="480" w:type="dxa"/>
        <w:tblCellMar>
          <w:top w:w="0" w:type="dxa"/>
          <w:left w:w="0" w:type="dxa"/>
          <w:bottom w:w="0" w:type="dxa"/>
          <w:right w:w="0" w:type="dxa"/>
        </w:tblCellMar>
      </w:tblPr>
      <w:tr>
        <w:trPr>
          <w:trHeight w:val="171"/>
        </w:trPr>
        <w:tc>
          <w:tcPr>
            <w:tcW w:w="3280" w:type="dxa"/>
            <w:vAlign w:val="bottom"/>
            <w:shd w:val="clear" w:color="auto" w:fill="0066BA"/>
          </w:tcPr>
          <w:p>
            <w:pPr>
              <w:spacing w:after="0"/>
              <w:rPr>
                <w:sz w:val="14"/>
                <w:szCs w:val="14"/>
                <w:color w:val="auto"/>
              </w:rPr>
            </w:pPr>
          </w:p>
        </w:tc>
        <w:tc>
          <w:tcPr>
            <w:tcW w:w="1000" w:type="dxa"/>
            <w:vAlign w:val="bottom"/>
            <w:shd w:val="clear" w:color="auto" w:fill="0066BA"/>
          </w:tcPr>
          <w:p>
            <w:pPr>
              <w:spacing w:after="0"/>
              <w:rPr>
                <w:sz w:val="14"/>
                <w:szCs w:val="14"/>
                <w:color w:val="auto"/>
              </w:rPr>
            </w:pPr>
          </w:p>
        </w:tc>
        <w:tc>
          <w:tcPr>
            <w:tcW w:w="980" w:type="dxa"/>
            <w:vAlign w:val="bottom"/>
            <w:shd w:val="clear" w:color="auto" w:fill="0066BA"/>
          </w:tcPr>
          <w:p>
            <w:pPr>
              <w:spacing w:after="0"/>
              <w:rPr>
                <w:sz w:val="14"/>
                <w:szCs w:val="14"/>
                <w:color w:val="auto"/>
              </w:rPr>
            </w:pPr>
          </w:p>
        </w:tc>
        <w:tc>
          <w:tcPr>
            <w:tcW w:w="1140" w:type="dxa"/>
            <w:vAlign w:val="bottom"/>
            <w:shd w:val="clear" w:color="auto" w:fill="0066BA"/>
          </w:tcPr>
          <w:p>
            <w:pPr>
              <w:jc w:val="right"/>
              <w:ind w:right="123"/>
              <w:spacing w:after="0"/>
              <w:rPr>
                <w:sz w:val="20"/>
                <w:szCs w:val="20"/>
                <w:color w:val="auto"/>
              </w:rPr>
            </w:pPr>
            <w:r>
              <w:rPr>
                <w:rFonts w:ascii="Arial" w:cs="Arial" w:eastAsia="Arial" w:hAnsi="Arial"/>
                <w:sz w:val="14"/>
                <w:szCs w:val="14"/>
                <w:b w:val="1"/>
                <w:bCs w:val="1"/>
                <w:color w:val="FFFFFF"/>
              </w:rPr>
              <w:t>Prashanth</w:t>
            </w:r>
          </w:p>
        </w:tc>
        <w:tc>
          <w:tcPr>
            <w:tcW w:w="820" w:type="dxa"/>
            <w:vAlign w:val="bottom"/>
            <w:shd w:val="clear" w:color="auto" w:fill="0066BA"/>
          </w:tcPr>
          <w:p>
            <w:pPr>
              <w:spacing w:after="0"/>
              <w:rPr>
                <w:sz w:val="14"/>
                <w:szCs w:val="14"/>
                <w:color w:val="auto"/>
              </w:rPr>
            </w:pPr>
          </w:p>
        </w:tc>
        <w:tc>
          <w:tcPr>
            <w:tcW w:w="940" w:type="dxa"/>
            <w:vAlign w:val="bottom"/>
            <w:shd w:val="clear" w:color="auto" w:fill="0066BA"/>
          </w:tcPr>
          <w:p>
            <w:pPr>
              <w:spacing w:after="0"/>
              <w:rPr>
                <w:sz w:val="14"/>
                <w:szCs w:val="14"/>
                <w:color w:val="auto"/>
              </w:rPr>
            </w:pPr>
          </w:p>
        </w:tc>
        <w:tc>
          <w:tcPr>
            <w:tcW w:w="1180" w:type="dxa"/>
            <w:vAlign w:val="bottom"/>
            <w:shd w:val="clear" w:color="auto" w:fill="0066BA"/>
          </w:tcPr>
          <w:p>
            <w:pPr>
              <w:spacing w:after="0"/>
              <w:rPr>
                <w:sz w:val="14"/>
                <w:szCs w:val="14"/>
                <w:color w:val="auto"/>
              </w:rPr>
            </w:pPr>
          </w:p>
        </w:tc>
        <w:tc>
          <w:tcPr>
            <w:tcW w:w="940" w:type="dxa"/>
            <w:vAlign w:val="bottom"/>
            <w:shd w:val="clear" w:color="auto" w:fill="0066BA"/>
          </w:tcPr>
          <w:p>
            <w:pPr>
              <w:spacing w:after="0"/>
              <w:rPr>
                <w:sz w:val="14"/>
                <w:szCs w:val="14"/>
                <w:color w:val="auto"/>
              </w:rPr>
            </w:pPr>
          </w:p>
        </w:tc>
      </w:tr>
      <w:tr>
        <w:trPr>
          <w:trHeight w:val="156"/>
        </w:trPr>
        <w:tc>
          <w:tcPr>
            <w:tcW w:w="3280" w:type="dxa"/>
            <w:vAlign w:val="bottom"/>
            <w:shd w:val="clear" w:color="auto" w:fill="0066BA"/>
          </w:tcPr>
          <w:p>
            <w:pPr>
              <w:spacing w:after="0"/>
              <w:rPr>
                <w:sz w:val="13"/>
                <w:szCs w:val="13"/>
                <w:color w:val="auto"/>
              </w:rPr>
            </w:pPr>
          </w:p>
        </w:tc>
        <w:tc>
          <w:tcPr>
            <w:tcW w:w="1000" w:type="dxa"/>
            <w:vAlign w:val="bottom"/>
            <w:shd w:val="clear" w:color="auto" w:fill="0066BA"/>
          </w:tcPr>
          <w:p>
            <w:pPr>
              <w:jc w:val="right"/>
              <w:ind w:right="3"/>
              <w:spacing w:after="0" w:line="156" w:lineRule="exact"/>
              <w:rPr>
                <w:sz w:val="20"/>
                <w:szCs w:val="20"/>
                <w:color w:val="auto"/>
              </w:rPr>
            </w:pPr>
            <w:r>
              <w:rPr>
                <w:rFonts w:ascii="Arial" w:cs="Arial" w:eastAsia="Arial" w:hAnsi="Arial"/>
                <w:sz w:val="14"/>
                <w:szCs w:val="14"/>
                <w:b w:val="1"/>
                <w:bCs w:val="1"/>
                <w:color w:val="FFFFFF"/>
              </w:rPr>
              <w:t>Vest</w:t>
            </w:r>
          </w:p>
        </w:tc>
        <w:tc>
          <w:tcPr>
            <w:tcW w:w="980" w:type="dxa"/>
            <w:vAlign w:val="bottom"/>
            <w:shd w:val="clear" w:color="auto" w:fill="0066BA"/>
          </w:tcPr>
          <w:p>
            <w:pPr>
              <w:jc w:val="right"/>
              <w:ind w:right="103"/>
              <w:spacing w:after="0" w:line="156" w:lineRule="exact"/>
              <w:rPr>
                <w:sz w:val="20"/>
                <w:szCs w:val="20"/>
                <w:color w:val="auto"/>
              </w:rPr>
            </w:pPr>
            <w:r>
              <w:rPr>
                <w:rFonts w:ascii="Arial" w:cs="Arial" w:eastAsia="Arial" w:hAnsi="Arial"/>
                <w:sz w:val="14"/>
                <w:szCs w:val="14"/>
                <w:b w:val="1"/>
                <w:bCs w:val="1"/>
                <w:color w:val="FFFFFF"/>
              </w:rPr>
              <w:t>Vincent</w:t>
            </w:r>
          </w:p>
        </w:tc>
        <w:tc>
          <w:tcPr>
            <w:tcW w:w="1140" w:type="dxa"/>
            <w:vAlign w:val="bottom"/>
            <w:shd w:val="clear" w:color="auto" w:fill="0066BA"/>
          </w:tcPr>
          <w:p>
            <w:pPr>
              <w:jc w:val="right"/>
              <w:ind w:right="123"/>
              <w:spacing w:after="0" w:line="156" w:lineRule="exact"/>
              <w:rPr>
                <w:sz w:val="20"/>
                <w:szCs w:val="20"/>
                <w:color w:val="auto"/>
              </w:rPr>
            </w:pPr>
            <w:r>
              <w:rPr>
                <w:rFonts w:ascii="Arial" w:cs="Arial" w:eastAsia="Arial" w:hAnsi="Arial"/>
                <w:sz w:val="14"/>
                <w:szCs w:val="14"/>
                <w:b w:val="1"/>
                <w:bCs w:val="1"/>
                <w:color w:val="FFFFFF"/>
              </w:rPr>
              <w:t>Mahendra</w:t>
            </w:r>
          </w:p>
        </w:tc>
        <w:tc>
          <w:tcPr>
            <w:tcW w:w="820" w:type="dxa"/>
            <w:vAlign w:val="bottom"/>
            <w:shd w:val="clear" w:color="auto" w:fill="0066BA"/>
          </w:tcPr>
          <w:p>
            <w:pPr>
              <w:jc w:val="right"/>
              <w:ind w:right="103"/>
              <w:spacing w:after="0" w:line="156" w:lineRule="exact"/>
              <w:rPr>
                <w:sz w:val="20"/>
                <w:szCs w:val="20"/>
                <w:color w:val="auto"/>
              </w:rPr>
            </w:pPr>
            <w:r>
              <w:rPr>
                <w:rFonts w:ascii="Arial" w:cs="Arial" w:eastAsia="Arial" w:hAnsi="Arial"/>
                <w:sz w:val="14"/>
                <w:szCs w:val="14"/>
                <w:b w:val="1"/>
                <w:bCs w:val="1"/>
                <w:color w:val="FFFFFF"/>
              </w:rPr>
              <w:t>Martin</w:t>
            </w:r>
          </w:p>
        </w:tc>
        <w:tc>
          <w:tcPr>
            <w:tcW w:w="940" w:type="dxa"/>
            <w:vAlign w:val="bottom"/>
            <w:shd w:val="clear" w:color="auto" w:fill="0066BA"/>
          </w:tcPr>
          <w:p>
            <w:pPr>
              <w:jc w:val="right"/>
              <w:ind w:right="103"/>
              <w:spacing w:after="0" w:line="156" w:lineRule="exact"/>
              <w:rPr>
                <w:sz w:val="20"/>
                <w:szCs w:val="20"/>
                <w:color w:val="auto"/>
              </w:rPr>
            </w:pPr>
            <w:r>
              <w:rPr>
                <w:rFonts w:ascii="Arial" w:cs="Arial" w:eastAsia="Arial" w:hAnsi="Arial"/>
                <w:sz w:val="14"/>
                <w:szCs w:val="14"/>
                <w:b w:val="1"/>
                <w:bCs w:val="1"/>
                <w:color w:val="FFFFFF"/>
              </w:rPr>
              <w:t>John</w:t>
            </w:r>
          </w:p>
        </w:tc>
        <w:tc>
          <w:tcPr>
            <w:tcW w:w="1180" w:type="dxa"/>
            <w:vAlign w:val="bottom"/>
            <w:shd w:val="clear" w:color="auto" w:fill="0066BA"/>
          </w:tcPr>
          <w:p>
            <w:pPr>
              <w:jc w:val="right"/>
              <w:ind w:right="103"/>
              <w:spacing w:after="0" w:line="156" w:lineRule="exact"/>
              <w:rPr>
                <w:sz w:val="20"/>
                <w:szCs w:val="20"/>
                <w:color w:val="auto"/>
              </w:rPr>
            </w:pPr>
            <w:r>
              <w:rPr>
                <w:rFonts w:ascii="Arial" w:cs="Arial" w:eastAsia="Arial" w:hAnsi="Arial"/>
                <w:sz w:val="14"/>
                <w:szCs w:val="14"/>
                <w:b w:val="1"/>
                <w:bCs w:val="1"/>
                <w:color w:val="FFFFFF"/>
              </w:rPr>
              <w:t>Greg</w:t>
            </w:r>
          </w:p>
        </w:tc>
        <w:tc>
          <w:tcPr>
            <w:tcW w:w="940" w:type="dxa"/>
            <w:vAlign w:val="bottom"/>
            <w:shd w:val="clear" w:color="auto" w:fill="0066BA"/>
          </w:tcPr>
          <w:p>
            <w:pPr>
              <w:jc w:val="right"/>
              <w:ind w:right="103"/>
              <w:spacing w:after="0" w:line="156" w:lineRule="exact"/>
              <w:rPr>
                <w:sz w:val="20"/>
                <w:szCs w:val="20"/>
                <w:color w:val="auto"/>
              </w:rPr>
            </w:pPr>
            <w:r>
              <w:rPr>
                <w:rFonts w:ascii="Arial" w:cs="Arial" w:eastAsia="Arial" w:hAnsi="Arial"/>
                <w:sz w:val="14"/>
                <w:szCs w:val="14"/>
                <w:b w:val="1"/>
                <w:bCs w:val="1"/>
                <w:color w:val="FFFFFF"/>
              </w:rPr>
              <w:t>Anelise</w:t>
            </w:r>
          </w:p>
        </w:tc>
      </w:tr>
      <w:tr>
        <w:trPr>
          <w:trHeight w:val="168"/>
        </w:trPr>
        <w:tc>
          <w:tcPr>
            <w:tcW w:w="328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Grant Date</w:t>
            </w:r>
          </w:p>
        </w:tc>
        <w:tc>
          <w:tcPr>
            <w:tcW w:w="1000" w:type="dxa"/>
            <w:vAlign w:val="bottom"/>
            <w:shd w:val="clear" w:color="auto" w:fill="0066BA"/>
          </w:tcPr>
          <w:p>
            <w:pPr>
              <w:jc w:val="right"/>
              <w:ind w:right="3"/>
              <w:spacing w:after="0"/>
              <w:rPr>
                <w:sz w:val="20"/>
                <w:szCs w:val="20"/>
                <w:color w:val="auto"/>
              </w:rPr>
            </w:pPr>
            <w:r>
              <w:rPr>
                <w:rFonts w:ascii="Arial" w:cs="Arial" w:eastAsia="Arial" w:hAnsi="Arial"/>
                <w:sz w:val="14"/>
                <w:szCs w:val="14"/>
                <w:b w:val="1"/>
                <w:bCs w:val="1"/>
                <w:color w:val="FFFFFF"/>
              </w:rPr>
              <w:t>Date</w:t>
            </w:r>
          </w:p>
        </w:tc>
        <w:tc>
          <w:tcPr>
            <w:tcW w:w="980" w:type="dxa"/>
            <w:vAlign w:val="bottom"/>
            <w:shd w:val="clear" w:color="auto" w:fill="0066BA"/>
          </w:tcPr>
          <w:p>
            <w:pPr>
              <w:jc w:val="right"/>
              <w:ind w:right="103"/>
              <w:spacing w:after="0"/>
              <w:rPr>
                <w:sz w:val="20"/>
                <w:szCs w:val="20"/>
                <w:color w:val="auto"/>
              </w:rPr>
            </w:pPr>
            <w:r>
              <w:rPr>
                <w:rFonts w:ascii="Arial" w:cs="Arial" w:eastAsia="Arial" w:hAnsi="Arial"/>
                <w:sz w:val="14"/>
                <w:szCs w:val="14"/>
                <w:b w:val="1"/>
                <w:bCs w:val="1"/>
                <w:color w:val="FFFFFF"/>
              </w:rPr>
              <w:t>Roche</w:t>
            </w:r>
          </w:p>
        </w:tc>
        <w:tc>
          <w:tcPr>
            <w:tcW w:w="1140" w:type="dxa"/>
            <w:vAlign w:val="bottom"/>
            <w:shd w:val="clear" w:color="auto" w:fill="0066BA"/>
          </w:tcPr>
          <w:p>
            <w:pPr>
              <w:jc w:val="right"/>
              <w:ind w:right="123"/>
              <w:spacing w:after="0"/>
              <w:rPr>
                <w:sz w:val="20"/>
                <w:szCs w:val="20"/>
                <w:color w:val="auto"/>
              </w:rPr>
            </w:pPr>
            <w:r>
              <w:rPr>
                <w:rFonts w:ascii="Arial" w:cs="Arial" w:eastAsia="Arial" w:hAnsi="Arial"/>
                <w:sz w:val="14"/>
                <w:szCs w:val="14"/>
                <w:b w:val="1"/>
                <w:bCs w:val="1"/>
                <w:color w:val="FFFFFF"/>
              </w:rPr>
              <w:t>-Rajah</w:t>
            </w:r>
          </w:p>
        </w:tc>
        <w:tc>
          <w:tcPr>
            <w:tcW w:w="820" w:type="dxa"/>
            <w:vAlign w:val="bottom"/>
            <w:shd w:val="clear" w:color="auto" w:fill="0066BA"/>
          </w:tcPr>
          <w:p>
            <w:pPr>
              <w:jc w:val="right"/>
              <w:ind w:right="103"/>
              <w:spacing w:after="0"/>
              <w:rPr>
                <w:sz w:val="20"/>
                <w:szCs w:val="20"/>
                <w:color w:val="auto"/>
              </w:rPr>
            </w:pPr>
            <w:r>
              <w:rPr>
                <w:rFonts w:ascii="Arial" w:cs="Arial" w:eastAsia="Arial" w:hAnsi="Arial"/>
                <w:sz w:val="14"/>
                <w:szCs w:val="14"/>
                <w:b w:val="1"/>
                <w:bCs w:val="1"/>
                <w:color w:val="FFFFFF"/>
              </w:rPr>
              <w:t>Cotter</w:t>
            </w:r>
          </w:p>
        </w:tc>
        <w:tc>
          <w:tcPr>
            <w:tcW w:w="940" w:type="dxa"/>
            <w:vAlign w:val="bottom"/>
            <w:shd w:val="clear" w:color="auto" w:fill="0066BA"/>
          </w:tcPr>
          <w:p>
            <w:pPr>
              <w:jc w:val="right"/>
              <w:ind w:right="103"/>
              <w:spacing w:after="0"/>
              <w:rPr>
                <w:sz w:val="20"/>
                <w:szCs w:val="20"/>
                <w:color w:val="auto"/>
              </w:rPr>
            </w:pPr>
            <w:r>
              <w:rPr>
                <w:rFonts w:ascii="Arial" w:cs="Arial" w:eastAsia="Arial" w:hAnsi="Arial"/>
                <w:sz w:val="14"/>
                <w:szCs w:val="14"/>
                <w:b w:val="1"/>
                <w:bCs w:val="1"/>
                <w:color w:val="FFFFFF"/>
              </w:rPr>
              <w:t>Hassett</w:t>
            </w:r>
          </w:p>
        </w:tc>
        <w:tc>
          <w:tcPr>
            <w:tcW w:w="1180" w:type="dxa"/>
            <w:vAlign w:val="bottom"/>
            <w:shd w:val="clear" w:color="auto" w:fill="0066BA"/>
          </w:tcPr>
          <w:p>
            <w:pPr>
              <w:jc w:val="right"/>
              <w:ind w:right="103"/>
              <w:spacing w:after="0"/>
              <w:rPr>
                <w:sz w:val="20"/>
                <w:szCs w:val="20"/>
                <w:color w:val="auto"/>
              </w:rPr>
            </w:pPr>
            <w:r>
              <w:rPr>
                <w:rFonts w:ascii="Arial" w:cs="Arial" w:eastAsia="Arial" w:hAnsi="Arial"/>
                <w:sz w:val="14"/>
                <w:szCs w:val="14"/>
                <w:b w:val="1"/>
                <w:bCs w:val="1"/>
                <w:color w:val="FFFFFF"/>
              </w:rPr>
              <w:t>Henderson</w:t>
            </w:r>
          </w:p>
        </w:tc>
        <w:tc>
          <w:tcPr>
            <w:tcW w:w="940" w:type="dxa"/>
            <w:vAlign w:val="bottom"/>
            <w:shd w:val="clear" w:color="auto" w:fill="0066BA"/>
          </w:tcPr>
          <w:p>
            <w:pPr>
              <w:jc w:val="right"/>
              <w:ind w:right="103"/>
              <w:spacing w:after="0"/>
              <w:rPr>
                <w:sz w:val="20"/>
                <w:szCs w:val="20"/>
                <w:color w:val="auto"/>
              </w:rPr>
            </w:pPr>
            <w:r>
              <w:rPr>
                <w:rFonts w:ascii="Arial" w:cs="Arial" w:eastAsia="Arial" w:hAnsi="Arial"/>
                <w:sz w:val="14"/>
                <w:szCs w:val="14"/>
                <w:b w:val="1"/>
                <w:bCs w:val="1"/>
                <w:color w:val="FFFFFF"/>
              </w:rPr>
              <w:t>Sacks</w:t>
            </w:r>
          </w:p>
        </w:tc>
      </w:tr>
      <w:tr>
        <w:trPr>
          <w:trHeight w:val="260"/>
        </w:trPr>
        <w:tc>
          <w:tcPr>
            <w:tcW w:w="3280" w:type="dxa"/>
            <w:vAlign w:val="bottom"/>
          </w:tcPr>
          <w:p>
            <w:pPr>
              <w:ind w:left="60"/>
              <w:spacing w:after="0"/>
              <w:rPr>
                <w:sz w:val="20"/>
                <w:szCs w:val="20"/>
                <w:color w:val="auto"/>
              </w:rPr>
            </w:pPr>
            <w:r>
              <w:rPr>
                <w:rFonts w:ascii="Arial" w:cs="Arial" w:eastAsia="Arial" w:hAnsi="Arial"/>
                <w:sz w:val="16"/>
                <w:szCs w:val="16"/>
                <w:color w:val="auto"/>
              </w:rPr>
              <w:t>3/8/2017</w:t>
            </w:r>
          </w:p>
        </w:tc>
        <w:tc>
          <w:tcPr>
            <w:tcW w:w="1000" w:type="dxa"/>
            <w:vAlign w:val="bottom"/>
            <w:tcBorders>
              <w:bottom w:val="single" w:sz="8" w:color="EAEAEA"/>
            </w:tcBorders>
            <w:shd w:val="clear" w:color="auto" w:fill="EAEAEA"/>
          </w:tcPr>
          <w:p>
            <w:pPr>
              <w:jc w:val="right"/>
              <w:ind w:right="3"/>
              <w:spacing w:after="0"/>
              <w:rPr>
                <w:sz w:val="20"/>
                <w:szCs w:val="20"/>
                <w:color w:val="auto"/>
              </w:rPr>
            </w:pPr>
            <w:r>
              <w:rPr>
                <w:rFonts w:ascii="Arial" w:cs="Arial" w:eastAsia="Arial" w:hAnsi="Arial"/>
                <w:sz w:val="16"/>
                <w:szCs w:val="16"/>
                <w:color w:val="auto"/>
                <w:shd w:val="clear" w:color="auto" w:fill="EAEAEA"/>
              </w:rPr>
              <w:t>3/8/2022</w:t>
            </w:r>
          </w:p>
        </w:tc>
        <w:tc>
          <w:tcPr>
            <w:tcW w:w="980" w:type="dxa"/>
            <w:vAlign w:val="bottom"/>
          </w:tcPr>
          <w:p>
            <w:pPr>
              <w:jc w:val="right"/>
              <w:ind w:right="103"/>
              <w:spacing w:after="0"/>
              <w:rPr>
                <w:sz w:val="20"/>
                <w:szCs w:val="20"/>
                <w:color w:val="auto"/>
              </w:rPr>
            </w:pPr>
            <w:r>
              <w:rPr>
                <w:rFonts w:ascii="Arial" w:cs="Arial" w:eastAsia="Arial" w:hAnsi="Arial"/>
                <w:sz w:val="16"/>
                <w:szCs w:val="16"/>
                <w:color w:val="auto"/>
              </w:rPr>
              <w:t>22,872</w:t>
            </w:r>
          </w:p>
        </w:tc>
        <w:tc>
          <w:tcPr>
            <w:tcW w:w="1140" w:type="dxa"/>
            <w:vAlign w:val="bottom"/>
            <w:tcBorders>
              <w:bottom w:val="single" w:sz="8" w:color="EAEAEA"/>
            </w:tcBorders>
            <w:shd w:val="clear" w:color="auto" w:fill="EAEAEA"/>
          </w:tcPr>
          <w:p>
            <w:pPr>
              <w:jc w:val="right"/>
              <w:ind w:right="123"/>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03"/>
              <w:spacing w:after="0"/>
              <w:rPr>
                <w:sz w:val="20"/>
                <w:szCs w:val="20"/>
                <w:color w:val="auto"/>
              </w:rPr>
            </w:pPr>
            <w:r>
              <w:rPr>
                <w:rFonts w:ascii="Arial" w:cs="Arial" w:eastAsia="Arial" w:hAnsi="Arial"/>
                <w:sz w:val="16"/>
                <w:szCs w:val="16"/>
                <w:color w:val="auto"/>
              </w:rPr>
              <w:t>3,519</w:t>
            </w:r>
          </w:p>
        </w:tc>
        <w:tc>
          <w:tcPr>
            <w:tcW w:w="940" w:type="dxa"/>
            <w:vAlign w:val="bottom"/>
            <w:tcBorders>
              <w:bottom w:val="single" w:sz="8" w:color="EAEAEA"/>
            </w:tcBorders>
            <w:shd w:val="clear" w:color="auto" w:fill="EAEAEA"/>
          </w:tcPr>
          <w:p>
            <w:pPr>
              <w:jc w:val="right"/>
              <w:ind w:right="103"/>
              <w:spacing w:after="0"/>
              <w:rPr>
                <w:sz w:val="20"/>
                <w:szCs w:val="20"/>
                <w:color w:val="auto"/>
              </w:rPr>
            </w:pPr>
            <w:r>
              <w:rPr>
                <w:rFonts w:ascii="Arial" w:cs="Arial" w:eastAsia="Arial" w:hAnsi="Arial"/>
                <w:sz w:val="16"/>
                <w:szCs w:val="16"/>
                <w:color w:val="auto"/>
              </w:rPr>
              <w:t>3,910</w:t>
            </w:r>
          </w:p>
        </w:tc>
        <w:tc>
          <w:tcPr>
            <w:tcW w:w="1180" w:type="dxa"/>
            <w:vAlign w:val="bottom"/>
          </w:tcPr>
          <w:p>
            <w:pPr>
              <w:jc w:val="right"/>
              <w:ind w:right="103"/>
              <w:spacing w:after="0"/>
              <w:rPr>
                <w:sz w:val="20"/>
                <w:szCs w:val="20"/>
                <w:color w:val="auto"/>
              </w:rPr>
            </w:pPr>
            <w:r>
              <w:rPr>
                <w:rFonts w:ascii="Arial" w:cs="Arial" w:eastAsia="Arial" w:hAnsi="Arial"/>
                <w:sz w:val="16"/>
                <w:szCs w:val="16"/>
                <w:color w:val="auto"/>
              </w:rPr>
              <w:t>1,173</w:t>
            </w:r>
          </w:p>
        </w:tc>
        <w:tc>
          <w:tcPr>
            <w:tcW w:w="940" w:type="dxa"/>
            <w:vAlign w:val="bottom"/>
            <w:tcBorders>
              <w:bottom w:val="single" w:sz="8" w:color="EAEAEA"/>
            </w:tcBorders>
            <w:shd w:val="clear" w:color="auto" w:fill="EAEAEA"/>
          </w:tcPr>
          <w:p>
            <w:pPr>
              <w:jc w:val="right"/>
              <w:ind w:right="103"/>
              <w:spacing w:after="0"/>
              <w:rPr>
                <w:sz w:val="20"/>
                <w:szCs w:val="20"/>
                <w:color w:val="auto"/>
              </w:rPr>
            </w:pPr>
            <w:r>
              <w:rPr>
                <w:rFonts w:ascii="Arial" w:cs="Arial" w:eastAsia="Arial" w:hAnsi="Arial"/>
                <w:sz w:val="16"/>
                <w:szCs w:val="16"/>
                <w:color w:val="auto"/>
              </w:rPr>
              <w:t>—</w:t>
            </w:r>
          </w:p>
        </w:tc>
      </w:tr>
      <w:tr>
        <w:trPr>
          <w:trHeight w:val="253"/>
        </w:trPr>
        <w:tc>
          <w:tcPr>
            <w:tcW w:w="3280" w:type="dxa"/>
            <w:vAlign w:val="bottom"/>
            <w:tcBorders>
              <w:top w:val="single" w:sz="8" w:color="0066BA"/>
            </w:tcBorders>
          </w:tcPr>
          <w:p>
            <w:pPr>
              <w:ind w:left="60"/>
              <w:spacing w:after="0"/>
              <w:rPr>
                <w:sz w:val="20"/>
                <w:szCs w:val="20"/>
                <w:color w:val="auto"/>
              </w:rPr>
            </w:pPr>
            <w:r>
              <w:rPr>
                <w:rFonts w:ascii="Arial" w:cs="Arial" w:eastAsia="Arial" w:hAnsi="Arial"/>
                <w:sz w:val="16"/>
                <w:szCs w:val="16"/>
                <w:color w:val="auto"/>
              </w:rPr>
              <w:t>6/15/2017</w:t>
            </w:r>
          </w:p>
        </w:tc>
        <w:tc>
          <w:tcPr>
            <w:tcW w:w="1000" w:type="dxa"/>
            <w:vAlign w:val="bottom"/>
            <w:tcBorders>
              <w:top w:val="single" w:sz="8" w:color="0066BA"/>
              <w:bottom w:val="single" w:sz="8" w:color="EAEAEA"/>
            </w:tcBorders>
            <w:shd w:val="clear" w:color="auto" w:fill="EAEAEA"/>
          </w:tcPr>
          <w:p>
            <w:pPr>
              <w:jc w:val="right"/>
              <w:ind w:right="3"/>
              <w:spacing w:after="0"/>
              <w:rPr>
                <w:sz w:val="20"/>
                <w:szCs w:val="20"/>
                <w:color w:val="auto"/>
              </w:rPr>
            </w:pPr>
            <w:r>
              <w:rPr>
                <w:rFonts w:ascii="Arial" w:cs="Arial" w:eastAsia="Arial" w:hAnsi="Arial"/>
                <w:sz w:val="16"/>
                <w:szCs w:val="16"/>
                <w:color w:val="auto"/>
                <w:shd w:val="clear" w:color="auto" w:fill="EAEAEA"/>
              </w:rPr>
              <w:t>6/15/2022</w:t>
            </w:r>
          </w:p>
        </w:tc>
        <w:tc>
          <w:tcPr>
            <w:tcW w:w="980" w:type="dxa"/>
            <w:vAlign w:val="bottom"/>
            <w:tcBorders>
              <w:top w:val="single" w:sz="8" w:color="0066BA"/>
            </w:tcBorders>
          </w:tcPr>
          <w:p>
            <w:pPr>
              <w:jc w:val="right"/>
              <w:ind w:right="103"/>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0066BA"/>
              <w:bottom w:val="single" w:sz="8" w:color="EAEAEA"/>
            </w:tcBorders>
            <w:shd w:val="clear" w:color="auto" w:fill="EAEAEA"/>
          </w:tcPr>
          <w:p>
            <w:pPr>
              <w:jc w:val="right"/>
              <w:ind w:right="123"/>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0066BA"/>
            </w:tcBorders>
          </w:tcPr>
          <w:p>
            <w:pPr>
              <w:jc w:val="right"/>
              <w:ind w:right="103"/>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0066BA"/>
              <w:bottom w:val="single" w:sz="8" w:color="EAEAEA"/>
            </w:tcBorders>
            <w:shd w:val="clear" w:color="auto" w:fill="EAEAEA"/>
          </w:tcPr>
          <w:p>
            <w:pPr>
              <w:jc w:val="right"/>
              <w:ind w:right="103"/>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0066BA"/>
            </w:tcBorders>
          </w:tcPr>
          <w:p>
            <w:pPr>
              <w:jc w:val="right"/>
              <w:ind w:right="103"/>
              <w:spacing w:after="0"/>
              <w:rPr>
                <w:sz w:val="20"/>
                <w:szCs w:val="20"/>
                <w:color w:val="auto"/>
              </w:rPr>
            </w:pPr>
            <w:r>
              <w:rPr>
                <w:rFonts w:ascii="Arial" w:cs="Arial" w:eastAsia="Arial" w:hAnsi="Arial"/>
                <w:sz w:val="16"/>
                <w:szCs w:val="16"/>
                <w:color w:val="auto"/>
              </w:rPr>
              <w:t>6,079</w:t>
            </w:r>
          </w:p>
        </w:tc>
        <w:tc>
          <w:tcPr>
            <w:tcW w:w="940" w:type="dxa"/>
            <w:vAlign w:val="bottom"/>
            <w:tcBorders>
              <w:top w:val="single" w:sz="8" w:color="0066BA"/>
              <w:bottom w:val="single" w:sz="8" w:color="EAEAEA"/>
            </w:tcBorders>
            <w:shd w:val="clear" w:color="auto" w:fill="EAEAEA"/>
          </w:tcPr>
          <w:p>
            <w:pPr>
              <w:jc w:val="right"/>
              <w:ind w:right="103"/>
              <w:spacing w:after="0"/>
              <w:rPr>
                <w:sz w:val="20"/>
                <w:szCs w:val="20"/>
                <w:color w:val="auto"/>
              </w:rPr>
            </w:pPr>
            <w:r>
              <w:rPr>
                <w:rFonts w:ascii="Arial" w:cs="Arial" w:eastAsia="Arial" w:hAnsi="Arial"/>
                <w:sz w:val="16"/>
                <w:szCs w:val="16"/>
                <w:color w:val="auto"/>
              </w:rPr>
              <w:t>—</w:t>
            </w:r>
          </w:p>
        </w:tc>
      </w:tr>
      <w:tr>
        <w:trPr>
          <w:trHeight w:val="253"/>
        </w:trPr>
        <w:tc>
          <w:tcPr>
            <w:tcW w:w="3280" w:type="dxa"/>
            <w:vAlign w:val="bottom"/>
            <w:tcBorders>
              <w:top w:val="single" w:sz="8" w:color="0066BA"/>
            </w:tcBorders>
          </w:tcPr>
          <w:p>
            <w:pPr>
              <w:ind w:left="60"/>
              <w:spacing w:after="0"/>
              <w:rPr>
                <w:sz w:val="20"/>
                <w:szCs w:val="20"/>
                <w:color w:val="auto"/>
              </w:rPr>
            </w:pPr>
            <w:r>
              <w:rPr>
                <w:rFonts w:ascii="Arial" w:cs="Arial" w:eastAsia="Arial" w:hAnsi="Arial"/>
                <w:sz w:val="16"/>
                <w:szCs w:val="16"/>
                <w:color w:val="auto"/>
              </w:rPr>
              <w:t>3/29/2018</w:t>
            </w:r>
          </w:p>
        </w:tc>
        <w:tc>
          <w:tcPr>
            <w:tcW w:w="1000" w:type="dxa"/>
            <w:vAlign w:val="bottom"/>
            <w:tcBorders>
              <w:top w:val="single" w:sz="8" w:color="0066BA"/>
              <w:bottom w:val="single" w:sz="8" w:color="EAEAEA"/>
            </w:tcBorders>
            <w:shd w:val="clear" w:color="auto" w:fill="EAEAEA"/>
          </w:tcPr>
          <w:p>
            <w:pPr>
              <w:jc w:val="right"/>
              <w:ind w:right="3"/>
              <w:spacing w:after="0"/>
              <w:rPr>
                <w:sz w:val="20"/>
                <w:szCs w:val="20"/>
                <w:color w:val="auto"/>
              </w:rPr>
            </w:pPr>
            <w:r>
              <w:rPr>
                <w:rFonts w:ascii="Arial" w:cs="Arial" w:eastAsia="Arial" w:hAnsi="Arial"/>
                <w:sz w:val="16"/>
                <w:szCs w:val="16"/>
                <w:color w:val="auto"/>
                <w:shd w:val="clear" w:color="auto" w:fill="EAEAEA"/>
              </w:rPr>
              <w:t>3/29/2022</w:t>
            </w:r>
          </w:p>
        </w:tc>
        <w:tc>
          <w:tcPr>
            <w:tcW w:w="980" w:type="dxa"/>
            <w:vAlign w:val="bottom"/>
            <w:tcBorders>
              <w:top w:val="single" w:sz="8" w:color="0066BA"/>
            </w:tcBorders>
          </w:tcPr>
          <w:p>
            <w:pPr>
              <w:jc w:val="right"/>
              <w:ind w:right="103"/>
              <w:spacing w:after="0"/>
              <w:rPr>
                <w:sz w:val="20"/>
                <w:szCs w:val="20"/>
                <w:color w:val="auto"/>
              </w:rPr>
            </w:pPr>
            <w:r>
              <w:rPr>
                <w:rFonts w:ascii="Arial" w:cs="Arial" w:eastAsia="Arial" w:hAnsi="Arial"/>
                <w:sz w:val="16"/>
                <w:szCs w:val="16"/>
                <w:color w:val="auto"/>
              </w:rPr>
              <w:t>27,666</w:t>
            </w:r>
          </w:p>
        </w:tc>
        <w:tc>
          <w:tcPr>
            <w:tcW w:w="1140" w:type="dxa"/>
            <w:vAlign w:val="bottom"/>
            <w:tcBorders>
              <w:top w:val="single" w:sz="8" w:color="0066BA"/>
              <w:bottom w:val="single" w:sz="8" w:color="EAEAEA"/>
            </w:tcBorders>
            <w:shd w:val="clear" w:color="auto" w:fill="EAEAEA"/>
          </w:tcPr>
          <w:p>
            <w:pPr>
              <w:jc w:val="right"/>
              <w:ind w:right="123"/>
              <w:spacing w:after="0"/>
              <w:rPr>
                <w:sz w:val="20"/>
                <w:szCs w:val="20"/>
                <w:color w:val="auto"/>
              </w:rPr>
            </w:pPr>
            <w:r>
              <w:rPr>
                <w:rFonts w:ascii="Arial" w:cs="Arial" w:eastAsia="Arial" w:hAnsi="Arial"/>
                <w:sz w:val="16"/>
                <w:szCs w:val="16"/>
                <w:color w:val="auto"/>
              </w:rPr>
              <w:t>8,695</w:t>
            </w:r>
          </w:p>
        </w:tc>
        <w:tc>
          <w:tcPr>
            <w:tcW w:w="820" w:type="dxa"/>
            <w:vAlign w:val="bottom"/>
            <w:tcBorders>
              <w:top w:val="single" w:sz="8" w:color="0066BA"/>
            </w:tcBorders>
          </w:tcPr>
          <w:p>
            <w:pPr>
              <w:jc w:val="right"/>
              <w:ind w:right="103"/>
              <w:spacing w:after="0"/>
              <w:rPr>
                <w:sz w:val="20"/>
                <w:szCs w:val="20"/>
                <w:color w:val="auto"/>
              </w:rPr>
            </w:pPr>
            <w:r>
              <w:rPr>
                <w:rFonts w:ascii="Arial" w:cs="Arial" w:eastAsia="Arial" w:hAnsi="Arial"/>
                <w:sz w:val="16"/>
                <w:szCs w:val="16"/>
                <w:color w:val="auto"/>
              </w:rPr>
              <w:t>5,138</w:t>
            </w:r>
          </w:p>
        </w:tc>
        <w:tc>
          <w:tcPr>
            <w:tcW w:w="940" w:type="dxa"/>
            <w:vAlign w:val="bottom"/>
            <w:tcBorders>
              <w:top w:val="single" w:sz="8" w:color="0066BA"/>
              <w:bottom w:val="single" w:sz="8" w:color="EAEAEA"/>
            </w:tcBorders>
            <w:shd w:val="clear" w:color="auto" w:fill="EAEAEA"/>
          </w:tcPr>
          <w:p>
            <w:pPr>
              <w:jc w:val="right"/>
              <w:ind w:right="123"/>
              <w:spacing w:after="0"/>
              <w:rPr>
                <w:sz w:val="20"/>
                <w:szCs w:val="20"/>
                <w:color w:val="auto"/>
              </w:rPr>
            </w:pPr>
            <w:r>
              <w:rPr>
                <w:rFonts w:ascii="Arial" w:cs="Arial" w:eastAsia="Arial" w:hAnsi="Arial"/>
                <w:sz w:val="16"/>
                <w:szCs w:val="16"/>
                <w:color w:val="auto"/>
              </w:rPr>
              <w:t>5,138</w:t>
            </w:r>
          </w:p>
        </w:tc>
        <w:tc>
          <w:tcPr>
            <w:tcW w:w="1180" w:type="dxa"/>
            <w:vAlign w:val="bottom"/>
            <w:tcBorders>
              <w:top w:val="single" w:sz="8" w:color="0066BA"/>
            </w:tcBorders>
          </w:tcPr>
          <w:p>
            <w:pPr>
              <w:jc w:val="right"/>
              <w:ind w:right="103"/>
              <w:spacing w:after="0"/>
              <w:rPr>
                <w:sz w:val="20"/>
                <w:szCs w:val="20"/>
                <w:color w:val="auto"/>
              </w:rPr>
            </w:pPr>
            <w:r>
              <w:rPr>
                <w:rFonts w:ascii="Arial" w:cs="Arial" w:eastAsia="Arial" w:hAnsi="Arial"/>
                <w:sz w:val="16"/>
                <w:szCs w:val="16"/>
                <w:color w:val="auto"/>
              </w:rPr>
              <w:t>5,929</w:t>
            </w:r>
          </w:p>
        </w:tc>
        <w:tc>
          <w:tcPr>
            <w:tcW w:w="940" w:type="dxa"/>
            <w:vAlign w:val="bottom"/>
            <w:tcBorders>
              <w:top w:val="single" w:sz="8" w:color="0066BA"/>
              <w:bottom w:val="single" w:sz="8" w:color="EAEAEA"/>
            </w:tcBorders>
            <w:shd w:val="clear" w:color="auto" w:fill="EAEAEA"/>
          </w:tcPr>
          <w:p>
            <w:pPr>
              <w:jc w:val="right"/>
              <w:ind w:right="123"/>
              <w:spacing w:after="0"/>
              <w:rPr>
                <w:sz w:val="20"/>
                <w:szCs w:val="20"/>
                <w:color w:val="auto"/>
              </w:rPr>
            </w:pPr>
            <w:r>
              <w:rPr>
                <w:rFonts w:ascii="Arial" w:cs="Arial" w:eastAsia="Arial" w:hAnsi="Arial"/>
                <w:sz w:val="16"/>
                <w:szCs w:val="16"/>
                <w:color w:val="auto"/>
              </w:rPr>
              <w:t>—</w:t>
            </w:r>
          </w:p>
        </w:tc>
      </w:tr>
      <w:tr>
        <w:trPr>
          <w:trHeight w:val="253"/>
        </w:trPr>
        <w:tc>
          <w:tcPr>
            <w:tcW w:w="3280" w:type="dxa"/>
            <w:vAlign w:val="bottom"/>
            <w:tcBorders>
              <w:top w:val="single" w:sz="8" w:color="0066BA"/>
            </w:tcBorders>
          </w:tcPr>
          <w:p>
            <w:pPr>
              <w:ind w:left="60"/>
              <w:spacing w:after="0"/>
              <w:rPr>
                <w:sz w:val="20"/>
                <w:szCs w:val="20"/>
                <w:color w:val="auto"/>
              </w:rPr>
            </w:pPr>
            <w:r>
              <w:rPr>
                <w:rFonts w:ascii="Arial" w:cs="Arial" w:eastAsia="Arial" w:hAnsi="Arial"/>
                <w:sz w:val="16"/>
                <w:szCs w:val="16"/>
                <w:color w:val="auto"/>
              </w:rPr>
              <w:t>3/13/2019</w:t>
            </w:r>
          </w:p>
        </w:tc>
        <w:tc>
          <w:tcPr>
            <w:tcW w:w="1000" w:type="dxa"/>
            <w:vAlign w:val="bottom"/>
            <w:tcBorders>
              <w:top w:val="single" w:sz="8" w:color="0066BA"/>
              <w:bottom w:val="single" w:sz="8" w:color="EAEAEA"/>
            </w:tcBorders>
            <w:shd w:val="clear" w:color="auto" w:fill="EAEAEA"/>
          </w:tcPr>
          <w:p>
            <w:pPr>
              <w:jc w:val="right"/>
              <w:ind w:right="3"/>
              <w:spacing w:after="0"/>
              <w:rPr>
                <w:sz w:val="20"/>
                <w:szCs w:val="20"/>
                <w:color w:val="auto"/>
              </w:rPr>
            </w:pPr>
            <w:r>
              <w:rPr>
                <w:rFonts w:ascii="Arial" w:cs="Arial" w:eastAsia="Arial" w:hAnsi="Arial"/>
                <w:sz w:val="16"/>
                <w:szCs w:val="16"/>
                <w:color w:val="auto"/>
              </w:rPr>
              <w:t>3/13/2022</w:t>
            </w:r>
          </w:p>
        </w:tc>
        <w:tc>
          <w:tcPr>
            <w:tcW w:w="980" w:type="dxa"/>
            <w:vAlign w:val="bottom"/>
            <w:tcBorders>
              <w:top w:val="single" w:sz="8" w:color="0066BA"/>
            </w:tcBorders>
          </w:tcPr>
          <w:p>
            <w:pPr>
              <w:jc w:val="right"/>
              <w:ind w:right="103"/>
              <w:spacing w:after="0"/>
              <w:rPr>
                <w:sz w:val="20"/>
                <w:szCs w:val="20"/>
                <w:color w:val="auto"/>
              </w:rPr>
            </w:pPr>
            <w:r>
              <w:rPr>
                <w:rFonts w:ascii="Arial" w:cs="Arial" w:eastAsia="Arial" w:hAnsi="Arial"/>
                <w:sz w:val="16"/>
                <w:szCs w:val="16"/>
                <w:color w:val="auto"/>
              </w:rPr>
              <w:t>25,201</w:t>
            </w:r>
          </w:p>
        </w:tc>
        <w:tc>
          <w:tcPr>
            <w:tcW w:w="1140" w:type="dxa"/>
            <w:vAlign w:val="bottom"/>
            <w:tcBorders>
              <w:top w:val="single" w:sz="8" w:color="0066BA"/>
              <w:bottom w:val="single" w:sz="8" w:color="EAEAEA"/>
            </w:tcBorders>
            <w:shd w:val="clear" w:color="auto" w:fill="EAEAEA"/>
          </w:tcPr>
          <w:p>
            <w:pPr>
              <w:jc w:val="right"/>
              <w:ind w:right="123"/>
              <w:spacing w:after="0"/>
              <w:rPr>
                <w:sz w:val="20"/>
                <w:szCs w:val="20"/>
                <w:color w:val="auto"/>
              </w:rPr>
            </w:pPr>
            <w:r>
              <w:rPr>
                <w:rFonts w:ascii="Arial" w:cs="Arial" w:eastAsia="Arial" w:hAnsi="Arial"/>
                <w:sz w:val="16"/>
                <w:szCs w:val="16"/>
                <w:color w:val="auto"/>
              </w:rPr>
              <w:t>6,628</w:t>
            </w:r>
          </w:p>
        </w:tc>
        <w:tc>
          <w:tcPr>
            <w:tcW w:w="820" w:type="dxa"/>
            <w:vAlign w:val="bottom"/>
            <w:tcBorders>
              <w:top w:val="single" w:sz="8" w:color="0066BA"/>
            </w:tcBorders>
          </w:tcPr>
          <w:p>
            <w:pPr>
              <w:jc w:val="right"/>
              <w:ind w:right="103"/>
              <w:spacing w:after="0"/>
              <w:rPr>
                <w:sz w:val="20"/>
                <w:szCs w:val="20"/>
                <w:color w:val="auto"/>
              </w:rPr>
            </w:pPr>
            <w:r>
              <w:rPr>
                <w:rFonts w:ascii="Arial" w:cs="Arial" w:eastAsia="Arial" w:hAnsi="Arial"/>
                <w:sz w:val="16"/>
                <w:szCs w:val="16"/>
                <w:color w:val="auto"/>
              </w:rPr>
              <w:t>2,541</w:t>
            </w:r>
          </w:p>
        </w:tc>
        <w:tc>
          <w:tcPr>
            <w:tcW w:w="940" w:type="dxa"/>
            <w:vAlign w:val="bottom"/>
            <w:tcBorders>
              <w:top w:val="single" w:sz="8" w:color="0066BA"/>
              <w:bottom w:val="single" w:sz="8" w:color="EAEAEA"/>
            </w:tcBorders>
            <w:shd w:val="clear" w:color="auto" w:fill="EAEAEA"/>
          </w:tcPr>
          <w:p>
            <w:pPr>
              <w:jc w:val="right"/>
              <w:ind w:right="123"/>
              <w:spacing w:after="0"/>
              <w:rPr>
                <w:sz w:val="20"/>
                <w:szCs w:val="20"/>
                <w:color w:val="auto"/>
              </w:rPr>
            </w:pPr>
            <w:r>
              <w:rPr>
                <w:rFonts w:ascii="Arial" w:cs="Arial" w:eastAsia="Arial" w:hAnsi="Arial"/>
                <w:sz w:val="16"/>
                <w:szCs w:val="16"/>
                <w:color w:val="auto"/>
              </w:rPr>
              <w:t>4,419</w:t>
            </w:r>
          </w:p>
        </w:tc>
        <w:tc>
          <w:tcPr>
            <w:tcW w:w="1180" w:type="dxa"/>
            <w:vAlign w:val="bottom"/>
            <w:tcBorders>
              <w:top w:val="single" w:sz="8" w:color="0066BA"/>
            </w:tcBorders>
          </w:tcPr>
          <w:p>
            <w:pPr>
              <w:jc w:val="right"/>
              <w:ind w:right="103"/>
              <w:spacing w:after="0"/>
              <w:rPr>
                <w:sz w:val="20"/>
                <w:szCs w:val="20"/>
                <w:color w:val="auto"/>
              </w:rPr>
            </w:pPr>
            <w:r>
              <w:rPr>
                <w:rFonts w:ascii="Arial" w:cs="Arial" w:eastAsia="Arial" w:hAnsi="Arial"/>
                <w:sz w:val="16"/>
                <w:szCs w:val="16"/>
                <w:color w:val="auto"/>
              </w:rPr>
              <w:t>4,419</w:t>
            </w:r>
          </w:p>
        </w:tc>
        <w:tc>
          <w:tcPr>
            <w:tcW w:w="940" w:type="dxa"/>
            <w:vAlign w:val="bottom"/>
            <w:tcBorders>
              <w:top w:val="single" w:sz="8" w:color="0066BA"/>
              <w:bottom w:val="single" w:sz="8" w:color="EAEAEA"/>
            </w:tcBorders>
            <w:shd w:val="clear" w:color="auto" w:fill="EAEAEA"/>
          </w:tcPr>
          <w:p>
            <w:pPr>
              <w:jc w:val="right"/>
              <w:ind w:right="123"/>
              <w:spacing w:after="0"/>
              <w:rPr>
                <w:sz w:val="20"/>
                <w:szCs w:val="20"/>
                <w:color w:val="auto"/>
              </w:rPr>
            </w:pPr>
            <w:r>
              <w:rPr>
                <w:rFonts w:ascii="Arial" w:cs="Arial" w:eastAsia="Arial" w:hAnsi="Arial"/>
                <w:sz w:val="16"/>
                <w:szCs w:val="16"/>
                <w:color w:val="auto"/>
              </w:rPr>
              <w:t>—</w:t>
            </w:r>
          </w:p>
        </w:tc>
      </w:tr>
      <w:tr>
        <w:trPr>
          <w:trHeight w:val="253"/>
        </w:trPr>
        <w:tc>
          <w:tcPr>
            <w:tcW w:w="3280" w:type="dxa"/>
            <w:vAlign w:val="bottom"/>
            <w:tcBorders>
              <w:top w:val="single" w:sz="8" w:color="auto"/>
            </w:tcBorders>
          </w:tcPr>
          <w:p>
            <w:pPr>
              <w:spacing w:after="0"/>
              <w:rPr>
                <w:sz w:val="22"/>
                <w:szCs w:val="22"/>
                <w:color w:val="auto"/>
              </w:rPr>
            </w:pPr>
          </w:p>
        </w:tc>
        <w:tc>
          <w:tcPr>
            <w:tcW w:w="1000" w:type="dxa"/>
            <w:vAlign w:val="bottom"/>
            <w:tcBorders>
              <w:top w:val="single" w:sz="8" w:color="auto"/>
              <w:bottom w:val="single" w:sz="8" w:color="EAEAEA"/>
            </w:tcBorders>
            <w:shd w:val="clear" w:color="auto" w:fill="EAEAEA"/>
          </w:tcPr>
          <w:p>
            <w:pPr>
              <w:jc w:val="right"/>
              <w:ind w:right="3"/>
              <w:spacing w:after="0"/>
              <w:rPr>
                <w:sz w:val="20"/>
                <w:szCs w:val="20"/>
                <w:color w:val="auto"/>
              </w:rPr>
            </w:pPr>
            <w:r>
              <w:rPr>
                <w:rFonts w:ascii="Arial" w:cs="Arial" w:eastAsia="Arial" w:hAnsi="Arial"/>
                <w:sz w:val="16"/>
                <w:szCs w:val="16"/>
                <w:color w:val="auto"/>
              </w:rPr>
              <w:t>3/13/2023</w:t>
            </w:r>
          </w:p>
        </w:tc>
        <w:tc>
          <w:tcPr>
            <w:tcW w:w="980" w:type="dxa"/>
            <w:vAlign w:val="bottom"/>
            <w:tcBorders>
              <w:top w:val="single" w:sz="8" w:color="auto"/>
            </w:tcBorders>
          </w:tcPr>
          <w:p>
            <w:pPr>
              <w:jc w:val="right"/>
              <w:ind w:right="103"/>
              <w:spacing w:after="0"/>
              <w:rPr>
                <w:sz w:val="20"/>
                <w:szCs w:val="20"/>
                <w:color w:val="auto"/>
              </w:rPr>
            </w:pPr>
            <w:r>
              <w:rPr>
                <w:rFonts w:ascii="Arial" w:cs="Arial" w:eastAsia="Arial" w:hAnsi="Arial"/>
                <w:sz w:val="16"/>
                <w:szCs w:val="16"/>
                <w:color w:val="auto"/>
              </w:rPr>
              <w:t>25,201</w:t>
            </w:r>
          </w:p>
        </w:tc>
        <w:tc>
          <w:tcPr>
            <w:tcW w:w="1140" w:type="dxa"/>
            <w:vAlign w:val="bottom"/>
            <w:tcBorders>
              <w:top w:val="single" w:sz="8" w:color="auto"/>
              <w:bottom w:val="single" w:sz="8" w:color="EAEAEA"/>
            </w:tcBorders>
            <w:shd w:val="clear" w:color="auto" w:fill="EAEAEA"/>
          </w:tcPr>
          <w:p>
            <w:pPr>
              <w:jc w:val="right"/>
              <w:ind w:right="123"/>
              <w:spacing w:after="0"/>
              <w:rPr>
                <w:sz w:val="20"/>
                <w:szCs w:val="20"/>
                <w:color w:val="auto"/>
              </w:rPr>
            </w:pPr>
            <w:r>
              <w:rPr>
                <w:rFonts w:ascii="Arial" w:cs="Arial" w:eastAsia="Arial" w:hAnsi="Arial"/>
                <w:sz w:val="16"/>
                <w:szCs w:val="16"/>
                <w:color w:val="auto"/>
              </w:rPr>
              <w:t>6,629</w:t>
            </w:r>
          </w:p>
        </w:tc>
        <w:tc>
          <w:tcPr>
            <w:tcW w:w="820" w:type="dxa"/>
            <w:vAlign w:val="bottom"/>
            <w:tcBorders>
              <w:top w:val="single" w:sz="8" w:color="auto"/>
            </w:tcBorders>
          </w:tcPr>
          <w:p>
            <w:pPr>
              <w:jc w:val="right"/>
              <w:ind w:right="103"/>
              <w:spacing w:after="0"/>
              <w:rPr>
                <w:sz w:val="20"/>
                <w:szCs w:val="20"/>
                <w:color w:val="auto"/>
              </w:rPr>
            </w:pPr>
            <w:r>
              <w:rPr>
                <w:rFonts w:ascii="Arial" w:cs="Arial" w:eastAsia="Arial" w:hAnsi="Arial"/>
                <w:sz w:val="16"/>
                <w:szCs w:val="16"/>
                <w:color w:val="auto"/>
              </w:rPr>
              <w:t>2,541</w:t>
            </w:r>
          </w:p>
        </w:tc>
        <w:tc>
          <w:tcPr>
            <w:tcW w:w="940" w:type="dxa"/>
            <w:vAlign w:val="bottom"/>
            <w:tcBorders>
              <w:top w:val="single" w:sz="8" w:color="auto"/>
              <w:bottom w:val="single" w:sz="8" w:color="EAEAEA"/>
            </w:tcBorders>
            <w:shd w:val="clear" w:color="auto" w:fill="EAEAEA"/>
          </w:tcPr>
          <w:p>
            <w:pPr>
              <w:jc w:val="right"/>
              <w:ind w:right="123"/>
              <w:spacing w:after="0"/>
              <w:rPr>
                <w:sz w:val="20"/>
                <w:szCs w:val="20"/>
                <w:color w:val="auto"/>
              </w:rPr>
            </w:pPr>
            <w:r>
              <w:rPr>
                <w:rFonts w:ascii="Arial" w:cs="Arial" w:eastAsia="Arial" w:hAnsi="Arial"/>
                <w:sz w:val="16"/>
                <w:szCs w:val="16"/>
                <w:color w:val="auto"/>
              </w:rPr>
              <w:t>4,419</w:t>
            </w:r>
          </w:p>
        </w:tc>
        <w:tc>
          <w:tcPr>
            <w:tcW w:w="1180" w:type="dxa"/>
            <w:vAlign w:val="bottom"/>
            <w:tcBorders>
              <w:top w:val="single" w:sz="8" w:color="auto"/>
            </w:tcBorders>
          </w:tcPr>
          <w:p>
            <w:pPr>
              <w:jc w:val="right"/>
              <w:ind w:right="103"/>
              <w:spacing w:after="0"/>
              <w:rPr>
                <w:sz w:val="20"/>
                <w:szCs w:val="20"/>
                <w:color w:val="auto"/>
              </w:rPr>
            </w:pPr>
            <w:r>
              <w:rPr>
                <w:rFonts w:ascii="Arial" w:cs="Arial" w:eastAsia="Arial" w:hAnsi="Arial"/>
                <w:sz w:val="16"/>
                <w:szCs w:val="16"/>
                <w:color w:val="auto"/>
              </w:rPr>
              <w:t>4,419</w:t>
            </w:r>
          </w:p>
        </w:tc>
        <w:tc>
          <w:tcPr>
            <w:tcW w:w="940" w:type="dxa"/>
            <w:vAlign w:val="bottom"/>
            <w:tcBorders>
              <w:top w:val="single" w:sz="8" w:color="auto"/>
              <w:bottom w:val="single" w:sz="8" w:color="EAEAEA"/>
            </w:tcBorders>
            <w:shd w:val="clear" w:color="auto" w:fill="EAEAEA"/>
          </w:tcPr>
          <w:p>
            <w:pPr>
              <w:jc w:val="right"/>
              <w:ind w:right="123"/>
              <w:spacing w:after="0"/>
              <w:rPr>
                <w:sz w:val="20"/>
                <w:szCs w:val="20"/>
                <w:color w:val="auto"/>
              </w:rPr>
            </w:pPr>
            <w:r>
              <w:rPr>
                <w:rFonts w:ascii="Arial" w:cs="Arial" w:eastAsia="Arial" w:hAnsi="Arial"/>
                <w:sz w:val="16"/>
                <w:szCs w:val="16"/>
                <w:color w:val="auto"/>
              </w:rPr>
              <w:t>—</w:t>
            </w:r>
          </w:p>
        </w:tc>
      </w:tr>
      <w:tr>
        <w:trPr>
          <w:trHeight w:val="253"/>
        </w:trPr>
        <w:tc>
          <w:tcPr>
            <w:tcW w:w="3280" w:type="dxa"/>
            <w:vAlign w:val="bottom"/>
            <w:tcBorders>
              <w:top w:val="single" w:sz="8" w:color="0066BA"/>
            </w:tcBorders>
          </w:tcPr>
          <w:p>
            <w:pPr>
              <w:ind w:left="60"/>
              <w:spacing w:after="0"/>
              <w:rPr>
                <w:sz w:val="20"/>
                <w:szCs w:val="20"/>
                <w:color w:val="auto"/>
              </w:rPr>
            </w:pPr>
            <w:r>
              <w:rPr>
                <w:rFonts w:ascii="Arial" w:cs="Arial" w:eastAsia="Arial" w:hAnsi="Arial"/>
                <w:sz w:val="16"/>
                <w:szCs w:val="16"/>
                <w:color w:val="auto"/>
              </w:rPr>
              <w:t>06/17/2019</w:t>
            </w:r>
          </w:p>
        </w:tc>
        <w:tc>
          <w:tcPr>
            <w:tcW w:w="1000" w:type="dxa"/>
            <w:vAlign w:val="bottom"/>
            <w:tcBorders>
              <w:top w:val="single" w:sz="8" w:color="0066BA"/>
              <w:bottom w:val="single" w:sz="8" w:color="EAEAEA"/>
            </w:tcBorders>
            <w:shd w:val="clear" w:color="auto" w:fill="EAEAEA"/>
          </w:tcPr>
          <w:p>
            <w:pPr>
              <w:jc w:val="right"/>
              <w:ind w:right="3"/>
              <w:spacing w:after="0"/>
              <w:rPr>
                <w:sz w:val="20"/>
                <w:szCs w:val="20"/>
                <w:color w:val="auto"/>
              </w:rPr>
            </w:pPr>
            <w:r>
              <w:rPr>
                <w:rFonts w:ascii="Arial" w:cs="Arial" w:eastAsia="Arial" w:hAnsi="Arial"/>
                <w:sz w:val="16"/>
                <w:szCs w:val="16"/>
                <w:color w:val="auto"/>
              </w:rPr>
              <w:t>3/13/2022</w:t>
            </w:r>
          </w:p>
        </w:tc>
        <w:tc>
          <w:tcPr>
            <w:tcW w:w="980" w:type="dxa"/>
            <w:vAlign w:val="bottom"/>
            <w:tcBorders>
              <w:top w:val="single" w:sz="8" w:color="0066BA"/>
            </w:tcBorders>
          </w:tcPr>
          <w:p>
            <w:pPr>
              <w:jc w:val="right"/>
              <w:ind w:right="103"/>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0066BA"/>
              <w:bottom w:val="single" w:sz="8" w:color="EAEAEA"/>
            </w:tcBorders>
            <w:shd w:val="clear" w:color="auto" w:fill="EAEAEA"/>
          </w:tcPr>
          <w:p>
            <w:pPr>
              <w:jc w:val="right"/>
              <w:ind w:right="123"/>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0066BA"/>
            </w:tcBorders>
          </w:tcPr>
          <w:p>
            <w:pPr>
              <w:jc w:val="right"/>
              <w:ind w:right="103"/>
              <w:spacing w:after="0"/>
              <w:rPr>
                <w:sz w:val="20"/>
                <w:szCs w:val="20"/>
                <w:color w:val="auto"/>
              </w:rPr>
            </w:pPr>
            <w:r>
              <w:rPr>
                <w:rFonts w:ascii="Arial" w:cs="Arial" w:eastAsia="Arial" w:hAnsi="Arial"/>
                <w:sz w:val="16"/>
                <w:szCs w:val="16"/>
                <w:color w:val="auto"/>
              </w:rPr>
              <w:t>1,878</w:t>
            </w:r>
          </w:p>
        </w:tc>
        <w:tc>
          <w:tcPr>
            <w:tcW w:w="940" w:type="dxa"/>
            <w:vAlign w:val="bottom"/>
            <w:tcBorders>
              <w:top w:val="single" w:sz="8" w:color="0066BA"/>
              <w:bottom w:val="single" w:sz="8" w:color="EAEAEA"/>
            </w:tcBorders>
            <w:shd w:val="clear" w:color="auto" w:fill="EAEAEA"/>
          </w:tcPr>
          <w:p>
            <w:pPr>
              <w:jc w:val="right"/>
              <w:ind w:right="123"/>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0066BA"/>
            </w:tcBorders>
          </w:tcPr>
          <w:p>
            <w:pPr>
              <w:jc w:val="right"/>
              <w:ind w:right="103"/>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0066BA"/>
              <w:bottom w:val="single" w:sz="8" w:color="EAEAEA"/>
            </w:tcBorders>
            <w:shd w:val="clear" w:color="auto" w:fill="EAEAEA"/>
          </w:tcPr>
          <w:p>
            <w:pPr>
              <w:jc w:val="right"/>
              <w:ind w:right="123"/>
              <w:spacing w:after="0"/>
              <w:rPr>
                <w:sz w:val="20"/>
                <w:szCs w:val="20"/>
                <w:color w:val="auto"/>
              </w:rPr>
            </w:pPr>
            <w:r>
              <w:rPr>
                <w:rFonts w:ascii="Arial" w:cs="Arial" w:eastAsia="Arial" w:hAnsi="Arial"/>
                <w:sz w:val="16"/>
                <w:szCs w:val="16"/>
                <w:color w:val="auto"/>
              </w:rPr>
              <w:t>—</w:t>
            </w:r>
          </w:p>
        </w:tc>
      </w:tr>
      <w:tr>
        <w:trPr>
          <w:trHeight w:val="253"/>
        </w:trPr>
        <w:tc>
          <w:tcPr>
            <w:tcW w:w="3280" w:type="dxa"/>
            <w:vAlign w:val="bottom"/>
            <w:tcBorders>
              <w:top w:val="single" w:sz="8" w:color="auto"/>
            </w:tcBorders>
          </w:tcPr>
          <w:p>
            <w:pPr>
              <w:spacing w:after="0"/>
              <w:rPr>
                <w:sz w:val="22"/>
                <w:szCs w:val="22"/>
                <w:color w:val="auto"/>
              </w:rPr>
            </w:pPr>
          </w:p>
        </w:tc>
        <w:tc>
          <w:tcPr>
            <w:tcW w:w="1000" w:type="dxa"/>
            <w:vAlign w:val="bottom"/>
            <w:tcBorders>
              <w:top w:val="single" w:sz="8" w:color="auto"/>
              <w:bottom w:val="single" w:sz="8" w:color="EAEAEA"/>
            </w:tcBorders>
            <w:shd w:val="clear" w:color="auto" w:fill="EAEAEA"/>
          </w:tcPr>
          <w:p>
            <w:pPr>
              <w:jc w:val="right"/>
              <w:ind w:right="3"/>
              <w:spacing w:after="0"/>
              <w:rPr>
                <w:sz w:val="20"/>
                <w:szCs w:val="20"/>
                <w:color w:val="auto"/>
              </w:rPr>
            </w:pPr>
            <w:r>
              <w:rPr>
                <w:rFonts w:ascii="Arial" w:cs="Arial" w:eastAsia="Arial" w:hAnsi="Arial"/>
                <w:sz w:val="16"/>
                <w:szCs w:val="16"/>
                <w:color w:val="auto"/>
              </w:rPr>
              <w:t>3/13/2023</w:t>
            </w:r>
          </w:p>
        </w:tc>
        <w:tc>
          <w:tcPr>
            <w:tcW w:w="980" w:type="dxa"/>
            <w:vAlign w:val="bottom"/>
            <w:tcBorders>
              <w:top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EAEAEA"/>
            </w:tcBorders>
            <w:shd w:val="clear" w:color="auto" w:fill="EAEAEA"/>
          </w:tcPr>
          <w:p>
            <w:pPr>
              <w:jc w:val="right"/>
              <w:ind w:right="123"/>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103"/>
              <w:spacing w:after="0"/>
              <w:rPr>
                <w:sz w:val="20"/>
                <w:szCs w:val="20"/>
                <w:color w:val="auto"/>
              </w:rPr>
            </w:pPr>
            <w:r>
              <w:rPr>
                <w:rFonts w:ascii="Arial" w:cs="Arial" w:eastAsia="Arial" w:hAnsi="Arial"/>
                <w:sz w:val="16"/>
                <w:szCs w:val="16"/>
                <w:color w:val="auto"/>
              </w:rPr>
              <w:t>1,878</w:t>
            </w:r>
          </w:p>
        </w:tc>
        <w:tc>
          <w:tcPr>
            <w:tcW w:w="940" w:type="dxa"/>
            <w:vAlign w:val="bottom"/>
            <w:tcBorders>
              <w:top w:val="single" w:sz="8" w:color="auto"/>
              <w:bottom w:val="single" w:sz="8" w:color="EAEAEA"/>
            </w:tcBorders>
            <w:shd w:val="clear" w:color="auto" w:fill="EAEAEA"/>
          </w:tcPr>
          <w:p>
            <w:pPr>
              <w:jc w:val="right"/>
              <w:ind w:right="123"/>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EAEAEA"/>
            </w:tcBorders>
            <w:shd w:val="clear" w:color="auto" w:fill="EAEAEA"/>
          </w:tcPr>
          <w:p>
            <w:pPr>
              <w:jc w:val="right"/>
              <w:ind w:right="123"/>
              <w:spacing w:after="0"/>
              <w:rPr>
                <w:sz w:val="20"/>
                <w:szCs w:val="20"/>
                <w:color w:val="auto"/>
              </w:rPr>
            </w:pPr>
            <w:r>
              <w:rPr>
                <w:rFonts w:ascii="Arial" w:cs="Arial" w:eastAsia="Arial" w:hAnsi="Arial"/>
                <w:sz w:val="16"/>
                <w:szCs w:val="16"/>
                <w:color w:val="auto"/>
              </w:rPr>
              <w:t>—</w:t>
            </w:r>
          </w:p>
        </w:tc>
      </w:tr>
      <w:tr>
        <w:trPr>
          <w:trHeight w:val="253"/>
        </w:trPr>
        <w:tc>
          <w:tcPr>
            <w:tcW w:w="3280" w:type="dxa"/>
            <w:vAlign w:val="bottom"/>
            <w:tcBorders>
              <w:top w:val="single" w:sz="8" w:color="0066BA"/>
            </w:tcBorders>
          </w:tcPr>
          <w:p>
            <w:pPr>
              <w:ind w:left="60"/>
              <w:spacing w:after="0"/>
              <w:rPr>
                <w:sz w:val="20"/>
                <w:szCs w:val="20"/>
                <w:color w:val="auto"/>
              </w:rPr>
            </w:pPr>
            <w:r>
              <w:rPr>
                <w:rFonts w:ascii="Arial" w:cs="Arial" w:eastAsia="Arial" w:hAnsi="Arial"/>
                <w:sz w:val="16"/>
                <w:szCs w:val="16"/>
                <w:color w:val="auto"/>
              </w:rPr>
              <w:t>3/11/2020</w:t>
            </w:r>
          </w:p>
        </w:tc>
        <w:tc>
          <w:tcPr>
            <w:tcW w:w="1000" w:type="dxa"/>
            <w:vAlign w:val="bottom"/>
            <w:tcBorders>
              <w:top w:val="single" w:sz="8" w:color="0066BA"/>
              <w:bottom w:val="single" w:sz="8" w:color="EAEAEA"/>
            </w:tcBorders>
            <w:shd w:val="clear" w:color="auto" w:fill="EAEAEA"/>
          </w:tcPr>
          <w:p>
            <w:pPr>
              <w:jc w:val="right"/>
              <w:ind w:right="3"/>
              <w:spacing w:after="0"/>
              <w:rPr>
                <w:sz w:val="20"/>
                <w:szCs w:val="20"/>
                <w:color w:val="auto"/>
              </w:rPr>
            </w:pPr>
            <w:r>
              <w:rPr>
                <w:rFonts w:ascii="Arial" w:cs="Arial" w:eastAsia="Arial" w:hAnsi="Arial"/>
                <w:sz w:val="16"/>
                <w:szCs w:val="16"/>
                <w:color w:val="auto"/>
              </w:rPr>
              <w:t>3/11/2022</w:t>
            </w:r>
          </w:p>
        </w:tc>
        <w:tc>
          <w:tcPr>
            <w:tcW w:w="980" w:type="dxa"/>
            <w:vAlign w:val="bottom"/>
            <w:tcBorders>
              <w:top w:val="single" w:sz="8" w:color="0066BA"/>
            </w:tcBorders>
          </w:tcPr>
          <w:p>
            <w:pPr>
              <w:jc w:val="right"/>
              <w:ind w:right="103"/>
              <w:spacing w:after="0"/>
              <w:rPr>
                <w:sz w:val="20"/>
                <w:szCs w:val="20"/>
                <w:color w:val="auto"/>
              </w:rPr>
            </w:pPr>
            <w:r>
              <w:rPr>
                <w:rFonts w:ascii="Arial" w:cs="Arial" w:eastAsia="Arial" w:hAnsi="Arial"/>
                <w:sz w:val="16"/>
                <w:szCs w:val="16"/>
                <w:color w:val="auto"/>
              </w:rPr>
              <w:t>33,655</w:t>
            </w:r>
          </w:p>
        </w:tc>
        <w:tc>
          <w:tcPr>
            <w:tcW w:w="1140" w:type="dxa"/>
            <w:vAlign w:val="bottom"/>
            <w:tcBorders>
              <w:top w:val="single" w:sz="8" w:color="0066BA"/>
              <w:bottom w:val="single" w:sz="8" w:color="EAEAEA"/>
            </w:tcBorders>
            <w:shd w:val="clear" w:color="auto" w:fill="EAEAEA"/>
          </w:tcPr>
          <w:p>
            <w:pPr>
              <w:jc w:val="right"/>
              <w:ind w:right="123"/>
              <w:spacing w:after="0"/>
              <w:rPr>
                <w:sz w:val="20"/>
                <w:szCs w:val="20"/>
                <w:color w:val="auto"/>
              </w:rPr>
            </w:pPr>
            <w:r>
              <w:rPr>
                <w:rFonts w:ascii="Arial" w:cs="Arial" w:eastAsia="Arial" w:hAnsi="Arial"/>
                <w:sz w:val="16"/>
                <w:szCs w:val="16"/>
                <w:color w:val="auto"/>
              </w:rPr>
              <w:t>8,750</w:t>
            </w:r>
          </w:p>
        </w:tc>
        <w:tc>
          <w:tcPr>
            <w:tcW w:w="820" w:type="dxa"/>
            <w:vAlign w:val="bottom"/>
            <w:tcBorders>
              <w:top w:val="single" w:sz="8" w:color="0066BA"/>
            </w:tcBorders>
          </w:tcPr>
          <w:p>
            <w:pPr>
              <w:jc w:val="right"/>
              <w:ind w:right="103"/>
              <w:spacing w:after="0"/>
              <w:rPr>
                <w:sz w:val="20"/>
                <w:szCs w:val="20"/>
                <w:color w:val="auto"/>
              </w:rPr>
            </w:pPr>
            <w:r>
              <w:rPr>
                <w:rFonts w:ascii="Arial" w:cs="Arial" w:eastAsia="Arial" w:hAnsi="Arial"/>
                <w:sz w:val="16"/>
                <w:szCs w:val="16"/>
                <w:color w:val="auto"/>
              </w:rPr>
              <w:t>6,058</w:t>
            </w:r>
          </w:p>
        </w:tc>
        <w:tc>
          <w:tcPr>
            <w:tcW w:w="940" w:type="dxa"/>
            <w:vAlign w:val="bottom"/>
            <w:tcBorders>
              <w:top w:val="single" w:sz="8" w:color="0066BA"/>
              <w:bottom w:val="single" w:sz="8" w:color="EAEAEA"/>
            </w:tcBorders>
            <w:shd w:val="clear" w:color="auto" w:fill="EAEAEA"/>
          </w:tcPr>
          <w:p>
            <w:pPr>
              <w:jc w:val="right"/>
              <w:ind w:right="123"/>
              <w:spacing w:after="0"/>
              <w:rPr>
                <w:sz w:val="20"/>
                <w:szCs w:val="20"/>
                <w:color w:val="auto"/>
              </w:rPr>
            </w:pPr>
            <w:r>
              <w:rPr>
                <w:rFonts w:ascii="Arial" w:cs="Arial" w:eastAsia="Arial" w:hAnsi="Arial"/>
                <w:sz w:val="16"/>
                <w:szCs w:val="16"/>
                <w:color w:val="auto"/>
              </w:rPr>
              <w:t>6,058</w:t>
            </w:r>
          </w:p>
        </w:tc>
        <w:tc>
          <w:tcPr>
            <w:tcW w:w="1180" w:type="dxa"/>
            <w:vAlign w:val="bottom"/>
            <w:tcBorders>
              <w:top w:val="single" w:sz="8" w:color="0066BA"/>
            </w:tcBorders>
          </w:tcPr>
          <w:p>
            <w:pPr>
              <w:jc w:val="right"/>
              <w:ind w:right="103"/>
              <w:spacing w:after="0"/>
              <w:rPr>
                <w:sz w:val="20"/>
                <w:szCs w:val="20"/>
                <w:color w:val="auto"/>
              </w:rPr>
            </w:pPr>
            <w:r>
              <w:rPr>
                <w:rFonts w:ascii="Arial" w:cs="Arial" w:eastAsia="Arial" w:hAnsi="Arial"/>
                <w:sz w:val="16"/>
                <w:szCs w:val="16"/>
                <w:color w:val="auto"/>
              </w:rPr>
              <w:t>6,058</w:t>
            </w:r>
          </w:p>
        </w:tc>
        <w:tc>
          <w:tcPr>
            <w:tcW w:w="940" w:type="dxa"/>
            <w:vAlign w:val="bottom"/>
            <w:tcBorders>
              <w:top w:val="single" w:sz="8" w:color="0066BA"/>
              <w:bottom w:val="single" w:sz="8" w:color="EAEAEA"/>
            </w:tcBorders>
            <w:shd w:val="clear" w:color="auto" w:fill="EAEAEA"/>
          </w:tcPr>
          <w:p>
            <w:pPr>
              <w:jc w:val="right"/>
              <w:ind w:right="123"/>
              <w:spacing w:after="0"/>
              <w:rPr>
                <w:sz w:val="20"/>
                <w:szCs w:val="20"/>
                <w:color w:val="auto"/>
              </w:rPr>
            </w:pPr>
            <w:r>
              <w:rPr>
                <w:rFonts w:ascii="Arial" w:cs="Arial" w:eastAsia="Arial" w:hAnsi="Arial"/>
                <w:sz w:val="16"/>
                <w:szCs w:val="16"/>
                <w:color w:val="auto"/>
              </w:rPr>
              <w:t>—</w:t>
            </w:r>
          </w:p>
        </w:tc>
      </w:tr>
      <w:tr>
        <w:trPr>
          <w:trHeight w:val="253"/>
        </w:trPr>
        <w:tc>
          <w:tcPr>
            <w:tcW w:w="3280" w:type="dxa"/>
            <w:vAlign w:val="bottom"/>
            <w:tcBorders>
              <w:top w:val="single" w:sz="8" w:color="auto"/>
            </w:tcBorders>
          </w:tcPr>
          <w:p>
            <w:pPr>
              <w:spacing w:after="0"/>
              <w:rPr>
                <w:sz w:val="22"/>
                <w:szCs w:val="22"/>
                <w:color w:val="auto"/>
              </w:rPr>
            </w:pPr>
          </w:p>
        </w:tc>
        <w:tc>
          <w:tcPr>
            <w:tcW w:w="1000" w:type="dxa"/>
            <w:vAlign w:val="bottom"/>
            <w:tcBorders>
              <w:top w:val="single" w:sz="8" w:color="auto"/>
              <w:bottom w:val="single" w:sz="8" w:color="EAEAEA"/>
            </w:tcBorders>
            <w:shd w:val="clear" w:color="auto" w:fill="EAEAEA"/>
          </w:tcPr>
          <w:p>
            <w:pPr>
              <w:jc w:val="right"/>
              <w:ind w:right="3"/>
              <w:spacing w:after="0"/>
              <w:rPr>
                <w:sz w:val="20"/>
                <w:szCs w:val="20"/>
                <w:color w:val="auto"/>
              </w:rPr>
            </w:pPr>
            <w:r>
              <w:rPr>
                <w:rFonts w:ascii="Arial" w:cs="Arial" w:eastAsia="Arial" w:hAnsi="Arial"/>
                <w:sz w:val="16"/>
                <w:szCs w:val="16"/>
                <w:color w:val="auto"/>
              </w:rPr>
              <w:t>3/11/2023</w:t>
            </w:r>
          </w:p>
        </w:tc>
        <w:tc>
          <w:tcPr>
            <w:tcW w:w="980" w:type="dxa"/>
            <w:vAlign w:val="bottom"/>
            <w:tcBorders>
              <w:top w:val="single" w:sz="8" w:color="auto"/>
            </w:tcBorders>
          </w:tcPr>
          <w:p>
            <w:pPr>
              <w:jc w:val="right"/>
              <w:ind w:right="103"/>
              <w:spacing w:after="0"/>
              <w:rPr>
                <w:sz w:val="20"/>
                <w:szCs w:val="20"/>
                <w:color w:val="auto"/>
              </w:rPr>
            </w:pPr>
            <w:r>
              <w:rPr>
                <w:rFonts w:ascii="Arial" w:cs="Arial" w:eastAsia="Arial" w:hAnsi="Arial"/>
                <w:sz w:val="16"/>
                <w:szCs w:val="16"/>
                <w:color w:val="auto"/>
              </w:rPr>
              <w:t>33,655</w:t>
            </w:r>
          </w:p>
        </w:tc>
        <w:tc>
          <w:tcPr>
            <w:tcW w:w="1140" w:type="dxa"/>
            <w:vAlign w:val="bottom"/>
            <w:tcBorders>
              <w:top w:val="single" w:sz="8" w:color="auto"/>
              <w:bottom w:val="single" w:sz="8" w:color="EAEAEA"/>
            </w:tcBorders>
            <w:shd w:val="clear" w:color="auto" w:fill="EAEAEA"/>
          </w:tcPr>
          <w:p>
            <w:pPr>
              <w:jc w:val="right"/>
              <w:ind w:right="123"/>
              <w:spacing w:after="0"/>
              <w:rPr>
                <w:sz w:val="20"/>
                <w:szCs w:val="20"/>
                <w:color w:val="auto"/>
              </w:rPr>
            </w:pPr>
            <w:r>
              <w:rPr>
                <w:rFonts w:ascii="Arial" w:cs="Arial" w:eastAsia="Arial" w:hAnsi="Arial"/>
                <w:sz w:val="16"/>
                <w:szCs w:val="16"/>
                <w:color w:val="auto"/>
              </w:rPr>
              <w:t>8,750</w:t>
            </w:r>
          </w:p>
        </w:tc>
        <w:tc>
          <w:tcPr>
            <w:tcW w:w="820" w:type="dxa"/>
            <w:vAlign w:val="bottom"/>
            <w:tcBorders>
              <w:top w:val="single" w:sz="8" w:color="auto"/>
            </w:tcBorders>
          </w:tcPr>
          <w:p>
            <w:pPr>
              <w:jc w:val="right"/>
              <w:ind w:right="103"/>
              <w:spacing w:after="0"/>
              <w:rPr>
                <w:sz w:val="20"/>
                <w:szCs w:val="20"/>
                <w:color w:val="auto"/>
              </w:rPr>
            </w:pPr>
            <w:r>
              <w:rPr>
                <w:rFonts w:ascii="Arial" w:cs="Arial" w:eastAsia="Arial" w:hAnsi="Arial"/>
                <w:sz w:val="16"/>
                <w:szCs w:val="16"/>
                <w:color w:val="auto"/>
              </w:rPr>
              <w:t>6,058</w:t>
            </w:r>
          </w:p>
        </w:tc>
        <w:tc>
          <w:tcPr>
            <w:tcW w:w="940" w:type="dxa"/>
            <w:vAlign w:val="bottom"/>
            <w:tcBorders>
              <w:top w:val="single" w:sz="8" w:color="auto"/>
              <w:bottom w:val="single" w:sz="8" w:color="EAEAEA"/>
            </w:tcBorders>
            <w:shd w:val="clear" w:color="auto" w:fill="EAEAEA"/>
          </w:tcPr>
          <w:p>
            <w:pPr>
              <w:jc w:val="right"/>
              <w:ind w:right="123"/>
              <w:spacing w:after="0"/>
              <w:rPr>
                <w:sz w:val="20"/>
                <w:szCs w:val="20"/>
                <w:color w:val="auto"/>
              </w:rPr>
            </w:pPr>
            <w:r>
              <w:rPr>
                <w:rFonts w:ascii="Arial" w:cs="Arial" w:eastAsia="Arial" w:hAnsi="Arial"/>
                <w:sz w:val="16"/>
                <w:szCs w:val="16"/>
                <w:color w:val="auto"/>
              </w:rPr>
              <w:t>6,058</w:t>
            </w:r>
          </w:p>
        </w:tc>
        <w:tc>
          <w:tcPr>
            <w:tcW w:w="1180" w:type="dxa"/>
            <w:vAlign w:val="bottom"/>
            <w:tcBorders>
              <w:top w:val="single" w:sz="8" w:color="auto"/>
            </w:tcBorders>
          </w:tcPr>
          <w:p>
            <w:pPr>
              <w:jc w:val="right"/>
              <w:ind w:right="103"/>
              <w:spacing w:after="0"/>
              <w:rPr>
                <w:sz w:val="20"/>
                <w:szCs w:val="20"/>
                <w:color w:val="auto"/>
              </w:rPr>
            </w:pPr>
            <w:r>
              <w:rPr>
                <w:rFonts w:ascii="Arial" w:cs="Arial" w:eastAsia="Arial" w:hAnsi="Arial"/>
                <w:sz w:val="16"/>
                <w:szCs w:val="16"/>
                <w:color w:val="auto"/>
              </w:rPr>
              <w:t>6,058</w:t>
            </w:r>
          </w:p>
        </w:tc>
        <w:tc>
          <w:tcPr>
            <w:tcW w:w="940" w:type="dxa"/>
            <w:vAlign w:val="bottom"/>
            <w:tcBorders>
              <w:top w:val="single" w:sz="8" w:color="auto"/>
              <w:bottom w:val="single" w:sz="8" w:color="EAEAEA"/>
            </w:tcBorders>
            <w:shd w:val="clear" w:color="auto" w:fill="EAEAEA"/>
          </w:tcPr>
          <w:p>
            <w:pPr>
              <w:jc w:val="right"/>
              <w:ind w:right="123"/>
              <w:spacing w:after="0"/>
              <w:rPr>
                <w:sz w:val="20"/>
                <w:szCs w:val="20"/>
                <w:color w:val="auto"/>
              </w:rPr>
            </w:pPr>
            <w:r>
              <w:rPr>
                <w:rFonts w:ascii="Arial" w:cs="Arial" w:eastAsia="Arial" w:hAnsi="Arial"/>
                <w:sz w:val="16"/>
                <w:szCs w:val="16"/>
                <w:color w:val="auto"/>
              </w:rPr>
              <w:t>—</w:t>
            </w:r>
          </w:p>
        </w:tc>
      </w:tr>
      <w:tr>
        <w:trPr>
          <w:trHeight w:val="253"/>
        </w:trPr>
        <w:tc>
          <w:tcPr>
            <w:tcW w:w="3280" w:type="dxa"/>
            <w:vAlign w:val="bottom"/>
            <w:tcBorders>
              <w:top w:val="single" w:sz="8" w:color="auto"/>
            </w:tcBorders>
          </w:tcPr>
          <w:p>
            <w:pPr>
              <w:spacing w:after="0"/>
              <w:rPr>
                <w:sz w:val="22"/>
                <w:szCs w:val="22"/>
                <w:color w:val="auto"/>
              </w:rPr>
            </w:pPr>
          </w:p>
        </w:tc>
        <w:tc>
          <w:tcPr>
            <w:tcW w:w="1000" w:type="dxa"/>
            <w:vAlign w:val="bottom"/>
            <w:tcBorders>
              <w:top w:val="single" w:sz="8" w:color="auto"/>
              <w:bottom w:val="single" w:sz="8" w:color="EAEAEA"/>
            </w:tcBorders>
            <w:shd w:val="clear" w:color="auto" w:fill="EAEAEA"/>
          </w:tcPr>
          <w:p>
            <w:pPr>
              <w:jc w:val="right"/>
              <w:ind w:right="3"/>
              <w:spacing w:after="0"/>
              <w:rPr>
                <w:sz w:val="20"/>
                <w:szCs w:val="20"/>
                <w:color w:val="auto"/>
              </w:rPr>
            </w:pPr>
            <w:r>
              <w:rPr>
                <w:rFonts w:ascii="Arial" w:cs="Arial" w:eastAsia="Arial" w:hAnsi="Arial"/>
                <w:sz w:val="16"/>
                <w:szCs w:val="16"/>
                <w:color w:val="auto"/>
              </w:rPr>
              <w:t>3/11/2024</w:t>
            </w:r>
          </w:p>
        </w:tc>
        <w:tc>
          <w:tcPr>
            <w:tcW w:w="980" w:type="dxa"/>
            <w:vAlign w:val="bottom"/>
            <w:tcBorders>
              <w:top w:val="single" w:sz="8" w:color="auto"/>
            </w:tcBorders>
          </w:tcPr>
          <w:p>
            <w:pPr>
              <w:jc w:val="right"/>
              <w:ind w:right="103"/>
              <w:spacing w:after="0"/>
              <w:rPr>
                <w:sz w:val="20"/>
                <w:szCs w:val="20"/>
                <w:color w:val="auto"/>
              </w:rPr>
            </w:pPr>
            <w:r>
              <w:rPr>
                <w:rFonts w:ascii="Arial" w:cs="Arial" w:eastAsia="Arial" w:hAnsi="Arial"/>
                <w:sz w:val="16"/>
                <w:szCs w:val="16"/>
                <w:color w:val="auto"/>
              </w:rPr>
              <w:t>33,655</w:t>
            </w:r>
          </w:p>
        </w:tc>
        <w:tc>
          <w:tcPr>
            <w:tcW w:w="1140" w:type="dxa"/>
            <w:vAlign w:val="bottom"/>
            <w:tcBorders>
              <w:top w:val="single" w:sz="8" w:color="auto"/>
              <w:bottom w:val="single" w:sz="8" w:color="EAEAEA"/>
            </w:tcBorders>
            <w:shd w:val="clear" w:color="auto" w:fill="EAEAEA"/>
          </w:tcPr>
          <w:p>
            <w:pPr>
              <w:jc w:val="right"/>
              <w:ind w:right="123"/>
              <w:spacing w:after="0"/>
              <w:rPr>
                <w:sz w:val="20"/>
                <w:szCs w:val="20"/>
                <w:color w:val="auto"/>
              </w:rPr>
            </w:pPr>
            <w:r>
              <w:rPr>
                <w:rFonts w:ascii="Arial" w:cs="Arial" w:eastAsia="Arial" w:hAnsi="Arial"/>
                <w:sz w:val="16"/>
                <w:szCs w:val="16"/>
                <w:color w:val="auto"/>
              </w:rPr>
              <w:t>8,751</w:t>
            </w:r>
          </w:p>
        </w:tc>
        <w:tc>
          <w:tcPr>
            <w:tcW w:w="820" w:type="dxa"/>
            <w:vAlign w:val="bottom"/>
            <w:tcBorders>
              <w:top w:val="single" w:sz="8" w:color="auto"/>
            </w:tcBorders>
          </w:tcPr>
          <w:p>
            <w:pPr>
              <w:jc w:val="right"/>
              <w:ind w:right="103"/>
              <w:spacing w:after="0"/>
              <w:rPr>
                <w:sz w:val="20"/>
                <w:szCs w:val="20"/>
                <w:color w:val="auto"/>
              </w:rPr>
            </w:pPr>
            <w:r>
              <w:rPr>
                <w:rFonts w:ascii="Arial" w:cs="Arial" w:eastAsia="Arial" w:hAnsi="Arial"/>
                <w:sz w:val="16"/>
                <w:szCs w:val="16"/>
                <w:color w:val="auto"/>
              </w:rPr>
              <w:t>6,058</w:t>
            </w:r>
          </w:p>
        </w:tc>
        <w:tc>
          <w:tcPr>
            <w:tcW w:w="940" w:type="dxa"/>
            <w:vAlign w:val="bottom"/>
            <w:tcBorders>
              <w:top w:val="single" w:sz="8" w:color="auto"/>
              <w:bottom w:val="single" w:sz="8" w:color="EAEAEA"/>
            </w:tcBorders>
            <w:shd w:val="clear" w:color="auto" w:fill="EAEAEA"/>
          </w:tcPr>
          <w:p>
            <w:pPr>
              <w:jc w:val="right"/>
              <w:ind w:right="123"/>
              <w:spacing w:after="0"/>
              <w:rPr>
                <w:sz w:val="20"/>
                <w:szCs w:val="20"/>
                <w:color w:val="auto"/>
              </w:rPr>
            </w:pPr>
            <w:r>
              <w:rPr>
                <w:rFonts w:ascii="Arial" w:cs="Arial" w:eastAsia="Arial" w:hAnsi="Arial"/>
                <w:sz w:val="16"/>
                <w:szCs w:val="16"/>
                <w:color w:val="auto"/>
              </w:rPr>
              <w:t>6,058</w:t>
            </w:r>
          </w:p>
        </w:tc>
        <w:tc>
          <w:tcPr>
            <w:tcW w:w="1180" w:type="dxa"/>
            <w:vAlign w:val="bottom"/>
            <w:tcBorders>
              <w:top w:val="single" w:sz="8" w:color="auto"/>
            </w:tcBorders>
          </w:tcPr>
          <w:p>
            <w:pPr>
              <w:jc w:val="right"/>
              <w:ind w:right="103"/>
              <w:spacing w:after="0"/>
              <w:rPr>
                <w:sz w:val="20"/>
                <w:szCs w:val="20"/>
                <w:color w:val="auto"/>
              </w:rPr>
            </w:pPr>
            <w:r>
              <w:rPr>
                <w:rFonts w:ascii="Arial" w:cs="Arial" w:eastAsia="Arial" w:hAnsi="Arial"/>
                <w:sz w:val="16"/>
                <w:szCs w:val="16"/>
                <w:color w:val="auto"/>
              </w:rPr>
              <w:t>6,058</w:t>
            </w:r>
          </w:p>
        </w:tc>
        <w:tc>
          <w:tcPr>
            <w:tcW w:w="940" w:type="dxa"/>
            <w:vAlign w:val="bottom"/>
            <w:tcBorders>
              <w:top w:val="single" w:sz="8" w:color="auto"/>
              <w:bottom w:val="single" w:sz="8" w:color="EAEAEA"/>
            </w:tcBorders>
            <w:shd w:val="clear" w:color="auto" w:fill="EAEAEA"/>
          </w:tcPr>
          <w:p>
            <w:pPr>
              <w:jc w:val="right"/>
              <w:ind w:right="123"/>
              <w:spacing w:after="0"/>
              <w:rPr>
                <w:sz w:val="20"/>
                <w:szCs w:val="20"/>
                <w:color w:val="auto"/>
              </w:rPr>
            </w:pPr>
            <w:r>
              <w:rPr>
                <w:rFonts w:ascii="Arial" w:cs="Arial" w:eastAsia="Arial" w:hAnsi="Arial"/>
                <w:sz w:val="16"/>
                <w:szCs w:val="16"/>
                <w:color w:val="auto"/>
              </w:rPr>
              <w:t>—</w:t>
            </w:r>
          </w:p>
        </w:tc>
      </w:tr>
      <w:tr>
        <w:trPr>
          <w:trHeight w:val="253"/>
        </w:trPr>
        <w:tc>
          <w:tcPr>
            <w:tcW w:w="3280" w:type="dxa"/>
            <w:vAlign w:val="bottom"/>
            <w:tcBorders>
              <w:top w:val="single" w:sz="8" w:color="0066BA"/>
            </w:tcBorders>
          </w:tcPr>
          <w:p>
            <w:pPr>
              <w:ind w:left="60"/>
              <w:spacing w:after="0"/>
              <w:rPr>
                <w:sz w:val="20"/>
                <w:szCs w:val="20"/>
                <w:color w:val="auto"/>
              </w:rPr>
            </w:pPr>
            <w:r>
              <w:rPr>
                <w:rFonts w:ascii="Arial" w:cs="Arial" w:eastAsia="Arial" w:hAnsi="Arial"/>
                <w:sz w:val="16"/>
                <w:szCs w:val="16"/>
                <w:color w:val="auto"/>
              </w:rPr>
              <w:t>12/15/2020</w:t>
            </w:r>
          </w:p>
        </w:tc>
        <w:tc>
          <w:tcPr>
            <w:tcW w:w="1000" w:type="dxa"/>
            <w:vAlign w:val="bottom"/>
            <w:tcBorders>
              <w:top w:val="single" w:sz="8" w:color="0066BA"/>
              <w:bottom w:val="single" w:sz="8" w:color="EAEAEA"/>
            </w:tcBorders>
            <w:shd w:val="clear" w:color="auto" w:fill="EAEAEA"/>
          </w:tcPr>
          <w:p>
            <w:pPr>
              <w:jc w:val="right"/>
              <w:ind w:right="3"/>
              <w:spacing w:after="0"/>
              <w:rPr>
                <w:sz w:val="20"/>
                <w:szCs w:val="20"/>
                <w:color w:val="auto"/>
              </w:rPr>
            </w:pPr>
            <w:r>
              <w:rPr>
                <w:rFonts w:ascii="Arial" w:cs="Arial" w:eastAsia="Arial" w:hAnsi="Arial"/>
                <w:sz w:val="16"/>
                <w:szCs w:val="16"/>
                <w:color w:val="auto"/>
              </w:rPr>
              <w:t>variable</w:t>
            </w:r>
          </w:p>
        </w:tc>
        <w:tc>
          <w:tcPr>
            <w:tcW w:w="980" w:type="dxa"/>
            <w:vAlign w:val="bottom"/>
            <w:tcBorders>
              <w:top w:val="single" w:sz="8" w:color="0066BA"/>
            </w:tcBorders>
          </w:tcPr>
          <w:p>
            <w:pPr>
              <w:jc w:val="right"/>
              <w:ind w:right="103"/>
              <w:spacing w:after="0"/>
              <w:rPr>
                <w:sz w:val="20"/>
                <w:szCs w:val="20"/>
                <w:color w:val="auto"/>
              </w:rPr>
            </w:pPr>
            <w:r>
              <w:rPr>
                <w:rFonts w:ascii="Arial" w:cs="Arial" w:eastAsia="Arial" w:hAnsi="Arial"/>
                <w:sz w:val="16"/>
                <w:szCs w:val="16"/>
                <w:color w:val="auto"/>
              </w:rPr>
              <w:t>460,000</w:t>
            </w:r>
          </w:p>
        </w:tc>
        <w:tc>
          <w:tcPr>
            <w:tcW w:w="1140" w:type="dxa"/>
            <w:vAlign w:val="bottom"/>
            <w:tcBorders>
              <w:top w:val="single" w:sz="8" w:color="0066BA"/>
              <w:bottom w:val="single" w:sz="8" w:color="EAEAEA"/>
            </w:tcBorders>
            <w:shd w:val="clear" w:color="auto" w:fill="EAEAEA"/>
          </w:tcPr>
          <w:p>
            <w:pPr>
              <w:jc w:val="right"/>
              <w:ind w:right="123"/>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0066BA"/>
            </w:tcBorders>
          </w:tcPr>
          <w:p>
            <w:pPr>
              <w:jc w:val="right"/>
              <w:ind w:right="103"/>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0066BA"/>
              <w:bottom w:val="single" w:sz="8" w:color="EAEAEA"/>
            </w:tcBorders>
            <w:shd w:val="clear" w:color="auto" w:fill="EAEAEA"/>
          </w:tcPr>
          <w:p>
            <w:pPr>
              <w:jc w:val="right"/>
              <w:ind w:right="123"/>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0066BA"/>
            </w:tcBorders>
          </w:tcPr>
          <w:p>
            <w:pPr>
              <w:jc w:val="right"/>
              <w:ind w:right="103"/>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0066BA"/>
              <w:bottom w:val="single" w:sz="8" w:color="EAEAEA"/>
            </w:tcBorders>
            <w:shd w:val="clear" w:color="auto" w:fill="EAEAEA"/>
          </w:tcPr>
          <w:p>
            <w:pPr>
              <w:jc w:val="right"/>
              <w:ind w:right="123"/>
              <w:spacing w:after="0"/>
              <w:rPr>
                <w:sz w:val="20"/>
                <w:szCs w:val="20"/>
                <w:color w:val="auto"/>
              </w:rPr>
            </w:pPr>
            <w:r>
              <w:rPr>
                <w:rFonts w:ascii="Arial" w:cs="Arial" w:eastAsia="Arial" w:hAnsi="Arial"/>
                <w:sz w:val="16"/>
                <w:szCs w:val="16"/>
                <w:color w:val="auto"/>
              </w:rPr>
              <w:t>—</w:t>
            </w:r>
          </w:p>
        </w:tc>
      </w:tr>
      <w:tr>
        <w:trPr>
          <w:trHeight w:val="253"/>
        </w:trPr>
        <w:tc>
          <w:tcPr>
            <w:tcW w:w="3280" w:type="dxa"/>
            <w:vAlign w:val="bottom"/>
            <w:tcBorders>
              <w:top w:val="single" w:sz="8" w:color="0066BA"/>
            </w:tcBorders>
          </w:tcPr>
          <w:p>
            <w:pPr>
              <w:ind w:left="60"/>
              <w:spacing w:after="0"/>
              <w:rPr>
                <w:sz w:val="20"/>
                <w:szCs w:val="20"/>
                <w:color w:val="auto"/>
              </w:rPr>
            </w:pPr>
            <w:r>
              <w:rPr>
                <w:rFonts w:ascii="Arial" w:cs="Arial" w:eastAsia="Arial" w:hAnsi="Arial"/>
                <w:sz w:val="16"/>
                <w:szCs w:val="16"/>
                <w:color w:val="auto"/>
              </w:rPr>
              <w:t>03/10/2021</w:t>
            </w:r>
          </w:p>
        </w:tc>
        <w:tc>
          <w:tcPr>
            <w:tcW w:w="1000" w:type="dxa"/>
            <w:vAlign w:val="bottom"/>
            <w:tcBorders>
              <w:top w:val="single" w:sz="8" w:color="0066BA"/>
              <w:bottom w:val="single" w:sz="8" w:color="EAEAEA"/>
            </w:tcBorders>
            <w:shd w:val="clear" w:color="auto" w:fill="EAEAEA"/>
          </w:tcPr>
          <w:p>
            <w:pPr>
              <w:jc w:val="right"/>
              <w:ind w:right="3"/>
              <w:spacing w:after="0"/>
              <w:rPr>
                <w:sz w:val="20"/>
                <w:szCs w:val="20"/>
                <w:color w:val="auto"/>
              </w:rPr>
            </w:pPr>
            <w:r>
              <w:rPr>
                <w:rFonts w:ascii="Arial" w:cs="Arial" w:eastAsia="Arial" w:hAnsi="Arial"/>
                <w:sz w:val="16"/>
                <w:szCs w:val="16"/>
                <w:color w:val="auto"/>
              </w:rPr>
              <w:t>3/10/2022</w:t>
            </w:r>
          </w:p>
        </w:tc>
        <w:tc>
          <w:tcPr>
            <w:tcW w:w="980" w:type="dxa"/>
            <w:vAlign w:val="bottom"/>
            <w:tcBorders>
              <w:top w:val="single" w:sz="8" w:color="0066BA"/>
            </w:tcBorders>
          </w:tcPr>
          <w:p>
            <w:pPr>
              <w:jc w:val="right"/>
              <w:ind w:right="103"/>
              <w:spacing w:after="0"/>
              <w:rPr>
                <w:sz w:val="20"/>
                <w:szCs w:val="20"/>
                <w:color w:val="auto"/>
              </w:rPr>
            </w:pPr>
            <w:r>
              <w:rPr>
                <w:rFonts w:ascii="Arial" w:cs="Arial" w:eastAsia="Arial" w:hAnsi="Arial"/>
                <w:sz w:val="16"/>
                <w:szCs w:val="16"/>
                <w:color w:val="auto"/>
              </w:rPr>
              <w:t>17,696</w:t>
            </w:r>
          </w:p>
        </w:tc>
        <w:tc>
          <w:tcPr>
            <w:tcW w:w="1140" w:type="dxa"/>
            <w:vAlign w:val="bottom"/>
            <w:tcBorders>
              <w:top w:val="single" w:sz="8" w:color="0066BA"/>
              <w:bottom w:val="single" w:sz="8" w:color="EAEAEA"/>
            </w:tcBorders>
            <w:shd w:val="clear" w:color="auto" w:fill="EAEAEA"/>
          </w:tcPr>
          <w:p>
            <w:pPr>
              <w:jc w:val="right"/>
              <w:ind w:right="123"/>
              <w:spacing w:after="0"/>
              <w:rPr>
                <w:sz w:val="20"/>
                <w:szCs w:val="20"/>
                <w:color w:val="auto"/>
              </w:rPr>
            </w:pPr>
            <w:r>
              <w:rPr>
                <w:rFonts w:ascii="Arial" w:cs="Arial" w:eastAsia="Arial" w:hAnsi="Arial"/>
                <w:sz w:val="16"/>
                <w:szCs w:val="16"/>
                <w:color w:val="auto"/>
              </w:rPr>
              <w:t>4,826</w:t>
            </w:r>
          </w:p>
        </w:tc>
        <w:tc>
          <w:tcPr>
            <w:tcW w:w="820" w:type="dxa"/>
            <w:vAlign w:val="bottom"/>
            <w:tcBorders>
              <w:top w:val="single" w:sz="8" w:color="0066BA"/>
            </w:tcBorders>
          </w:tcPr>
          <w:p>
            <w:pPr>
              <w:jc w:val="right"/>
              <w:ind w:right="103"/>
              <w:spacing w:after="0"/>
              <w:rPr>
                <w:sz w:val="20"/>
                <w:szCs w:val="20"/>
                <w:color w:val="auto"/>
              </w:rPr>
            </w:pPr>
            <w:r>
              <w:rPr>
                <w:rFonts w:ascii="Arial" w:cs="Arial" w:eastAsia="Arial" w:hAnsi="Arial"/>
                <w:sz w:val="16"/>
                <w:szCs w:val="16"/>
                <w:color w:val="auto"/>
              </w:rPr>
              <w:t>3,539</w:t>
            </w:r>
          </w:p>
        </w:tc>
        <w:tc>
          <w:tcPr>
            <w:tcW w:w="940" w:type="dxa"/>
            <w:vAlign w:val="bottom"/>
            <w:tcBorders>
              <w:top w:val="single" w:sz="8" w:color="0066BA"/>
              <w:bottom w:val="single" w:sz="8" w:color="EAEAEA"/>
            </w:tcBorders>
            <w:shd w:val="clear" w:color="auto" w:fill="EAEAEA"/>
          </w:tcPr>
          <w:p>
            <w:pPr>
              <w:jc w:val="right"/>
              <w:ind w:right="123"/>
              <w:spacing w:after="0"/>
              <w:rPr>
                <w:sz w:val="20"/>
                <w:szCs w:val="20"/>
                <w:color w:val="auto"/>
              </w:rPr>
            </w:pPr>
            <w:r>
              <w:rPr>
                <w:rFonts w:ascii="Arial" w:cs="Arial" w:eastAsia="Arial" w:hAnsi="Arial"/>
                <w:sz w:val="16"/>
                <w:szCs w:val="16"/>
                <w:color w:val="auto"/>
              </w:rPr>
              <w:t>3,539</w:t>
            </w:r>
          </w:p>
        </w:tc>
        <w:tc>
          <w:tcPr>
            <w:tcW w:w="1180" w:type="dxa"/>
            <w:vAlign w:val="bottom"/>
            <w:tcBorders>
              <w:top w:val="single" w:sz="8" w:color="0066BA"/>
            </w:tcBorders>
          </w:tcPr>
          <w:p>
            <w:pPr>
              <w:jc w:val="right"/>
              <w:ind w:right="103"/>
              <w:spacing w:after="0"/>
              <w:rPr>
                <w:sz w:val="20"/>
                <w:szCs w:val="20"/>
                <w:color w:val="auto"/>
              </w:rPr>
            </w:pPr>
            <w:r>
              <w:rPr>
                <w:rFonts w:ascii="Arial" w:cs="Arial" w:eastAsia="Arial" w:hAnsi="Arial"/>
                <w:sz w:val="16"/>
                <w:szCs w:val="16"/>
                <w:color w:val="auto"/>
              </w:rPr>
              <w:t>3,539</w:t>
            </w:r>
          </w:p>
        </w:tc>
        <w:tc>
          <w:tcPr>
            <w:tcW w:w="940" w:type="dxa"/>
            <w:vAlign w:val="bottom"/>
            <w:tcBorders>
              <w:top w:val="single" w:sz="8" w:color="0066BA"/>
              <w:bottom w:val="single" w:sz="8" w:color="EAEAEA"/>
            </w:tcBorders>
            <w:shd w:val="clear" w:color="auto" w:fill="EAEAEA"/>
          </w:tcPr>
          <w:p>
            <w:pPr>
              <w:jc w:val="right"/>
              <w:ind w:right="123"/>
              <w:spacing w:after="0"/>
              <w:rPr>
                <w:sz w:val="20"/>
                <w:szCs w:val="20"/>
                <w:color w:val="auto"/>
              </w:rPr>
            </w:pPr>
            <w:r>
              <w:rPr>
                <w:rFonts w:ascii="Arial" w:cs="Arial" w:eastAsia="Arial" w:hAnsi="Arial"/>
                <w:sz w:val="16"/>
                <w:szCs w:val="16"/>
                <w:color w:val="auto"/>
              </w:rPr>
              <w:t>2,091</w:t>
            </w:r>
          </w:p>
        </w:tc>
      </w:tr>
      <w:tr>
        <w:trPr>
          <w:trHeight w:val="253"/>
        </w:trPr>
        <w:tc>
          <w:tcPr>
            <w:tcW w:w="3280" w:type="dxa"/>
            <w:vAlign w:val="bottom"/>
            <w:tcBorders>
              <w:top w:val="single" w:sz="8" w:color="auto"/>
            </w:tcBorders>
          </w:tcPr>
          <w:p>
            <w:pPr>
              <w:spacing w:after="0"/>
              <w:rPr>
                <w:sz w:val="22"/>
                <w:szCs w:val="22"/>
                <w:color w:val="auto"/>
              </w:rPr>
            </w:pPr>
          </w:p>
        </w:tc>
        <w:tc>
          <w:tcPr>
            <w:tcW w:w="1000" w:type="dxa"/>
            <w:vAlign w:val="bottom"/>
            <w:tcBorders>
              <w:top w:val="single" w:sz="8" w:color="auto"/>
              <w:bottom w:val="single" w:sz="8" w:color="EAEAEA"/>
            </w:tcBorders>
            <w:shd w:val="clear" w:color="auto" w:fill="EAEAEA"/>
          </w:tcPr>
          <w:p>
            <w:pPr>
              <w:jc w:val="right"/>
              <w:ind w:right="3"/>
              <w:spacing w:after="0"/>
              <w:rPr>
                <w:sz w:val="20"/>
                <w:szCs w:val="20"/>
                <w:color w:val="auto"/>
              </w:rPr>
            </w:pPr>
            <w:r>
              <w:rPr>
                <w:rFonts w:ascii="Arial" w:cs="Arial" w:eastAsia="Arial" w:hAnsi="Arial"/>
                <w:sz w:val="16"/>
                <w:szCs w:val="16"/>
                <w:color w:val="auto"/>
              </w:rPr>
              <w:t>3/10/2023</w:t>
            </w:r>
          </w:p>
        </w:tc>
        <w:tc>
          <w:tcPr>
            <w:tcW w:w="980" w:type="dxa"/>
            <w:vAlign w:val="bottom"/>
            <w:tcBorders>
              <w:top w:val="single" w:sz="8" w:color="auto"/>
            </w:tcBorders>
          </w:tcPr>
          <w:p>
            <w:pPr>
              <w:jc w:val="right"/>
              <w:ind w:right="103"/>
              <w:spacing w:after="0"/>
              <w:rPr>
                <w:sz w:val="20"/>
                <w:szCs w:val="20"/>
                <w:color w:val="auto"/>
              </w:rPr>
            </w:pPr>
            <w:r>
              <w:rPr>
                <w:rFonts w:ascii="Arial" w:cs="Arial" w:eastAsia="Arial" w:hAnsi="Arial"/>
                <w:sz w:val="16"/>
                <w:szCs w:val="16"/>
                <w:color w:val="auto"/>
              </w:rPr>
              <w:t>17,696</w:t>
            </w:r>
          </w:p>
        </w:tc>
        <w:tc>
          <w:tcPr>
            <w:tcW w:w="1140" w:type="dxa"/>
            <w:vAlign w:val="bottom"/>
            <w:tcBorders>
              <w:top w:val="single" w:sz="8" w:color="auto"/>
              <w:bottom w:val="single" w:sz="8" w:color="EAEAEA"/>
            </w:tcBorders>
            <w:shd w:val="clear" w:color="auto" w:fill="EAEAEA"/>
          </w:tcPr>
          <w:p>
            <w:pPr>
              <w:jc w:val="right"/>
              <w:ind w:right="123"/>
              <w:spacing w:after="0"/>
              <w:rPr>
                <w:sz w:val="20"/>
                <w:szCs w:val="20"/>
                <w:color w:val="auto"/>
              </w:rPr>
            </w:pPr>
            <w:r>
              <w:rPr>
                <w:rFonts w:ascii="Arial" w:cs="Arial" w:eastAsia="Arial" w:hAnsi="Arial"/>
                <w:sz w:val="16"/>
                <w:szCs w:val="16"/>
                <w:color w:val="auto"/>
              </w:rPr>
              <w:t>4,826</w:t>
            </w:r>
          </w:p>
        </w:tc>
        <w:tc>
          <w:tcPr>
            <w:tcW w:w="820" w:type="dxa"/>
            <w:vAlign w:val="bottom"/>
            <w:tcBorders>
              <w:top w:val="single" w:sz="8" w:color="auto"/>
            </w:tcBorders>
          </w:tcPr>
          <w:p>
            <w:pPr>
              <w:jc w:val="right"/>
              <w:ind w:right="103"/>
              <w:spacing w:after="0"/>
              <w:rPr>
                <w:sz w:val="20"/>
                <w:szCs w:val="20"/>
                <w:color w:val="auto"/>
              </w:rPr>
            </w:pPr>
            <w:r>
              <w:rPr>
                <w:rFonts w:ascii="Arial" w:cs="Arial" w:eastAsia="Arial" w:hAnsi="Arial"/>
                <w:sz w:val="16"/>
                <w:szCs w:val="16"/>
                <w:color w:val="auto"/>
              </w:rPr>
              <w:t>3,539</w:t>
            </w:r>
          </w:p>
        </w:tc>
        <w:tc>
          <w:tcPr>
            <w:tcW w:w="940" w:type="dxa"/>
            <w:vAlign w:val="bottom"/>
            <w:tcBorders>
              <w:top w:val="single" w:sz="8" w:color="auto"/>
              <w:bottom w:val="single" w:sz="8" w:color="EAEAEA"/>
            </w:tcBorders>
            <w:shd w:val="clear" w:color="auto" w:fill="EAEAEA"/>
          </w:tcPr>
          <w:p>
            <w:pPr>
              <w:jc w:val="right"/>
              <w:ind w:right="123"/>
              <w:spacing w:after="0"/>
              <w:rPr>
                <w:sz w:val="20"/>
                <w:szCs w:val="20"/>
                <w:color w:val="auto"/>
              </w:rPr>
            </w:pPr>
            <w:r>
              <w:rPr>
                <w:rFonts w:ascii="Arial" w:cs="Arial" w:eastAsia="Arial" w:hAnsi="Arial"/>
                <w:sz w:val="16"/>
                <w:szCs w:val="16"/>
                <w:color w:val="auto"/>
              </w:rPr>
              <w:t>3,539</w:t>
            </w:r>
          </w:p>
        </w:tc>
        <w:tc>
          <w:tcPr>
            <w:tcW w:w="1180" w:type="dxa"/>
            <w:vAlign w:val="bottom"/>
            <w:tcBorders>
              <w:top w:val="single" w:sz="8" w:color="auto"/>
            </w:tcBorders>
          </w:tcPr>
          <w:p>
            <w:pPr>
              <w:jc w:val="right"/>
              <w:ind w:right="103"/>
              <w:spacing w:after="0"/>
              <w:rPr>
                <w:sz w:val="20"/>
                <w:szCs w:val="20"/>
                <w:color w:val="auto"/>
              </w:rPr>
            </w:pPr>
            <w:r>
              <w:rPr>
                <w:rFonts w:ascii="Arial" w:cs="Arial" w:eastAsia="Arial" w:hAnsi="Arial"/>
                <w:sz w:val="16"/>
                <w:szCs w:val="16"/>
                <w:color w:val="auto"/>
              </w:rPr>
              <w:t>3,539</w:t>
            </w:r>
          </w:p>
        </w:tc>
        <w:tc>
          <w:tcPr>
            <w:tcW w:w="940" w:type="dxa"/>
            <w:vAlign w:val="bottom"/>
            <w:tcBorders>
              <w:top w:val="single" w:sz="8" w:color="auto"/>
              <w:bottom w:val="single" w:sz="8" w:color="EAEAEA"/>
            </w:tcBorders>
            <w:shd w:val="clear" w:color="auto" w:fill="EAEAEA"/>
          </w:tcPr>
          <w:p>
            <w:pPr>
              <w:jc w:val="right"/>
              <w:ind w:right="123"/>
              <w:spacing w:after="0"/>
              <w:rPr>
                <w:sz w:val="20"/>
                <w:szCs w:val="20"/>
                <w:color w:val="auto"/>
              </w:rPr>
            </w:pPr>
            <w:r>
              <w:rPr>
                <w:rFonts w:ascii="Arial" w:cs="Arial" w:eastAsia="Arial" w:hAnsi="Arial"/>
                <w:sz w:val="16"/>
                <w:szCs w:val="16"/>
                <w:color w:val="auto"/>
              </w:rPr>
              <w:t>2,091</w:t>
            </w:r>
          </w:p>
        </w:tc>
      </w:tr>
      <w:tr>
        <w:trPr>
          <w:trHeight w:val="253"/>
        </w:trPr>
        <w:tc>
          <w:tcPr>
            <w:tcW w:w="3280" w:type="dxa"/>
            <w:vAlign w:val="bottom"/>
            <w:tcBorders>
              <w:top w:val="single" w:sz="8" w:color="auto"/>
            </w:tcBorders>
          </w:tcPr>
          <w:p>
            <w:pPr>
              <w:spacing w:after="0"/>
              <w:rPr>
                <w:sz w:val="22"/>
                <w:szCs w:val="22"/>
                <w:color w:val="auto"/>
              </w:rPr>
            </w:pPr>
          </w:p>
        </w:tc>
        <w:tc>
          <w:tcPr>
            <w:tcW w:w="1000" w:type="dxa"/>
            <w:vAlign w:val="bottom"/>
            <w:tcBorders>
              <w:top w:val="single" w:sz="8" w:color="auto"/>
              <w:bottom w:val="single" w:sz="8" w:color="EAEAEA"/>
            </w:tcBorders>
            <w:shd w:val="clear" w:color="auto" w:fill="EAEAEA"/>
          </w:tcPr>
          <w:p>
            <w:pPr>
              <w:jc w:val="right"/>
              <w:ind w:right="3"/>
              <w:spacing w:after="0"/>
              <w:rPr>
                <w:sz w:val="20"/>
                <w:szCs w:val="20"/>
                <w:color w:val="auto"/>
              </w:rPr>
            </w:pPr>
            <w:r>
              <w:rPr>
                <w:rFonts w:ascii="Arial" w:cs="Arial" w:eastAsia="Arial" w:hAnsi="Arial"/>
                <w:sz w:val="16"/>
                <w:szCs w:val="16"/>
                <w:color w:val="auto"/>
              </w:rPr>
              <w:t>3/10/2024</w:t>
            </w:r>
          </w:p>
        </w:tc>
        <w:tc>
          <w:tcPr>
            <w:tcW w:w="980" w:type="dxa"/>
            <w:vAlign w:val="bottom"/>
            <w:tcBorders>
              <w:top w:val="single" w:sz="8" w:color="auto"/>
            </w:tcBorders>
          </w:tcPr>
          <w:p>
            <w:pPr>
              <w:jc w:val="right"/>
              <w:ind w:right="103"/>
              <w:spacing w:after="0"/>
              <w:rPr>
                <w:sz w:val="20"/>
                <w:szCs w:val="20"/>
                <w:color w:val="auto"/>
              </w:rPr>
            </w:pPr>
            <w:r>
              <w:rPr>
                <w:rFonts w:ascii="Arial" w:cs="Arial" w:eastAsia="Arial" w:hAnsi="Arial"/>
                <w:sz w:val="16"/>
                <w:szCs w:val="16"/>
                <w:color w:val="auto"/>
              </w:rPr>
              <w:t>17,697</w:t>
            </w:r>
          </w:p>
        </w:tc>
        <w:tc>
          <w:tcPr>
            <w:tcW w:w="1140" w:type="dxa"/>
            <w:vAlign w:val="bottom"/>
            <w:tcBorders>
              <w:top w:val="single" w:sz="8" w:color="auto"/>
              <w:bottom w:val="single" w:sz="8" w:color="EAEAEA"/>
            </w:tcBorders>
            <w:shd w:val="clear" w:color="auto" w:fill="EAEAEA"/>
          </w:tcPr>
          <w:p>
            <w:pPr>
              <w:jc w:val="right"/>
              <w:ind w:right="123"/>
              <w:spacing w:after="0"/>
              <w:rPr>
                <w:sz w:val="20"/>
                <w:szCs w:val="20"/>
                <w:color w:val="auto"/>
              </w:rPr>
            </w:pPr>
            <w:r>
              <w:rPr>
                <w:rFonts w:ascii="Arial" w:cs="Arial" w:eastAsia="Arial" w:hAnsi="Arial"/>
                <w:sz w:val="16"/>
                <w:szCs w:val="16"/>
                <w:color w:val="auto"/>
              </w:rPr>
              <w:t>4,827</w:t>
            </w:r>
          </w:p>
        </w:tc>
        <w:tc>
          <w:tcPr>
            <w:tcW w:w="820" w:type="dxa"/>
            <w:vAlign w:val="bottom"/>
            <w:tcBorders>
              <w:top w:val="single" w:sz="8" w:color="auto"/>
            </w:tcBorders>
          </w:tcPr>
          <w:p>
            <w:pPr>
              <w:jc w:val="right"/>
              <w:ind w:right="103"/>
              <w:spacing w:after="0"/>
              <w:rPr>
                <w:sz w:val="20"/>
                <w:szCs w:val="20"/>
                <w:color w:val="auto"/>
              </w:rPr>
            </w:pPr>
            <w:r>
              <w:rPr>
                <w:rFonts w:ascii="Arial" w:cs="Arial" w:eastAsia="Arial" w:hAnsi="Arial"/>
                <w:sz w:val="16"/>
                <w:szCs w:val="16"/>
                <w:color w:val="auto"/>
              </w:rPr>
              <w:t>3,540</w:t>
            </w:r>
          </w:p>
        </w:tc>
        <w:tc>
          <w:tcPr>
            <w:tcW w:w="940" w:type="dxa"/>
            <w:vAlign w:val="bottom"/>
            <w:tcBorders>
              <w:top w:val="single" w:sz="8" w:color="auto"/>
              <w:bottom w:val="single" w:sz="8" w:color="EAEAEA"/>
            </w:tcBorders>
            <w:shd w:val="clear" w:color="auto" w:fill="EAEAEA"/>
          </w:tcPr>
          <w:p>
            <w:pPr>
              <w:jc w:val="right"/>
              <w:ind w:right="123"/>
              <w:spacing w:after="0"/>
              <w:rPr>
                <w:sz w:val="20"/>
                <w:szCs w:val="20"/>
                <w:color w:val="auto"/>
              </w:rPr>
            </w:pPr>
            <w:r>
              <w:rPr>
                <w:rFonts w:ascii="Arial" w:cs="Arial" w:eastAsia="Arial" w:hAnsi="Arial"/>
                <w:sz w:val="16"/>
                <w:szCs w:val="16"/>
                <w:color w:val="auto"/>
              </w:rPr>
              <w:t>3,540</w:t>
            </w:r>
          </w:p>
        </w:tc>
        <w:tc>
          <w:tcPr>
            <w:tcW w:w="1180" w:type="dxa"/>
            <w:vAlign w:val="bottom"/>
            <w:tcBorders>
              <w:top w:val="single" w:sz="8" w:color="auto"/>
            </w:tcBorders>
          </w:tcPr>
          <w:p>
            <w:pPr>
              <w:jc w:val="right"/>
              <w:ind w:right="103"/>
              <w:spacing w:after="0"/>
              <w:rPr>
                <w:sz w:val="20"/>
                <w:szCs w:val="20"/>
                <w:color w:val="auto"/>
              </w:rPr>
            </w:pPr>
            <w:r>
              <w:rPr>
                <w:rFonts w:ascii="Arial" w:cs="Arial" w:eastAsia="Arial" w:hAnsi="Arial"/>
                <w:sz w:val="16"/>
                <w:szCs w:val="16"/>
                <w:color w:val="auto"/>
              </w:rPr>
              <w:t>3,540</w:t>
            </w:r>
          </w:p>
        </w:tc>
        <w:tc>
          <w:tcPr>
            <w:tcW w:w="940" w:type="dxa"/>
            <w:vAlign w:val="bottom"/>
            <w:tcBorders>
              <w:top w:val="single" w:sz="8" w:color="auto"/>
              <w:bottom w:val="single" w:sz="8" w:color="EAEAEA"/>
            </w:tcBorders>
            <w:shd w:val="clear" w:color="auto" w:fill="EAEAEA"/>
          </w:tcPr>
          <w:p>
            <w:pPr>
              <w:jc w:val="right"/>
              <w:ind w:right="123"/>
              <w:spacing w:after="0"/>
              <w:rPr>
                <w:sz w:val="20"/>
                <w:szCs w:val="20"/>
                <w:color w:val="auto"/>
              </w:rPr>
            </w:pPr>
            <w:r>
              <w:rPr>
                <w:rFonts w:ascii="Arial" w:cs="Arial" w:eastAsia="Arial" w:hAnsi="Arial"/>
                <w:sz w:val="16"/>
                <w:szCs w:val="16"/>
                <w:color w:val="auto"/>
              </w:rPr>
              <w:t>2,092</w:t>
            </w:r>
          </w:p>
        </w:tc>
      </w:tr>
      <w:tr>
        <w:trPr>
          <w:trHeight w:val="233"/>
        </w:trPr>
        <w:tc>
          <w:tcPr>
            <w:tcW w:w="3280" w:type="dxa"/>
            <w:vAlign w:val="bottom"/>
            <w:tcBorders>
              <w:top w:val="single" w:sz="8" w:color="auto"/>
            </w:tcBorders>
          </w:tcPr>
          <w:p>
            <w:pPr>
              <w:spacing w:after="0"/>
              <w:rPr>
                <w:sz w:val="20"/>
                <w:szCs w:val="20"/>
                <w:color w:val="auto"/>
              </w:rPr>
            </w:pPr>
          </w:p>
        </w:tc>
        <w:tc>
          <w:tcPr>
            <w:tcW w:w="1000" w:type="dxa"/>
            <w:vAlign w:val="bottom"/>
            <w:tcBorders>
              <w:top w:val="single" w:sz="8" w:color="auto"/>
              <w:bottom w:val="single" w:sz="8" w:color="EAEAEA"/>
            </w:tcBorders>
            <w:shd w:val="clear" w:color="auto" w:fill="EAEAEA"/>
          </w:tcPr>
          <w:p>
            <w:pPr>
              <w:jc w:val="right"/>
              <w:ind w:right="3"/>
              <w:spacing w:after="0"/>
              <w:rPr>
                <w:sz w:val="20"/>
                <w:szCs w:val="20"/>
                <w:color w:val="auto"/>
              </w:rPr>
            </w:pPr>
            <w:r>
              <w:rPr>
                <w:rFonts w:ascii="Arial" w:cs="Arial" w:eastAsia="Arial" w:hAnsi="Arial"/>
                <w:sz w:val="16"/>
                <w:szCs w:val="16"/>
                <w:color w:val="auto"/>
              </w:rPr>
              <w:t>3/10/2025</w:t>
            </w:r>
          </w:p>
        </w:tc>
        <w:tc>
          <w:tcPr>
            <w:tcW w:w="980" w:type="dxa"/>
            <w:vAlign w:val="bottom"/>
            <w:tcBorders>
              <w:top w:val="single" w:sz="8" w:color="auto"/>
            </w:tcBorders>
          </w:tcPr>
          <w:p>
            <w:pPr>
              <w:jc w:val="right"/>
              <w:ind w:right="103"/>
              <w:spacing w:after="0"/>
              <w:rPr>
                <w:sz w:val="20"/>
                <w:szCs w:val="20"/>
                <w:color w:val="auto"/>
              </w:rPr>
            </w:pPr>
            <w:r>
              <w:rPr>
                <w:rFonts w:ascii="Arial" w:cs="Arial" w:eastAsia="Arial" w:hAnsi="Arial"/>
                <w:sz w:val="16"/>
                <w:szCs w:val="16"/>
                <w:color w:val="auto"/>
              </w:rPr>
              <w:t>17,697</w:t>
            </w:r>
          </w:p>
        </w:tc>
        <w:tc>
          <w:tcPr>
            <w:tcW w:w="1140" w:type="dxa"/>
            <w:vAlign w:val="bottom"/>
            <w:tcBorders>
              <w:top w:val="single" w:sz="8" w:color="auto"/>
              <w:bottom w:val="single" w:sz="8" w:color="EAEAEA"/>
            </w:tcBorders>
            <w:shd w:val="clear" w:color="auto" w:fill="EAEAEA"/>
          </w:tcPr>
          <w:p>
            <w:pPr>
              <w:jc w:val="right"/>
              <w:ind w:right="123"/>
              <w:spacing w:after="0"/>
              <w:rPr>
                <w:sz w:val="20"/>
                <w:szCs w:val="20"/>
                <w:color w:val="auto"/>
              </w:rPr>
            </w:pPr>
            <w:r>
              <w:rPr>
                <w:rFonts w:ascii="Arial" w:cs="Arial" w:eastAsia="Arial" w:hAnsi="Arial"/>
                <w:sz w:val="16"/>
                <w:szCs w:val="16"/>
                <w:color w:val="auto"/>
              </w:rPr>
              <w:t>4,827</w:t>
            </w:r>
          </w:p>
        </w:tc>
        <w:tc>
          <w:tcPr>
            <w:tcW w:w="820" w:type="dxa"/>
            <w:vAlign w:val="bottom"/>
            <w:tcBorders>
              <w:top w:val="single" w:sz="8" w:color="auto"/>
            </w:tcBorders>
          </w:tcPr>
          <w:p>
            <w:pPr>
              <w:jc w:val="right"/>
              <w:ind w:right="103"/>
              <w:spacing w:after="0"/>
              <w:rPr>
                <w:sz w:val="20"/>
                <w:szCs w:val="20"/>
                <w:color w:val="auto"/>
              </w:rPr>
            </w:pPr>
            <w:r>
              <w:rPr>
                <w:rFonts w:ascii="Arial" w:cs="Arial" w:eastAsia="Arial" w:hAnsi="Arial"/>
                <w:sz w:val="16"/>
                <w:szCs w:val="16"/>
                <w:color w:val="auto"/>
              </w:rPr>
              <w:t>3,540</w:t>
            </w:r>
          </w:p>
        </w:tc>
        <w:tc>
          <w:tcPr>
            <w:tcW w:w="940" w:type="dxa"/>
            <w:vAlign w:val="bottom"/>
            <w:tcBorders>
              <w:top w:val="single" w:sz="8" w:color="auto"/>
              <w:bottom w:val="single" w:sz="8" w:color="EAEAEA"/>
            </w:tcBorders>
            <w:shd w:val="clear" w:color="auto" w:fill="EAEAEA"/>
          </w:tcPr>
          <w:p>
            <w:pPr>
              <w:jc w:val="right"/>
              <w:ind w:right="123"/>
              <w:spacing w:after="0"/>
              <w:rPr>
                <w:sz w:val="20"/>
                <w:szCs w:val="20"/>
                <w:color w:val="auto"/>
              </w:rPr>
            </w:pPr>
            <w:r>
              <w:rPr>
                <w:rFonts w:ascii="Arial" w:cs="Arial" w:eastAsia="Arial" w:hAnsi="Arial"/>
                <w:sz w:val="16"/>
                <w:szCs w:val="16"/>
                <w:color w:val="auto"/>
              </w:rPr>
              <w:t>3,540</w:t>
            </w:r>
          </w:p>
        </w:tc>
        <w:tc>
          <w:tcPr>
            <w:tcW w:w="1180" w:type="dxa"/>
            <w:vAlign w:val="bottom"/>
            <w:tcBorders>
              <w:top w:val="single" w:sz="8" w:color="auto"/>
            </w:tcBorders>
          </w:tcPr>
          <w:p>
            <w:pPr>
              <w:jc w:val="right"/>
              <w:ind w:right="103"/>
              <w:spacing w:after="0"/>
              <w:rPr>
                <w:sz w:val="20"/>
                <w:szCs w:val="20"/>
                <w:color w:val="auto"/>
              </w:rPr>
            </w:pPr>
            <w:r>
              <w:rPr>
                <w:rFonts w:ascii="Arial" w:cs="Arial" w:eastAsia="Arial" w:hAnsi="Arial"/>
                <w:sz w:val="16"/>
                <w:szCs w:val="16"/>
                <w:color w:val="auto"/>
              </w:rPr>
              <w:t>3,540</w:t>
            </w:r>
          </w:p>
        </w:tc>
        <w:tc>
          <w:tcPr>
            <w:tcW w:w="940" w:type="dxa"/>
            <w:vAlign w:val="bottom"/>
            <w:tcBorders>
              <w:top w:val="single" w:sz="8" w:color="auto"/>
              <w:bottom w:val="single" w:sz="8" w:color="EAEAEA"/>
            </w:tcBorders>
            <w:shd w:val="clear" w:color="auto" w:fill="EAEAEA"/>
          </w:tcPr>
          <w:p>
            <w:pPr>
              <w:jc w:val="right"/>
              <w:ind w:right="123"/>
              <w:spacing w:after="0"/>
              <w:rPr>
                <w:sz w:val="20"/>
                <w:szCs w:val="20"/>
                <w:color w:val="auto"/>
              </w:rPr>
            </w:pPr>
            <w:r>
              <w:rPr>
                <w:rFonts w:ascii="Arial" w:cs="Arial" w:eastAsia="Arial" w:hAnsi="Arial"/>
                <w:sz w:val="16"/>
                <w:szCs w:val="16"/>
                <w:color w:val="auto"/>
              </w:rPr>
              <w:t>2,092</w:t>
            </w:r>
          </w:p>
        </w:tc>
      </w:tr>
      <w:tr>
        <w:trPr>
          <w:trHeight w:val="20"/>
        </w:trPr>
        <w:tc>
          <w:tcPr>
            <w:tcW w:w="3280" w:type="dxa"/>
            <w:vAlign w:val="bottom"/>
            <w:shd w:val="clear" w:color="auto" w:fill="0066BA"/>
          </w:tcPr>
          <w:p>
            <w:pPr>
              <w:spacing w:after="0" w:line="20" w:lineRule="exact"/>
              <w:rPr>
                <w:sz w:val="1"/>
                <w:szCs w:val="1"/>
                <w:color w:val="auto"/>
              </w:rPr>
            </w:pPr>
          </w:p>
        </w:tc>
        <w:tc>
          <w:tcPr>
            <w:tcW w:w="1000" w:type="dxa"/>
            <w:vAlign w:val="bottom"/>
            <w:shd w:val="clear" w:color="auto" w:fill="0066BA"/>
          </w:tcPr>
          <w:p>
            <w:pPr>
              <w:spacing w:after="0" w:line="20" w:lineRule="exact"/>
              <w:rPr>
                <w:sz w:val="1"/>
                <w:szCs w:val="1"/>
                <w:color w:val="auto"/>
              </w:rPr>
            </w:pPr>
          </w:p>
        </w:tc>
        <w:tc>
          <w:tcPr>
            <w:tcW w:w="980" w:type="dxa"/>
            <w:vAlign w:val="bottom"/>
            <w:shd w:val="clear" w:color="auto" w:fill="0066BA"/>
          </w:tcPr>
          <w:p>
            <w:pPr>
              <w:spacing w:after="0" w:line="20" w:lineRule="exact"/>
              <w:rPr>
                <w:sz w:val="1"/>
                <w:szCs w:val="1"/>
                <w:color w:val="auto"/>
              </w:rPr>
            </w:pPr>
          </w:p>
        </w:tc>
        <w:tc>
          <w:tcPr>
            <w:tcW w:w="1140" w:type="dxa"/>
            <w:vAlign w:val="bottom"/>
            <w:shd w:val="clear" w:color="auto" w:fill="0066BA"/>
          </w:tcPr>
          <w:p>
            <w:pPr>
              <w:spacing w:after="0" w:line="20" w:lineRule="exact"/>
              <w:rPr>
                <w:sz w:val="1"/>
                <w:szCs w:val="1"/>
                <w:color w:val="auto"/>
              </w:rPr>
            </w:pPr>
          </w:p>
        </w:tc>
        <w:tc>
          <w:tcPr>
            <w:tcW w:w="820" w:type="dxa"/>
            <w:vAlign w:val="bottom"/>
            <w:shd w:val="clear" w:color="auto" w:fill="0066BA"/>
          </w:tcPr>
          <w:p>
            <w:pPr>
              <w:spacing w:after="0" w:line="20" w:lineRule="exact"/>
              <w:rPr>
                <w:sz w:val="1"/>
                <w:szCs w:val="1"/>
                <w:color w:val="auto"/>
              </w:rPr>
            </w:pPr>
          </w:p>
        </w:tc>
        <w:tc>
          <w:tcPr>
            <w:tcW w:w="940" w:type="dxa"/>
            <w:vAlign w:val="bottom"/>
            <w:shd w:val="clear" w:color="auto" w:fill="0066BA"/>
          </w:tcPr>
          <w:p>
            <w:pPr>
              <w:spacing w:after="0" w:line="20" w:lineRule="exact"/>
              <w:rPr>
                <w:sz w:val="1"/>
                <w:szCs w:val="1"/>
                <w:color w:val="auto"/>
              </w:rPr>
            </w:pPr>
          </w:p>
        </w:tc>
        <w:tc>
          <w:tcPr>
            <w:tcW w:w="1180" w:type="dxa"/>
            <w:vAlign w:val="bottom"/>
            <w:shd w:val="clear" w:color="auto" w:fill="0066BA"/>
          </w:tcPr>
          <w:p>
            <w:pPr>
              <w:spacing w:after="0" w:line="20" w:lineRule="exact"/>
              <w:rPr>
                <w:sz w:val="1"/>
                <w:szCs w:val="1"/>
                <w:color w:val="auto"/>
              </w:rPr>
            </w:pPr>
          </w:p>
        </w:tc>
        <w:tc>
          <w:tcPr>
            <w:tcW w:w="940" w:type="dxa"/>
            <w:vAlign w:val="bottom"/>
            <w:shd w:val="clear" w:color="auto" w:fill="0066BA"/>
          </w:tcPr>
          <w:p>
            <w:pPr>
              <w:spacing w:after="0" w:line="20" w:lineRule="exact"/>
              <w:rPr>
                <w:sz w:val="1"/>
                <w:szCs w:val="1"/>
                <w:color w:val="auto"/>
              </w:rPr>
            </w:pPr>
          </w:p>
        </w:tc>
      </w:tr>
    </w:tbl>
    <w:p>
      <w:pPr>
        <w:spacing w:after="0" w:line="53" w:lineRule="exact"/>
        <w:rPr>
          <w:sz w:val="20"/>
          <w:szCs w:val="20"/>
          <w:color w:val="auto"/>
        </w:rPr>
      </w:pPr>
    </w:p>
    <w:p>
      <w:pPr>
        <w:ind w:left="880" w:hanging="405"/>
        <w:spacing w:after="0"/>
        <w:tabs>
          <w:tab w:leader="none" w:pos="8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expiration date of each stock option award is ten years after its grant date.</w:t>
      </w:r>
    </w:p>
    <w:p>
      <w:pPr>
        <w:spacing w:after="0" w:line="77" w:lineRule="exact"/>
        <w:rPr>
          <w:rFonts w:ascii="Arial" w:cs="Arial" w:eastAsia="Arial" w:hAnsi="Arial"/>
          <w:sz w:val="17"/>
          <w:szCs w:val="17"/>
          <w:color w:val="auto"/>
        </w:rPr>
      </w:pPr>
    </w:p>
    <w:p>
      <w:pPr>
        <w:ind w:left="880" w:right="180" w:hanging="405"/>
        <w:spacing w:after="0" w:line="286" w:lineRule="auto"/>
        <w:tabs>
          <w:tab w:leader="none" w:pos="8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time-based RSUs granted in 2018, 2019, 2020, and 2021 vest in four equal installments on the first, second, third and fourth anniversaries of the grant date.</w:t>
      </w:r>
    </w:p>
    <w:p>
      <w:pPr>
        <w:spacing w:after="0" w:line="15" w:lineRule="exact"/>
        <w:rPr>
          <w:rFonts w:ascii="Arial" w:cs="Arial" w:eastAsia="Arial" w:hAnsi="Arial"/>
          <w:sz w:val="17"/>
          <w:szCs w:val="17"/>
          <w:color w:val="auto"/>
        </w:rPr>
      </w:pPr>
    </w:p>
    <w:p>
      <w:pPr>
        <w:ind w:left="880" w:right="220" w:hanging="405"/>
        <w:spacing w:after="0" w:line="286" w:lineRule="auto"/>
        <w:tabs>
          <w:tab w:leader="none" w:pos="8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market value was calculated based on $173.49, the closing price per share of our common stock on October 29, 2021, the last trading day of fiscal 2021.</w:t>
      </w:r>
    </w:p>
    <w:p>
      <w:pPr>
        <w:spacing w:after="0" w:line="15" w:lineRule="exact"/>
        <w:rPr>
          <w:rFonts w:ascii="Arial" w:cs="Arial" w:eastAsia="Arial" w:hAnsi="Arial"/>
          <w:sz w:val="17"/>
          <w:szCs w:val="17"/>
          <w:color w:val="auto"/>
        </w:rPr>
      </w:pPr>
    </w:p>
    <w:p>
      <w:pPr>
        <w:ind w:left="880" w:right="240" w:hanging="405"/>
        <w:spacing w:after="0" w:line="263" w:lineRule="auto"/>
        <w:tabs>
          <w:tab w:leader="none" w:pos="8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number of shares, if any, earned under the relative TSR PRSU awards will vest three years and fourteen days after its grant date, subject to the level of attainment of the performance parameters. The number of shares, if any, earned under the Maxim Integrated PRSU awards will vest on October 25, 2023, subject to the level of attainment of the performance parameters. The number of shares, if any, earned under financial metric PRSU awards will vest on the third anniversary of the grant date, subject to the level of attainment of the performance parameters.</w:t>
      </w:r>
    </w:p>
    <w:p>
      <w:pPr>
        <w:spacing w:after="0" w:line="34" w:lineRule="exact"/>
        <w:rPr>
          <w:rFonts w:ascii="Arial" w:cs="Arial" w:eastAsia="Arial" w:hAnsi="Arial"/>
          <w:sz w:val="17"/>
          <w:szCs w:val="17"/>
          <w:color w:val="auto"/>
        </w:rPr>
      </w:pPr>
    </w:p>
    <w:p>
      <w:pPr>
        <w:ind w:left="880" w:right="200" w:hanging="405"/>
        <w:spacing w:after="0" w:line="270" w:lineRule="auto"/>
        <w:tabs>
          <w:tab w:leader="none" w:pos="8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number of shares, if any, earned under the performance-based stock option will vest subject to the satisfaction of certain target stock price thresholds during a five-year period, measured on the basis of the average of the closing prices of the Company’s common stock over 70 consecutive trading days.</w:t>
      </w:r>
    </w:p>
    <w:p>
      <w:pPr>
        <w:spacing w:after="0" w:line="256"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33333"/>
        </w:rPr>
        <w:t>Option Exercises and Stock Vested During Fiscal 2021</w:t>
      </w:r>
    </w:p>
    <w:p>
      <w:pPr>
        <w:spacing w:after="0" w:line="125" w:lineRule="exact"/>
        <w:rPr>
          <w:sz w:val="20"/>
          <w:szCs w:val="20"/>
          <w:color w:val="auto"/>
        </w:rPr>
      </w:pPr>
    </w:p>
    <w:p>
      <w:pPr>
        <w:ind w:left="480" w:right="400"/>
        <w:spacing w:after="0" w:line="286" w:lineRule="auto"/>
        <w:rPr>
          <w:sz w:val="20"/>
          <w:szCs w:val="20"/>
          <w:color w:val="auto"/>
        </w:rPr>
      </w:pPr>
      <w:r>
        <w:rPr>
          <w:rFonts w:ascii="Arial" w:cs="Arial" w:eastAsia="Arial" w:hAnsi="Arial"/>
          <w:sz w:val="17"/>
          <w:szCs w:val="17"/>
          <w:color w:val="auto"/>
        </w:rPr>
        <w:t>The following table provides information on the aggregate value realized by each named executive officer upon the exercise of stock options and the vesting of restricted stock units/awards, time-based RSUs and PRSUs during fiscal 2021:</w:t>
      </w:r>
    </w:p>
    <w:p>
      <w:pPr>
        <w:spacing w:after="0" w:line="197" w:lineRule="exact"/>
        <w:rPr>
          <w:sz w:val="20"/>
          <w:szCs w:val="20"/>
          <w:color w:val="auto"/>
        </w:rPr>
      </w:pPr>
    </w:p>
    <w:tbl>
      <w:tblPr>
        <w:tblLayout w:type="fixed"/>
        <w:tblInd w:w="480" w:type="dxa"/>
        <w:tblCellMar>
          <w:top w:w="0" w:type="dxa"/>
          <w:left w:w="0" w:type="dxa"/>
          <w:bottom w:w="0" w:type="dxa"/>
          <w:right w:w="0" w:type="dxa"/>
        </w:tblCellMar>
      </w:tblPr>
      <w:tr>
        <w:trPr>
          <w:trHeight w:val="182"/>
        </w:trPr>
        <w:tc>
          <w:tcPr>
            <w:tcW w:w="2780" w:type="dxa"/>
            <w:vAlign w:val="bottom"/>
            <w:shd w:val="clear" w:color="auto" w:fill="0066BA"/>
          </w:tcPr>
          <w:p>
            <w:pPr>
              <w:spacing w:after="0"/>
              <w:rPr>
                <w:sz w:val="15"/>
                <w:szCs w:val="15"/>
                <w:color w:val="auto"/>
              </w:rPr>
            </w:pPr>
          </w:p>
        </w:tc>
        <w:tc>
          <w:tcPr>
            <w:tcW w:w="4100" w:type="dxa"/>
            <w:vAlign w:val="bottom"/>
            <w:gridSpan w:val="2"/>
            <w:shd w:val="clear" w:color="auto" w:fill="0066BA"/>
          </w:tcPr>
          <w:p>
            <w:pPr>
              <w:jc w:val="right"/>
              <w:ind w:right="1726"/>
              <w:spacing w:after="0"/>
              <w:rPr>
                <w:sz w:val="20"/>
                <w:szCs w:val="20"/>
                <w:color w:val="auto"/>
              </w:rPr>
            </w:pPr>
            <w:r>
              <w:rPr>
                <w:rFonts w:ascii="Arial" w:cs="Arial" w:eastAsia="Arial" w:hAnsi="Arial"/>
                <w:sz w:val="14"/>
                <w:szCs w:val="14"/>
                <w:b w:val="1"/>
                <w:bCs w:val="1"/>
                <w:color w:val="FFFFFF"/>
              </w:rPr>
              <w:t>Option Awards</w:t>
            </w:r>
          </w:p>
        </w:tc>
        <w:tc>
          <w:tcPr>
            <w:tcW w:w="3400" w:type="dxa"/>
            <w:vAlign w:val="bottom"/>
            <w:gridSpan w:val="2"/>
            <w:shd w:val="clear" w:color="auto" w:fill="0066BA"/>
          </w:tcPr>
          <w:p>
            <w:pPr>
              <w:jc w:val="right"/>
              <w:ind w:right="1066"/>
              <w:spacing w:after="0"/>
              <w:rPr>
                <w:sz w:val="20"/>
                <w:szCs w:val="20"/>
                <w:color w:val="auto"/>
              </w:rPr>
            </w:pPr>
            <w:r>
              <w:rPr>
                <w:rFonts w:ascii="Arial" w:cs="Arial" w:eastAsia="Arial" w:hAnsi="Arial"/>
                <w:sz w:val="14"/>
                <w:szCs w:val="14"/>
                <w:b w:val="1"/>
                <w:bCs w:val="1"/>
                <w:color w:val="FFFFFF"/>
              </w:rPr>
              <w:t>Stock Awards</w:t>
            </w:r>
          </w:p>
        </w:tc>
        <w:tc>
          <w:tcPr>
            <w:tcW w:w="0" w:type="dxa"/>
            <w:vAlign w:val="bottom"/>
          </w:tcPr>
          <w:p>
            <w:pPr>
              <w:spacing w:after="0"/>
              <w:rPr>
                <w:sz w:val="1"/>
                <w:szCs w:val="1"/>
                <w:color w:val="auto"/>
              </w:rPr>
            </w:pPr>
          </w:p>
        </w:tc>
      </w:tr>
      <w:tr>
        <w:trPr>
          <w:trHeight w:val="138"/>
        </w:trPr>
        <w:tc>
          <w:tcPr>
            <w:tcW w:w="2780" w:type="dxa"/>
            <w:vAlign w:val="bottom"/>
            <w:vMerge w:val="restart"/>
            <w:shd w:val="clear" w:color="auto" w:fill="0066BA"/>
          </w:tcPr>
          <w:p>
            <w:pPr>
              <w:ind w:left="60"/>
              <w:spacing w:after="0"/>
              <w:rPr>
                <w:sz w:val="20"/>
                <w:szCs w:val="20"/>
                <w:color w:val="auto"/>
              </w:rPr>
            </w:pPr>
            <w:r>
              <w:rPr>
                <w:rFonts w:ascii="Arial" w:cs="Arial" w:eastAsia="Arial" w:hAnsi="Arial"/>
                <w:sz w:val="14"/>
                <w:szCs w:val="14"/>
                <w:b w:val="1"/>
                <w:bCs w:val="1"/>
                <w:color w:val="FFFFFF"/>
              </w:rPr>
              <w:t>Grant Date</w:t>
            </w:r>
          </w:p>
        </w:tc>
        <w:tc>
          <w:tcPr>
            <w:tcW w:w="1780" w:type="dxa"/>
            <w:vAlign w:val="bottom"/>
            <w:shd w:val="clear" w:color="auto" w:fill="0066BA"/>
          </w:tcPr>
          <w:p>
            <w:pPr>
              <w:jc w:val="right"/>
              <w:ind w:right="167"/>
              <w:spacing w:after="0"/>
              <w:rPr>
                <w:sz w:val="20"/>
                <w:szCs w:val="20"/>
                <w:color w:val="auto"/>
              </w:rPr>
            </w:pPr>
            <w:r>
              <w:rPr>
                <w:rFonts w:ascii="Arial" w:cs="Arial" w:eastAsia="Arial" w:hAnsi="Arial"/>
                <w:sz w:val="12"/>
                <w:szCs w:val="12"/>
                <w:b w:val="1"/>
                <w:bCs w:val="1"/>
                <w:color w:val="FFFFFF"/>
              </w:rPr>
              <w:t>Number of Shares</w:t>
            </w:r>
          </w:p>
        </w:tc>
        <w:tc>
          <w:tcPr>
            <w:tcW w:w="2320" w:type="dxa"/>
            <w:vAlign w:val="bottom"/>
            <w:shd w:val="clear" w:color="auto" w:fill="0066BA"/>
          </w:tcPr>
          <w:p>
            <w:pPr>
              <w:jc w:val="right"/>
              <w:ind w:right="806"/>
              <w:spacing w:after="0"/>
              <w:rPr>
                <w:sz w:val="20"/>
                <w:szCs w:val="20"/>
                <w:color w:val="auto"/>
              </w:rPr>
            </w:pPr>
            <w:r>
              <w:rPr>
                <w:rFonts w:ascii="Arial" w:cs="Arial" w:eastAsia="Arial" w:hAnsi="Arial"/>
                <w:sz w:val="12"/>
                <w:szCs w:val="12"/>
                <w:b w:val="1"/>
                <w:bCs w:val="1"/>
                <w:color w:val="FFFFFF"/>
              </w:rPr>
              <w:t>Value Realized on</w:t>
            </w:r>
          </w:p>
        </w:tc>
        <w:tc>
          <w:tcPr>
            <w:tcW w:w="1720" w:type="dxa"/>
            <w:vAlign w:val="bottom"/>
            <w:shd w:val="clear" w:color="auto" w:fill="0066BA"/>
          </w:tcPr>
          <w:p>
            <w:pPr>
              <w:jc w:val="right"/>
              <w:ind w:right="167"/>
              <w:spacing w:after="0"/>
              <w:rPr>
                <w:sz w:val="20"/>
                <w:szCs w:val="20"/>
                <w:color w:val="auto"/>
              </w:rPr>
            </w:pPr>
            <w:r>
              <w:rPr>
                <w:rFonts w:ascii="Arial" w:cs="Arial" w:eastAsia="Arial" w:hAnsi="Arial"/>
                <w:sz w:val="12"/>
                <w:szCs w:val="12"/>
                <w:b w:val="1"/>
                <w:bCs w:val="1"/>
                <w:color w:val="FFFFFF"/>
              </w:rPr>
              <w:t>Number of Shares</w:t>
            </w:r>
          </w:p>
        </w:tc>
        <w:tc>
          <w:tcPr>
            <w:tcW w:w="1680" w:type="dxa"/>
            <w:vAlign w:val="bottom"/>
            <w:shd w:val="clear" w:color="auto" w:fill="0066BA"/>
          </w:tcPr>
          <w:p>
            <w:pPr>
              <w:jc w:val="right"/>
              <w:ind w:right="166"/>
              <w:spacing w:after="0"/>
              <w:rPr>
                <w:sz w:val="20"/>
                <w:szCs w:val="20"/>
                <w:color w:val="auto"/>
              </w:rPr>
            </w:pPr>
            <w:r>
              <w:rPr>
                <w:rFonts w:ascii="Arial" w:cs="Arial" w:eastAsia="Arial" w:hAnsi="Arial"/>
                <w:sz w:val="12"/>
                <w:szCs w:val="12"/>
                <w:b w:val="1"/>
                <w:bCs w:val="1"/>
                <w:color w:val="FFFFFF"/>
              </w:rPr>
              <w:t>Value Realized on</w:t>
            </w:r>
          </w:p>
        </w:tc>
        <w:tc>
          <w:tcPr>
            <w:tcW w:w="0" w:type="dxa"/>
            <w:vAlign w:val="bottom"/>
          </w:tcPr>
          <w:p>
            <w:pPr>
              <w:spacing w:after="0"/>
              <w:rPr>
                <w:sz w:val="1"/>
                <w:szCs w:val="1"/>
                <w:color w:val="auto"/>
              </w:rPr>
            </w:pPr>
          </w:p>
        </w:tc>
      </w:tr>
      <w:tr>
        <w:trPr>
          <w:trHeight w:val="148"/>
        </w:trPr>
        <w:tc>
          <w:tcPr>
            <w:tcW w:w="2780" w:type="dxa"/>
            <w:vAlign w:val="bottom"/>
            <w:vMerge w:val="continue"/>
            <w:shd w:val="clear" w:color="auto" w:fill="0066BA"/>
          </w:tcPr>
          <w:p>
            <w:pPr>
              <w:spacing w:after="0"/>
              <w:rPr>
                <w:sz w:val="12"/>
                <w:szCs w:val="12"/>
                <w:color w:val="auto"/>
              </w:rPr>
            </w:pPr>
          </w:p>
        </w:tc>
        <w:tc>
          <w:tcPr>
            <w:tcW w:w="1780" w:type="dxa"/>
            <w:vAlign w:val="bottom"/>
            <w:shd w:val="clear" w:color="auto" w:fill="0066BA"/>
          </w:tcPr>
          <w:p>
            <w:pPr>
              <w:jc w:val="right"/>
              <w:ind w:right="167"/>
              <w:spacing w:after="0"/>
              <w:rPr>
                <w:sz w:val="20"/>
                <w:szCs w:val="20"/>
                <w:color w:val="auto"/>
              </w:rPr>
            </w:pPr>
            <w:r>
              <w:rPr>
                <w:rFonts w:ascii="Arial" w:cs="Arial" w:eastAsia="Arial" w:hAnsi="Arial"/>
                <w:sz w:val="12"/>
                <w:szCs w:val="12"/>
                <w:b w:val="1"/>
                <w:bCs w:val="1"/>
                <w:color w:val="FFFFFF"/>
              </w:rPr>
              <w:t>Acquired on Exercise</w:t>
            </w:r>
          </w:p>
        </w:tc>
        <w:tc>
          <w:tcPr>
            <w:tcW w:w="2320" w:type="dxa"/>
            <w:vAlign w:val="bottom"/>
            <w:shd w:val="clear" w:color="auto" w:fill="0066BA"/>
          </w:tcPr>
          <w:p>
            <w:pPr>
              <w:jc w:val="right"/>
              <w:ind w:right="806"/>
              <w:spacing w:after="0"/>
              <w:rPr>
                <w:sz w:val="20"/>
                <w:szCs w:val="20"/>
                <w:color w:val="auto"/>
              </w:rPr>
            </w:pPr>
            <w:r>
              <w:rPr>
                <w:rFonts w:ascii="Arial" w:cs="Arial" w:eastAsia="Arial" w:hAnsi="Arial"/>
                <w:sz w:val="12"/>
                <w:szCs w:val="12"/>
                <w:b w:val="1"/>
                <w:bCs w:val="1"/>
                <w:color w:val="FFFFFF"/>
              </w:rPr>
              <w:t>Exercise ($) (1)</w:t>
            </w:r>
          </w:p>
        </w:tc>
        <w:tc>
          <w:tcPr>
            <w:tcW w:w="1720" w:type="dxa"/>
            <w:vAlign w:val="bottom"/>
            <w:shd w:val="clear" w:color="auto" w:fill="0066BA"/>
          </w:tcPr>
          <w:p>
            <w:pPr>
              <w:jc w:val="right"/>
              <w:ind w:right="167"/>
              <w:spacing w:after="0"/>
              <w:rPr>
                <w:sz w:val="20"/>
                <w:szCs w:val="20"/>
                <w:color w:val="auto"/>
              </w:rPr>
            </w:pPr>
            <w:r>
              <w:rPr>
                <w:rFonts w:ascii="Arial" w:cs="Arial" w:eastAsia="Arial" w:hAnsi="Arial"/>
                <w:sz w:val="12"/>
                <w:szCs w:val="12"/>
                <w:b w:val="1"/>
                <w:bCs w:val="1"/>
                <w:color w:val="FFFFFF"/>
              </w:rPr>
              <w:t>Acquired on Vesting</w:t>
            </w:r>
          </w:p>
        </w:tc>
        <w:tc>
          <w:tcPr>
            <w:tcW w:w="1680" w:type="dxa"/>
            <w:vAlign w:val="bottom"/>
            <w:shd w:val="clear" w:color="auto" w:fill="0066BA"/>
          </w:tcPr>
          <w:p>
            <w:pPr>
              <w:jc w:val="right"/>
              <w:ind w:right="166"/>
              <w:spacing w:after="0"/>
              <w:rPr>
                <w:sz w:val="20"/>
                <w:szCs w:val="20"/>
                <w:color w:val="auto"/>
              </w:rPr>
            </w:pPr>
            <w:r>
              <w:rPr>
                <w:rFonts w:ascii="Arial" w:cs="Arial" w:eastAsia="Arial" w:hAnsi="Arial"/>
                <w:sz w:val="12"/>
                <w:szCs w:val="12"/>
                <w:b w:val="1"/>
                <w:bCs w:val="1"/>
                <w:color w:val="FFFFFF"/>
              </w:rPr>
              <w:t>Vesting ($) (2)</w:t>
            </w:r>
          </w:p>
        </w:tc>
        <w:tc>
          <w:tcPr>
            <w:tcW w:w="0" w:type="dxa"/>
            <w:vAlign w:val="bottom"/>
          </w:tcPr>
          <w:p>
            <w:pPr>
              <w:spacing w:after="0"/>
              <w:rPr>
                <w:sz w:val="1"/>
                <w:szCs w:val="1"/>
                <w:color w:val="auto"/>
              </w:rPr>
            </w:pPr>
          </w:p>
        </w:tc>
      </w:tr>
      <w:tr>
        <w:trPr>
          <w:trHeight w:val="260"/>
        </w:trPr>
        <w:tc>
          <w:tcPr>
            <w:tcW w:w="2780" w:type="dxa"/>
            <w:vAlign w:val="bottom"/>
          </w:tcPr>
          <w:p>
            <w:pPr>
              <w:ind w:left="60"/>
              <w:spacing w:after="0"/>
              <w:rPr>
                <w:sz w:val="20"/>
                <w:szCs w:val="20"/>
                <w:color w:val="auto"/>
              </w:rPr>
            </w:pPr>
            <w:r>
              <w:rPr>
                <w:rFonts w:ascii="Arial" w:cs="Arial" w:eastAsia="Arial" w:hAnsi="Arial"/>
                <w:sz w:val="16"/>
                <w:szCs w:val="16"/>
                <w:b w:val="1"/>
                <w:bCs w:val="1"/>
                <w:color w:val="0066BA"/>
              </w:rPr>
              <w:t>Vincent Roche</w:t>
            </w:r>
          </w:p>
        </w:tc>
        <w:tc>
          <w:tcPr>
            <w:tcW w:w="1780" w:type="dxa"/>
            <w:vAlign w:val="bottom"/>
            <w:tcBorders>
              <w:bottom w:val="single" w:sz="8" w:color="EAEAEA"/>
            </w:tcBorders>
            <w:shd w:val="clear" w:color="auto" w:fill="EAEAEA"/>
          </w:tcPr>
          <w:p>
            <w:pPr>
              <w:jc w:val="right"/>
              <w:ind w:right="167"/>
              <w:spacing w:after="0"/>
              <w:rPr>
                <w:sz w:val="20"/>
                <w:szCs w:val="20"/>
                <w:color w:val="auto"/>
              </w:rPr>
            </w:pPr>
            <w:r>
              <w:rPr>
                <w:rFonts w:ascii="Arial" w:cs="Arial" w:eastAsia="Arial" w:hAnsi="Arial"/>
                <w:sz w:val="16"/>
                <w:szCs w:val="16"/>
                <w:color w:val="auto"/>
              </w:rPr>
              <w:t>90,000</w:t>
            </w:r>
          </w:p>
        </w:tc>
        <w:tc>
          <w:tcPr>
            <w:tcW w:w="2320" w:type="dxa"/>
            <w:vAlign w:val="bottom"/>
          </w:tcPr>
          <w:p>
            <w:pPr>
              <w:jc w:val="right"/>
              <w:ind w:right="806"/>
              <w:spacing w:after="0"/>
              <w:rPr>
                <w:sz w:val="20"/>
                <w:szCs w:val="20"/>
                <w:color w:val="auto"/>
              </w:rPr>
            </w:pPr>
            <w:r>
              <w:rPr>
                <w:rFonts w:ascii="Arial" w:cs="Arial" w:eastAsia="Arial" w:hAnsi="Arial"/>
                <w:sz w:val="16"/>
                <w:szCs w:val="16"/>
                <w:color w:val="auto"/>
              </w:rPr>
              <w:t>9,595,232</w:t>
            </w:r>
          </w:p>
        </w:tc>
        <w:tc>
          <w:tcPr>
            <w:tcW w:w="1720" w:type="dxa"/>
            <w:vAlign w:val="bottom"/>
            <w:tcBorders>
              <w:bottom w:val="single" w:sz="8" w:color="EAEAEA"/>
            </w:tcBorders>
            <w:shd w:val="clear" w:color="auto" w:fill="EAEAEA"/>
          </w:tcPr>
          <w:p>
            <w:pPr>
              <w:jc w:val="right"/>
              <w:ind w:right="167"/>
              <w:spacing w:after="0"/>
              <w:rPr>
                <w:sz w:val="20"/>
                <w:szCs w:val="20"/>
                <w:color w:val="auto"/>
              </w:rPr>
            </w:pPr>
            <w:r>
              <w:rPr>
                <w:rFonts w:ascii="Arial" w:cs="Arial" w:eastAsia="Arial" w:hAnsi="Arial"/>
                <w:sz w:val="16"/>
                <w:szCs w:val="16"/>
                <w:color w:val="auto"/>
              </w:rPr>
              <w:t>19,124</w:t>
            </w:r>
          </w:p>
        </w:tc>
        <w:tc>
          <w:tcPr>
            <w:tcW w:w="1680" w:type="dxa"/>
            <w:vAlign w:val="bottom"/>
          </w:tcPr>
          <w:p>
            <w:pPr>
              <w:jc w:val="right"/>
              <w:ind w:right="166"/>
              <w:spacing w:after="0"/>
              <w:rPr>
                <w:sz w:val="20"/>
                <w:szCs w:val="20"/>
                <w:color w:val="auto"/>
              </w:rPr>
            </w:pPr>
            <w:r>
              <w:rPr>
                <w:rFonts w:ascii="Arial" w:cs="Arial" w:eastAsia="Arial" w:hAnsi="Arial"/>
                <w:sz w:val="16"/>
                <w:szCs w:val="16"/>
                <w:color w:val="auto"/>
              </w:rPr>
              <w:t>2,906,508</w:t>
            </w:r>
          </w:p>
        </w:tc>
        <w:tc>
          <w:tcPr>
            <w:tcW w:w="0" w:type="dxa"/>
            <w:vAlign w:val="bottom"/>
          </w:tcPr>
          <w:p>
            <w:pPr>
              <w:spacing w:after="0"/>
              <w:rPr>
                <w:sz w:val="1"/>
                <w:szCs w:val="1"/>
                <w:color w:val="auto"/>
              </w:rPr>
            </w:pPr>
          </w:p>
        </w:tc>
      </w:tr>
      <w:tr>
        <w:trPr>
          <w:trHeight w:val="253"/>
        </w:trPr>
        <w:tc>
          <w:tcPr>
            <w:tcW w:w="278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0066BA"/>
              </w:rPr>
              <w:t>Prashanth Mahendra-Rajah</w:t>
            </w:r>
          </w:p>
        </w:tc>
        <w:tc>
          <w:tcPr>
            <w:tcW w:w="1780" w:type="dxa"/>
            <w:vAlign w:val="bottom"/>
            <w:tcBorders>
              <w:top w:val="single" w:sz="8" w:color="auto"/>
              <w:bottom w:val="single" w:sz="8" w:color="EAEAEA"/>
            </w:tcBorders>
            <w:shd w:val="clear" w:color="auto" w:fill="EAEAEA"/>
          </w:tcPr>
          <w:p>
            <w:pPr>
              <w:jc w:val="right"/>
              <w:ind w:right="167"/>
              <w:spacing w:after="0"/>
              <w:rPr>
                <w:sz w:val="20"/>
                <w:szCs w:val="20"/>
                <w:color w:val="auto"/>
              </w:rPr>
            </w:pPr>
            <w:r>
              <w:rPr>
                <w:rFonts w:ascii="Arial" w:cs="Arial" w:eastAsia="Arial" w:hAnsi="Arial"/>
                <w:sz w:val="16"/>
                <w:szCs w:val="16"/>
                <w:color w:val="auto"/>
              </w:rPr>
              <w:t>21,950</w:t>
            </w:r>
          </w:p>
        </w:tc>
        <w:tc>
          <w:tcPr>
            <w:tcW w:w="2320" w:type="dxa"/>
            <w:vAlign w:val="bottom"/>
            <w:tcBorders>
              <w:top w:val="single" w:sz="8" w:color="auto"/>
            </w:tcBorders>
          </w:tcPr>
          <w:p>
            <w:pPr>
              <w:jc w:val="right"/>
              <w:ind w:right="806"/>
              <w:spacing w:after="0"/>
              <w:rPr>
                <w:sz w:val="20"/>
                <w:szCs w:val="20"/>
                <w:color w:val="auto"/>
              </w:rPr>
            </w:pPr>
            <w:r>
              <w:rPr>
                <w:rFonts w:ascii="Arial" w:cs="Arial" w:eastAsia="Arial" w:hAnsi="Arial"/>
                <w:sz w:val="16"/>
                <w:szCs w:val="16"/>
                <w:color w:val="auto"/>
              </w:rPr>
              <w:t>1,447,604</w:t>
            </w:r>
          </w:p>
        </w:tc>
        <w:tc>
          <w:tcPr>
            <w:tcW w:w="1720" w:type="dxa"/>
            <w:vAlign w:val="bottom"/>
            <w:tcBorders>
              <w:top w:val="single" w:sz="8" w:color="auto"/>
              <w:bottom w:val="single" w:sz="8" w:color="EAEAEA"/>
            </w:tcBorders>
            <w:shd w:val="clear" w:color="auto" w:fill="EAEAEA"/>
          </w:tcPr>
          <w:p>
            <w:pPr>
              <w:jc w:val="right"/>
              <w:ind w:right="167"/>
              <w:spacing w:after="0"/>
              <w:rPr>
                <w:sz w:val="20"/>
                <w:szCs w:val="20"/>
                <w:color w:val="auto"/>
              </w:rPr>
            </w:pPr>
            <w:r>
              <w:rPr>
                <w:rFonts w:ascii="Arial" w:cs="Arial" w:eastAsia="Arial" w:hAnsi="Arial"/>
                <w:sz w:val="16"/>
                <w:szCs w:val="16"/>
                <w:color w:val="auto"/>
              </w:rPr>
              <w:t>5,348</w:t>
            </w:r>
          </w:p>
        </w:tc>
        <w:tc>
          <w:tcPr>
            <w:tcW w:w="1680" w:type="dxa"/>
            <w:vAlign w:val="bottom"/>
            <w:tcBorders>
              <w:top w:val="single" w:sz="8" w:color="auto"/>
            </w:tcBorders>
          </w:tcPr>
          <w:p>
            <w:pPr>
              <w:jc w:val="right"/>
              <w:ind w:right="166"/>
              <w:spacing w:after="0"/>
              <w:rPr>
                <w:sz w:val="20"/>
                <w:szCs w:val="20"/>
                <w:color w:val="auto"/>
              </w:rPr>
            </w:pPr>
            <w:r>
              <w:rPr>
                <w:rFonts w:ascii="Arial" w:cs="Arial" w:eastAsia="Arial" w:hAnsi="Arial"/>
                <w:sz w:val="16"/>
                <w:szCs w:val="16"/>
                <w:color w:val="auto"/>
              </w:rPr>
              <w:t>813,453</w:t>
            </w:r>
          </w:p>
        </w:tc>
        <w:tc>
          <w:tcPr>
            <w:tcW w:w="0" w:type="dxa"/>
            <w:vAlign w:val="bottom"/>
          </w:tcPr>
          <w:p>
            <w:pPr>
              <w:spacing w:after="0"/>
              <w:rPr>
                <w:sz w:val="1"/>
                <w:szCs w:val="1"/>
                <w:color w:val="auto"/>
              </w:rPr>
            </w:pPr>
          </w:p>
        </w:tc>
      </w:tr>
      <w:tr>
        <w:trPr>
          <w:trHeight w:val="253"/>
        </w:trPr>
        <w:tc>
          <w:tcPr>
            <w:tcW w:w="278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0066BA"/>
              </w:rPr>
              <w:t>Martin Cotter</w:t>
            </w:r>
          </w:p>
        </w:tc>
        <w:tc>
          <w:tcPr>
            <w:tcW w:w="1780" w:type="dxa"/>
            <w:vAlign w:val="bottom"/>
            <w:tcBorders>
              <w:top w:val="single" w:sz="8" w:color="auto"/>
              <w:bottom w:val="single" w:sz="8" w:color="EAEAEA"/>
            </w:tcBorders>
            <w:shd w:val="clear" w:color="auto" w:fill="EAEAEA"/>
          </w:tcPr>
          <w:p>
            <w:pPr>
              <w:jc w:val="right"/>
              <w:ind w:right="167"/>
              <w:spacing w:after="0"/>
              <w:rPr>
                <w:sz w:val="20"/>
                <w:szCs w:val="20"/>
                <w:color w:val="auto"/>
              </w:rPr>
            </w:pPr>
            <w:r>
              <w:rPr>
                <w:rFonts w:ascii="Arial" w:cs="Arial" w:eastAsia="Arial" w:hAnsi="Arial"/>
                <w:sz w:val="16"/>
                <w:szCs w:val="16"/>
                <w:color w:val="auto"/>
              </w:rPr>
              <w:t>10,000</w:t>
            </w:r>
          </w:p>
        </w:tc>
        <w:tc>
          <w:tcPr>
            <w:tcW w:w="2320" w:type="dxa"/>
            <w:vAlign w:val="bottom"/>
            <w:tcBorders>
              <w:top w:val="single" w:sz="8" w:color="auto"/>
            </w:tcBorders>
          </w:tcPr>
          <w:p>
            <w:pPr>
              <w:jc w:val="right"/>
              <w:ind w:right="806"/>
              <w:spacing w:after="0"/>
              <w:rPr>
                <w:sz w:val="20"/>
                <w:szCs w:val="20"/>
                <w:color w:val="auto"/>
              </w:rPr>
            </w:pPr>
            <w:r>
              <w:rPr>
                <w:rFonts w:ascii="Arial" w:cs="Arial" w:eastAsia="Arial" w:hAnsi="Arial"/>
                <w:sz w:val="16"/>
                <w:szCs w:val="16"/>
                <w:color w:val="auto"/>
              </w:rPr>
              <w:t>835,500</w:t>
            </w:r>
          </w:p>
        </w:tc>
        <w:tc>
          <w:tcPr>
            <w:tcW w:w="1720" w:type="dxa"/>
            <w:vAlign w:val="bottom"/>
            <w:tcBorders>
              <w:top w:val="single" w:sz="8" w:color="auto"/>
              <w:bottom w:val="single" w:sz="8" w:color="EAEAEA"/>
            </w:tcBorders>
            <w:shd w:val="clear" w:color="auto" w:fill="EAEAEA"/>
          </w:tcPr>
          <w:p>
            <w:pPr>
              <w:jc w:val="right"/>
              <w:ind w:right="167"/>
              <w:spacing w:after="0"/>
              <w:rPr>
                <w:sz w:val="20"/>
                <w:szCs w:val="20"/>
                <w:color w:val="auto"/>
              </w:rPr>
            </w:pPr>
            <w:r>
              <w:rPr>
                <w:rFonts w:ascii="Arial" w:cs="Arial" w:eastAsia="Arial" w:hAnsi="Arial"/>
                <w:sz w:val="16"/>
                <w:szCs w:val="16"/>
                <w:color w:val="auto"/>
              </w:rPr>
              <w:t>4,286</w:t>
            </w:r>
          </w:p>
        </w:tc>
        <w:tc>
          <w:tcPr>
            <w:tcW w:w="1680" w:type="dxa"/>
            <w:vAlign w:val="bottom"/>
            <w:tcBorders>
              <w:top w:val="single" w:sz="8" w:color="auto"/>
            </w:tcBorders>
          </w:tcPr>
          <w:p>
            <w:pPr>
              <w:jc w:val="right"/>
              <w:ind w:right="166"/>
              <w:spacing w:after="0"/>
              <w:rPr>
                <w:sz w:val="20"/>
                <w:szCs w:val="20"/>
                <w:color w:val="auto"/>
              </w:rPr>
            </w:pPr>
            <w:r>
              <w:rPr>
                <w:rFonts w:ascii="Arial" w:cs="Arial" w:eastAsia="Arial" w:hAnsi="Arial"/>
                <w:sz w:val="16"/>
                <w:szCs w:val="16"/>
                <w:color w:val="auto"/>
              </w:rPr>
              <w:t>667,768</w:t>
            </w:r>
          </w:p>
        </w:tc>
        <w:tc>
          <w:tcPr>
            <w:tcW w:w="0" w:type="dxa"/>
            <w:vAlign w:val="bottom"/>
          </w:tcPr>
          <w:p>
            <w:pPr>
              <w:spacing w:after="0"/>
              <w:rPr>
                <w:sz w:val="1"/>
                <w:szCs w:val="1"/>
                <w:color w:val="auto"/>
              </w:rPr>
            </w:pPr>
          </w:p>
        </w:tc>
      </w:tr>
      <w:tr>
        <w:trPr>
          <w:trHeight w:val="253"/>
        </w:trPr>
        <w:tc>
          <w:tcPr>
            <w:tcW w:w="278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0066BA"/>
              </w:rPr>
              <w:t>John Hassett</w:t>
            </w:r>
          </w:p>
        </w:tc>
        <w:tc>
          <w:tcPr>
            <w:tcW w:w="1780" w:type="dxa"/>
            <w:vAlign w:val="bottom"/>
            <w:tcBorders>
              <w:top w:val="single" w:sz="8" w:color="auto"/>
              <w:bottom w:val="single" w:sz="8" w:color="EAEAEA"/>
            </w:tcBorders>
            <w:shd w:val="clear" w:color="auto" w:fill="EAEAEA"/>
          </w:tcPr>
          <w:p>
            <w:pPr>
              <w:jc w:val="right"/>
              <w:ind w:right="167"/>
              <w:spacing w:after="0"/>
              <w:rPr>
                <w:sz w:val="20"/>
                <w:szCs w:val="20"/>
                <w:color w:val="auto"/>
              </w:rPr>
            </w:pPr>
            <w:r>
              <w:rPr>
                <w:rFonts w:ascii="Arial" w:cs="Arial" w:eastAsia="Arial" w:hAnsi="Arial"/>
                <w:sz w:val="16"/>
                <w:szCs w:val="16"/>
                <w:color w:val="auto"/>
              </w:rPr>
              <w:t>9,074</w:t>
            </w:r>
          </w:p>
        </w:tc>
        <w:tc>
          <w:tcPr>
            <w:tcW w:w="2320" w:type="dxa"/>
            <w:vAlign w:val="bottom"/>
            <w:tcBorders>
              <w:top w:val="single" w:sz="8" w:color="auto"/>
            </w:tcBorders>
          </w:tcPr>
          <w:p>
            <w:pPr>
              <w:jc w:val="right"/>
              <w:ind w:right="806"/>
              <w:spacing w:after="0"/>
              <w:rPr>
                <w:sz w:val="20"/>
                <w:szCs w:val="20"/>
                <w:color w:val="auto"/>
              </w:rPr>
            </w:pPr>
            <w:r>
              <w:rPr>
                <w:rFonts w:ascii="Arial" w:cs="Arial" w:eastAsia="Arial" w:hAnsi="Arial"/>
                <w:sz w:val="16"/>
                <w:szCs w:val="16"/>
                <w:color w:val="auto"/>
              </w:rPr>
              <w:t>664,741</w:t>
            </w:r>
          </w:p>
        </w:tc>
        <w:tc>
          <w:tcPr>
            <w:tcW w:w="1720" w:type="dxa"/>
            <w:vAlign w:val="bottom"/>
            <w:tcBorders>
              <w:top w:val="single" w:sz="8" w:color="auto"/>
              <w:bottom w:val="single" w:sz="8" w:color="EAEAEA"/>
            </w:tcBorders>
            <w:shd w:val="clear" w:color="auto" w:fill="EAEAEA"/>
          </w:tcPr>
          <w:p>
            <w:pPr>
              <w:jc w:val="right"/>
              <w:ind w:right="167"/>
              <w:spacing w:after="0"/>
              <w:rPr>
                <w:sz w:val="20"/>
                <w:szCs w:val="20"/>
                <w:color w:val="auto"/>
              </w:rPr>
            </w:pPr>
            <w:r>
              <w:rPr>
                <w:rFonts w:ascii="Arial" w:cs="Arial" w:eastAsia="Arial" w:hAnsi="Arial"/>
                <w:sz w:val="16"/>
                <w:szCs w:val="16"/>
                <w:color w:val="auto"/>
              </w:rPr>
              <w:t>4,286</w:t>
            </w:r>
          </w:p>
        </w:tc>
        <w:tc>
          <w:tcPr>
            <w:tcW w:w="1680" w:type="dxa"/>
            <w:vAlign w:val="bottom"/>
            <w:tcBorders>
              <w:top w:val="single" w:sz="8" w:color="auto"/>
            </w:tcBorders>
          </w:tcPr>
          <w:p>
            <w:pPr>
              <w:jc w:val="right"/>
              <w:ind w:right="166"/>
              <w:spacing w:after="0"/>
              <w:rPr>
                <w:sz w:val="20"/>
                <w:szCs w:val="20"/>
                <w:color w:val="auto"/>
              </w:rPr>
            </w:pPr>
            <w:r>
              <w:rPr>
                <w:rFonts w:ascii="Arial" w:cs="Arial" w:eastAsia="Arial" w:hAnsi="Arial"/>
                <w:sz w:val="16"/>
                <w:szCs w:val="16"/>
                <w:color w:val="auto"/>
              </w:rPr>
              <w:t>667,768</w:t>
            </w:r>
          </w:p>
        </w:tc>
        <w:tc>
          <w:tcPr>
            <w:tcW w:w="0" w:type="dxa"/>
            <w:vAlign w:val="bottom"/>
          </w:tcPr>
          <w:p>
            <w:pPr>
              <w:spacing w:after="0"/>
              <w:rPr>
                <w:sz w:val="1"/>
                <w:szCs w:val="1"/>
                <w:color w:val="auto"/>
              </w:rPr>
            </w:pPr>
          </w:p>
        </w:tc>
      </w:tr>
      <w:tr>
        <w:trPr>
          <w:trHeight w:val="253"/>
        </w:trPr>
        <w:tc>
          <w:tcPr>
            <w:tcW w:w="278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0066BA"/>
              </w:rPr>
              <w:t>Gregory Henderson</w:t>
            </w:r>
          </w:p>
        </w:tc>
        <w:tc>
          <w:tcPr>
            <w:tcW w:w="1780" w:type="dxa"/>
            <w:vAlign w:val="bottom"/>
            <w:tcBorders>
              <w:top w:val="single" w:sz="8" w:color="auto"/>
              <w:bottom w:val="single" w:sz="8" w:color="EAEAEA"/>
            </w:tcBorders>
            <w:shd w:val="clear" w:color="auto" w:fill="EAEAEA"/>
          </w:tcPr>
          <w:p>
            <w:pPr>
              <w:jc w:val="right"/>
              <w:ind w:right="167"/>
              <w:spacing w:after="0"/>
              <w:rPr>
                <w:sz w:val="20"/>
                <w:szCs w:val="20"/>
                <w:color w:val="auto"/>
              </w:rPr>
            </w:pPr>
            <w:r>
              <w:rPr>
                <w:rFonts w:ascii="Arial" w:cs="Arial" w:eastAsia="Arial" w:hAnsi="Arial"/>
                <w:sz w:val="16"/>
                <w:szCs w:val="16"/>
                <w:color w:val="auto"/>
              </w:rPr>
              <w:t>54,374</w:t>
            </w:r>
          </w:p>
        </w:tc>
        <w:tc>
          <w:tcPr>
            <w:tcW w:w="2320" w:type="dxa"/>
            <w:vAlign w:val="bottom"/>
            <w:tcBorders>
              <w:top w:val="single" w:sz="8" w:color="auto"/>
            </w:tcBorders>
          </w:tcPr>
          <w:p>
            <w:pPr>
              <w:jc w:val="right"/>
              <w:ind w:right="806"/>
              <w:spacing w:after="0"/>
              <w:rPr>
                <w:sz w:val="20"/>
                <w:szCs w:val="20"/>
                <w:color w:val="auto"/>
              </w:rPr>
            </w:pPr>
            <w:r>
              <w:rPr>
                <w:rFonts w:ascii="Arial" w:cs="Arial" w:eastAsia="Arial" w:hAnsi="Arial"/>
                <w:sz w:val="16"/>
                <w:szCs w:val="16"/>
                <w:color w:val="auto"/>
              </w:rPr>
              <w:t>3,579,187</w:t>
            </w:r>
          </w:p>
        </w:tc>
        <w:tc>
          <w:tcPr>
            <w:tcW w:w="1720" w:type="dxa"/>
            <w:vAlign w:val="bottom"/>
            <w:tcBorders>
              <w:top w:val="single" w:sz="8" w:color="auto"/>
              <w:bottom w:val="single" w:sz="8" w:color="EAEAEA"/>
            </w:tcBorders>
            <w:shd w:val="clear" w:color="auto" w:fill="EAEAEA"/>
          </w:tcPr>
          <w:p>
            <w:pPr>
              <w:jc w:val="right"/>
              <w:ind w:right="167"/>
              <w:spacing w:after="0"/>
              <w:rPr>
                <w:sz w:val="20"/>
                <w:szCs w:val="20"/>
                <w:color w:val="auto"/>
              </w:rPr>
            </w:pPr>
            <w:r>
              <w:rPr>
                <w:rFonts w:ascii="Arial" w:cs="Arial" w:eastAsia="Arial" w:hAnsi="Arial"/>
                <w:sz w:val="16"/>
                <w:szCs w:val="16"/>
                <w:color w:val="auto"/>
              </w:rPr>
              <w:t>3,641</w:t>
            </w:r>
          </w:p>
        </w:tc>
        <w:tc>
          <w:tcPr>
            <w:tcW w:w="1680" w:type="dxa"/>
            <w:vAlign w:val="bottom"/>
            <w:tcBorders>
              <w:top w:val="single" w:sz="8" w:color="auto"/>
            </w:tcBorders>
          </w:tcPr>
          <w:p>
            <w:pPr>
              <w:jc w:val="right"/>
              <w:ind w:right="166"/>
              <w:spacing w:after="0"/>
              <w:rPr>
                <w:sz w:val="20"/>
                <w:szCs w:val="20"/>
                <w:color w:val="auto"/>
              </w:rPr>
            </w:pPr>
            <w:r>
              <w:rPr>
                <w:rFonts w:ascii="Arial" w:cs="Arial" w:eastAsia="Arial" w:hAnsi="Arial"/>
                <w:sz w:val="16"/>
                <w:szCs w:val="16"/>
                <w:color w:val="auto"/>
              </w:rPr>
              <w:t>553,815</w:t>
            </w:r>
          </w:p>
        </w:tc>
        <w:tc>
          <w:tcPr>
            <w:tcW w:w="0" w:type="dxa"/>
            <w:vAlign w:val="bottom"/>
          </w:tcPr>
          <w:p>
            <w:pPr>
              <w:spacing w:after="0"/>
              <w:rPr>
                <w:sz w:val="1"/>
                <w:szCs w:val="1"/>
                <w:color w:val="auto"/>
              </w:rPr>
            </w:pPr>
          </w:p>
        </w:tc>
      </w:tr>
      <w:tr>
        <w:trPr>
          <w:trHeight w:val="233"/>
        </w:trPr>
        <w:tc>
          <w:tcPr>
            <w:tcW w:w="278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0066BA"/>
              </w:rPr>
              <w:t>Anelise Sacks</w:t>
            </w:r>
          </w:p>
        </w:tc>
        <w:tc>
          <w:tcPr>
            <w:tcW w:w="1780" w:type="dxa"/>
            <w:vAlign w:val="bottom"/>
            <w:tcBorders>
              <w:top w:val="single" w:sz="8" w:color="auto"/>
              <w:bottom w:val="single" w:sz="8" w:color="EAEAEA"/>
            </w:tcBorders>
            <w:shd w:val="clear" w:color="auto" w:fill="EAEAEA"/>
          </w:tcPr>
          <w:p>
            <w:pPr>
              <w:jc w:val="right"/>
              <w:ind w:right="167"/>
              <w:spacing w:after="0"/>
              <w:rPr>
                <w:sz w:val="20"/>
                <w:szCs w:val="20"/>
                <w:color w:val="auto"/>
              </w:rPr>
            </w:pPr>
            <w:r>
              <w:rPr>
                <w:rFonts w:ascii="Arial" w:cs="Arial" w:eastAsia="Arial" w:hAnsi="Arial"/>
                <w:sz w:val="16"/>
                <w:szCs w:val="16"/>
                <w:color w:val="auto"/>
              </w:rPr>
              <w:t>—</w:t>
            </w:r>
          </w:p>
        </w:tc>
        <w:tc>
          <w:tcPr>
            <w:tcW w:w="2320" w:type="dxa"/>
            <w:vAlign w:val="bottom"/>
            <w:tcBorders>
              <w:top w:val="single" w:sz="8" w:color="auto"/>
            </w:tcBorders>
          </w:tcPr>
          <w:p>
            <w:pPr>
              <w:jc w:val="right"/>
              <w:ind w:right="806"/>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bottom w:val="single" w:sz="8" w:color="EAEAEA"/>
            </w:tcBorders>
            <w:shd w:val="clear" w:color="auto" w:fill="EAEAEA"/>
          </w:tcPr>
          <w:p>
            <w:pPr>
              <w:jc w:val="right"/>
              <w:ind w:right="167"/>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tcBorders>
          </w:tcPr>
          <w:p>
            <w:pPr>
              <w:jc w:val="right"/>
              <w:ind w:right="1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780" w:type="dxa"/>
            <w:vAlign w:val="bottom"/>
            <w:shd w:val="clear" w:color="auto" w:fill="0066BA"/>
          </w:tcPr>
          <w:p>
            <w:pPr>
              <w:spacing w:after="0" w:line="20" w:lineRule="exact"/>
              <w:rPr>
                <w:sz w:val="1"/>
                <w:szCs w:val="1"/>
                <w:color w:val="auto"/>
              </w:rPr>
            </w:pPr>
          </w:p>
        </w:tc>
        <w:tc>
          <w:tcPr>
            <w:tcW w:w="1780" w:type="dxa"/>
            <w:vAlign w:val="bottom"/>
            <w:shd w:val="clear" w:color="auto" w:fill="0066BA"/>
          </w:tcPr>
          <w:p>
            <w:pPr>
              <w:spacing w:after="0" w:line="20" w:lineRule="exact"/>
              <w:rPr>
                <w:sz w:val="1"/>
                <w:szCs w:val="1"/>
                <w:color w:val="auto"/>
              </w:rPr>
            </w:pPr>
          </w:p>
        </w:tc>
        <w:tc>
          <w:tcPr>
            <w:tcW w:w="2320" w:type="dxa"/>
            <w:vAlign w:val="bottom"/>
            <w:shd w:val="clear" w:color="auto" w:fill="0066BA"/>
          </w:tcPr>
          <w:p>
            <w:pPr>
              <w:spacing w:after="0" w:line="20" w:lineRule="exact"/>
              <w:rPr>
                <w:sz w:val="1"/>
                <w:szCs w:val="1"/>
                <w:color w:val="auto"/>
              </w:rPr>
            </w:pPr>
          </w:p>
        </w:tc>
        <w:tc>
          <w:tcPr>
            <w:tcW w:w="1720" w:type="dxa"/>
            <w:vAlign w:val="bottom"/>
            <w:shd w:val="clear" w:color="auto" w:fill="0066BA"/>
          </w:tcPr>
          <w:p>
            <w:pPr>
              <w:spacing w:after="0" w:line="20" w:lineRule="exact"/>
              <w:rPr>
                <w:sz w:val="1"/>
                <w:szCs w:val="1"/>
                <w:color w:val="auto"/>
              </w:rPr>
            </w:pPr>
          </w:p>
        </w:tc>
        <w:tc>
          <w:tcPr>
            <w:tcW w:w="1680" w:type="dxa"/>
            <w:vAlign w:val="bottom"/>
            <w:shd w:val="clear" w:color="auto" w:fill="0066B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880" w:right="560" w:hanging="405"/>
        <w:spacing w:after="0" w:line="286" w:lineRule="auto"/>
        <w:tabs>
          <w:tab w:leader="none" w:pos="8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Value realized represents the difference between the closing price per share of our common stock on the date of exercise and the exercise price per share, multiplied by the number of shares acquired on exercise.</w:t>
      </w:r>
    </w:p>
    <w:p>
      <w:pPr>
        <w:sectPr>
          <w:pgSz w:w="11900" w:h="16838" w:orient="portrait"/>
          <w:cols w:equalWidth="0" w:num="1">
            <w:col w:w="10940"/>
          </w:cols>
          <w:pgMar w:left="320" w:top="447" w:right="6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10760"/>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0940"/>
          </w:cols>
          <w:pgMar w:left="320" w:top="447" w:right="639" w:bottom="1440" w:gutter="0" w:footer="0" w:header="0"/>
          <w:type w:val="continuous"/>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880" w:hanging="405"/>
        <w:spacing w:after="0"/>
        <w:tabs>
          <w:tab w:leader="none" w:pos="8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Value realized represents the closing price per share of our common stock on the vesting date, multiplied by the number of shares vested.</w:t>
      </w:r>
    </w:p>
    <w:p>
      <w:pPr>
        <w:spacing w:after="0" w:line="315"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33333"/>
        </w:rPr>
        <w:t>Non-Qualified Deferred Compensation Plan</w:t>
      </w:r>
    </w:p>
    <w:p>
      <w:pPr>
        <w:spacing w:after="0" w:line="229" w:lineRule="exact"/>
        <w:rPr>
          <w:sz w:val="20"/>
          <w:szCs w:val="20"/>
          <w:color w:val="auto"/>
        </w:rPr>
      </w:pPr>
    </w:p>
    <w:p>
      <w:pPr>
        <w:ind w:left="480" w:right="60"/>
        <w:spacing w:after="0" w:line="265" w:lineRule="auto"/>
        <w:rPr>
          <w:sz w:val="20"/>
          <w:szCs w:val="20"/>
          <w:color w:val="auto"/>
        </w:rPr>
      </w:pPr>
      <w:r>
        <w:rPr>
          <w:rFonts w:ascii="Arial" w:cs="Arial" w:eastAsia="Arial" w:hAnsi="Arial"/>
          <w:sz w:val="17"/>
          <w:szCs w:val="17"/>
          <w:color w:val="auto"/>
        </w:rPr>
        <w:t>Since 1995, our executive officers and directors, along with some of our management and engineering employees, have been eligible to participate in our Deferred Compensation Plan, or DCP. We established the DCP to provide participants with the opportunity to defer receiving all or a portion of their compensation, which includes salary, bonus, commissions and director fees. Under our DCP, we provide all participants (other than non-employee directors) with Company contributions equal to 8% of eligible deferred contributions.</w:t>
      </w:r>
    </w:p>
    <w:p>
      <w:pPr>
        <w:spacing w:after="0" w:line="73" w:lineRule="exact"/>
        <w:rPr>
          <w:sz w:val="20"/>
          <w:szCs w:val="20"/>
          <w:color w:val="auto"/>
        </w:rPr>
      </w:pPr>
    </w:p>
    <w:p>
      <w:pPr>
        <w:ind w:left="480" w:right="20"/>
        <w:spacing w:after="0" w:line="281" w:lineRule="auto"/>
        <w:rPr>
          <w:sz w:val="20"/>
          <w:szCs w:val="20"/>
          <w:color w:val="auto"/>
        </w:rPr>
      </w:pPr>
      <w:r>
        <w:rPr>
          <w:rFonts w:ascii="Arial" w:cs="Arial" w:eastAsia="Arial" w:hAnsi="Arial"/>
          <w:sz w:val="16"/>
          <w:szCs w:val="16"/>
          <w:color w:val="auto"/>
        </w:rPr>
        <w:t>We credit each participant’s account with earnings on the deferred amounts. These earnings represent the amounts that the participant would have earned if the deferred amounts had been invested in one or more of the various investment options selected by the participant. Under the terms of the DCP, only the payment of the compensation earned is deferred; we do not defer the expense in our financial statements related to the participant’s deferred compensation and investment earnings. We charge the salary, bonuses, commissions, director fees and investment earnings on deferred balances to our income statement as an expense in the period in which the participant earned the compensation. Our balance sheet includes separate line items for Deferred Compensation Plan Investments and Deferred Compensation Plan Liabilities.</w:t>
      </w:r>
    </w:p>
    <w:p>
      <w:pPr>
        <w:spacing w:after="0" w:line="60" w:lineRule="exact"/>
        <w:rPr>
          <w:sz w:val="20"/>
          <w:szCs w:val="20"/>
          <w:color w:val="auto"/>
        </w:rPr>
      </w:pPr>
    </w:p>
    <w:p>
      <w:pPr>
        <w:ind w:left="480" w:right="100"/>
        <w:spacing w:after="0" w:line="281" w:lineRule="auto"/>
        <w:rPr>
          <w:sz w:val="20"/>
          <w:szCs w:val="20"/>
          <w:color w:val="auto"/>
        </w:rPr>
      </w:pPr>
      <w:r>
        <w:rPr>
          <w:rFonts w:ascii="Arial" w:cs="Arial" w:eastAsia="Arial" w:hAnsi="Arial"/>
          <w:sz w:val="16"/>
          <w:szCs w:val="16"/>
          <w:color w:val="auto"/>
        </w:rPr>
        <w:t>We hold DCP assets in a separate Rabbi trust segregated from other assets. We invest in the same investment alternatives that the DCP participants select for their DCP balances. Participants whose employment with us terminates due to retirement after reaching age 62 with ten years of service, disability or death will be paid their DCP balance in either a lump sum or in installments over ten or fewer years, based on the elections they have made. Participants (other than key employees, including our NEOs) who terminate their employment with us for any other reason will receive payment of their DCP balance in the form of a lump sum upon their termination of employment. Payments to our executive officers, including our NEOs, and key employees will be delayed six months or as otherwise required by relevant tax regulations.</w:t>
      </w:r>
    </w:p>
    <w:p>
      <w:pPr>
        <w:spacing w:after="0" w:line="6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shows the non-qualified deferred compensation activity for the NEOs during fiscal 2021.</w:t>
      </w:r>
    </w:p>
    <w:p>
      <w:pPr>
        <w:spacing w:after="0" w:line="209"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0066BA"/>
        </w:rPr>
        <w:t>Non-Qualified Deferred Compensation for Fiscal 2021</w:t>
      </w:r>
    </w:p>
    <w:p>
      <w:pPr>
        <w:spacing w:after="0" w:line="267" w:lineRule="exact"/>
        <w:rPr>
          <w:sz w:val="20"/>
          <w:szCs w:val="20"/>
          <w:color w:val="auto"/>
        </w:rPr>
      </w:pPr>
    </w:p>
    <w:tbl>
      <w:tblPr>
        <w:tblLayout w:type="fixed"/>
        <w:tblInd w:w="480" w:type="dxa"/>
        <w:tblCellMar>
          <w:top w:w="0" w:type="dxa"/>
          <w:left w:w="0" w:type="dxa"/>
          <w:bottom w:w="0" w:type="dxa"/>
          <w:right w:w="0" w:type="dxa"/>
        </w:tblCellMar>
      </w:tblPr>
      <w:tr>
        <w:trPr>
          <w:trHeight w:val="197"/>
        </w:trPr>
        <w:tc>
          <w:tcPr>
            <w:tcW w:w="3200" w:type="dxa"/>
            <w:vAlign w:val="bottom"/>
            <w:shd w:val="clear" w:color="auto" w:fill="0066BA"/>
          </w:tcPr>
          <w:p>
            <w:pPr>
              <w:spacing w:after="0"/>
              <w:rPr>
                <w:sz w:val="17"/>
                <w:szCs w:val="17"/>
                <w:color w:val="auto"/>
              </w:rPr>
            </w:pPr>
          </w:p>
        </w:tc>
        <w:tc>
          <w:tcPr>
            <w:tcW w:w="1480" w:type="dxa"/>
            <w:vAlign w:val="bottom"/>
            <w:shd w:val="clear" w:color="auto" w:fill="0066BA"/>
          </w:tcPr>
          <w:p>
            <w:pPr>
              <w:jc w:val="right"/>
              <w:ind w:right="45"/>
              <w:spacing w:after="0"/>
              <w:rPr>
                <w:sz w:val="20"/>
                <w:szCs w:val="20"/>
                <w:color w:val="auto"/>
              </w:rPr>
            </w:pPr>
            <w:r>
              <w:rPr>
                <w:rFonts w:ascii="Arial" w:cs="Arial" w:eastAsia="Arial" w:hAnsi="Arial"/>
                <w:sz w:val="14"/>
                <w:szCs w:val="14"/>
                <w:b w:val="1"/>
                <w:bCs w:val="1"/>
                <w:color w:val="FFFFFF"/>
              </w:rPr>
              <w:t>Executive</w:t>
            </w:r>
          </w:p>
        </w:tc>
        <w:tc>
          <w:tcPr>
            <w:tcW w:w="1500" w:type="dxa"/>
            <w:vAlign w:val="bottom"/>
            <w:shd w:val="clear" w:color="auto" w:fill="0066BA"/>
          </w:tcPr>
          <w:p>
            <w:pPr>
              <w:jc w:val="right"/>
              <w:ind w:right="65"/>
              <w:spacing w:after="0"/>
              <w:rPr>
                <w:sz w:val="20"/>
                <w:szCs w:val="20"/>
                <w:color w:val="auto"/>
              </w:rPr>
            </w:pPr>
            <w:r>
              <w:rPr>
                <w:rFonts w:ascii="Arial" w:cs="Arial" w:eastAsia="Arial" w:hAnsi="Arial"/>
                <w:sz w:val="14"/>
                <w:szCs w:val="14"/>
                <w:b w:val="1"/>
                <w:bCs w:val="1"/>
                <w:color w:val="FFFFFF"/>
              </w:rPr>
              <w:t>Analog Devices</w:t>
            </w:r>
          </w:p>
        </w:tc>
        <w:tc>
          <w:tcPr>
            <w:tcW w:w="1180" w:type="dxa"/>
            <w:vAlign w:val="bottom"/>
            <w:shd w:val="clear" w:color="auto" w:fill="0066BA"/>
          </w:tcPr>
          <w:p>
            <w:pPr>
              <w:jc w:val="right"/>
              <w:ind w:right="45"/>
              <w:spacing w:after="0"/>
              <w:rPr>
                <w:sz w:val="20"/>
                <w:szCs w:val="20"/>
                <w:color w:val="auto"/>
              </w:rPr>
            </w:pPr>
            <w:r>
              <w:rPr>
                <w:rFonts w:ascii="Arial" w:cs="Arial" w:eastAsia="Arial" w:hAnsi="Arial"/>
                <w:sz w:val="14"/>
                <w:szCs w:val="14"/>
                <w:b w:val="1"/>
                <w:bCs w:val="1"/>
                <w:color w:val="FFFFFF"/>
              </w:rPr>
              <w:t>Aggregate</w:t>
            </w:r>
          </w:p>
        </w:tc>
        <w:tc>
          <w:tcPr>
            <w:tcW w:w="1500" w:type="dxa"/>
            <w:vAlign w:val="bottom"/>
            <w:shd w:val="clear" w:color="auto" w:fill="0066BA"/>
          </w:tcPr>
          <w:p>
            <w:pPr>
              <w:spacing w:after="0"/>
              <w:rPr>
                <w:sz w:val="17"/>
                <w:szCs w:val="17"/>
                <w:color w:val="auto"/>
              </w:rPr>
            </w:pPr>
          </w:p>
        </w:tc>
        <w:tc>
          <w:tcPr>
            <w:tcW w:w="1420" w:type="dxa"/>
            <w:vAlign w:val="bottom"/>
            <w:shd w:val="clear" w:color="auto" w:fill="0066BA"/>
          </w:tcPr>
          <w:p>
            <w:pPr>
              <w:jc w:val="right"/>
              <w:ind w:right="65"/>
              <w:spacing w:after="0"/>
              <w:rPr>
                <w:sz w:val="20"/>
                <w:szCs w:val="20"/>
                <w:color w:val="auto"/>
              </w:rPr>
            </w:pPr>
            <w:r>
              <w:rPr>
                <w:rFonts w:ascii="Arial" w:cs="Arial" w:eastAsia="Arial" w:hAnsi="Arial"/>
                <w:sz w:val="14"/>
                <w:szCs w:val="14"/>
                <w:b w:val="1"/>
                <w:bCs w:val="1"/>
                <w:color w:val="FFFFFF"/>
              </w:rPr>
              <w:t>Aggregate</w:t>
            </w:r>
          </w:p>
        </w:tc>
      </w:tr>
      <w:tr>
        <w:trPr>
          <w:trHeight w:val="156"/>
        </w:trPr>
        <w:tc>
          <w:tcPr>
            <w:tcW w:w="3200" w:type="dxa"/>
            <w:vAlign w:val="bottom"/>
            <w:shd w:val="clear" w:color="auto" w:fill="0066BA"/>
          </w:tcPr>
          <w:p>
            <w:pPr>
              <w:spacing w:after="0"/>
              <w:rPr>
                <w:sz w:val="13"/>
                <w:szCs w:val="13"/>
                <w:color w:val="auto"/>
              </w:rPr>
            </w:pPr>
          </w:p>
        </w:tc>
        <w:tc>
          <w:tcPr>
            <w:tcW w:w="1480" w:type="dxa"/>
            <w:vAlign w:val="bottom"/>
            <w:shd w:val="clear" w:color="auto" w:fill="0066BA"/>
          </w:tcPr>
          <w:p>
            <w:pPr>
              <w:jc w:val="right"/>
              <w:ind w:right="45"/>
              <w:spacing w:after="0" w:line="156" w:lineRule="exact"/>
              <w:rPr>
                <w:sz w:val="20"/>
                <w:szCs w:val="20"/>
                <w:color w:val="auto"/>
              </w:rPr>
            </w:pPr>
            <w:r>
              <w:rPr>
                <w:rFonts w:ascii="Arial" w:cs="Arial" w:eastAsia="Arial" w:hAnsi="Arial"/>
                <w:sz w:val="14"/>
                <w:szCs w:val="14"/>
                <w:b w:val="1"/>
                <w:bCs w:val="1"/>
                <w:color w:val="FFFFFF"/>
              </w:rPr>
              <w:t>Contributions in</w:t>
            </w:r>
          </w:p>
        </w:tc>
        <w:tc>
          <w:tcPr>
            <w:tcW w:w="1500" w:type="dxa"/>
            <w:vAlign w:val="bottom"/>
            <w:shd w:val="clear" w:color="auto" w:fill="0066BA"/>
          </w:tcPr>
          <w:p>
            <w:pPr>
              <w:jc w:val="right"/>
              <w:ind w:right="65"/>
              <w:spacing w:after="0" w:line="156" w:lineRule="exact"/>
              <w:rPr>
                <w:sz w:val="20"/>
                <w:szCs w:val="20"/>
                <w:color w:val="auto"/>
              </w:rPr>
            </w:pPr>
            <w:r>
              <w:rPr>
                <w:rFonts w:ascii="Arial" w:cs="Arial" w:eastAsia="Arial" w:hAnsi="Arial"/>
                <w:sz w:val="14"/>
                <w:szCs w:val="14"/>
                <w:b w:val="1"/>
                <w:bCs w:val="1"/>
                <w:color w:val="FFFFFF"/>
              </w:rPr>
              <w:t>Contributions in</w:t>
            </w:r>
          </w:p>
        </w:tc>
        <w:tc>
          <w:tcPr>
            <w:tcW w:w="1180" w:type="dxa"/>
            <w:vAlign w:val="bottom"/>
            <w:shd w:val="clear" w:color="auto" w:fill="0066BA"/>
          </w:tcPr>
          <w:p>
            <w:pPr>
              <w:jc w:val="right"/>
              <w:ind w:right="45"/>
              <w:spacing w:after="0" w:line="156" w:lineRule="exact"/>
              <w:rPr>
                <w:sz w:val="20"/>
                <w:szCs w:val="20"/>
                <w:color w:val="auto"/>
              </w:rPr>
            </w:pPr>
            <w:r>
              <w:rPr>
                <w:rFonts w:ascii="Arial" w:cs="Arial" w:eastAsia="Arial" w:hAnsi="Arial"/>
                <w:sz w:val="14"/>
                <w:szCs w:val="14"/>
                <w:b w:val="1"/>
                <w:bCs w:val="1"/>
                <w:color w:val="FFFFFF"/>
              </w:rPr>
              <w:t>Earnings in</w:t>
            </w:r>
          </w:p>
        </w:tc>
        <w:tc>
          <w:tcPr>
            <w:tcW w:w="1500" w:type="dxa"/>
            <w:vAlign w:val="bottom"/>
            <w:shd w:val="clear" w:color="auto" w:fill="0066BA"/>
          </w:tcPr>
          <w:p>
            <w:pPr>
              <w:jc w:val="right"/>
              <w:ind w:right="65"/>
              <w:spacing w:after="0" w:line="156" w:lineRule="exact"/>
              <w:rPr>
                <w:sz w:val="20"/>
                <w:szCs w:val="20"/>
                <w:color w:val="auto"/>
              </w:rPr>
            </w:pPr>
            <w:r>
              <w:rPr>
                <w:rFonts w:ascii="Arial" w:cs="Arial" w:eastAsia="Arial" w:hAnsi="Arial"/>
                <w:sz w:val="14"/>
                <w:szCs w:val="14"/>
                <w:b w:val="1"/>
                <w:bCs w:val="1"/>
                <w:color w:val="FFFFFF"/>
              </w:rPr>
              <w:t>Aggregate</w:t>
            </w:r>
          </w:p>
        </w:tc>
        <w:tc>
          <w:tcPr>
            <w:tcW w:w="1420" w:type="dxa"/>
            <w:vAlign w:val="bottom"/>
            <w:shd w:val="clear" w:color="auto" w:fill="0066BA"/>
          </w:tcPr>
          <w:p>
            <w:pPr>
              <w:jc w:val="right"/>
              <w:ind w:right="65"/>
              <w:spacing w:after="0" w:line="156" w:lineRule="exact"/>
              <w:rPr>
                <w:sz w:val="20"/>
                <w:szCs w:val="20"/>
                <w:color w:val="auto"/>
              </w:rPr>
            </w:pPr>
            <w:r>
              <w:rPr>
                <w:rFonts w:ascii="Arial" w:cs="Arial" w:eastAsia="Arial" w:hAnsi="Arial"/>
                <w:sz w:val="14"/>
                <w:szCs w:val="14"/>
                <w:b w:val="1"/>
                <w:bCs w:val="1"/>
                <w:color w:val="FFFFFF"/>
              </w:rPr>
              <w:t>Balance at</w:t>
            </w:r>
          </w:p>
        </w:tc>
      </w:tr>
      <w:tr>
        <w:trPr>
          <w:trHeight w:val="156"/>
        </w:trPr>
        <w:tc>
          <w:tcPr>
            <w:tcW w:w="3200" w:type="dxa"/>
            <w:vAlign w:val="bottom"/>
            <w:shd w:val="clear" w:color="auto" w:fill="0066BA"/>
          </w:tcPr>
          <w:p>
            <w:pPr>
              <w:spacing w:after="0"/>
              <w:rPr>
                <w:sz w:val="13"/>
                <w:szCs w:val="13"/>
                <w:color w:val="auto"/>
              </w:rPr>
            </w:pPr>
          </w:p>
        </w:tc>
        <w:tc>
          <w:tcPr>
            <w:tcW w:w="1480" w:type="dxa"/>
            <w:vAlign w:val="bottom"/>
            <w:shd w:val="clear" w:color="auto" w:fill="0066BA"/>
          </w:tcPr>
          <w:p>
            <w:pPr>
              <w:jc w:val="right"/>
              <w:ind w:right="45"/>
              <w:spacing w:after="0" w:line="156" w:lineRule="exact"/>
              <w:rPr>
                <w:sz w:val="20"/>
                <w:szCs w:val="20"/>
                <w:color w:val="auto"/>
              </w:rPr>
            </w:pPr>
            <w:r>
              <w:rPr>
                <w:rFonts w:ascii="Arial" w:cs="Arial" w:eastAsia="Arial" w:hAnsi="Arial"/>
                <w:sz w:val="14"/>
                <w:szCs w:val="14"/>
                <w:b w:val="1"/>
                <w:bCs w:val="1"/>
                <w:color w:val="FFFFFF"/>
              </w:rPr>
              <w:t>Last Fiscal</w:t>
            </w:r>
          </w:p>
        </w:tc>
        <w:tc>
          <w:tcPr>
            <w:tcW w:w="1500" w:type="dxa"/>
            <w:vAlign w:val="bottom"/>
            <w:shd w:val="clear" w:color="auto" w:fill="0066BA"/>
          </w:tcPr>
          <w:p>
            <w:pPr>
              <w:jc w:val="right"/>
              <w:ind w:right="65"/>
              <w:spacing w:after="0" w:line="156" w:lineRule="exact"/>
              <w:rPr>
                <w:sz w:val="20"/>
                <w:szCs w:val="20"/>
                <w:color w:val="auto"/>
              </w:rPr>
            </w:pPr>
            <w:r>
              <w:rPr>
                <w:rFonts w:ascii="Arial" w:cs="Arial" w:eastAsia="Arial" w:hAnsi="Arial"/>
                <w:sz w:val="14"/>
                <w:szCs w:val="14"/>
                <w:b w:val="1"/>
                <w:bCs w:val="1"/>
                <w:color w:val="FFFFFF"/>
              </w:rPr>
              <w:t>Last Fiscal</w:t>
            </w:r>
          </w:p>
        </w:tc>
        <w:tc>
          <w:tcPr>
            <w:tcW w:w="1180" w:type="dxa"/>
            <w:vAlign w:val="bottom"/>
            <w:shd w:val="clear" w:color="auto" w:fill="0066BA"/>
          </w:tcPr>
          <w:p>
            <w:pPr>
              <w:jc w:val="right"/>
              <w:ind w:right="45"/>
              <w:spacing w:after="0" w:line="156" w:lineRule="exact"/>
              <w:rPr>
                <w:sz w:val="20"/>
                <w:szCs w:val="20"/>
                <w:color w:val="auto"/>
              </w:rPr>
            </w:pPr>
            <w:r>
              <w:rPr>
                <w:rFonts w:ascii="Arial" w:cs="Arial" w:eastAsia="Arial" w:hAnsi="Arial"/>
                <w:sz w:val="14"/>
                <w:szCs w:val="14"/>
                <w:b w:val="1"/>
                <w:bCs w:val="1"/>
                <w:color w:val="FFFFFF"/>
              </w:rPr>
              <w:t>Last Fiscal</w:t>
            </w:r>
          </w:p>
        </w:tc>
        <w:tc>
          <w:tcPr>
            <w:tcW w:w="1500" w:type="dxa"/>
            <w:vAlign w:val="bottom"/>
            <w:shd w:val="clear" w:color="auto" w:fill="0066BA"/>
          </w:tcPr>
          <w:p>
            <w:pPr>
              <w:jc w:val="right"/>
              <w:ind w:right="65"/>
              <w:spacing w:after="0" w:line="156" w:lineRule="exact"/>
              <w:rPr>
                <w:sz w:val="20"/>
                <w:szCs w:val="20"/>
                <w:color w:val="auto"/>
              </w:rPr>
            </w:pPr>
            <w:r>
              <w:rPr>
                <w:rFonts w:ascii="Arial" w:cs="Arial" w:eastAsia="Arial" w:hAnsi="Arial"/>
                <w:sz w:val="14"/>
                <w:szCs w:val="14"/>
                <w:b w:val="1"/>
                <w:bCs w:val="1"/>
                <w:color w:val="FFFFFF"/>
              </w:rPr>
              <w:t>Withdrawals/</w:t>
            </w:r>
          </w:p>
        </w:tc>
        <w:tc>
          <w:tcPr>
            <w:tcW w:w="1420" w:type="dxa"/>
            <w:vAlign w:val="bottom"/>
            <w:shd w:val="clear" w:color="auto" w:fill="0066BA"/>
          </w:tcPr>
          <w:p>
            <w:pPr>
              <w:jc w:val="right"/>
              <w:ind w:right="65"/>
              <w:spacing w:after="0" w:line="156" w:lineRule="exact"/>
              <w:rPr>
                <w:sz w:val="20"/>
                <w:szCs w:val="20"/>
                <w:color w:val="auto"/>
              </w:rPr>
            </w:pPr>
            <w:r>
              <w:rPr>
                <w:rFonts w:ascii="Arial" w:cs="Arial" w:eastAsia="Arial" w:hAnsi="Arial"/>
                <w:sz w:val="14"/>
                <w:szCs w:val="14"/>
                <w:b w:val="1"/>
                <w:bCs w:val="1"/>
                <w:color w:val="FFFFFF"/>
              </w:rPr>
              <w:t>Last Fiscal</w:t>
            </w:r>
          </w:p>
        </w:tc>
      </w:tr>
      <w:tr>
        <w:trPr>
          <w:trHeight w:val="207"/>
        </w:trPr>
        <w:tc>
          <w:tcPr>
            <w:tcW w:w="320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Name</w:t>
            </w:r>
          </w:p>
        </w:tc>
        <w:tc>
          <w:tcPr>
            <w:tcW w:w="1480" w:type="dxa"/>
            <w:vAlign w:val="bottom"/>
            <w:shd w:val="clear" w:color="auto" w:fill="0066BA"/>
          </w:tcPr>
          <w:p>
            <w:pPr>
              <w:jc w:val="right"/>
              <w:ind w:right="45"/>
              <w:spacing w:after="0"/>
              <w:rPr>
                <w:sz w:val="20"/>
                <w:szCs w:val="20"/>
                <w:color w:val="auto"/>
              </w:rPr>
            </w:pPr>
            <w:r>
              <w:rPr>
                <w:rFonts w:ascii="Arial" w:cs="Arial" w:eastAsia="Arial" w:hAnsi="Arial"/>
                <w:sz w:val="14"/>
                <w:szCs w:val="14"/>
                <w:b w:val="1"/>
                <w:bCs w:val="1"/>
                <w:color w:val="FFFFFF"/>
              </w:rPr>
              <w:t>Year ($)</w:t>
            </w:r>
          </w:p>
        </w:tc>
        <w:tc>
          <w:tcPr>
            <w:tcW w:w="1500" w:type="dxa"/>
            <w:vAlign w:val="bottom"/>
            <w:shd w:val="clear" w:color="auto" w:fill="0066BA"/>
          </w:tcPr>
          <w:p>
            <w:pPr>
              <w:jc w:val="right"/>
              <w:ind w:right="65"/>
              <w:spacing w:after="0"/>
              <w:rPr>
                <w:sz w:val="20"/>
                <w:szCs w:val="20"/>
                <w:color w:val="auto"/>
              </w:rPr>
            </w:pPr>
            <w:r>
              <w:rPr>
                <w:rFonts w:ascii="Arial" w:cs="Arial" w:eastAsia="Arial" w:hAnsi="Arial"/>
                <w:sz w:val="14"/>
                <w:szCs w:val="14"/>
                <w:b w:val="1"/>
                <w:bCs w:val="1"/>
                <w:color w:val="FFFFFF"/>
              </w:rPr>
              <w:t>Year ($) (1)</w:t>
            </w:r>
          </w:p>
        </w:tc>
        <w:tc>
          <w:tcPr>
            <w:tcW w:w="1180" w:type="dxa"/>
            <w:vAlign w:val="bottom"/>
            <w:shd w:val="clear" w:color="auto" w:fill="0066BA"/>
          </w:tcPr>
          <w:p>
            <w:pPr>
              <w:jc w:val="right"/>
              <w:ind w:right="45"/>
              <w:spacing w:after="0"/>
              <w:rPr>
                <w:sz w:val="20"/>
                <w:szCs w:val="20"/>
                <w:color w:val="auto"/>
              </w:rPr>
            </w:pPr>
            <w:r>
              <w:rPr>
                <w:rFonts w:ascii="Arial" w:cs="Arial" w:eastAsia="Arial" w:hAnsi="Arial"/>
                <w:sz w:val="14"/>
                <w:szCs w:val="14"/>
                <w:b w:val="1"/>
                <w:bCs w:val="1"/>
                <w:color w:val="FFFFFF"/>
              </w:rPr>
              <w:t>Year ($) (2)</w:t>
            </w:r>
          </w:p>
        </w:tc>
        <w:tc>
          <w:tcPr>
            <w:tcW w:w="1500" w:type="dxa"/>
            <w:vAlign w:val="bottom"/>
            <w:shd w:val="clear" w:color="auto" w:fill="0066BA"/>
          </w:tcPr>
          <w:p>
            <w:pPr>
              <w:jc w:val="right"/>
              <w:ind w:right="65"/>
              <w:spacing w:after="0"/>
              <w:rPr>
                <w:sz w:val="20"/>
                <w:szCs w:val="20"/>
                <w:color w:val="auto"/>
              </w:rPr>
            </w:pPr>
            <w:r>
              <w:rPr>
                <w:rFonts w:ascii="Arial" w:cs="Arial" w:eastAsia="Arial" w:hAnsi="Arial"/>
                <w:sz w:val="14"/>
                <w:szCs w:val="14"/>
                <w:b w:val="1"/>
                <w:bCs w:val="1"/>
                <w:color w:val="FFFFFF"/>
              </w:rPr>
              <w:t>Distributions ($)</w:t>
            </w:r>
          </w:p>
        </w:tc>
        <w:tc>
          <w:tcPr>
            <w:tcW w:w="1420" w:type="dxa"/>
            <w:vAlign w:val="bottom"/>
            <w:shd w:val="clear" w:color="auto" w:fill="0066BA"/>
          </w:tcPr>
          <w:p>
            <w:pPr>
              <w:jc w:val="right"/>
              <w:ind w:right="65"/>
              <w:spacing w:after="0"/>
              <w:rPr>
                <w:sz w:val="20"/>
                <w:szCs w:val="20"/>
                <w:color w:val="auto"/>
              </w:rPr>
            </w:pPr>
            <w:r>
              <w:rPr>
                <w:rFonts w:ascii="Arial" w:cs="Arial" w:eastAsia="Arial" w:hAnsi="Arial"/>
                <w:sz w:val="14"/>
                <w:szCs w:val="14"/>
                <w:b w:val="1"/>
                <w:bCs w:val="1"/>
                <w:color w:val="FFFFFF"/>
              </w:rPr>
              <w:t>Year End ($) (3)</w:t>
            </w:r>
          </w:p>
        </w:tc>
      </w:tr>
      <w:tr>
        <w:trPr>
          <w:trHeight w:val="227"/>
        </w:trPr>
        <w:tc>
          <w:tcPr>
            <w:tcW w:w="32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66BA"/>
              </w:rPr>
              <w:t>Vincent Roche</w:t>
            </w:r>
          </w:p>
        </w:tc>
        <w:tc>
          <w:tcPr>
            <w:tcW w:w="1480" w:type="dxa"/>
            <w:vAlign w:val="bottom"/>
            <w:tcBorders>
              <w:bottom w:val="single" w:sz="8" w:color="auto"/>
            </w:tcBorders>
            <w:shd w:val="clear" w:color="auto" w:fill="EAEAEA"/>
          </w:tcPr>
          <w:p>
            <w:pPr>
              <w:jc w:val="right"/>
              <w:ind w:right="45"/>
              <w:spacing w:after="0"/>
              <w:rPr>
                <w:sz w:val="20"/>
                <w:szCs w:val="20"/>
                <w:color w:val="auto"/>
              </w:rPr>
            </w:pPr>
            <w:r>
              <w:rPr>
                <w:rFonts w:ascii="Arial" w:cs="Arial" w:eastAsia="Arial" w:hAnsi="Arial"/>
                <w:sz w:val="16"/>
                <w:szCs w:val="16"/>
                <w:color w:val="auto"/>
              </w:rPr>
              <w:t>742,623</w:t>
            </w:r>
          </w:p>
        </w:tc>
        <w:tc>
          <w:tcPr>
            <w:tcW w:w="150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color w:val="auto"/>
              </w:rPr>
              <w:t>1,292</w:t>
            </w:r>
          </w:p>
        </w:tc>
        <w:tc>
          <w:tcPr>
            <w:tcW w:w="1180" w:type="dxa"/>
            <w:vAlign w:val="bottom"/>
            <w:tcBorders>
              <w:bottom w:val="single" w:sz="8" w:color="auto"/>
            </w:tcBorders>
            <w:shd w:val="clear" w:color="auto" w:fill="EAEAEA"/>
          </w:tcPr>
          <w:p>
            <w:pPr>
              <w:jc w:val="right"/>
              <w:ind w:right="45"/>
              <w:spacing w:after="0"/>
              <w:rPr>
                <w:sz w:val="20"/>
                <w:szCs w:val="20"/>
                <w:color w:val="auto"/>
              </w:rPr>
            </w:pPr>
            <w:r>
              <w:rPr>
                <w:rFonts w:ascii="Arial" w:cs="Arial" w:eastAsia="Arial" w:hAnsi="Arial"/>
                <w:sz w:val="16"/>
                <w:szCs w:val="16"/>
                <w:color w:val="auto"/>
              </w:rPr>
              <w:t>1,790,364</w:t>
            </w:r>
          </w:p>
        </w:tc>
        <w:tc>
          <w:tcPr>
            <w:tcW w:w="150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EAEAEA"/>
          </w:tcPr>
          <w:p>
            <w:pPr>
              <w:jc w:val="right"/>
              <w:ind w:right="65"/>
              <w:spacing w:after="0"/>
              <w:rPr>
                <w:sz w:val="20"/>
                <w:szCs w:val="20"/>
                <w:color w:val="auto"/>
              </w:rPr>
            </w:pPr>
            <w:r>
              <w:rPr>
                <w:rFonts w:ascii="Arial" w:cs="Arial" w:eastAsia="Arial" w:hAnsi="Arial"/>
                <w:sz w:val="16"/>
                <w:szCs w:val="16"/>
                <w:color w:val="auto"/>
              </w:rPr>
              <w:t>11,597,754</w:t>
            </w:r>
          </w:p>
        </w:tc>
      </w:tr>
      <w:tr>
        <w:trPr>
          <w:trHeight w:val="214"/>
        </w:trPr>
        <w:tc>
          <w:tcPr>
            <w:tcW w:w="32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66BA"/>
              </w:rPr>
              <w:t>Prashanth Mahendra-Rajah</w:t>
            </w:r>
          </w:p>
        </w:tc>
        <w:tc>
          <w:tcPr>
            <w:tcW w:w="1480" w:type="dxa"/>
            <w:vAlign w:val="bottom"/>
            <w:tcBorders>
              <w:bottom w:val="single" w:sz="8" w:color="auto"/>
            </w:tcBorders>
            <w:shd w:val="clear" w:color="auto" w:fill="EAEAEA"/>
          </w:tcPr>
          <w:p>
            <w:pPr>
              <w:jc w:val="right"/>
              <w:ind w:right="45"/>
              <w:spacing w:after="0"/>
              <w:rPr>
                <w:sz w:val="20"/>
                <w:szCs w:val="20"/>
                <w:color w:val="auto"/>
              </w:rPr>
            </w:pPr>
            <w:r>
              <w:rPr>
                <w:rFonts w:ascii="Arial" w:cs="Arial" w:eastAsia="Arial" w:hAnsi="Arial"/>
                <w:sz w:val="16"/>
                <w:szCs w:val="16"/>
                <w:color w:val="auto"/>
              </w:rPr>
              <w:t>123,846</w:t>
            </w:r>
          </w:p>
        </w:tc>
        <w:tc>
          <w:tcPr>
            <w:tcW w:w="150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color w:val="auto"/>
              </w:rPr>
              <w:t>9,908</w:t>
            </w:r>
          </w:p>
        </w:tc>
        <w:tc>
          <w:tcPr>
            <w:tcW w:w="1180" w:type="dxa"/>
            <w:vAlign w:val="bottom"/>
            <w:tcBorders>
              <w:bottom w:val="single" w:sz="8" w:color="auto"/>
            </w:tcBorders>
            <w:shd w:val="clear" w:color="auto" w:fill="EAEAEA"/>
          </w:tcPr>
          <w:p>
            <w:pPr>
              <w:jc w:val="right"/>
              <w:ind w:right="45"/>
              <w:spacing w:after="0"/>
              <w:rPr>
                <w:sz w:val="20"/>
                <w:szCs w:val="20"/>
                <w:color w:val="auto"/>
              </w:rPr>
            </w:pPr>
            <w:r>
              <w:rPr>
                <w:rFonts w:ascii="Arial" w:cs="Arial" w:eastAsia="Arial" w:hAnsi="Arial"/>
                <w:sz w:val="16"/>
                <w:szCs w:val="16"/>
                <w:color w:val="auto"/>
              </w:rPr>
              <w:t>236,645</w:t>
            </w:r>
          </w:p>
        </w:tc>
        <w:tc>
          <w:tcPr>
            <w:tcW w:w="150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EAEAEA"/>
          </w:tcPr>
          <w:p>
            <w:pPr>
              <w:jc w:val="right"/>
              <w:ind w:right="65"/>
              <w:spacing w:after="0"/>
              <w:rPr>
                <w:sz w:val="20"/>
                <w:szCs w:val="20"/>
                <w:color w:val="auto"/>
              </w:rPr>
            </w:pPr>
            <w:r>
              <w:rPr>
                <w:rFonts w:ascii="Arial" w:cs="Arial" w:eastAsia="Arial" w:hAnsi="Arial"/>
                <w:sz w:val="16"/>
                <w:szCs w:val="16"/>
                <w:color w:val="auto"/>
              </w:rPr>
              <w:t>1,005,295</w:t>
            </w:r>
          </w:p>
        </w:tc>
      </w:tr>
      <w:tr>
        <w:trPr>
          <w:trHeight w:val="214"/>
        </w:trPr>
        <w:tc>
          <w:tcPr>
            <w:tcW w:w="32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66BA"/>
              </w:rPr>
              <w:t>Martin Cotter</w:t>
            </w:r>
          </w:p>
        </w:tc>
        <w:tc>
          <w:tcPr>
            <w:tcW w:w="1480" w:type="dxa"/>
            <w:vAlign w:val="bottom"/>
            <w:tcBorders>
              <w:bottom w:val="single" w:sz="8" w:color="auto"/>
            </w:tcBorders>
            <w:shd w:val="clear" w:color="auto" w:fill="EAEAEA"/>
          </w:tcPr>
          <w:p>
            <w:pPr>
              <w:jc w:val="right"/>
              <w:ind w:right="45"/>
              <w:spacing w:after="0"/>
              <w:rPr>
                <w:sz w:val="20"/>
                <w:szCs w:val="20"/>
                <w:color w:val="auto"/>
              </w:rPr>
            </w:pPr>
            <w:r>
              <w:rPr>
                <w:rFonts w:ascii="Arial" w:cs="Arial" w:eastAsia="Arial" w:hAnsi="Arial"/>
                <w:sz w:val="16"/>
                <w:szCs w:val="16"/>
                <w:color w:val="auto"/>
              </w:rPr>
              <w:t>410,993</w:t>
            </w:r>
          </w:p>
        </w:tc>
        <w:tc>
          <w:tcPr>
            <w:tcW w:w="150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color w:val="auto"/>
              </w:rPr>
              <w:t>32,879</w:t>
            </w:r>
          </w:p>
        </w:tc>
        <w:tc>
          <w:tcPr>
            <w:tcW w:w="1180" w:type="dxa"/>
            <w:vAlign w:val="bottom"/>
            <w:tcBorders>
              <w:bottom w:val="single" w:sz="8" w:color="auto"/>
            </w:tcBorders>
            <w:shd w:val="clear" w:color="auto" w:fill="EAEAEA"/>
          </w:tcPr>
          <w:p>
            <w:pPr>
              <w:jc w:val="right"/>
              <w:ind w:right="45"/>
              <w:spacing w:after="0"/>
              <w:rPr>
                <w:sz w:val="20"/>
                <w:szCs w:val="20"/>
                <w:color w:val="auto"/>
              </w:rPr>
            </w:pPr>
            <w:r>
              <w:rPr>
                <w:rFonts w:ascii="Arial" w:cs="Arial" w:eastAsia="Arial" w:hAnsi="Arial"/>
                <w:sz w:val="16"/>
                <w:szCs w:val="16"/>
                <w:color w:val="auto"/>
              </w:rPr>
              <w:t>173,189</w:t>
            </w:r>
          </w:p>
        </w:tc>
        <w:tc>
          <w:tcPr>
            <w:tcW w:w="150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EAEAEA"/>
          </w:tcPr>
          <w:p>
            <w:pPr>
              <w:jc w:val="right"/>
              <w:ind w:right="65"/>
              <w:spacing w:after="0"/>
              <w:rPr>
                <w:sz w:val="20"/>
                <w:szCs w:val="20"/>
                <w:color w:val="auto"/>
              </w:rPr>
            </w:pPr>
            <w:r>
              <w:rPr>
                <w:rFonts w:ascii="Arial" w:cs="Arial" w:eastAsia="Arial" w:hAnsi="Arial"/>
                <w:sz w:val="16"/>
                <w:szCs w:val="16"/>
                <w:color w:val="auto"/>
              </w:rPr>
              <w:t>1,063,833</w:t>
            </w:r>
          </w:p>
        </w:tc>
      </w:tr>
      <w:tr>
        <w:trPr>
          <w:trHeight w:val="214"/>
        </w:trPr>
        <w:tc>
          <w:tcPr>
            <w:tcW w:w="32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66BA"/>
              </w:rPr>
              <w:t>John Hassett</w:t>
            </w:r>
          </w:p>
        </w:tc>
        <w:tc>
          <w:tcPr>
            <w:tcW w:w="1480" w:type="dxa"/>
            <w:vAlign w:val="bottom"/>
            <w:tcBorders>
              <w:bottom w:val="single" w:sz="8" w:color="auto"/>
            </w:tcBorders>
            <w:shd w:val="clear" w:color="auto" w:fill="EAEAEA"/>
          </w:tcPr>
          <w:p>
            <w:pPr>
              <w:jc w:val="right"/>
              <w:ind w:right="45"/>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EAEAEA"/>
          </w:tcPr>
          <w:p>
            <w:pPr>
              <w:jc w:val="right"/>
              <w:ind w:right="45"/>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EAEAEA"/>
          </w:tcPr>
          <w:p>
            <w:pPr>
              <w:jc w:val="right"/>
              <w:ind w:right="65"/>
              <w:spacing w:after="0"/>
              <w:rPr>
                <w:sz w:val="20"/>
                <w:szCs w:val="20"/>
                <w:color w:val="auto"/>
              </w:rPr>
            </w:pPr>
            <w:r>
              <w:rPr>
                <w:rFonts w:ascii="Arial" w:cs="Arial" w:eastAsia="Arial" w:hAnsi="Arial"/>
                <w:sz w:val="16"/>
                <w:szCs w:val="16"/>
                <w:color w:val="auto"/>
              </w:rPr>
              <w:t>—</w:t>
            </w:r>
          </w:p>
        </w:tc>
      </w:tr>
      <w:tr>
        <w:trPr>
          <w:trHeight w:val="214"/>
        </w:trPr>
        <w:tc>
          <w:tcPr>
            <w:tcW w:w="32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66BA"/>
              </w:rPr>
              <w:t>Greg Henderson</w:t>
            </w:r>
          </w:p>
        </w:tc>
        <w:tc>
          <w:tcPr>
            <w:tcW w:w="1480" w:type="dxa"/>
            <w:vAlign w:val="bottom"/>
            <w:tcBorders>
              <w:bottom w:val="single" w:sz="8" w:color="auto"/>
            </w:tcBorders>
            <w:shd w:val="clear" w:color="auto" w:fill="EAEAEA"/>
          </w:tcPr>
          <w:p>
            <w:pPr>
              <w:jc w:val="right"/>
              <w:ind w:right="45"/>
              <w:spacing w:after="0"/>
              <w:rPr>
                <w:sz w:val="20"/>
                <w:szCs w:val="20"/>
                <w:color w:val="auto"/>
              </w:rPr>
            </w:pPr>
            <w:r>
              <w:rPr>
                <w:rFonts w:ascii="Arial" w:cs="Arial" w:eastAsia="Arial" w:hAnsi="Arial"/>
                <w:sz w:val="16"/>
                <w:szCs w:val="16"/>
                <w:color w:val="auto"/>
              </w:rPr>
              <w:t>909,434</w:t>
            </w:r>
          </w:p>
        </w:tc>
        <w:tc>
          <w:tcPr>
            <w:tcW w:w="150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color w:val="auto"/>
              </w:rPr>
              <w:t>12,772</w:t>
            </w:r>
          </w:p>
        </w:tc>
        <w:tc>
          <w:tcPr>
            <w:tcW w:w="1180" w:type="dxa"/>
            <w:vAlign w:val="bottom"/>
            <w:tcBorders>
              <w:bottom w:val="single" w:sz="8" w:color="auto"/>
            </w:tcBorders>
            <w:shd w:val="clear" w:color="auto" w:fill="EAEAEA"/>
          </w:tcPr>
          <w:p>
            <w:pPr>
              <w:jc w:val="right"/>
              <w:ind w:right="45"/>
              <w:spacing w:after="0"/>
              <w:rPr>
                <w:sz w:val="20"/>
                <w:szCs w:val="20"/>
                <w:color w:val="auto"/>
              </w:rPr>
            </w:pPr>
            <w:r>
              <w:rPr>
                <w:rFonts w:ascii="Arial" w:cs="Arial" w:eastAsia="Arial" w:hAnsi="Arial"/>
                <w:sz w:val="16"/>
                <w:szCs w:val="16"/>
                <w:color w:val="auto"/>
              </w:rPr>
              <w:t>235,972</w:t>
            </w:r>
          </w:p>
        </w:tc>
        <w:tc>
          <w:tcPr>
            <w:tcW w:w="150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EAEAEA"/>
          </w:tcPr>
          <w:p>
            <w:pPr>
              <w:jc w:val="right"/>
              <w:ind w:right="65"/>
              <w:spacing w:after="0"/>
              <w:rPr>
                <w:sz w:val="20"/>
                <w:szCs w:val="20"/>
                <w:color w:val="auto"/>
              </w:rPr>
            </w:pPr>
            <w:r>
              <w:rPr>
                <w:rFonts w:ascii="Arial" w:cs="Arial" w:eastAsia="Arial" w:hAnsi="Arial"/>
                <w:sz w:val="16"/>
                <w:szCs w:val="16"/>
                <w:color w:val="auto"/>
              </w:rPr>
              <w:t>2,318,689</w:t>
            </w:r>
          </w:p>
        </w:tc>
      </w:tr>
      <w:tr>
        <w:trPr>
          <w:trHeight w:val="214"/>
        </w:trPr>
        <w:tc>
          <w:tcPr>
            <w:tcW w:w="3200" w:type="dxa"/>
            <w:vAlign w:val="bottom"/>
            <w:tcBorders>
              <w:bottom w:val="single" w:sz="8" w:color="0066BA"/>
            </w:tcBorders>
          </w:tcPr>
          <w:p>
            <w:pPr>
              <w:ind w:left="60"/>
              <w:spacing w:after="0"/>
              <w:rPr>
                <w:sz w:val="20"/>
                <w:szCs w:val="20"/>
                <w:color w:val="auto"/>
              </w:rPr>
            </w:pPr>
            <w:r>
              <w:rPr>
                <w:rFonts w:ascii="Arial" w:cs="Arial" w:eastAsia="Arial" w:hAnsi="Arial"/>
                <w:sz w:val="16"/>
                <w:szCs w:val="16"/>
                <w:b w:val="1"/>
                <w:bCs w:val="1"/>
                <w:color w:val="0066BA"/>
              </w:rPr>
              <w:t>Anelise Sacks</w:t>
            </w:r>
          </w:p>
        </w:tc>
        <w:tc>
          <w:tcPr>
            <w:tcW w:w="1480" w:type="dxa"/>
            <w:vAlign w:val="bottom"/>
            <w:tcBorders>
              <w:bottom w:val="single" w:sz="8" w:color="0066BA"/>
            </w:tcBorders>
            <w:shd w:val="clear" w:color="auto" w:fill="EAEAEA"/>
          </w:tcPr>
          <w:p>
            <w:pPr>
              <w:jc w:val="right"/>
              <w:ind w:right="45"/>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0066BA"/>
            </w:tcBorders>
          </w:tcPr>
          <w:p>
            <w:pPr>
              <w:jc w:val="right"/>
              <w:ind w:right="65"/>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0066BA"/>
            </w:tcBorders>
            <w:shd w:val="clear" w:color="auto" w:fill="EAEAEA"/>
          </w:tcPr>
          <w:p>
            <w:pPr>
              <w:jc w:val="right"/>
              <w:ind w:right="45"/>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0066BA"/>
            </w:tcBorders>
          </w:tcPr>
          <w:p>
            <w:pPr>
              <w:jc w:val="right"/>
              <w:ind w:right="65"/>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0066BA"/>
            </w:tcBorders>
            <w:shd w:val="clear" w:color="auto" w:fill="EAEAEA"/>
          </w:tcPr>
          <w:p>
            <w:pPr>
              <w:jc w:val="right"/>
              <w:ind w:right="65"/>
              <w:spacing w:after="0"/>
              <w:rPr>
                <w:sz w:val="20"/>
                <w:szCs w:val="20"/>
                <w:color w:val="auto"/>
              </w:rPr>
            </w:pPr>
            <w:r>
              <w:rPr>
                <w:rFonts w:ascii="Arial" w:cs="Arial" w:eastAsia="Arial" w:hAnsi="Arial"/>
                <w:sz w:val="16"/>
                <w:szCs w:val="16"/>
                <w:color w:val="auto"/>
              </w:rPr>
              <w:t>—</w:t>
            </w:r>
          </w:p>
        </w:tc>
      </w:tr>
    </w:tbl>
    <w:p>
      <w:pPr>
        <w:spacing w:after="0" w:line="53" w:lineRule="exact"/>
        <w:rPr>
          <w:sz w:val="20"/>
          <w:szCs w:val="20"/>
          <w:color w:val="auto"/>
        </w:rPr>
      </w:pPr>
    </w:p>
    <w:p>
      <w:pPr>
        <w:ind w:left="880" w:hanging="405"/>
        <w:spacing w:after="0"/>
        <w:tabs>
          <w:tab w:leader="none" w:pos="8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These amounts are included in the Summary Compensation Table above in the “All Other Compensation” column.</w:t>
      </w:r>
    </w:p>
    <w:p>
      <w:pPr>
        <w:spacing w:after="0" w:line="77" w:lineRule="exact"/>
        <w:rPr>
          <w:rFonts w:ascii="Arial" w:cs="Arial" w:eastAsia="Arial" w:hAnsi="Arial"/>
          <w:sz w:val="17"/>
          <w:szCs w:val="17"/>
          <w:color w:val="auto"/>
        </w:rPr>
      </w:pPr>
    </w:p>
    <w:p>
      <w:pPr>
        <w:ind w:left="880" w:right="280" w:hanging="405"/>
        <w:spacing w:after="0" w:line="263" w:lineRule="auto"/>
        <w:tabs>
          <w:tab w:leader="none" w:pos="8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These amounts are excluded from the Summary Compensation Table above in accordance with SEC regulations, as we did not pay above-market earnings on deferred compensation in fiscal 2021.</w:t>
      </w:r>
    </w:p>
    <w:p>
      <w:pPr>
        <w:ind w:left="880" w:hanging="405"/>
        <w:spacing w:after="0"/>
        <w:tabs>
          <w:tab w:leader="none" w:pos="880" w:val="left"/>
        </w:tabs>
        <w:numPr>
          <w:ilvl w:val="0"/>
          <w:numId w:val="71"/>
        </w:numPr>
        <w:rPr>
          <w:rFonts w:ascii="Arial" w:cs="Arial" w:eastAsia="Arial" w:hAnsi="Arial"/>
          <w:sz w:val="15"/>
          <w:szCs w:val="15"/>
          <w:color w:val="auto"/>
        </w:rPr>
      </w:pPr>
      <w:r>
        <w:rPr>
          <w:rFonts w:ascii="Arial" w:cs="Arial" w:eastAsia="Arial" w:hAnsi="Arial"/>
          <w:sz w:val="15"/>
          <w:szCs w:val="15"/>
          <w:color w:val="auto"/>
        </w:rPr>
        <w:t>Of the amounts in this column, the following amounts have also been reported in the Summary Compensation Table for fiscal 2020 and 2019:</w:t>
      </w:r>
    </w:p>
    <w:p>
      <w:pPr>
        <w:spacing w:after="0" w:line="270" w:lineRule="exact"/>
        <w:rPr>
          <w:sz w:val="20"/>
          <w:szCs w:val="20"/>
          <w:color w:val="auto"/>
        </w:rPr>
      </w:pPr>
    </w:p>
    <w:tbl>
      <w:tblPr>
        <w:tblLayout w:type="fixed"/>
        <w:tblInd w:w="480" w:type="dxa"/>
        <w:tblCellMar>
          <w:top w:w="0" w:type="dxa"/>
          <w:left w:w="0" w:type="dxa"/>
          <w:bottom w:w="0" w:type="dxa"/>
          <w:right w:w="0" w:type="dxa"/>
        </w:tblCellMar>
      </w:tblPr>
      <w:tr>
        <w:trPr>
          <w:trHeight w:val="197"/>
        </w:trPr>
        <w:tc>
          <w:tcPr>
            <w:tcW w:w="2940" w:type="dxa"/>
            <w:vAlign w:val="bottom"/>
            <w:shd w:val="clear" w:color="auto" w:fill="0066BA"/>
          </w:tcPr>
          <w:p>
            <w:pPr>
              <w:spacing w:after="0"/>
              <w:rPr>
                <w:sz w:val="17"/>
                <w:szCs w:val="17"/>
                <w:color w:val="auto"/>
              </w:rPr>
            </w:pPr>
          </w:p>
        </w:tc>
        <w:tc>
          <w:tcPr>
            <w:tcW w:w="2460" w:type="dxa"/>
            <w:vAlign w:val="bottom"/>
            <w:shd w:val="clear" w:color="auto" w:fill="0066BA"/>
          </w:tcPr>
          <w:p>
            <w:pPr>
              <w:jc w:val="right"/>
              <w:ind w:right="244"/>
              <w:spacing w:after="0"/>
              <w:rPr>
                <w:sz w:val="20"/>
                <w:szCs w:val="20"/>
                <w:color w:val="auto"/>
              </w:rPr>
            </w:pPr>
            <w:r>
              <w:rPr>
                <w:rFonts w:ascii="Arial" w:cs="Arial" w:eastAsia="Arial" w:hAnsi="Arial"/>
                <w:sz w:val="14"/>
                <w:szCs w:val="14"/>
                <w:b w:val="1"/>
                <w:bCs w:val="1"/>
                <w:color w:val="FFFFFF"/>
              </w:rPr>
              <w:t>Previously Reported for</w:t>
            </w:r>
          </w:p>
        </w:tc>
        <w:tc>
          <w:tcPr>
            <w:tcW w:w="2500" w:type="dxa"/>
            <w:vAlign w:val="bottom"/>
            <w:shd w:val="clear" w:color="auto" w:fill="0066BA"/>
          </w:tcPr>
          <w:p>
            <w:pPr>
              <w:jc w:val="right"/>
              <w:ind w:right="224"/>
              <w:spacing w:after="0"/>
              <w:rPr>
                <w:sz w:val="20"/>
                <w:szCs w:val="20"/>
                <w:color w:val="auto"/>
              </w:rPr>
            </w:pPr>
            <w:r>
              <w:rPr>
                <w:rFonts w:ascii="Arial" w:cs="Arial" w:eastAsia="Arial" w:hAnsi="Arial"/>
                <w:sz w:val="14"/>
                <w:szCs w:val="14"/>
                <w:b w:val="1"/>
                <w:bCs w:val="1"/>
                <w:color w:val="FFFFFF"/>
              </w:rPr>
              <w:t>Previously Reported for</w:t>
            </w:r>
          </w:p>
        </w:tc>
      </w:tr>
      <w:tr>
        <w:trPr>
          <w:trHeight w:val="194"/>
        </w:trPr>
        <w:tc>
          <w:tcPr>
            <w:tcW w:w="294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Name</w:t>
            </w:r>
          </w:p>
        </w:tc>
        <w:tc>
          <w:tcPr>
            <w:tcW w:w="2460" w:type="dxa"/>
            <w:vAlign w:val="bottom"/>
            <w:shd w:val="clear" w:color="auto" w:fill="0066BA"/>
          </w:tcPr>
          <w:p>
            <w:pPr>
              <w:jc w:val="right"/>
              <w:ind w:right="244"/>
              <w:spacing w:after="0"/>
              <w:rPr>
                <w:sz w:val="20"/>
                <w:szCs w:val="20"/>
                <w:color w:val="auto"/>
              </w:rPr>
            </w:pPr>
            <w:r>
              <w:rPr>
                <w:rFonts w:ascii="Arial" w:cs="Arial" w:eastAsia="Arial" w:hAnsi="Arial"/>
                <w:sz w:val="14"/>
                <w:szCs w:val="14"/>
                <w:b w:val="1"/>
                <w:bCs w:val="1"/>
                <w:color w:val="FFFFFF"/>
              </w:rPr>
              <w:t>Fiscal 2020 ($)</w:t>
            </w:r>
          </w:p>
        </w:tc>
        <w:tc>
          <w:tcPr>
            <w:tcW w:w="2500" w:type="dxa"/>
            <w:vAlign w:val="bottom"/>
            <w:shd w:val="clear" w:color="auto" w:fill="0066BA"/>
          </w:tcPr>
          <w:p>
            <w:pPr>
              <w:jc w:val="right"/>
              <w:ind w:right="224"/>
              <w:spacing w:after="0"/>
              <w:rPr>
                <w:sz w:val="20"/>
                <w:szCs w:val="20"/>
                <w:color w:val="auto"/>
              </w:rPr>
            </w:pPr>
            <w:r>
              <w:rPr>
                <w:rFonts w:ascii="Arial" w:cs="Arial" w:eastAsia="Arial" w:hAnsi="Arial"/>
                <w:sz w:val="14"/>
                <w:szCs w:val="14"/>
                <w:b w:val="1"/>
                <w:bCs w:val="1"/>
                <w:color w:val="FFFFFF"/>
              </w:rPr>
              <w:t>Fiscal 2019 ($)</w:t>
            </w:r>
          </w:p>
        </w:tc>
      </w:tr>
      <w:tr>
        <w:trPr>
          <w:trHeight w:val="227"/>
        </w:trPr>
        <w:tc>
          <w:tcPr>
            <w:tcW w:w="29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66BA"/>
              </w:rPr>
              <w:t>Vincent Roche</w:t>
            </w:r>
          </w:p>
        </w:tc>
        <w:tc>
          <w:tcPr>
            <w:tcW w:w="2460" w:type="dxa"/>
            <w:vAlign w:val="bottom"/>
            <w:tcBorders>
              <w:bottom w:val="single" w:sz="8" w:color="auto"/>
            </w:tcBorders>
            <w:shd w:val="clear" w:color="auto" w:fill="EAEAEA"/>
          </w:tcPr>
          <w:p>
            <w:pPr>
              <w:jc w:val="right"/>
              <w:ind w:right="244"/>
              <w:spacing w:after="0"/>
              <w:rPr>
                <w:sz w:val="20"/>
                <w:szCs w:val="20"/>
                <w:color w:val="auto"/>
              </w:rPr>
            </w:pPr>
            <w:r>
              <w:rPr>
                <w:rFonts w:ascii="Arial" w:cs="Arial" w:eastAsia="Arial" w:hAnsi="Arial"/>
                <w:sz w:val="16"/>
                <w:szCs w:val="16"/>
                <w:color w:val="auto"/>
              </w:rPr>
              <w:t>457,780</w:t>
            </w:r>
          </w:p>
        </w:tc>
        <w:tc>
          <w:tcPr>
            <w:tcW w:w="2500" w:type="dxa"/>
            <w:vAlign w:val="bottom"/>
            <w:tcBorders>
              <w:bottom w:val="single" w:sz="8" w:color="auto"/>
            </w:tcBorders>
          </w:tcPr>
          <w:p>
            <w:pPr>
              <w:jc w:val="right"/>
              <w:ind w:right="224"/>
              <w:spacing w:after="0"/>
              <w:rPr>
                <w:sz w:val="20"/>
                <w:szCs w:val="20"/>
                <w:color w:val="auto"/>
              </w:rPr>
            </w:pPr>
            <w:r>
              <w:rPr>
                <w:rFonts w:ascii="Arial" w:cs="Arial" w:eastAsia="Arial" w:hAnsi="Arial"/>
                <w:sz w:val="16"/>
                <w:szCs w:val="16"/>
                <w:color w:val="auto"/>
              </w:rPr>
              <w:t>2,253,300</w:t>
            </w:r>
          </w:p>
        </w:tc>
      </w:tr>
      <w:tr>
        <w:trPr>
          <w:trHeight w:val="214"/>
        </w:trPr>
        <w:tc>
          <w:tcPr>
            <w:tcW w:w="29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66BA"/>
              </w:rPr>
              <w:t>Prashanth Mahendra-Rajah</w:t>
            </w:r>
          </w:p>
        </w:tc>
        <w:tc>
          <w:tcPr>
            <w:tcW w:w="2460" w:type="dxa"/>
            <w:vAlign w:val="bottom"/>
            <w:tcBorders>
              <w:bottom w:val="single" w:sz="8" w:color="auto"/>
            </w:tcBorders>
            <w:shd w:val="clear" w:color="auto" w:fill="EAEAEA"/>
          </w:tcPr>
          <w:p>
            <w:pPr>
              <w:jc w:val="right"/>
              <w:ind w:right="244"/>
              <w:spacing w:after="0"/>
              <w:rPr>
                <w:sz w:val="20"/>
                <w:szCs w:val="20"/>
                <w:color w:val="auto"/>
              </w:rPr>
            </w:pPr>
            <w:r>
              <w:rPr>
                <w:rFonts w:ascii="Arial" w:cs="Arial" w:eastAsia="Arial" w:hAnsi="Arial"/>
                <w:sz w:val="16"/>
                <w:szCs w:val="16"/>
                <w:color w:val="auto"/>
              </w:rPr>
              <w:t>481,799</w:t>
            </w:r>
          </w:p>
        </w:tc>
        <w:tc>
          <w:tcPr>
            <w:tcW w:w="2500" w:type="dxa"/>
            <w:vAlign w:val="bottom"/>
            <w:tcBorders>
              <w:bottom w:val="single" w:sz="8" w:color="auto"/>
            </w:tcBorders>
          </w:tcPr>
          <w:p>
            <w:pPr>
              <w:jc w:val="right"/>
              <w:ind w:right="224"/>
              <w:spacing w:after="0"/>
              <w:rPr>
                <w:sz w:val="20"/>
                <w:szCs w:val="20"/>
                <w:color w:val="auto"/>
              </w:rPr>
            </w:pPr>
            <w:r>
              <w:rPr>
                <w:rFonts w:ascii="Arial" w:cs="Arial" w:eastAsia="Arial" w:hAnsi="Arial"/>
                <w:sz w:val="16"/>
                <w:szCs w:val="16"/>
                <w:color w:val="auto"/>
              </w:rPr>
              <w:t>25,961</w:t>
            </w:r>
          </w:p>
        </w:tc>
      </w:tr>
      <w:tr>
        <w:trPr>
          <w:trHeight w:val="214"/>
        </w:trPr>
        <w:tc>
          <w:tcPr>
            <w:tcW w:w="29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66BA"/>
              </w:rPr>
              <w:t>Martin Cotter</w:t>
            </w:r>
          </w:p>
        </w:tc>
        <w:tc>
          <w:tcPr>
            <w:tcW w:w="2460" w:type="dxa"/>
            <w:vAlign w:val="bottom"/>
            <w:tcBorders>
              <w:bottom w:val="single" w:sz="8" w:color="auto"/>
            </w:tcBorders>
            <w:shd w:val="clear" w:color="auto" w:fill="EAEAEA"/>
          </w:tcPr>
          <w:p>
            <w:pPr>
              <w:jc w:val="right"/>
              <w:ind w:right="244"/>
              <w:spacing w:after="0"/>
              <w:rPr>
                <w:sz w:val="20"/>
                <w:szCs w:val="20"/>
                <w:color w:val="auto"/>
              </w:rPr>
            </w:pPr>
            <w:r>
              <w:rPr>
                <w:rFonts w:ascii="Arial" w:cs="Arial" w:eastAsia="Arial" w:hAnsi="Arial"/>
                <w:sz w:val="16"/>
                <w:szCs w:val="16"/>
                <w:color w:val="auto"/>
              </w:rPr>
              <w:t>365,913</w:t>
            </w:r>
          </w:p>
        </w:tc>
        <w:tc>
          <w:tcPr>
            <w:tcW w:w="2500" w:type="dxa"/>
            <w:vAlign w:val="bottom"/>
            <w:tcBorders>
              <w:bottom w:val="single" w:sz="8" w:color="auto"/>
            </w:tcBorders>
          </w:tcPr>
          <w:p>
            <w:pPr>
              <w:jc w:val="right"/>
              <w:ind w:right="224"/>
              <w:spacing w:after="0"/>
              <w:rPr>
                <w:sz w:val="20"/>
                <w:szCs w:val="20"/>
                <w:color w:val="auto"/>
              </w:rPr>
            </w:pPr>
            <w:r>
              <w:rPr>
                <w:rFonts w:ascii="Arial" w:cs="Arial" w:eastAsia="Arial" w:hAnsi="Arial"/>
                <w:sz w:val="16"/>
                <w:szCs w:val="16"/>
                <w:color w:val="auto"/>
              </w:rPr>
              <w:t>31,020</w:t>
            </w:r>
          </w:p>
        </w:tc>
      </w:tr>
      <w:tr>
        <w:trPr>
          <w:trHeight w:val="214"/>
        </w:trPr>
        <w:tc>
          <w:tcPr>
            <w:tcW w:w="29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66BA"/>
              </w:rPr>
              <w:t>John Hassett</w:t>
            </w:r>
          </w:p>
        </w:tc>
        <w:tc>
          <w:tcPr>
            <w:tcW w:w="2460" w:type="dxa"/>
            <w:vAlign w:val="bottom"/>
            <w:tcBorders>
              <w:bottom w:val="single" w:sz="8" w:color="auto"/>
            </w:tcBorders>
            <w:shd w:val="clear" w:color="auto" w:fill="EAEAEA"/>
          </w:tcPr>
          <w:p>
            <w:pPr>
              <w:jc w:val="right"/>
              <w:ind w:right="244"/>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tcPr>
          <w:p>
            <w:pPr>
              <w:jc w:val="right"/>
              <w:ind w:right="224"/>
              <w:spacing w:after="0"/>
              <w:rPr>
                <w:sz w:val="20"/>
                <w:szCs w:val="20"/>
                <w:color w:val="auto"/>
              </w:rPr>
            </w:pPr>
            <w:r>
              <w:rPr>
                <w:rFonts w:ascii="Arial" w:cs="Arial" w:eastAsia="Arial" w:hAnsi="Arial"/>
                <w:sz w:val="16"/>
                <w:szCs w:val="16"/>
                <w:color w:val="auto"/>
              </w:rPr>
              <w:t>—</w:t>
            </w:r>
          </w:p>
        </w:tc>
      </w:tr>
      <w:tr>
        <w:trPr>
          <w:trHeight w:val="214"/>
        </w:trPr>
        <w:tc>
          <w:tcPr>
            <w:tcW w:w="29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66BA"/>
              </w:rPr>
              <w:t>Greg Henderson</w:t>
            </w:r>
          </w:p>
        </w:tc>
        <w:tc>
          <w:tcPr>
            <w:tcW w:w="2460" w:type="dxa"/>
            <w:vAlign w:val="bottom"/>
            <w:tcBorders>
              <w:bottom w:val="single" w:sz="8" w:color="auto"/>
            </w:tcBorders>
            <w:shd w:val="clear" w:color="auto" w:fill="EAEAEA"/>
          </w:tcPr>
          <w:p>
            <w:pPr>
              <w:jc w:val="right"/>
              <w:ind w:right="244"/>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auto"/>
            </w:tcBorders>
          </w:tcPr>
          <w:p>
            <w:pPr>
              <w:jc w:val="right"/>
              <w:ind w:right="224"/>
              <w:spacing w:after="0"/>
              <w:rPr>
                <w:sz w:val="20"/>
                <w:szCs w:val="20"/>
                <w:color w:val="auto"/>
              </w:rPr>
            </w:pPr>
            <w:r>
              <w:rPr>
                <w:rFonts w:ascii="Arial" w:cs="Arial" w:eastAsia="Arial" w:hAnsi="Arial"/>
                <w:sz w:val="16"/>
                <w:szCs w:val="16"/>
                <w:color w:val="auto"/>
              </w:rPr>
              <w:t>—</w:t>
            </w:r>
          </w:p>
        </w:tc>
      </w:tr>
      <w:tr>
        <w:trPr>
          <w:trHeight w:val="214"/>
        </w:trPr>
        <w:tc>
          <w:tcPr>
            <w:tcW w:w="2940" w:type="dxa"/>
            <w:vAlign w:val="bottom"/>
            <w:tcBorders>
              <w:bottom w:val="single" w:sz="8" w:color="0066BA"/>
            </w:tcBorders>
          </w:tcPr>
          <w:p>
            <w:pPr>
              <w:ind w:left="60"/>
              <w:spacing w:after="0"/>
              <w:rPr>
                <w:sz w:val="20"/>
                <w:szCs w:val="20"/>
                <w:color w:val="auto"/>
              </w:rPr>
            </w:pPr>
            <w:r>
              <w:rPr>
                <w:rFonts w:ascii="Arial" w:cs="Arial" w:eastAsia="Arial" w:hAnsi="Arial"/>
                <w:sz w:val="16"/>
                <w:szCs w:val="16"/>
                <w:b w:val="1"/>
                <w:bCs w:val="1"/>
                <w:color w:val="0066BA"/>
              </w:rPr>
              <w:t>Anelise Sacks</w:t>
            </w:r>
          </w:p>
        </w:tc>
        <w:tc>
          <w:tcPr>
            <w:tcW w:w="2460" w:type="dxa"/>
            <w:vAlign w:val="bottom"/>
            <w:tcBorders>
              <w:bottom w:val="single" w:sz="8" w:color="0066BA"/>
            </w:tcBorders>
            <w:shd w:val="clear" w:color="auto" w:fill="EAEAEA"/>
          </w:tcPr>
          <w:p>
            <w:pPr>
              <w:jc w:val="right"/>
              <w:ind w:right="244"/>
              <w:spacing w:after="0"/>
              <w:rPr>
                <w:sz w:val="20"/>
                <w:szCs w:val="20"/>
                <w:color w:val="auto"/>
              </w:rPr>
            </w:pPr>
            <w:r>
              <w:rPr>
                <w:rFonts w:ascii="Arial" w:cs="Arial" w:eastAsia="Arial" w:hAnsi="Arial"/>
                <w:sz w:val="16"/>
                <w:szCs w:val="16"/>
                <w:color w:val="auto"/>
              </w:rPr>
              <w:t>—</w:t>
            </w:r>
          </w:p>
        </w:tc>
        <w:tc>
          <w:tcPr>
            <w:tcW w:w="2500" w:type="dxa"/>
            <w:vAlign w:val="bottom"/>
            <w:tcBorders>
              <w:bottom w:val="single" w:sz="8" w:color="0066BA"/>
            </w:tcBorders>
          </w:tcPr>
          <w:p>
            <w:pPr>
              <w:jc w:val="right"/>
              <w:ind w:right="224"/>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5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0760"/>
          </w:cols>
          <w:pgMar w:left="320" w:top="447" w:right="81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33333"/>
        </w:rPr>
        <w:t>Change in Control Benefits</w:t>
      </w:r>
    </w:p>
    <w:p>
      <w:pPr>
        <w:spacing w:after="0" w:line="218"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0066BA"/>
        </w:rPr>
        <w:t>Change in Control Retention Agreements</w:t>
      </w:r>
    </w:p>
    <w:p>
      <w:pPr>
        <w:spacing w:after="0" w:line="124" w:lineRule="exact"/>
        <w:rPr>
          <w:sz w:val="20"/>
          <w:szCs w:val="20"/>
          <w:color w:val="auto"/>
        </w:rPr>
      </w:pPr>
    </w:p>
    <w:p>
      <w:pPr>
        <w:ind w:left="480" w:right="700"/>
        <w:spacing w:after="0" w:line="286" w:lineRule="auto"/>
        <w:rPr>
          <w:sz w:val="20"/>
          <w:szCs w:val="20"/>
          <w:color w:val="auto"/>
        </w:rPr>
      </w:pPr>
      <w:r>
        <w:rPr>
          <w:rFonts w:ascii="Arial" w:cs="Arial" w:eastAsia="Arial" w:hAnsi="Arial"/>
          <w:sz w:val="17"/>
          <w:szCs w:val="17"/>
          <w:color w:val="auto"/>
        </w:rPr>
        <w:t>We have entered into change in control retention agreements with each of our executive officers and other key employees. These agreements provide for severance benefits if any of the following occurs:</w:t>
      </w:r>
    </w:p>
    <w:p>
      <w:pPr>
        <w:spacing w:after="0" w:line="67" w:lineRule="exact"/>
        <w:rPr>
          <w:sz w:val="20"/>
          <w:szCs w:val="20"/>
          <w:color w:val="auto"/>
        </w:rPr>
      </w:pPr>
    </w:p>
    <w:p>
      <w:pPr>
        <w:ind w:left="660" w:right="760" w:hanging="185"/>
        <w:spacing w:after="0" w:line="334" w:lineRule="auto"/>
        <w:tabs>
          <w:tab w:leader="none" w:pos="6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Within 24 months after a change in control (as defined in each agreement) that was approved by our Board of Directors, we terminate the employee’s employment with us for a reason other than “cause” (as defined in the agreement) or the employee’s death or disability;</w:t>
      </w:r>
    </w:p>
    <w:p>
      <w:pPr>
        <w:spacing w:after="0" w:line="1" w:lineRule="exact"/>
        <w:rPr>
          <w:rFonts w:ascii="Arial" w:cs="Arial" w:eastAsia="Arial" w:hAnsi="Arial"/>
          <w:sz w:val="15"/>
          <w:szCs w:val="15"/>
          <w:color w:val="auto"/>
        </w:rPr>
      </w:pPr>
    </w:p>
    <w:p>
      <w:pPr>
        <w:ind w:left="660" w:right="540" w:hanging="185"/>
        <w:spacing w:after="0" w:line="286"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Within 24 months after a change in control that was approved by our Board of Directors, the employee terminates his or her employment for “good reason” (as defined in the agreement); or</w:t>
      </w:r>
    </w:p>
    <w:p>
      <w:pPr>
        <w:spacing w:after="0" w:line="15" w:lineRule="exact"/>
        <w:rPr>
          <w:rFonts w:ascii="Arial" w:cs="Arial" w:eastAsia="Arial" w:hAnsi="Arial"/>
          <w:sz w:val="17"/>
          <w:szCs w:val="17"/>
          <w:color w:val="auto"/>
        </w:rPr>
      </w:pPr>
    </w:p>
    <w:p>
      <w:pPr>
        <w:ind w:left="660" w:right="660" w:hanging="185"/>
        <w:spacing w:after="0" w:line="319"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Within 12 months after a change in control that was not approved by our Board of Directors, we or the employee terminate the employee’s employment with us for a reason other than “cause” (as defined in the agreement) or the employee’s death or disability.</w:t>
      </w:r>
    </w:p>
    <w:p>
      <w:pPr>
        <w:spacing w:after="0" w:line="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For purposes of our change in control retention agreements, a “change in control” occurs when:</w:t>
      </w:r>
    </w:p>
    <w:p>
      <w:pPr>
        <w:spacing w:after="0" w:line="130" w:lineRule="exact"/>
        <w:rPr>
          <w:sz w:val="20"/>
          <w:szCs w:val="20"/>
          <w:color w:val="auto"/>
        </w:rPr>
      </w:pPr>
    </w:p>
    <w:p>
      <w:pPr>
        <w:ind w:left="660" w:hanging="185"/>
        <w:spacing w:after="0"/>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Any person or entity becomes the beneficial owner of 30% or more of the combined voting power of our outstanding securities;</w:t>
      </w:r>
    </w:p>
    <w:p>
      <w:pPr>
        <w:spacing w:after="0" w:line="77" w:lineRule="exact"/>
        <w:rPr>
          <w:rFonts w:ascii="Arial" w:cs="Arial" w:eastAsia="Arial" w:hAnsi="Arial"/>
          <w:sz w:val="17"/>
          <w:szCs w:val="17"/>
          <w:color w:val="auto"/>
        </w:rPr>
      </w:pPr>
    </w:p>
    <w:p>
      <w:pPr>
        <w:ind w:left="660" w:hanging="185"/>
        <w:spacing w:after="0"/>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Our shareholders approve specified mergers of ADI with another entity; or</w:t>
      </w:r>
    </w:p>
    <w:p>
      <w:pPr>
        <w:spacing w:after="0" w:line="77" w:lineRule="exact"/>
        <w:rPr>
          <w:rFonts w:ascii="Arial" w:cs="Arial" w:eastAsia="Arial" w:hAnsi="Arial"/>
          <w:sz w:val="17"/>
          <w:szCs w:val="17"/>
          <w:color w:val="auto"/>
        </w:rPr>
      </w:pPr>
    </w:p>
    <w:p>
      <w:pPr>
        <w:ind w:left="660" w:hanging="185"/>
        <w:spacing w:after="0"/>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Our shareholders approve a plan of liquidation or sale of all, or substantially all, of ADI’s assets.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These agreements provide for the following severance benefits in the event of termination following a change in control approved by the Board of</w:t>
      </w:r>
    </w:p>
    <w:p>
      <w:pPr>
        <w:spacing w:after="0" w:line="3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Directors:</w:t>
      </w:r>
    </w:p>
    <w:p>
      <w:pPr>
        <w:spacing w:after="0" w:line="117" w:lineRule="exact"/>
        <w:rPr>
          <w:sz w:val="20"/>
          <w:szCs w:val="20"/>
          <w:color w:val="auto"/>
        </w:rPr>
      </w:pPr>
    </w:p>
    <w:p>
      <w:pPr>
        <w:ind w:left="660" w:right="200" w:hanging="185"/>
        <w:spacing w:after="0" w:line="265" w:lineRule="auto"/>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lump-sum payment equal to 200% (299% in the case of certain employees who are parties to the agreements, including each of our NEOs) of the sum of the employee’s annual base salary (as of the date of termination or the date of the change in control, whichever is higher) plus 200% (299% in the case of certain employees who are parties to the agreements, including each of our NEOs) of the total cash bonuses paid or awarded to him or her in the four fiscal quarters preceding his or her termination;</w:t>
      </w:r>
    </w:p>
    <w:p>
      <w:pPr>
        <w:spacing w:after="0" w:line="34" w:lineRule="exact"/>
        <w:rPr>
          <w:rFonts w:ascii="Arial" w:cs="Arial" w:eastAsia="Arial" w:hAnsi="Arial"/>
          <w:sz w:val="17"/>
          <w:szCs w:val="17"/>
          <w:color w:val="auto"/>
        </w:rPr>
      </w:pPr>
    </w:p>
    <w:p>
      <w:pPr>
        <w:ind w:left="660" w:right="240" w:hanging="185"/>
        <w:spacing w:after="0" w:line="265" w:lineRule="auto"/>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Payment of all legal fees and expenses incurred by the employee as a result of such termination (including all such fees and expenses, if any, incurred in disputing such termination or in seeking to obtain or enforce any right or benefit provided by the agreement or in connection with tax audit or proceeding to the extent attributable to the application of Section 4999 of the Internal Revenue Code to any payment or benefit provided under the agreement); and</w:t>
      </w:r>
    </w:p>
    <w:p>
      <w:pPr>
        <w:spacing w:after="0" w:line="34" w:lineRule="exact"/>
        <w:rPr>
          <w:rFonts w:ascii="Arial" w:cs="Arial" w:eastAsia="Arial" w:hAnsi="Arial"/>
          <w:sz w:val="17"/>
          <w:szCs w:val="17"/>
          <w:color w:val="auto"/>
        </w:rPr>
      </w:pPr>
    </w:p>
    <w:p>
      <w:pPr>
        <w:ind w:left="660" w:hanging="185"/>
        <w:spacing w:after="0"/>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continuation of life, disability, dental, accident and group health insurance benefits for a period of 24 months.</w:t>
      </w:r>
    </w:p>
    <w:p>
      <w:pPr>
        <w:spacing w:after="0" w:line="117" w:lineRule="exact"/>
        <w:rPr>
          <w:sz w:val="20"/>
          <w:szCs w:val="20"/>
          <w:color w:val="auto"/>
        </w:rPr>
      </w:pPr>
    </w:p>
    <w:p>
      <w:pPr>
        <w:ind w:left="480" w:right="180"/>
        <w:spacing w:after="0" w:line="261" w:lineRule="auto"/>
        <w:rPr>
          <w:sz w:val="20"/>
          <w:szCs w:val="20"/>
          <w:color w:val="auto"/>
        </w:rPr>
      </w:pPr>
      <w:r>
        <w:rPr>
          <w:rFonts w:ascii="Arial" w:cs="Arial" w:eastAsia="Arial" w:hAnsi="Arial"/>
          <w:sz w:val="17"/>
          <w:szCs w:val="17"/>
          <w:color w:val="auto"/>
        </w:rPr>
        <w:t>If payments to the employee under his or her agreement (together with any other payments or benefits, including the accelerated vesting of stock options or restricted stock awards that the employee receives in connection with a change in control) would trigger the provisions of Sections 280G and 4999 of the Internal Revenue Code, the change in control employee retention agreements provide for the payment of an additional amount so that the employee receives, net of excise taxes, the amount he or she would have been entitled to receive in the absence of the excise tax imposed by Section 4999 of the Internal Revenue Code. In September 2009, our Compensation Committee eliminated this provision from any new employee retention agreements.</w:t>
      </w:r>
    </w:p>
    <w:p>
      <w:pPr>
        <w:spacing w:after="0" w:line="77" w:lineRule="exact"/>
        <w:rPr>
          <w:sz w:val="20"/>
          <w:szCs w:val="20"/>
          <w:color w:val="auto"/>
        </w:rPr>
      </w:pPr>
    </w:p>
    <w:p>
      <w:pPr>
        <w:ind w:left="480" w:right="180"/>
        <w:spacing w:after="0" w:line="265" w:lineRule="auto"/>
        <w:rPr>
          <w:sz w:val="20"/>
          <w:szCs w:val="20"/>
          <w:color w:val="auto"/>
        </w:rPr>
      </w:pPr>
      <w:r>
        <w:rPr>
          <w:rFonts w:ascii="Arial" w:cs="Arial" w:eastAsia="Arial" w:hAnsi="Arial"/>
          <w:sz w:val="17"/>
          <w:szCs w:val="17"/>
          <w:color w:val="auto"/>
        </w:rPr>
        <w:t>Each agreement provides that, in the event of a potential change in control (as defined in each agreement), the employee will not voluntarily resign as an employee, subject to certain conditions, for at least six months after the change in control occurs. The Compensation Committee reviews these agreements each year, and the agreements automatically renew each year unless we give the employee three months’ notice that his or her agreement will not be extended.</w:t>
      </w:r>
    </w:p>
    <w:p>
      <w:pPr>
        <w:spacing w:after="0" w:line="270"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0066BA"/>
        </w:rPr>
        <w:t>Potential Payments Upon Termination or Change in Control</w:t>
      </w:r>
    </w:p>
    <w:p>
      <w:pPr>
        <w:spacing w:after="0" w:line="124" w:lineRule="exact"/>
        <w:rPr>
          <w:sz w:val="20"/>
          <w:szCs w:val="20"/>
          <w:color w:val="auto"/>
        </w:rPr>
      </w:pPr>
    </w:p>
    <w:p>
      <w:pPr>
        <w:ind w:left="480" w:right="180"/>
        <w:spacing w:after="0" w:line="259" w:lineRule="auto"/>
        <w:rPr>
          <w:sz w:val="20"/>
          <w:szCs w:val="20"/>
          <w:color w:val="auto"/>
        </w:rPr>
      </w:pPr>
      <w:r>
        <w:rPr>
          <w:rFonts w:ascii="Arial" w:cs="Arial" w:eastAsia="Arial" w:hAnsi="Arial"/>
          <w:sz w:val="17"/>
          <w:szCs w:val="17"/>
          <w:color w:val="auto"/>
        </w:rPr>
        <w:t>Payments upon a change in control for our executive officers, including our NEOs, are calculated based upon the change-in-control retention agreements described above under “Change in Control Benefits—Change in Control Retention Agreements.” Under our 2020 Plan and our 2006 Plan, in the event of a change in control, employees who have outstanding and unvested awards under either plan and who are employed on the closing of a change in control, including our NEOs, would have the vesting of one-half of the shares of common stock subject to their then-outstanding unvested equity awards accelerate and become immediately exercisable and free from forfeiture. The remaining one-half of the unvested equity awards would continue to vest in accordance with the original vesting schedules, and any remaining unvested equity awards would vest if, on or prior to the first anniversary of the change in control, his or her employment is terminated without cause or for good reason (as defined in the applicable plan).</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0940"/>
          </w:cols>
          <w:pgMar w:left="320" w:top="447" w:right="63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480"/>
        <w:spacing w:after="0" w:line="306" w:lineRule="auto"/>
        <w:rPr>
          <w:sz w:val="20"/>
          <w:szCs w:val="20"/>
          <w:color w:val="auto"/>
        </w:rPr>
      </w:pPr>
      <w:r>
        <w:rPr>
          <w:rFonts w:ascii="Arial" w:cs="Arial" w:eastAsia="Arial" w:hAnsi="Arial"/>
          <w:sz w:val="15"/>
          <w:szCs w:val="15"/>
          <w:color w:val="auto"/>
        </w:rPr>
        <w:t>Upon a change in control approved by the Board of Directors, if we terminate an executive officer’s employment for cause or if the executive officer terminates his or her employment other than for good reason, then the executive officer will receive his or her full base salary and all other compensation through the date of termination at the rate in effect at the time that the termination notice is given and we will have no further obligations to the executive officer. When the employment of an executive officer terminates in a situation that does not involve a change in control, the officer is entitled to receive the same benefits as any other terminating employee. This applies regardless of the reason for termination.</w:t>
      </w:r>
    </w:p>
    <w:p>
      <w:pPr>
        <w:spacing w:after="0" w:line="45" w:lineRule="exact"/>
        <w:rPr>
          <w:sz w:val="20"/>
          <w:szCs w:val="20"/>
          <w:color w:val="auto"/>
        </w:rPr>
      </w:pPr>
    </w:p>
    <w:p>
      <w:pPr>
        <w:ind w:left="480"/>
        <w:spacing w:after="0" w:line="302" w:lineRule="auto"/>
        <w:rPr>
          <w:sz w:val="20"/>
          <w:szCs w:val="20"/>
          <w:color w:val="auto"/>
        </w:rPr>
      </w:pPr>
      <w:r>
        <w:rPr>
          <w:rFonts w:ascii="Arial" w:cs="Arial" w:eastAsia="Arial" w:hAnsi="Arial"/>
          <w:sz w:val="15"/>
          <w:szCs w:val="15"/>
          <w:color w:val="auto"/>
        </w:rPr>
        <w:t>The following tables quantify the amounts that would be payable to the NEOs upon termination of their employment. The amounts shown assume that the terminations were effective on the last day of our fiscal year, or October 30, 2021. The tables do not include the accumulated benefit under our DCP that would be paid to our NEOs described above under “Non-Qualified Deferred Compensation Plan,” or any other employee benefits, except to the extent that the officer is entitled to an additional benefit as a result of the termination. In addition, the tables do not include the value of vested but unexercised stock options held by each executive as of October 30, 2021. The actual amounts that would be paid out would depend on which options were exercised and, therefore, can only be determined at the time of the executive officer’s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122555</wp:posOffset>
            </wp:positionV>
            <wp:extent cx="6534150" cy="18161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534150" cy="181610"/>
                    </a:xfrm>
                    <a:prstGeom prst="rect">
                      <a:avLst/>
                    </a:prstGeom>
                    <a:noFill/>
                  </pic:spPr>
                </pic:pic>
              </a:graphicData>
            </a:graphic>
          </wp:anchor>
        </w:drawing>
      </w:r>
    </w:p>
    <w:p>
      <w:pPr>
        <w:spacing w:after="0" w:line="214"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FFFFFF"/>
        </w:rPr>
        <w:t>Termination by us without Cause or by the Named Executive Officer with Good Reason Following a Change in Control</w:t>
      </w:r>
    </w:p>
    <w:p>
      <w:pPr>
        <w:spacing w:after="0" w:line="41" w:lineRule="exact"/>
        <w:rPr>
          <w:sz w:val="20"/>
          <w:szCs w:val="20"/>
          <w:color w:val="auto"/>
        </w:rPr>
      </w:pPr>
    </w:p>
    <w:tbl>
      <w:tblPr>
        <w:tblLayout w:type="fixed"/>
        <w:tblInd w:w="480" w:type="dxa"/>
        <w:tblCellMar>
          <w:top w:w="0" w:type="dxa"/>
          <w:left w:w="0" w:type="dxa"/>
          <w:bottom w:w="0" w:type="dxa"/>
          <w:right w:w="0" w:type="dxa"/>
        </w:tblCellMar>
      </w:tblPr>
      <w:tr>
        <w:trPr>
          <w:trHeight w:val="44"/>
        </w:trPr>
        <w:tc>
          <w:tcPr>
            <w:tcW w:w="4080" w:type="dxa"/>
            <w:vAlign w:val="bottom"/>
            <w:shd w:val="clear" w:color="auto" w:fill="0066BA"/>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45"/>
        </w:trPr>
        <w:tc>
          <w:tcPr>
            <w:tcW w:w="4080" w:type="dxa"/>
            <w:vAlign w:val="bottom"/>
            <w:shd w:val="clear" w:color="auto" w:fill="0066BA"/>
          </w:tcPr>
          <w:p>
            <w:pPr>
              <w:spacing w:after="0"/>
              <w:rPr>
                <w:sz w:val="12"/>
                <w:szCs w:val="12"/>
                <w:color w:val="auto"/>
              </w:rPr>
            </w:pPr>
          </w:p>
        </w:tc>
        <w:tc>
          <w:tcPr>
            <w:tcW w:w="1000" w:type="dxa"/>
            <w:vAlign w:val="bottom"/>
            <w:shd w:val="clear" w:color="auto" w:fill="0066BA"/>
          </w:tcPr>
          <w:p>
            <w:pPr>
              <w:jc w:val="right"/>
              <w:ind w:right="5"/>
              <w:spacing w:after="0" w:line="145" w:lineRule="exact"/>
              <w:rPr>
                <w:sz w:val="20"/>
                <w:szCs w:val="20"/>
                <w:color w:val="auto"/>
              </w:rPr>
            </w:pPr>
            <w:r>
              <w:rPr>
                <w:rFonts w:ascii="Arial" w:cs="Arial" w:eastAsia="Arial" w:hAnsi="Arial"/>
                <w:sz w:val="14"/>
                <w:szCs w:val="14"/>
                <w:b w:val="1"/>
                <w:bCs w:val="1"/>
                <w:color w:val="FFFFFF"/>
              </w:rPr>
              <w:t>Vincent</w:t>
            </w:r>
          </w:p>
        </w:tc>
        <w:tc>
          <w:tcPr>
            <w:tcW w:w="1040" w:type="dxa"/>
            <w:vAlign w:val="bottom"/>
            <w:shd w:val="clear" w:color="auto" w:fill="0066BA"/>
          </w:tcPr>
          <w:p>
            <w:pPr>
              <w:jc w:val="right"/>
              <w:ind w:right="5"/>
              <w:spacing w:after="0" w:line="145" w:lineRule="exact"/>
              <w:rPr>
                <w:sz w:val="20"/>
                <w:szCs w:val="20"/>
                <w:color w:val="auto"/>
              </w:rPr>
            </w:pPr>
            <w:r>
              <w:rPr>
                <w:rFonts w:ascii="Arial" w:cs="Arial" w:eastAsia="Arial" w:hAnsi="Arial"/>
                <w:sz w:val="14"/>
                <w:szCs w:val="14"/>
                <w:b w:val="1"/>
                <w:bCs w:val="1"/>
                <w:color w:val="FFFFFF"/>
              </w:rPr>
              <w:t>Prashanth</w:t>
            </w:r>
          </w:p>
        </w:tc>
        <w:tc>
          <w:tcPr>
            <w:tcW w:w="1040" w:type="dxa"/>
            <w:vAlign w:val="bottom"/>
            <w:shd w:val="clear" w:color="auto" w:fill="0066BA"/>
          </w:tcPr>
          <w:p>
            <w:pPr>
              <w:spacing w:after="0"/>
              <w:rPr>
                <w:sz w:val="12"/>
                <w:szCs w:val="12"/>
                <w:color w:val="auto"/>
              </w:rPr>
            </w:pPr>
          </w:p>
        </w:tc>
        <w:tc>
          <w:tcPr>
            <w:tcW w:w="1040" w:type="dxa"/>
            <w:vAlign w:val="bottom"/>
            <w:shd w:val="clear" w:color="auto" w:fill="0066BA"/>
          </w:tcPr>
          <w:p>
            <w:pPr>
              <w:spacing w:after="0"/>
              <w:rPr>
                <w:sz w:val="12"/>
                <w:szCs w:val="12"/>
                <w:color w:val="auto"/>
              </w:rPr>
            </w:pPr>
          </w:p>
        </w:tc>
        <w:tc>
          <w:tcPr>
            <w:tcW w:w="1040" w:type="dxa"/>
            <w:vAlign w:val="bottom"/>
            <w:shd w:val="clear" w:color="auto" w:fill="0066BA"/>
          </w:tcPr>
          <w:p>
            <w:pPr>
              <w:spacing w:after="0"/>
              <w:rPr>
                <w:sz w:val="12"/>
                <w:szCs w:val="12"/>
                <w:color w:val="auto"/>
              </w:rPr>
            </w:pPr>
          </w:p>
        </w:tc>
        <w:tc>
          <w:tcPr>
            <w:tcW w:w="1040" w:type="dxa"/>
            <w:vAlign w:val="bottom"/>
            <w:shd w:val="clear" w:color="auto" w:fill="0066BA"/>
          </w:tcPr>
          <w:p>
            <w:pPr>
              <w:spacing w:after="0"/>
              <w:rPr>
                <w:sz w:val="12"/>
                <w:szCs w:val="12"/>
                <w:color w:val="auto"/>
              </w:rPr>
            </w:pPr>
          </w:p>
        </w:tc>
      </w:tr>
      <w:tr>
        <w:trPr>
          <w:trHeight w:val="156"/>
        </w:trPr>
        <w:tc>
          <w:tcPr>
            <w:tcW w:w="4080" w:type="dxa"/>
            <w:vAlign w:val="bottom"/>
            <w:shd w:val="clear" w:color="auto" w:fill="0066BA"/>
          </w:tcPr>
          <w:p>
            <w:pPr>
              <w:spacing w:after="0"/>
              <w:rPr>
                <w:sz w:val="13"/>
                <w:szCs w:val="13"/>
                <w:color w:val="auto"/>
              </w:rPr>
            </w:pPr>
          </w:p>
        </w:tc>
        <w:tc>
          <w:tcPr>
            <w:tcW w:w="1000" w:type="dxa"/>
            <w:vAlign w:val="bottom"/>
            <w:shd w:val="clear" w:color="auto" w:fill="0066BA"/>
          </w:tcPr>
          <w:p>
            <w:pPr>
              <w:jc w:val="right"/>
              <w:ind w:right="5"/>
              <w:spacing w:after="0" w:line="156" w:lineRule="exact"/>
              <w:rPr>
                <w:sz w:val="20"/>
                <w:szCs w:val="20"/>
                <w:color w:val="auto"/>
              </w:rPr>
            </w:pPr>
            <w:r>
              <w:rPr>
                <w:rFonts w:ascii="Arial" w:cs="Arial" w:eastAsia="Arial" w:hAnsi="Arial"/>
                <w:sz w:val="14"/>
                <w:szCs w:val="14"/>
                <w:b w:val="1"/>
                <w:bCs w:val="1"/>
                <w:color w:val="FFFFFF"/>
              </w:rPr>
              <w:t>Roche $</w:t>
            </w:r>
          </w:p>
        </w:tc>
        <w:tc>
          <w:tcPr>
            <w:tcW w:w="1040" w:type="dxa"/>
            <w:vAlign w:val="bottom"/>
            <w:shd w:val="clear" w:color="auto" w:fill="0066BA"/>
          </w:tcPr>
          <w:p>
            <w:pPr>
              <w:jc w:val="right"/>
              <w:ind w:right="5"/>
              <w:spacing w:after="0" w:line="156" w:lineRule="exact"/>
              <w:rPr>
                <w:sz w:val="20"/>
                <w:szCs w:val="20"/>
                <w:color w:val="auto"/>
              </w:rPr>
            </w:pPr>
            <w:r>
              <w:rPr>
                <w:rFonts w:ascii="Arial" w:cs="Arial" w:eastAsia="Arial" w:hAnsi="Arial"/>
                <w:sz w:val="14"/>
                <w:szCs w:val="14"/>
                <w:b w:val="1"/>
                <w:bCs w:val="1"/>
                <w:color w:val="FFFFFF"/>
              </w:rPr>
              <w:t>Mahendra-</w:t>
            </w:r>
          </w:p>
        </w:tc>
        <w:tc>
          <w:tcPr>
            <w:tcW w:w="1040" w:type="dxa"/>
            <w:vAlign w:val="bottom"/>
            <w:shd w:val="clear" w:color="auto" w:fill="0066BA"/>
          </w:tcPr>
          <w:p>
            <w:pPr>
              <w:jc w:val="right"/>
              <w:ind w:right="5"/>
              <w:spacing w:after="0" w:line="156" w:lineRule="exact"/>
              <w:rPr>
                <w:sz w:val="20"/>
                <w:szCs w:val="20"/>
                <w:color w:val="auto"/>
              </w:rPr>
            </w:pPr>
            <w:r>
              <w:rPr>
                <w:rFonts w:ascii="Arial" w:cs="Arial" w:eastAsia="Arial" w:hAnsi="Arial"/>
                <w:sz w:val="14"/>
                <w:szCs w:val="14"/>
                <w:b w:val="1"/>
                <w:bCs w:val="1"/>
                <w:color w:val="FFFFFF"/>
              </w:rPr>
              <w:t>Martin</w:t>
            </w:r>
          </w:p>
        </w:tc>
        <w:tc>
          <w:tcPr>
            <w:tcW w:w="1040" w:type="dxa"/>
            <w:vAlign w:val="bottom"/>
            <w:shd w:val="clear" w:color="auto" w:fill="0066BA"/>
          </w:tcPr>
          <w:p>
            <w:pPr>
              <w:jc w:val="right"/>
              <w:ind w:right="5"/>
              <w:spacing w:after="0" w:line="156" w:lineRule="exact"/>
              <w:rPr>
                <w:sz w:val="20"/>
                <w:szCs w:val="20"/>
                <w:color w:val="auto"/>
              </w:rPr>
            </w:pPr>
            <w:r>
              <w:rPr>
                <w:rFonts w:ascii="Arial" w:cs="Arial" w:eastAsia="Arial" w:hAnsi="Arial"/>
                <w:sz w:val="14"/>
                <w:szCs w:val="14"/>
                <w:b w:val="1"/>
                <w:bCs w:val="1"/>
                <w:color w:val="FFFFFF"/>
              </w:rPr>
              <w:t>John</w:t>
            </w:r>
          </w:p>
        </w:tc>
        <w:tc>
          <w:tcPr>
            <w:tcW w:w="1040" w:type="dxa"/>
            <w:vAlign w:val="bottom"/>
            <w:shd w:val="clear" w:color="auto" w:fill="0066BA"/>
          </w:tcPr>
          <w:p>
            <w:pPr>
              <w:jc w:val="right"/>
              <w:ind w:right="5"/>
              <w:spacing w:after="0" w:line="156" w:lineRule="exact"/>
              <w:rPr>
                <w:sz w:val="20"/>
                <w:szCs w:val="20"/>
                <w:color w:val="auto"/>
              </w:rPr>
            </w:pPr>
            <w:r>
              <w:rPr>
                <w:rFonts w:ascii="Arial" w:cs="Arial" w:eastAsia="Arial" w:hAnsi="Arial"/>
                <w:sz w:val="14"/>
                <w:szCs w:val="14"/>
                <w:b w:val="1"/>
                <w:bCs w:val="1"/>
                <w:color w:val="FFFFFF"/>
              </w:rPr>
              <w:t>Greg</w:t>
            </w:r>
          </w:p>
        </w:tc>
        <w:tc>
          <w:tcPr>
            <w:tcW w:w="1040" w:type="dxa"/>
            <w:vAlign w:val="bottom"/>
            <w:shd w:val="clear" w:color="auto" w:fill="0066BA"/>
          </w:tcPr>
          <w:p>
            <w:pPr>
              <w:jc w:val="right"/>
              <w:ind w:right="5"/>
              <w:spacing w:after="0" w:line="156" w:lineRule="exact"/>
              <w:rPr>
                <w:sz w:val="20"/>
                <w:szCs w:val="20"/>
                <w:color w:val="auto"/>
              </w:rPr>
            </w:pPr>
            <w:r>
              <w:rPr>
                <w:rFonts w:ascii="Arial" w:cs="Arial" w:eastAsia="Arial" w:hAnsi="Arial"/>
                <w:sz w:val="14"/>
                <w:szCs w:val="14"/>
                <w:b w:val="1"/>
                <w:bCs w:val="1"/>
                <w:color w:val="FFFFFF"/>
              </w:rPr>
              <w:t>Anelise</w:t>
            </w:r>
          </w:p>
        </w:tc>
      </w:tr>
      <w:tr>
        <w:trPr>
          <w:trHeight w:val="156"/>
        </w:trPr>
        <w:tc>
          <w:tcPr>
            <w:tcW w:w="4080" w:type="dxa"/>
            <w:vAlign w:val="bottom"/>
            <w:shd w:val="clear" w:color="auto" w:fill="0066BA"/>
          </w:tcPr>
          <w:p>
            <w:pPr>
              <w:spacing w:after="0"/>
              <w:rPr>
                <w:sz w:val="13"/>
                <w:szCs w:val="13"/>
                <w:color w:val="auto"/>
              </w:rPr>
            </w:pPr>
          </w:p>
        </w:tc>
        <w:tc>
          <w:tcPr>
            <w:tcW w:w="1000" w:type="dxa"/>
            <w:vAlign w:val="bottom"/>
            <w:shd w:val="clear" w:color="auto" w:fill="0066BA"/>
          </w:tcPr>
          <w:p>
            <w:pPr>
              <w:jc w:val="right"/>
              <w:ind w:right="5"/>
              <w:spacing w:after="0" w:line="156" w:lineRule="exact"/>
              <w:rPr>
                <w:sz w:val="20"/>
                <w:szCs w:val="20"/>
                <w:color w:val="auto"/>
              </w:rPr>
            </w:pPr>
            <w:r>
              <w:rPr>
                <w:rFonts w:ascii="Arial" w:cs="Arial" w:eastAsia="Arial" w:hAnsi="Arial"/>
                <w:sz w:val="14"/>
                <w:szCs w:val="14"/>
                <w:b w:val="1"/>
                <w:bCs w:val="1"/>
                <w:color w:val="FFFFFF"/>
              </w:rPr>
              <w:t>(1)(2)(3)(4)</w:t>
            </w:r>
          </w:p>
        </w:tc>
        <w:tc>
          <w:tcPr>
            <w:tcW w:w="1040" w:type="dxa"/>
            <w:vAlign w:val="bottom"/>
            <w:shd w:val="clear" w:color="auto" w:fill="0066BA"/>
          </w:tcPr>
          <w:p>
            <w:pPr>
              <w:jc w:val="right"/>
              <w:ind w:right="5"/>
              <w:spacing w:after="0" w:line="156" w:lineRule="exact"/>
              <w:rPr>
                <w:sz w:val="20"/>
                <w:szCs w:val="20"/>
                <w:color w:val="auto"/>
              </w:rPr>
            </w:pPr>
            <w:r>
              <w:rPr>
                <w:rFonts w:ascii="Arial" w:cs="Arial" w:eastAsia="Arial" w:hAnsi="Arial"/>
                <w:sz w:val="14"/>
                <w:szCs w:val="14"/>
                <w:b w:val="1"/>
                <w:bCs w:val="1"/>
                <w:color w:val="FFFFFF"/>
              </w:rPr>
              <w:t>Rajah $</w:t>
            </w:r>
          </w:p>
        </w:tc>
        <w:tc>
          <w:tcPr>
            <w:tcW w:w="1040" w:type="dxa"/>
            <w:vAlign w:val="bottom"/>
            <w:shd w:val="clear" w:color="auto" w:fill="0066BA"/>
          </w:tcPr>
          <w:p>
            <w:pPr>
              <w:jc w:val="right"/>
              <w:ind w:right="5"/>
              <w:spacing w:after="0" w:line="156" w:lineRule="exact"/>
              <w:rPr>
                <w:sz w:val="20"/>
                <w:szCs w:val="20"/>
                <w:color w:val="auto"/>
              </w:rPr>
            </w:pPr>
            <w:r>
              <w:rPr>
                <w:rFonts w:ascii="Arial" w:cs="Arial" w:eastAsia="Arial" w:hAnsi="Arial"/>
                <w:sz w:val="14"/>
                <w:szCs w:val="14"/>
                <w:b w:val="1"/>
                <w:bCs w:val="1"/>
                <w:color w:val="FFFFFF"/>
              </w:rPr>
              <w:t>Cotter $</w:t>
            </w:r>
          </w:p>
        </w:tc>
        <w:tc>
          <w:tcPr>
            <w:tcW w:w="1040" w:type="dxa"/>
            <w:vAlign w:val="bottom"/>
            <w:shd w:val="clear" w:color="auto" w:fill="0066BA"/>
          </w:tcPr>
          <w:p>
            <w:pPr>
              <w:jc w:val="right"/>
              <w:ind w:right="5"/>
              <w:spacing w:after="0" w:line="156" w:lineRule="exact"/>
              <w:rPr>
                <w:sz w:val="20"/>
                <w:szCs w:val="20"/>
                <w:color w:val="auto"/>
              </w:rPr>
            </w:pPr>
            <w:r>
              <w:rPr>
                <w:rFonts w:ascii="Arial" w:cs="Arial" w:eastAsia="Arial" w:hAnsi="Arial"/>
                <w:sz w:val="14"/>
                <w:szCs w:val="14"/>
                <w:b w:val="1"/>
                <w:bCs w:val="1"/>
                <w:color w:val="FFFFFF"/>
              </w:rPr>
              <w:t>Hassett $</w:t>
            </w:r>
          </w:p>
        </w:tc>
        <w:tc>
          <w:tcPr>
            <w:tcW w:w="1040" w:type="dxa"/>
            <w:vAlign w:val="bottom"/>
            <w:shd w:val="clear" w:color="auto" w:fill="0066BA"/>
          </w:tcPr>
          <w:p>
            <w:pPr>
              <w:jc w:val="right"/>
              <w:ind w:right="5"/>
              <w:spacing w:after="0" w:line="156" w:lineRule="exact"/>
              <w:rPr>
                <w:sz w:val="20"/>
                <w:szCs w:val="20"/>
                <w:color w:val="auto"/>
              </w:rPr>
            </w:pPr>
            <w:r>
              <w:rPr>
                <w:rFonts w:ascii="Arial" w:cs="Arial" w:eastAsia="Arial" w:hAnsi="Arial"/>
                <w:sz w:val="14"/>
                <w:szCs w:val="14"/>
                <w:b w:val="1"/>
                <w:bCs w:val="1"/>
                <w:color w:val="FFFFFF"/>
              </w:rPr>
              <w:t>Henderson $</w:t>
            </w:r>
          </w:p>
        </w:tc>
        <w:tc>
          <w:tcPr>
            <w:tcW w:w="1040" w:type="dxa"/>
            <w:vAlign w:val="bottom"/>
            <w:shd w:val="clear" w:color="auto" w:fill="0066BA"/>
          </w:tcPr>
          <w:p>
            <w:pPr>
              <w:jc w:val="right"/>
              <w:ind w:right="5"/>
              <w:spacing w:after="0" w:line="156" w:lineRule="exact"/>
              <w:rPr>
                <w:sz w:val="20"/>
                <w:szCs w:val="20"/>
                <w:color w:val="auto"/>
              </w:rPr>
            </w:pPr>
            <w:r>
              <w:rPr>
                <w:rFonts w:ascii="Arial" w:cs="Arial" w:eastAsia="Arial" w:hAnsi="Arial"/>
                <w:sz w:val="14"/>
                <w:szCs w:val="14"/>
                <w:b w:val="1"/>
                <w:bCs w:val="1"/>
                <w:color w:val="FFFFFF"/>
              </w:rPr>
              <w:t>Sacks $</w:t>
            </w:r>
          </w:p>
        </w:tc>
      </w:tr>
      <w:tr>
        <w:trPr>
          <w:trHeight w:val="194"/>
        </w:trPr>
        <w:tc>
          <w:tcPr>
            <w:tcW w:w="4080" w:type="dxa"/>
            <w:vAlign w:val="bottom"/>
            <w:shd w:val="clear" w:color="auto" w:fill="0066BA"/>
          </w:tcPr>
          <w:p>
            <w:pPr>
              <w:spacing w:after="0"/>
              <w:rPr>
                <w:sz w:val="16"/>
                <w:szCs w:val="16"/>
                <w:color w:val="auto"/>
              </w:rPr>
            </w:pPr>
          </w:p>
        </w:tc>
        <w:tc>
          <w:tcPr>
            <w:tcW w:w="1000" w:type="dxa"/>
            <w:vAlign w:val="bottom"/>
            <w:shd w:val="clear" w:color="auto" w:fill="0066BA"/>
          </w:tcPr>
          <w:p>
            <w:pPr>
              <w:jc w:val="right"/>
              <w:ind w:right="5"/>
              <w:spacing w:after="0"/>
              <w:rPr>
                <w:sz w:val="20"/>
                <w:szCs w:val="20"/>
                <w:color w:val="auto"/>
              </w:rPr>
            </w:pPr>
            <w:r>
              <w:rPr>
                <w:rFonts w:ascii="Arial" w:cs="Arial" w:eastAsia="Arial" w:hAnsi="Arial"/>
                <w:sz w:val="14"/>
                <w:szCs w:val="14"/>
                <w:b w:val="1"/>
                <w:bCs w:val="1"/>
                <w:color w:val="FFFFFF"/>
              </w:rPr>
              <w:t>(5)(6)</w:t>
            </w:r>
          </w:p>
        </w:tc>
        <w:tc>
          <w:tcPr>
            <w:tcW w:w="1040" w:type="dxa"/>
            <w:vAlign w:val="bottom"/>
            <w:shd w:val="clear" w:color="auto" w:fill="0066BA"/>
          </w:tcPr>
          <w:p>
            <w:pPr>
              <w:jc w:val="right"/>
              <w:ind w:right="5"/>
              <w:spacing w:after="0"/>
              <w:rPr>
                <w:sz w:val="20"/>
                <w:szCs w:val="20"/>
                <w:color w:val="auto"/>
              </w:rPr>
            </w:pPr>
            <w:r>
              <w:rPr>
                <w:rFonts w:ascii="Arial" w:cs="Arial" w:eastAsia="Arial" w:hAnsi="Arial"/>
                <w:sz w:val="14"/>
                <w:szCs w:val="14"/>
                <w:b w:val="1"/>
                <w:bCs w:val="1"/>
                <w:color w:val="FFFFFF"/>
              </w:rPr>
              <w:t>(1)(2)(3)(4)(5)</w:t>
            </w:r>
          </w:p>
        </w:tc>
        <w:tc>
          <w:tcPr>
            <w:tcW w:w="1040" w:type="dxa"/>
            <w:vAlign w:val="bottom"/>
            <w:shd w:val="clear" w:color="auto" w:fill="0066BA"/>
          </w:tcPr>
          <w:p>
            <w:pPr>
              <w:jc w:val="right"/>
              <w:ind w:right="5"/>
              <w:spacing w:after="0"/>
              <w:rPr>
                <w:sz w:val="20"/>
                <w:szCs w:val="20"/>
                <w:color w:val="auto"/>
              </w:rPr>
            </w:pPr>
            <w:r>
              <w:rPr>
                <w:rFonts w:ascii="Arial" w:cs="Arial" w:eastAsia="Arial" w:hAnsi="Arial"/>
                <w:sz w:val="14"/>
                <w:szCs w:val="14"/>
                <w:b w:val="1"/>
                <w:bCs w:val="1"/>
                <w:color w:val="FFFFFF"/>
              </w:rPr>
              <w:t>(1)(2)(3)(4)(5)</w:t>
            </w:r>
          </w:p>
        </w:tc>
        <w:tc>
          <w:tcPr>
            <w:tcW w:w="1040" w:type="dxa"/>
            <w:vAlign w:val="bottom"/>
            <w:shd w:val="clear" w:color="auto" w:fill="0066BA"/>
          </w:tcPr>
          <w:p>
            <w:pPr>
              <w:jc w:val="right"/>
              <w:ind w:right="5"/>
              <w:spacing w:after="0"/>
              <w:rPr>
                <w:sz w:val="20"/>
                <w:szCs w:val="20"/>
                <w:color w:val="auto"/>
              </w:rPr>
            </w:pPr>
            <w:r>
              <w:rPr>
                <w:rFonts w:ascii="Arial" w:cs="Arial" w:eastAsia="Arial" w:hAnsi="Arial"/>
                <w:sz w:val="14"/>
                <w:szCs w:val="14"/>
                <w:b w:val="1"/>
                <w:bCs w:val="1"/>
                <w:color w:val="FFFFFF"/>
              </w:rPr>
              <w:t>(1)(2)(3)(4)(5)</w:t>
            </w:r>
          </w:p>
        </w:tc>
        <w:tc>
          <w:tcPr>
            <w:tcW w:w="1040" w:type="dxa"/>
            <w:vAlign w:val="bottom"/>
            <w:shd w:val="clear" w:color="auto" w:fill="0066BA"/>
          </w:tcPr>
          <w:p>
            <w:pPr>
              <w:jc w:val="right"/>
              <w:ind w:right="5"/>
              <w:spacing w:after="0"/>
              <w:rPr>
                <w:sz w:val="20"/>
                <w:szCs w:val="20"/>
                <w:color w:val="auto"/>
              </w:rPr>
            </w:pPr>
            <w:r>
              <w:rPr>
                <w:rFonts w:ascii="Arial" w:cs="Arial" w:eastAsia="Arial" w:hAnsi="Arial"/>
                <w:sz w:val="14"/>
                <w:szCs w:val="14"/>
                <w:b w:val="1"/>
                <w:bCs w:val="1"/>
                <w:color w:val="FFFFFF"/>
              </w:rPr>
              <w:t>(1)(2)(3)(4)(5)</w:t>
            </w:r>
          </w:p>
        </w:tc>
        <w:tc>
          <w:tcPr>
            <w:tcW w:w="1040" w:type="dxa"/>
            <w:vAlign w:val="bottom"/>
            <w:shd w:val="clear" w:color="auto" w:fill="0066BA"/>
          </w:tcPr>
          <w:p>
            <w:pPr>
              <w:jc w:val="right"/>
              <w:ind w:right="5"/>
              <w:spacing w:after="0"/>
              <w:rPr>
                <w:sz w:val="20"/>
                <w:szCs w:val="20"/>
                <w:color w:val="auto"/>
              </w:rPr>
            </w:pPr>
            <w:r>
              <w:rPr>
                <w:rFonts w:ascii="Arial" w:cs="Arial" w:eastAsia="Arial" w:hAnsi="Arial"/>
                <w:sz w:val="14"/>
                <w:szCs w:val="14"/>
                <w:b w:val="1"/>
                <w:bCs w:val="1"/>
                <w:color w:val="FFFFFF"/>
              </w:rPr>
              <w:t>(1)(2)(3)(4)(5)</w:t>
            </w:r>
          </w:p>
        </w:tc>
      </w:tr>
      <w:tr>
        <w:trPr>
          <w:trHeight w:val="227"/>
        </w:trPr>
        <w:tc>
          <w:tcPr>
            <w:tcW w:w="40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Cash Severance</w:t>
            </w:r>
          </w:p>
        </w:tc>
        <w:tc>
          <w:tcPr>
            <w:tcW w:w="1000" w:type="dxa"/>
            <w:vAlign w:val="bottom"/>
            <w:tcBorders>
              <w:bottom w:val="single" w:sz="8" w:color="auto"/>
            </w:tcBorders>
            <w:shd w:val="clear" w:color="auto" w:fill="EAEAEA"/>
          </w:tcPr>
          <w:p>
            <w:pPr>
              <w:jc w:val="right"/>
              <w:ind w:right="5"/>
              <w:spacing w:after="0"/>
              <w:rPr>
                <w:sz w:val="20"/>
                <w:szCs w:val="20"/>
                <w:color w:val="auto"/>
              </w:rPr>
            </w:pPr>
            <w:r>
              <w:rPr>
                <w:rFonts w:ascii="Arial" w:cs="Arial" w:eastAsia="Arial" w:hAnsi="Arial"/>
                <w:sz w:val="16"/>
                <w:szCs w:val="16"/>
                <w:color w:val="auto"/>
              </w:rPr>
              <w:t>3,139,500</w:t>
            </w:r>
          </w:p>
        </w:tc>
        <w:tc>
          <w:tcPr>
            <w:tcW w:w="10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1,719,250</w:t>
            </w:r>
          </w:p>
        </w:tc>
        <w:tc>
          <w:tcPr>
            <w:tcW w:w="1040" w:type="dxa"/>
            <w:vAlign w:val="bottom"/>
            <w:tcBorders>
              <w:bottom w:val="single" w:sz="8" w:color="auto"/>
            </w:tcBorders>
            <w:shd w:val="clear" w:color="auto" w:fill="EAEAEA"/>
          </w:tcPr>
          <w:p>
            <w:pPr>
              <w:jc w:val="right"/>
              <w:ind w:right="5"/>
              <w:spacing w:after="0"/>
              <w:rPr>
                <w:sz w:val="20"/>
                <w:szCs w:val="20"/>
                <w:color w:val="auto"/>
              </w:rPr>
            </w:pPr>
            <w:r>
              <w:rPr>
                <w:rFonts w:ascii="Arial" w:cs="Arial" w:eastAsia="Arial" w:hAnsi="Arial"/>
                <w:sz w:val="16"/>
                <w:szCs w:val="16"/>
                <w:color w:val="auto"/>
              </w:rPr>
              <w:t>1,375,400</w:t>
            </w:r>
          </w:p>
        </w:tc>
        <w:tc>
          <w:tcPr>
            <w:tcW w:w="10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1,420,250</w:t>
            </w:r>
          </w:p>
        </w:tc>
        <w:tc>
          <w:tcPr>
            <w:tcW w:w="1040" w:type="dxa"/>
            <w:vAlign w:val="bottom"/>
            <w:tcBorders>
              <w:bottom w:val="single" w:sz="8" w:color="auto"/>
            </w:tcBorders>
            <w:shd w:val="clear" w:color="auto" w:fill="EAEAEA"/>
          </w:tcPr>
          <w:p>
            <w:pPr>
              <w:jc w:val="right"/>
              <w:ind w:right="5"/>
              <w:spacing w:after="0"/>
              <w:rPr>
                <w:sz w:val="20"/>
                <w:szCs w:val="20"/>
                <w:color w:val="auto"/>
              </w:rPr>
            </w:pPr>
            <w:r>
              <w:rPr>
                <w:rFonts w:ascii="Arial" w:cs="Arial" w:eastAsia="Arial" w:hAnsi="Arial"/>
                <w:sz w:val="16"/>
                <w:szCs w:val="16"/>
                <w:color w:val="auto"/>
              </w:rPr>
              <w:t>1,375,400</w:t>
            </w:r>
          </w:p>
        </w:tc>
        <w:tc>
          <w:tcPr>
            <w:tcW w:w="10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1,270,750</w:t>
            </w:r>
          </w:p>
        </w:tc>
      </w:tr>
      <w:tr>
        <w:trPr>
          <w:trHeight w:val="214"/>
        </w:trPr>
        <w:tc>
          <w:tcPr>
            <w:tcW w:w="40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Cash Bonus</w:t>
            </w:r>
          </w:p>
        </w:tc>
        <w:tc>
          <w:tcPr>
            <w:tcW w:w="1000" w:type="dxa"/>
            <w:vAlign w:val="bottom"/>
            <w:tcBorders>
              <w:bottom w:val="single" w:sz="8" w:color="auto"/>
            </w:tcBorders>
            <w:shd w:val="clear" w:color="auto" w:fill="EAEAEA"/>
          </w:tcPr>
          <w:p>
            <w:pPr>
              <w:jc w:val="right"/>
              <w:ind w:right="5"/>
              <w:spacing w:after="0"/>
              <w:rPr>
                <w:sz w:val="20"/>
                <w:szCs w:val="20"/>
                <w:color w:val="auto"/>
              </w:rPr>
            </w:pPr>
            <w:r>
              <w:rPr>
                <w:rFonts w:ascii="Arial" w:cs="Arial" w:eastAsia="Arial" w:hAnsi="Arial"/>
                <w:sz w:val="16"/>
                <w:szCs w:val="16"/>
                <w:color w:val="auto"/>
              </w:rPr>
              <w:t>10,546,909</w:t>
            </w:r>
          </w:p>
        </w:tc>
        <w:tc>
          <w:tcPr>
            <w:tcW w:w="10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3,850,459</w:t>
            </w:r>
          </w:p>
        </w:tc>
        <w:tc>
          <w:tcPr>
            <w:tcW w:w="1040" w:type="dxa"/>
            <w:vAlign w:val="bottom"/>
            <w:tcBorders>
              <w:bottom w:val="single" w:sz="8" w:color="auto"/>
            </w:tcBorders>
            <w:shd w:val="clear" w:color="auto" w:fill="EAEAEA"/>
          </w:tcPr>
          <w:p>
            <w:pPr>
              <w:jc w:val="right"/>
              <w:ind w:right="5"/>
              <w:spacing w:after="0"/>
              <w:rPr>
                <w:sz w:val="20"/>
                <w:szCs w:val="20"/>
                <w:color w:val="auto"/>
              </w:rPr>
            </w:pPr>
            <w:r>
              <w:rPr>
                <w:rFonts w:ascii="Arial" w:cs="Arial" w:eastAsia="Arial" w:hAnsi="Arial"/>
                <w:sz w:val="16"/>
                <w:szCs w:val="16"/>
                <w:color w:val="auto"/>
              </w:rPr>
              <w:t>3,080,367</w:t>
            </w:r>
          </w:p>
        </w:tc>
        <w:tc>
          <w:tcPr>
            <w:tcW w:w="10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3,180,814</w:t>
            </w:r>
          </w:p>
        </w:tc>
        <w:tc>
          <w:tcPr>
            <w:tcW w:w="1040" w:type="dxa"/>
            <w:vAlign w:val="bottom"/>
            <w:tcBorders>
              <w:bottom w:val="single" w:sz="8" w:color="auto"/>
            </w:tcBorders>
            <w:shd w:val="clear" w:color="auto" w:fill="EAEAEA"/>
          </w:tcPr>
          <w:p>
            <w:pPr>
              <w:jc w:val="right"/>
              <w:ind w:right="5"/>
              <w:spacing w:after="0"/>
              <w:rPr>
                <w:sz w:val="20"/>
                <w:szCs w:val="20"/>
                <w:color w:val="auto"/>
              </w:rPr>
            </w:pPr>
            <w:r>
              <w:rPr>
                <w:rFonts w:ascii="Arial" w:cs="Arial" w:eastAsia="Arial" w:hAnsi="Arial"/>
                <w:sz w:val="16"/>
                <w:szCs w:val="16"/>
                <w:color w:val="auto"/>
              </w:rPr>
              <w:t>3,040,934</w:t>
            </w:r>
          </w:p>
        </w:tc>
        <w:tc>
          <w:tcPr>
            <w:tcW w:w="10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1,410,533</w:t>
            </w:r>
          </w:p>
        </w:tc>
      </w:tr>
      <w:tr>
        <w:trPr>
          <w:trHeight w:val="214"/>
        </w:trPr>
        <w:tc>
          <w:tcPr>
            <w:tcW w:w="40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Value of Accelerated Vesting of Stock Awards</w:t>
            </w:r>
          </w:p>
        </w:tc>
        <w:tc>
          <w:tcPr>
            <w:tcW w:w="1000" w:type="dxa"/>
            <w:vAlign w:val="bottom"/>
            <w:tcBorders>
              <w:bottom w:val="single" w:sz="8" w:color="auto"/>
            </w:tcBorders>
            <w:shd w:val="clear" w:color="auto" w:fill="EAEAEA"/>
          </w:tcPr>
          <w:p>
            <w:pPr>
              <w:jc w:val="right"/>
              <w:ind w:right="5"/>
              <w:spacing w:after="0"/>
              <w:rPr>
                <w:sz w:val="20"/>
                <w:szCs w:val="20"/>
                <w:color w:val="auto"/>
              </w:rPr>
            </w:pPr>
            <w:r>
              <w:rPr>
                <w:rFonts w:ascii="Arial" w:cs="Arial" w:eastAsia="Arial" w:hAnsi="Arial"/>
                <w:sz w:val="16"/>
                <w:szCs w:val="16"/>
                <w:color w:val="auto"/>
              </w:rPr>
              <w:t>65,174,161</w:t>
            </w:r>
          </w:p>
        </w:tc>
        <w:tc>
          <w:tcPr>
            <w:tcW w:w="10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16,641,545</w:t>
            </w:r>
          </w:p>
        </w:tc>
        <w:tc>
          <w:tcPr>
            <w:tcW w:w="1040" w:type="dxa"/>
            <w:vAlign w:val="bottom"/>
            <w:tcBorders>
              <w:bottom w:val="single" w:sz="8" w:color="auto"/>
            </w:tcBorders>
            <w:shd w:val="clear" w:color="auto" w:fill="EAEAEA"/>
          </w:tcPr>
          <w:p>
            <w:pPr>
              <w:jc w:val="right"/>
              <w:ind w:right="5"/>
              <w:spacing w:after="0"/>
              <w:rPr>
                <w:sz w:val="20"/>
                <w:szCs w:val="20"/>
                <w:color w:val="auto"/>
              </w:rPr>
            </w:pPr>
            <w:r>
              <w:rPr>
                <w:rFonts w:ascii="Arial" w:cs="Arial" w:eastAsia="Arial" w:hAnsi="Arial"/>
                <w:sz w:val="16"/>
                <w:szCs w:val="16"/>
                <w:color w:val="auto"/>
              </w:rPr>
              <w:t>11,919,257</w:t>
            </w:r>
          </w:p>
        </w:tc>
        <w:tc>
          <w:tcPr>
            <w:tcW w:w="10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11,954,278</w:t>
            </w:r>
          </w:p>
        </w:tc>
        <w:tc>
          <w:tcPr>
            <w:tcW w:w="1040" w:type="dxa"/>
            <w:vAlign w:val="bottom"/>
            <w:tcBorders>
              <w:bottom w:val="single" w:sz="8" w:color="auto"/>
            </w:tcBorders>
            <w:shd w:val="clear" w:color="auto" w:fill="EAEAEA"/>
          </w:tcPr>
          <w:p>
            <w:pPr>
              <w:jc w:val="right"/>
              <w:ind w:right="5"/>
              <w:spacing w:after="0"/>
              <w:rPr>
                <w:sz w:val="20"/>
                <w:szCs w:val="20"/>
                <w:color w:val="auto"/>
              </w:rPr>
            </w:pPr>
            <w:r>
              <w:rPr>
                <w:rFonts w:ascii="Arial" w:cs="Arial" w:eastAsia="Arial" w:hAnsi="Arial"/>
                <w:sz w:val="16"/>
                <w:szCs w:val="16"/>
                <w:color w:val="auto"/>
              </w:rPr>
              <w:t>12,230,838</w:t>
            </w:r>
          </w:p>
        </w:tc>
        <w:tc>
          <w:tcPr>
            <w:tcW w:w="10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3,353,303</w:t>
            </w:r>
          </w:p>
        </w:tc>
      </w:tr>
      <w:tr>
        <w:trPr>
          <w:trHeight w:val="214"/>
        </w:trPr>
        <w:tc>
          <w:tcPr>
            <w:tcW w:w="40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Value of Medical and Other Benefits</w:t>
            </w:r>
          </w:p>
        </w:tc>
        <w:tc>
          <w:tcPr>
            <w:tcW w:w="1000" w:type="dxa"/>
            <w:vAlign w:val="bottom"/>
            <w:tcBorders>
              <w:bottom w:val="single" w:sz="8" w:color="auto"/>
            </w:tcBorders>
            <w:shd w:val="clear" w:color="auto" w:fill="EAEAEA"/>
          </w:tcPr>
          <w:p>
            <w:pPr>
              <w:jc w:val="right"/>
              <w:ind w:right="5"/>
              <w:spacing w:after="0"/>
              <w:rPr>
                <w:sz w:val="20"/>
                <w:szCs w:val="20"/>
                <w:color w:val="auto"/>
              </w:rPr>
            </w:pPr>
            <w:r>
              <w:rPr>
                <w:rFonts w:ascii="Arial" w:cs="Arial" w:eastAsia="Arial" w:hAnsi="Arial"/>
                <w:sz w:val="16"/>
                <w:szCs w:val="16"/>
                <w:color w:val="auto"/>
              </w:rPr>
              <w:t>17,444</w:t>
            </w:r>
          </w:p>
        </w:tc>
        <w:tc>
          <w:tcPr>
            <w:tcW w:w="10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49,074</w:t>
            </w:r>
          </w:p>
        </w:tc>
        <w:tc>
          <w:tcPr>
            <w:tcW w:w="1040" w:type="dxa"/>
            <w:vAlign w:val="bottom"/>
            <w:tcBorders>
              <w:bottom w:val="single" w:sz="8" w:color="auto"/>
            </w:tcBorders>
            <w:shd w:val="clear" w:color="auto" w:fill="EAEAEA"/>
          </w:tcPr>
          <w:p>
            <w:pPr>
              <w:jc w:val="right"/>
              <w:ind w:right="5"/>
              <w:spacing w:after="0"/>
              <w:rPr>
                <w:sz w:val="20"/>
                <w:szCs w:val="20"/>
                <w:color w:val="auto"/>
              </w:rPr>
            </w:pPr>
            <w:r>
              <w:rPr>
                <w:rFonts w:ascii="Arial" w:cs="Arial" w:eastAsia="Arial" w:hAnsi="Arial"/>
                <w:sz w:val="16"/>
                <w:szCs w:val="16"/>
                <w:color w:val="auto"/>
              </w:rPr>
              <w:t>30,519</w:t>
            </w:r>
          </w:p>
        </w:tc>
        <w:tc>
          <w:tcPr>
            <w:tcW w:w="10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35,102</w:t>
            </w:r>
          </w:p>
        </w:tc>
        <w:tc>
          <w:tcPr>
            <w:tcW w:w="1040" w:type="dxa"/>
            <w:vAlign w:val="bottom"/>
            <w:tcBorders>
              <w:bottom w:val="single" w:sz="8" w:color="auto"/>
            </w:tcBorders>
            <w:shd w:val="clear" w:color="auto" w:fill="EAEAEA"/>
          </w:tcPr>
          <w:p>
            <w:pPr>
              <w:jc w:val="right"/>
              <w:ind w:right="5"/>
              <w:spacing w:after="0"/>
              <w:rPr>
                <w:sz w:val="20"/>
                <w:szCs w:val="20"/>
                <w:color w:val="auto"/>
              </w:rPr>
            </w:pPr>
            <w:r>
              <w:rPr>
                <w:rFonts w:ascii="Arial" w:cs="Arial" w:eastAsia="Arial" w:hAnsi="Arial"/>
                <w:sz w:val="16"/>
                <w:szCs w:val="16"/>
                <w:color w:val="auto"/>
              </w:rPr>
              <w:t>47,889</w:t>
            </w:r>
          </w:p>
        </w:tc>
        <w:tc>
          <w:tcPr>
            <w:tcW w:w="10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49,074</w:t>
            </w:r>
          </w:p>
        </w:tc>
      </w:tr>
      <w:tr>
        <w:trPr>
          <w:trHeight w:val="214"/>
        </w:trPr>
        <w:tc>
          <w:tcPr>
            <w:tcW w:w="40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Excise Tax Gross Up</w:t>
            </w:r>
          </w:p>
        </w:tc>
        <w:tc>
          <w:tcPr>
            <w:tcW w:w="1000" w:type="dxa"/>
            <w:vAlign w:val="bottom"/>
            <w:tcBorders>
              <w:bottom w:val="single" w:sz="8" w:color="auto"/>
            </w:tcBorders>
            <w:shd w:val="clear" w:color="auto" w:fill="EAEAEA"/>
          </w:tcPr>
          <w:p>
            <w:pPr>
              <w:jc w:val="right"/>
              <w:ind w:right="5"/>
              <w:spacing w:after="0"/>
              <w:rPr>
                <w:sz w:val="20"/>
                <w:szCs w:val="20"/>
                <w:color w:val="auto"/>
              </w:rPr>
            </w:pPr>
            <w:r>
              <w:rPr>
                <w:rFonts w:ascii="Arial" w:cs="Arial" w:eastAsia="Arial" w:hAnsi="Arial"/>
                <w:sz w:val="16"/>
                <w:szCs w:val="16"/>
                <w:color w:val="auto"/>
              </w:rPr>
              <w:t>27,910,770</w:t>
            </w:r>
          </w:p>
        </w:tc>
        <w:tc>
          <w:tcPr>
            <w:tcW w:w="10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EAEAEA"/>
          </w:tcPr>
          <w:p>
            <w:pPr>
              <w:jc w:val="right"/>
              <w:ind w:right="5"/>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EAEAEA"/>
          </w:tcPr>
          <w:p>
            <w:pPr>
              <w:jc w:val="right"/>
              <w:ind w:right="5"/>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r>
      <w:tr>
        <w:trPr>
          <w:trHeight w:val="214"/>
        </w:trPr>
        <w:tc>
          <w:tcPr>
            <w:tcW w:w="4080" w:type="dxa"/>
            <w:vAlign w:val="bottom"/>
            <w:tcBorders>
              <w:bottom w:val="single" w:sz="8" w:color="0066BA"/>
            </w:tcBorders>
          </w:tcPr>
          <w:p>
            <w:pPr>
              <w:ind w:left="6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0066BA"/>
            </w:tcBorders>
            <w:shd w:val="clear" w:color="auto" w:fill="EAEAEA"/>
          </w:tcPr>
          <w:p>
            <w:pPr>
              <w:jc w:val="right"/>
              <w:ind w:right="5"/>
              <w:spacing w:after="0"/>
              <w:rPr>
                <w:sz w:val="20"/>
                <w:szCs w:val="20"/>
                <w:color w:val="auto"/>
              </w:rPr>
            </w:pPr>
            <w:r>
              <w:rPr>
                <w:rFonts w:ascii="Arial" w:cs="Arial" w:eastAsia="Arial" w:hAnsi="Arial"/>
                <w:sz w:val="16"/>
                <w:szCs w:val="16"/>
                <w:color w:val="auto"/>
              </w:rPr>
              <w:t>106,788,784</w:t>
            </w:r>
          </w:p>
        </w:tc>
        <w:tc>
          <w:tcPr>
            <w:tcW w:w="1040" w:type="dxa"/>
            <w:vAlign w:val="bottom"/>
            <w:tcBorders>
              <w:bottom w:val="single" w:sz="8" w:color="0066BA"/>
            </w:tcBorders>
          </w:tcPr>
          <w:p>
            <w:pPr>
              <w:jc w:val="right"/>
              <w:ind w:right="5"/>
              <w:spacing w:after="0"/>
              <w:rPr>
                <w:sz w:val="20"/>
                <w:szCs w:val="20"/>
                <w:color w:val="auto"/>
              </w:rPr>
            </w:pPr>
            <w:r>
              <w:rPr>
                <w:rFonts w:ascii="Arial" w:cs="Arial" w:eastAsia="Arial" w:hAnsi="Arial"/>
                <w:sz w:val="16"/>
                <w:szCs w:val="16"/>
                <w:color w:val="auto"/>
              </w:rPr>
              <w:t>22,260,328</w:t>
            </w:r>
          </w:p>
        </w:tc>
        <w:tc>
          <w:tcPr>
            <w:tcW w:w="1040" w:type="dxa"/>
            <w:vAlign w:val="bottom"/>
            <w:tcBorders>
              <w:bottom w:val="single" w:sz="8" w:color="0066BA"/>
            </w:tcBorders>
            <w:shd w:val="clear" w:color="auto" w:fill="EAEAEA"/>
          </w:tcPr>
          <w:p>
            <w:pPr>
              <w:jc w:val="right"/>
              <w:ind w:right="5"/>
              <w:spacing w:after="0"/>
              <w:rPr>
                <w:sz w:val="20"/>
                <w:szCs w:val="20"/>
                <w:color w:val="auto"/>
              </w:rPr>
            </w:pPr>
            <w:r>
              <w:rPr>
                <w:rFonts w:ascii="Arial" w:cs="Arial" w:eastAsia="Arial" w:hAnsi="Arial"/>
                <w:sz w:val="16"/>
                <w:szCs w:val="16"/>
                <w:color w:val="auto"/>
              </w:rPr>
              <w:t>16,405,543</w:t>
            </w:r>
          </w:p>
        </w:tc>
        <w:tc>
          <w:tcPr>
            <w:tcW w:w="1040" w:type="dxa"/>
            <w:vAlign w:val="bottom"/>
            <w:tcBorders>
              <w:bottom w:val="single" w:sz="8" w:color="0066BA"/>
            </w:tcBorders>
          </w:tcPr>
          <w:p>
            <w:pPr>
              <w:jc w:val="right"/>
              <w:ind w:right="5"/>
              <w:spacing w:after="0"/>
              <w:rPr>
                <w:sz w:val="20"/>
                <w:szCs w:val="20"/>
                <w:color w:val="auto"/>
              </w:rPr>
            </w:pPr>
            <w:r>
              <w:rPr>
                <w:rFonts w:ascii="Arial" w:cs="Arial" w:eastAsia="Arial" w:hAnsi="Arial"/>
                <w:sz w:val="16"/>
                <w:szCs w:val="16"/>
                <w:color w:val="auto"/>
              </w:rPr>
              <w:t>16,590,444</w:t>
            </w:r>
          </w:p>
        </w:tc>
        <w:tc>
          <w:tcPr>
            <w:tcW w:w="1040" w:type="dxa"/>
            <w:vAlign w:val="bottom"/>
            <w:tcBorders>
              <w:bottom w:val="single" w:sz="8" w:color="0066BA"/>
            </w:tcBorders>
            <w:shd w:val="clear" w:color="auto" w:fill="EAEAEA"/>
          </w:tcPr>
          <w:p>
            <w:pPr>
              <w:jc w:val="right"/>
              <w:ind w:right="5"/>
              <w:spacing w:after="0"/>
              <w:rPr>
                <w:sz w:val="20"/>
                <w:szCs w:val="20"/>
                <w:color w:val="auto"/>
              </w:rPr>
            </w:pPr>
            <w:r>
              <w:rPr>
                <w:rFonts w:ascii="Arial" w:cs="Arial" w:eastAsia="Arial" w:hAnsi="Arial"/>
                <w:sz w:val="16"/>
                <w:szCs w:val="16"/>
                <w:color w:val="auto"/>
              </w:rPr>
              <w:t>16,695,061</w:t>
            </w:r>
          </w:p>
        </w:tc>
        <w:tc>
          <w:tcPr>
            <w:tcW w:w="1040" w:type="dxa"/>
            <w:vAlign w:val="bottom"/>
            <w:tcBorders>
              <w:bottom w:val="single" w:sz="8" w:color="0066BA"/>
            </w:tcBorders>
          </w:tcPr>
          <w:p>
            <w:pPr>
              <w:jc w:val="right"/>
              <w:ind w:right="5"/>
              <w:spacing w:after="0"/>
              <w:rPr>
                <w:sz w:val="20"/>
                <w:szCs w:val="20"/>
                <w:color w:val="auto"/>
              </w:rPr>
            </w:pPr>
            <w:r>
              <w:rPr>
                <w:rFonts w:ascii="Arial" w:cs="Arial" w:eastAsia="Arial" w:hAnsi="Arial"/>
                <w:sz w:val="16"/>
                <w:szCs w:val="16"/>
                <w:color w:val="auto"/>
              </w:rPr>
              <w:t>6,083,660</w:t>
            </w:r>
          </w:p>
        </w:tc>
      </w:tr>
    </w:tbl>
    <w:p>
      <w:pPr>
        <w:spacing w:after="0" w:line="105" w:lineRule="exact"/>
        <w:rPr>
          <w:sz w:val="20"/>
          <w:szCs w:val="20"/>
          <w:color w:val="auto"/>
        </w:rPr>
      </w:pPr>
    </w:p>
    <w:p>
      <w:pPr>
        <w:ind w:left="880" w:hanging="405"/>
        <w:spacing w:after="0"/>
        <w:tabs>
          <w:tab w:leader="none" w:pos="8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Cash severance based upon a multiplier of 299% of the executive officer’s base salary.</w:t>
      </w:r>
    </w:p>
    <w:p>
      <w:pPr>
        <w:spacing w:after="0" w:line="77" w:lineRule="exact"/>
        <w:rPr>
          <w:rFonts w:ascii="Arial" w:cs="Arial" w:eastAsia="Arial" w:hAnsi="Arial"/>
          <w:sz w:val="17"/>
          <w:szCs w:val="17"/>
          <w:color w:val="auto"/>
        </w:rPr>
      </w:pPr>
    </w:p>
    <w:p>
      <w:pPr>
        <w:ind w:left="880" w:right="160" w:hanging="405"/>
        <w:spacing w:after="0" w:line="263" w:lineRule="auto"/>
        <w:tabs>
          <w:tab w:leader="none" w:pos="8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Cash bonus based upon a multiplier of 299% of the sum of the executive officer’s total cash bonuses awarded to him or her in the four fiscal quarters preceding termination.</w:t>
      </w:r>
    </w:p>
    <w:p>
      <w:pPr>
        <w:ind w:left="880" w:right="140" w:hanging="405"/>
        <w:spacing w:after="0" w:line="259" w:lineRule="auto"/>
        <w:tabs>
          <w:tab w:leader="none" w:pos="8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value of accelerated unvested options as of October 30, 2021 is calculated by taking the difference between the closing price of our common stock on Nasdaq on the last trading day of the fiscal year ($173.49 on October 29, 2021) and the option exercise price and multiplying it by the number of accelerated options. For time- and performance-based RSUs the value represents the closing price of our common stock on the last trading day of the fiscal year multiplied by the number of accelerated units. For PRSUs, the number of accelerated units assumes vesting at the target level.</w:t>
      </w:r>
    </w:p>
    <w:p>
      <w:pPr>
        <w:spacing w:after="0" w:line="38" w:lineRule="exact"/>
        <w:rPr>
          <w:rFonts w:ascii="Arial" w:cs="Arial" w:eastAsia="Arial" w:hAnsi="Arial"/>
          <w:sz w:val="17"/>
          <w:szCs w:val="17"/>
          <w:color w:val="auto"/>
        </w:rPr>
      </w:pPr>
    </w:p>
    <w:p>
      <w:pPr>
        <w:ind w:left="880" w:right="60" w:hanging="405"/>
        <w:spacing w:after="0" w:line="270" w:lineRule="auto"/>
        <w:tabs>
          <w:tab w:leader="none" w:pos="8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As of October 30, 2021, upon termination by us without cause or by the NEO for good reason after a change in control event, the officer would be entitled to acceleration of vesting of all outstanding unvested stock options or time-based RSUs and PRSUs granted under our 2020 Plan and our 2006 Plan. The number of accelerated units/awards would be as follows:</w:t>
      </w:r>
    </w:p>
    <w:p>
      <w:pPr>
        <w:spacing w:after="0" w:line="211" w:lineRule="exact"/>
        <w:rPr>
          <w:sz w:val="20"/>
          <w:szCs w:val="20"/>
          <w:color w:val="auto"/>
        </w:rPr>
      </w:pPr>
    </w:p>
    <w:tbl>
      <w:tblPr>
        <w:tblLayout w:type="fixed"/>
        <w:tblInd w:w="480" w:type="dxa"/>
        <w:tblCellMar>
          <w:top w:w="0" w:type="dxa"/>
          <w:left w:w="0" w:type="dxa"/>
          <w:bottom w:w="0" w:type="dxa"/>
          <w:right w:w="0" w:type="dxa"/>
        </w:tblCellMar>
      </w:tblPr>
      <w:tr>
        <w:trPr>
          <w:trHeight w:val="173"/>
        </w:trPr>
        <w:tc>
          <w:tcPr>
            <w:tcW w:w="1640" w:type="dxa"/>
            <w:vAlign w:val="bottom"/>
            <w:shd w:val="clear" w:color="auto" w:fill="0066BA"/>
          </w:tcPr>
          <w:p>
            <w:pPr>
              <w:spacing w:after="0"/>
              <w:rPr>
                <w:sz w:val="15"/>
                <w:szCs w:val="15"/>
                <w:color w:val="auto"/>
              </w:rPr>
            </w:pPr>
          </w:p>
        </w:tc>
        <w:tc>
          <w:tcPr>
            <w:tcW w:w="2200" w:type="dxa"/>
            <w:vAlign w:val="bottom"/>
            <w:vMerge w:val="restart"/>
            <w:shd w:val="clear" w:color="auto" w:fill="0066BA"/>
          </w:tcPr>
          <w:p>
            <w:pPr>
              <w:jc w:val="right"/>
              <w:ind w:right="105"/>
              <w:spacing w:after="0"/>
              <w:rPr>
                <w:sz w:val="20"/>
                <w:szCs w:val="20"/>
                <w:color w:val="auto"/>
              </w:rPr>
            </w:pPr>
            <w:r>
              <w:rPr>
                <w:rFonts w:ascii="Arial" w:cs="Arial" w:eastAsia="Arial" w:hAnsi="Arial"/>
                <w:sz w:val="14"/>
                <w:szCs w:val="14"/>
                <w:b w:val="1"/>
                <w:bCs w:val="1"/>
                <w:color w:val="FFFFFF"/>
              </w:rPr>
              <w:t>Number of Unvested</w:t>
            </w:r>
          </w:p>
        </w:tc>
        <w:tc>
          <w:tcPr>
            <w:tcW w:w="1880" w:type="dxa"/>
            <w:vAlign w:val="bottom"/>
            <w:shd w:val="clear" w:color="auto" w:fill="0066BA"/>
          </w:tcPr>
          <w:p>
            <w:pPr>
              <w:jc w:val="right"/>
              <w:ind w:right="86"/>
              <w:spacing w:after="0"/>
              <w:rPr>
                <w:sz w:val="20"/>
                <w:szCs w:val="20"/>
                <w:color w:val="auto"/>
              </w:rPr>
            </w:pPr>
            <w:r>
              <w:rPr>
                <w:rFonts w:ascii="Arial" w:cs="Arial" w:eastAsia="Arial" w:hAnsi="Arial"/>
                <w:sz w:val="14"/>
                <w:szCs w:val="14"/>
                <w:b w:val="1"/>
                <w:bCs w:val="1"/>
                <w:color w:val="FFFFFF"/>
              </w:rPr>
              <w:t>Number of Unvested</w:t>
            </w:r>
          </w:p>
        </w:tc>
        <w:tc>
          <w:tcPr>
            <w:tcW w:w="2240" w:type="dxa"/>
            <w:vAlign w:val="bottom"/>
            <w:vMerge w:val="restart"/>
            <w:shd w:val="clear" w:color="auto" w:fill="0066BA"/>
          </w:tcPr>
          <w:p>
            <w:pPr>
              <w:jc w:val="right"/>
              <w:ind w:right="85"/>
              <w:spacing w:after="0"/>
              <w:rPr>
                <w:sz w:val="20"/>
                <w:szCs w:val="20"/>
                <w:color w:val="auto"/>
              </w:rPr>
            </w:pPr>
            <w:r>
              <w:rPr>
                <w:rFonts w:ascii="Arial" w:cs="Arial" w:eastAsia="Arial" w:hAnsi="Arial"/>
                <w:sz w:val="14"/>
                <w:szCs w:val="14"/>
                <w:b w:val="1"/>
                <w:bCs w:val="1"/>
                <w:color w:val="FFFFFF"/>
              </w:rPr>
              <w:t>Number of Unvested</w:t>
            </w:r>
          </w:p>
        </w:tc>
        <w:tc>
          <w:tcPr>
            <w:tcW w:w="2320" w:type="dxa"/>
            <w:vAlign w:val="bottom"/>
            <w:shd w:val="clear" w:color="auto" w:fill="0066BA"/>
          </w:tcPr>
          <w:p>
            <w:pPr>
              <w:jc w:val="right"/>
              <w:ind w:right="86"/>
              <w:spacing w:after="0"/>
              <w:rPr>
                <w:sz w:val="20"/>
                <w:szCs w:val="20"/>
                <w:color w:val="auto"/>
              </w:rPr>
            </w:pPr>
            <w:r>
              <w:rPr>
                <w:rFonts w:ascii="Arial" w:cs="Arial" w:eastAsia="Arial" w:hAnsi="Arial"/>
                <w:sz w:val="14"/>
                <w:szCs w:val="14"/>
                <w:b w:val="1"/>
                <w:bCs w:val="1"/>
                <w:color w:val="FFFFFF"/>
              </w:rPr>
              <w:t>Number of Unvested</w:t>
            </w:r>
          </w:p>
        </w:tc>
        <w:tc>
          <w:tcPr>
            <w:tcW w:w="0" w:type="dxa"/>
            <w:vAlign w:val="bottom"/>
          </w:tcPr>
          <w:p>
            <w:pPr>
              <w:spacing w:after="0"/>
              <w:rPr>
                <w:sz w:val="1"/>
                <w:szCs w:val="1"/>
                <w:color w:val="auto"/>
              </w:rPr>
            </w:pPr>
          </w:p>
        </w:tc>
      </w:tr>
      <w:tr>
        <w:trPr>
          <w:trHeight w:val="140"/>
        </w:trPr>
        <w:tc>
          <w:tcPr>
            <w:tcW w:w="1640" w:type="dxa"/>
            <w:vAlign w:val="bottom"/>
            <w:shd w:val="clear" w:color="auto" w:fill="0066BA"/>
          </w:tcPr>
          <w:p>
            <w:pPr>
              <w:spacing w:after="0"/>
              <w:rPr>
                <w:sz w:val="12"/>
                <w:szCs w:val="12"/>
                <w:color w:val="auto"/>
              </w:rPr>
            </w:pPr>
          </w:p>
        </w:tc>
        <w:tc>
          <w:tcPr>
            <w:tcW w:w="2200" w:type="dxa"/>
            <w:vAlign w:val="bottom"/>
            <w:vMerge w:val="continue"/>
            <w:shd w:val="clear" w:color="auto" w:fill="0066BA"/>
          </w:tcPr>
          <w:p>
            <w:pPr>
              <w:spacing w:after="0"/>
              <w:rPr>
                <w:sz w:val="12"/>
                <w:szCs w:val="12"/>
                <w:color w:val="auto"/>
              </w:rPr>
            </w:pPr>
          </w:p>
        </w:tc>
        <w:tc>
          <w:tcPr>
            <w:tcW w:w="1880" w:type="dxa"/>
            <w:vAlign w:val="bottom"/>
            <w:shd w:val="clear" w:color="auto" w:fill="0066BA"/>
          </w:tcPr>
          <w:p>
            <w:pPr>
              <w:jc w:val="right"/>
              <w:ind w:right="86"/>
              <w:spacing w:after="0" w:line="140" w:lineRule="exact"/>
              <w:rPr>
                <w:sz w:val="20"/>
                <w:szCs w:val="20"/>
                <w:color w:val="auto"/>
              </w:rPr>
            </w:pPr>
            <w:r>
              <w:rPr>
                <w:rFonts w:ascii="Arial" w:cs="Arial" w:eastAsia="Arial" w:hAnsi="Arial"/>
                <w:sz w:val="14"/>
                <w:szCs w:val="14"/>
                <w:b w:val="1"/>
                <w:bCs w:val="1"/>
                <w:color w:val="FFFFFF"/>
              </w:rPr>
              <w:t>Performance Option</w:t>
            </w:r>
          </w:p>
        </w:tc>
        <w:tc>
          <w:tcPr>
            <w:tcW w:w="2240" w:type="dxa"/>
            <w:vAlign w:val="bottom"/>
            <w:vMerge w:val="continue"/>
            <w:shd w:val="clear" w:color="auto" w:fill="0066BA"/>
          </w:tcPr>
          <w:p>
            <w:pPr>
              <w:spacing w:after="0"/>
              <w:rPr>
                <w:sz w:val="12"/>
                <w:szCs w:val="12"/>
                <w:color w:val="auto"/>
              </w:rPr>
            </w:pPr>
          </w:p>
        </w:tc>
        <w:tc>
          <w:tcPr>
            <w:tcW w:w="2320" w:type="dxa"/>
            <w:vAlign w:val="bottom"/>
            <w:shd w:val="clear" w:color="auto" w:fill="0066BA"/>
          </w:tcPr>
          <w:p>
            <w:pPr>
              <w:jc w:val="right"/>
              <w:ind w:right="86"/>
              <w:spacing w:after="0" w:line="140" w:lineRule="exact"/>
              <w:rPr>
                <w:sz w:val="20"/>
                <w:szCs w:val="20"/>
                <w:color w:val="auto"/>
              </w:rPr>
            </w:pPr>
            <w:r>
              <w:rPr>
                <w:rFonts w:ascii="Arial" w:cs="Arial" w:eastAsia="Arial" w:hAnsi="Arial"/>
                <w:sz w:val="14"/>
                <w:szCs w:val="14"/>
                <w:b w:val="1"/>
                <w:bCs w:val="1"/>
                <w:color w:val="FFFFFF"/>
              </w:rPr>
              <w:t>Performance-Based RSUs</w:t>
            </w:r>
          </w:p>
        </w:tc>
        <w:tc>
          <w:tcPr>
            <w:tcW w:w="0" w:type="dxa"/>
            <w:vAlign w:val="bottom"/>
          </w:tcPr>
          <w:p>
            <w:pPr>
              <w:spacing w:after="0"/>
              <w:rPr>
                <w:sz w:val="1"/>
                <w:szCs w:val="1"/>
                <w:color w:val="auto"/>
              </w:rPr>
            </w:pPr>
          </w:p>
        </w:tc>
      </w:tr>
      <w:tr>
        <w:trPr>
          <w:trHeight w:val="143"/>
        </w:trPr>
        <w:tc>
          <w:tcPr>
            <w:tcW w:w="1640" w:type="dxa"/>
            <w:vAlign w:val="bottom"/>
            <w:shd w:val="clear" w:color="auto" w:fill="0066BA"/>
          </w:tcPr>
          <w:p>
            <w:pPr>
              <w:spacing w:after="0"/>
              <w:rPr>
                <w:sz w:val="12"/>
                <w:szCs w:val="12"/>
                <w:color w:val="auto"/>
              </w:rPr>
            </w:pPr>
          </w:p>
        </w:tc>
        <w:tc>
          <w:tcPr>
            <w:tcW w:w="2200" w:type="dxa"/>
            <w:vAlign w:val="bottom"/>
            <w:shd w:val="clear" w:color="auto" w:fill="0066BA"/>
          </w:tcPr>
          <w:p>
            <w:pPr>
              <w:jc w:val="right"/>
              <w:ind w:right="105"/>
              <w:spacing w:after="0" w:line="143" w:lineRule="exact"/>
              <w:rPr>
                <w:sz w:val="20"/>
                <w:szCs w:val="20"/>
                <w:color w:val="auto"/>
              </w:rPr>
            </w:pPr>
            <w:r>
              <w:rPr>
                <w:rFonts w:ascii="Arial" w:cs="Arial" w:eastAsia="Arial" w:hAnsi="Arial"/>
                <w:sz w:val="14"/>
                <w:szCs w:val="14"/>
                <w:b w:val="1"/>
                <w:bCs w:val="1"/>
                <w:color w:val="FFFFFF"/>
              </w:rPr>
              <w:t>Option Awards that</w:t>
            </w:r>
          </w:p>
        </w:tc>
        <w:tc>
          <w:tcPr>
            <w:tcW w:w="1880" w:type="dxa"/>
            <w:vAlign w:val="bottom"/>
            <w:shd w:val="clear" w:color="auto" w:fill="0066BA"/>
          </w:tcPr>
          <w:p>
            <w:pPr>
              <w:jc w:val="right"/>
              <w:ind w:right="86"/>
              <w:spacing w:after="0" w:line="143" w:lineRule="exact"/>
              <w:rPr>
                <w:sz w:val="20"/>
                <w:szCs w:val="20"/>
                <w:color w:val="auto"/>
              </w:rPr>
            </w:pPr>
            <w:r>
              <w:rPr>
                <w:rFonts w:ascii="Arial" w:cs="Arial" w:eastAsia="Arial" w:hAnsi="Arial"/>
                <w:sz w:val="14"/>
                <w:szCs w:val="14"/>
                <w:b w:val="1"/>
                <w:bCs w:val="1"/>
                <w:color w:val="FFFFFF"/>
              </w:rPr>
              <w:t>Awards that Accelerate</w:t>
            </w:r>
          </w:p>
        </w:tc>
        <w:tc>
          <w:tcPr>
            <w:tcW w:w="2240" w:type="dxa"/>
            <w:vAlign w:val="bottom"/>
            <w:shd w:val="clear" w:color="auto" w:fill="0066BA"/>
          </w:tcPr>
          <w:p>
            <w:pPr>
              <w:jc w:val="right"/>
              <w:ind w:right="85"/>
              <w:spacing w:after="0" w:line="143" w:lineRule="exact"/>
              <w:rPr>
                <w:sz w:val="20"/>
                <w:szCs w:val="20"/>
                <w:color w:val="auto"/>
              </w:rPr>
            </w:pPr>
            <w:r>
              <w:rPr>
                <w:rFonts w:ascii="Arial" w:cs="Arial" w:eastAsia="Arial" w:hAnsi="Arial"/>
                <w:sz w:val="14"/>
                <w:szCs w:val="14"/>
                <w:b w:val="1"/>
                <w:bCs w:val="1"/>
                <w:color w:val="FFFFFF"/>
              </w:rPr>
              <w:t>Time-Based RSUs that</w:t>
            </w:r>
          </w:p>
        </w:tc>
        <w:tc>
          <w:tcPr>
            <w:tcW w:w="2320" w:type="dxa"/>
            <w:vAlign w:val="bottom"/>
            <w:shd w:val="clear" w:color="auto" w:fill="0066BA"/>
          </w:tcPr>
          <w:p>
            <w:pPr>
              <w:jc w:val="right"/>
              <w:ind w:right="86"/>
              <w:spacing w:after="0" w:line="143" w:lineRule="exact"/>
              <w:rPr>
                <w:sz w:val="20"/>
                <w:szCs w:val="20"/>
                <w:color w:val="auto"/>
              </w:rPr>
            </w:pPr>
            <w:r>
              <w:rPr>
                <w:rFonts w:ascii="Arial" w:cs="Arial" w:eastAsia="Arial" w:hAnsi="Arial"/>
                <w:sz w:val="14"/>
                <w:szCs w:val="14"/>
                <w:b w:val="1"/>
                <w:bCs w:val="1"/>
                <w:color w:val="FFFFFF"/>
              </w:rPr>
              <w:t>that Accelerate upon</w:t>
            </w:r>
          </w:p>
        </w:tc>
        <w:tc>
          <w:tcPr>
            <w:tcW w:w="0" w:type="dxa"/>
            <w:vAlign w:val="bottom"/>
          </w:tcPr>
          <w:p>
            <w:pPr>
              <w:spacing w:after="0"/>
              <w:rPr>
                <w:sz w:val="1"/>
                <w:szCs w:val="1"/>
                <w:color w:val="auto"/>
              </w:rPr>
            </w:pPr>
          </w:p>
        </w:tc>
      </w:tr>
      <w:tr>
        <w:trPr>
          <w:trHeight w:val="143"/>
        </w:trPr>
        <w:tc>
          <w:tcPr>
            <w:tcW w:w="1640" w:type="dxa"/>
            <w:vAlign w:val="bottom"/>
            <w:vMerge w:val="restart"/>
            <w:shd w:val="clear" w:color="auto" w:fill="0066BA"/>
          </w:tcPr>
          <w:p>
            <w:pPr>
              <w:ind w:left="60"/>
              <w:spacing w:after="0"/>
              <w:rPr>
                <w:sz w:val="20"/>
                <w:szCs w:val="20"/>
                <w:color w:val="auto"/>
              </w:rPr>
            </w:pPr>
            <w:r>
              <w:rPr>
                <w:rFonts w:ascii="Arial" w:cs="Arial" w:eastAsia="Arial" w:hAnsi="Arial"/>
                <w:sz w:val="14"/>
                <w:szCs w:val="14"/>
                <w:b w:val="1"/>
                <w:bCs w:val="1"/>
                <w:color w:val="FFFFFF"/>
              </w:rPr>
              <w:t>Name</w:t>
            </w:r>
          </w:p>
        </w:tc>
        <w:tc>
          <w:tcPr>
            <w:tcW w:w="2200" w:type="dxa"/>
            <w:vAlign w:val="bottom"/>
            <w:shd w:val="clear" w:color="auto" w:fill="0066BA"/>
          </w:tcPr>
          <w:p>
            <w:pPr>
              <w:jc w:val="right"/>
              <w:ind w:right="105"/>
              <w:spacing w:after="0" w:line="143" w:lineRule="exact"/>
              <w:rPr>
                <w:sz w:val="20"/>
                <w:szCs w:val="20"/>
                <w:color w:val="auto"/>
              </w:rPr>
            </w:pPr>
            <w:r>
              <w:rPr>
                <w:rFonts w:ascii="Arial" w:cs="Arial" w:eastAsia="Arial" w:hAnsi="Arial"/>
                <w:sz w:val="14"/>
                <w:szCs w:val="14"/>
                <w:b w:val="1"/>
                <w:bCs w:val="1"/>
                <w:color w:val="FFFFFF"/>
              </w:rPr>
              <w:t>Accelerate upon Termination</w:t>
            </w:r>
          </w:p>
        </w:tc>
        <w:tc>
          <w:tcPr>
            <w:tcW w:w="1880" w:type="dxa"/>
            <w:vAlign w:val="bottom"/>
            <w:shd w:val="clear" w:color="auto" w:fill="0066BA"/>
          </w:tcPr>
          <w:p>
            <w:pPr>
              <w:jc w:val="right"/>
              <w:ind w:right="86"/>
              <w:spacing w:after="0" w:line="143" w:lineRule="exact"/>
              <w:rPr>
                <w:sz w:val="20"/>
                <w:szCs w:val="20"/>
                <w:color w:val="auto"/>
              </w:rPr>
            </w:pPr>
            <w:r>
              <w:rPr>
                <w:rFonts w:ascii="Arial" w:cs="Arial" w:eastAsia="Arial" w:hAnsi="Arial"/>
                <w:sz w:val="14"/>
                <w:szCs w:val="14"/>
                <w:b w:val="1"/>
                <w:bCs w:val="1"/>
                <w:color w:val="FFFFFF"/>
              </w:rPr>
              <w:t>upon Termination After</w:t>
            </w:r>
          </w:p>
        </w:tc>
        <w:tc>
          <w:tcPr>
            <w:tcW w:w="2240" w:type="dxa"/>
            <w:vAlign w:val="bottom"/>
            <w:shd w:val="clear" w:color="auto" w:fill="0066BA"/>
          </w:tcPr>
          <w:p>
            <w:pPr>
              <w:jc w:val="right"/>
              <w:ind w:right="85"/>
              <w:spacing w:after="0" w:line="143" w:lineRule="exact"/>
              <w:rPr>
                <w:sz w:val="20"/>
                <w:szCs w:val="20"/>
                <w:color w:val="auto"/>
              </w:rPr>
            </w:pPr>
            <w:r>
              <w:rPr>
                <w:rFonts w:ascii="Arial" w:cs="Arial" w:eastAsia="Arial" w:hAnsi="Arial"/>
                <w:sz w:val="14"/>
                <w:szCs w:val="14"/>
                <w:b w:val="1"/>
                <w:bCs w:val="1"/>
                <w:color w:val="FFFFFF"/>
              </w:rPr>
              <w:t>Accelerate upon Termination</w:t>
            </w:r>
          </w:p>
        </w:tc>
        <w:tc>
          <w:tcPr>
            <w:tcW w:w="2320" w:type="dxa"/>
            <w:vAlign w:val="bottom"/>
            <w:shd w:val="clear" w:color="auto" w:fill="0066BA"/>
          </w:tcPr>
          <w:p>
            <w:pPr>
              <w:jc w:val="right"/>
              <w:ind w:right="86"/>
              <w:spacing w:after="0" w:line="143" w:lineRule="exact"/>
              <w:rPr>
                <w:sz w:val="20"/>
                <w:szCs w:val="20"/>
                <w:color w:val="auto"/>
              </w:rPr>
            </w:pPr>
            <w:r>
              <w:rPr>
                <w:rFonts w:ascii="Arial" w:cs="Arial" w:eastAsia="Arial" w:hAnsi="Arial"/>
                <w:sz w:val="14"/>
                <w:szCs w:val="14"/>
                <w:b w:val="1"/>
                <w:bCs w:val="1"/>
                <w:color w:val="FFFFFF"/>
              </w:rPr>
              <w:t>Termination After a Change in</w:t>
            </w:r>
          </w:p>
        </w:tc>
        <w:tc>
          <w:tcPr>
            <w:tcW w:w="0" w:type="dxa"/>
            <w:vAlign w:val="bottom"/>
          </w:tcPr>
          <w:p>
            <w:pPr>
              <w:spacing w:after="0"/>
              <w:rPr>
                <w:sz w:val="1"/>
                <w:szCs w:val="1"/>
                <w:color w:val="auto"/>
              </w:rPr>
            </w:pPr>
          </w:p>
        </w:tc>
      </w:tr>
      <w:tr>
        <w:trPr>
          <w:trHeight w:val="195"/>
        </w:trPr>
        <w:tc>
          <w:tcPr>
            <w:tcW w:w="1640" w:type="dxa"/>
            <w:vAlign w:val="bottom"/>
            <w:vMerge w:val="continue"/>
            <w:shd w:val="clear" w:color="auto" w:fill="0066BA"/>
          </w:tcPr>
          <w:p>
            <w:pPr>
              <w:spacing w:after="0"/>
              <w:rPr>
                <w:sz w:val="16"/>
                <w:szCs w:val="16"/>
                <w:color w:val="auto"/>
              </w:rPr>
            </w:pPr>
          </w:p>
        </w:tc>
        <w:tc>
          <w:tcPr>
            <w:tcW w:w="2200" w:type="dxa"/>
            <w:vAlign w:val="bottom"/>
            <w:shd w:val="clear" w:color="auto" w:fill="0066BA"/>
          </w:tcPr>
          <w:p>
            <w:pPr>
              <w:jc w:val="right"/>
              <w:ind w:right="105"/>
              <w:spacing w:after="0"/>
              <w:rPr>
                <w:sz w:val="20"/>
                <w:szCs w:val="20"/>
                <w:color w:val="auto"/>
              </w:rPr>
            </w:pPr>
            <w:r>
              <w:rPr>
                <w:rFonts w:ascii="Arial" w:cs="Arial" w:eastAsia="Arial" w:hAnsi="Arial"/>
                <w:sz w:val="14"/>
                <w:szCs w:val="14"/>
                <w:b w:val="1"/>
                <w:bCs w:val="1"/>
                <w:color w:val="FFFFFF"/>
              </w:rPr>
              <w:t>After a Change in Control</w:t>
            </w:r>
          </w:p>
        </w:tc>
        <w:tc>
          <w:tcPr>
            <w:tcW w:w="1880" w:type="dxa"/>
            <w:vAlign w:val="bottom"/>
            <w:shd w:val="clear" w:color="auto" w:fill="0066BA"/>
          </w:tcPr>
          <w:p>
            <w:pPr>
              <w:jc w:val="right"/>
              <w:ind w:right="86"/>
              <w:spacing w:after="0"/>
              <w:rPr>
                <w:sz w:val="20"/>
                <w:szCs w:val="20"/>
                <w:color w:val="auto"/>
              </w:rPr>
            </w:pPr>
            <w:r>
              <w:rPr>
                <w:rFonts w:ascii="Arial" w:cs="Arial" w:eastAsia="Arial" w:hAnsi="Arial"/>
                <w:sz w:val="14"/>
                <w:szCs w:val="14"/>
                <w:b w:val="1"/>
                <w:bCs w:val="1"/>
                <w:color w:val="FFFFFF"/>
              </w:rPr>
              <w:t>a Change in Control</w:t>
            </w:r>
          </w:p>
        </w:tc>
        <w:tc>
          <w:tcPr>
            <w:tcW w:w="2240" w:type="dxa"/>
            <w:vAlign w:val="bottom"/>
            <w:shd w:val="clear" w:color="auto" w:fill="0066BA"/>
          </w:tcPr>
          <w:p>
            <w:pPr>
              <w:jc w:val="right"/>
              <w:ind w:right="85"/>
              <w:spacing w:after="0"/>
              <w:rPr>
                <w:sz w:val="20"/>
                <w:szCs w:val="20"/>
                <w:color w:val="auto"/>
              </w:rPr>
            </w:pPr>
            <w:r>
              <w:rPr>
                <w:rFonts w:ascii="Arial" w:cs="Arial" w:eastAsia="Arial" w:hAnsi="Arial"/>
                <w:sz w:val="14"/>
                <w:szCs w:val="14"/>
                <w:b w:val="1"/>
                <w:bCs w:val="1"/>
                <w:color w:val="FFFFFF"/>
              </w:rPr>
              <w:t>After a Change in Control</w:t>
            </w:r>
          </w:p>
        </w:tc>
        <w:tc>
          <w:tcPr>
            <w:tcW w:w="2320" w:type="dxa"/>
            <w:vAlign w:val="bottom"/>
            <w:shd w:val="clear" w:color="auto" w:fill="0066BA"/>
          </w:tcPr>
          <w:p>
            <w:pPr>
              <w:jc w:val="right"/>
              <w:ind w:right="86"/>
              <w:spacing w:after="0"/>
              <w:rPr>
                <w:sz w:val="20"/>
                <w:szCs w:val="20"/>
                <w:color w:val="auto"/>
              </w:rPr>
            </w:pPr>
            <w:r>
              <w:rPr>
                <w:rFonts w:ascii="Arial" w:cs="Arial" w:eastAsia="Arial" w:hAnsi="Arial"/>
                <w:sz w:val="14"/>
                <w:szCs w:val="14"/>
                <w:b w:val="1"/>
                <w:bCs w:val="1"/>
                <w:color w:val="FFFFFF"/>
              </w:rPr>
              <w:t>Control at Target Achievement</w:t>
            </w:r>
          </w:p>
        </w:tc>
        <w:tc>
          <w:tcPr>
            <w:tcW w:w="0" w:type="dxa"/>
            <w:vAlign w:val="bottom"/>
          </w:tcPr>
          <w:p>
            <w:pPr>
              <w:spacing w:after="0"/>
              <w:rPr>
                <w:sz w:val="1"/>
                <w:szCs w:val="1"/>
                <w:color w:val="auto"/>
              </w:rPr>
            </w:pPr>
          </w:p>
        </w:tc>
      </w:tr>
      <w:tr>
        <w:trPr>
          <w:trHeight w:val="227"/>
        </w:trPr>
        <w:tc>
          <w:tcPr>
            <w:tcW w:w="16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66BA"/>
              </w:rPr>
              <w:t>Vincent Roche</w:t>
            </w:r>
          </w:p>
        </w:tc>
        <w:tc>
          <w:tcPr>
            <w:tcW w:w="2200" w:type="dxa"/>
            <w:vAlign w:val="bottom"/>
            <w:tcBorders>
              <w:bottom w:val="single" w:sz="8" w:color="auto"/>
            </w:tcBorders>
            <w:shd w:val="clear" w:color="auto" w:fill="EAEAEA"/>
          </w:tcPr>
          <w:p>
            <w:pPr>
              <w:jc w:val="right"/>
              <w:ind w:right="105"/>
              <w:spacing w:after="0"/>
              <w:rPr>
                <w:sz w:val="20"/>
                <w:szCs w:val="20"/>
                <w:color w:val="auto"/>
              </w:rPr>
            </w:pPr>
            <w:r>
              <w:rPr>
                <w:rFonts w:ascii="Arial" w:cs="Arial" w:eastAsia="Arial" w:hAnsi="Arial"/>
                <w:sz w:val="16"/>
                <w:szCs w:val="16"/>
                <w:color w:val="auto"/>
              </w:rPr>
              <w:t>272,691</w:t>
            </w:r>
          </w:p>
        </w:tc>
        <w:tc>
          <w:tcPr>
            <w:tcW w:w="1880" w:type="dxa"/>
            <w:vAlign w:val="bottom"/>
            <w:tcBorders>
              <w:bottom w:val="single" w:sz="8" w:color="auto"/>
            </w:tcBorders>
          </w:tcPr>
          <w:p>
            <w:pPr>
              <w:jc w:val="right"/>
              <w:ind w:right="86"/>
              <w:spacing w:after="0"/>
              <w:rPr>
                <w:sz w:val="20"/>
                <w:szCs w:val="20"/>
                <w:color w:val="auto"/>
              </w:rPr>
            </w:pPr>
            <w:r>
              <w:rPr>
                <w:rFonts w:ascii="Arial" w:cs="Arial" w:eastAsia="Arial" w:hAnsi="Arial"/>
                <w:sz w:val="16"/>
                <w:szCs w:val="16"/>
                <w:color w:val="auto"/>
              </w:rPr>
              <w:t>460,000</w:t>
            </w:r>
          </w:p>
        </w:tc>
        <w:tc>
          <w:tcPr>
            <w:tcW w:w="2240" w:type="dxa"/>
            <w:vAlign w:val="bottom"/>
            <w:tcBorders>
              <w:bottom w:val="single" w:sz="8" w:color="auto"/>
            </w:tcBorders>
            <w:shd w:val="clear" w:color="auto" w:fill="EAEAEA"/>
          </w:tcPr>
          <w:p>
            <w:pPr>
              <w:jc w:val="right"/>
              <w:ind w:right="85"/>
              <w:spacing w:after="0"/>
              <w:rPr>
                <w:sz w:val="20"/>
                <w:szCs w:val="20"/>
                <w:color w:val="auto"/>
              </w:rPr>
            </w:pPr>
            <w:r>
              <w:rPr>
                <w:rFonts w:ascii="Arial" w:cs="Arial" w:eastAsia="Arial" w:hAnsi="Arial"/>
                <w:sz w:val="16"/>
                <w:szCs w:val="16"/>
                <w:color w:val="auto"/>
              </w:rPr>
              <w:t>57,861</w:t>
            </w:r>
          </w:p>
        </w:tc>
        <w:tc>
          <w:tcPr>
            <w:tcW w:w="2320" w:type="dxa"/>
            <w:vAlign w:val="bottom"/>
            <w:tcBorders>
              <w:bottom w:val="single" w:sz="8" w:color="auto"/>
            </w:tcBorders>
          </w:tcPr>
          <w:p>
            <w:pPr>
              <w:jc w:val="right"/>
              <w:ind w:right="86"/>
              <w:spacing w:after="0"/>
              <w:rPr>
                <w:sz w:val="20"/>
                <w:szCs w:val="20"/>
                <w:color w:val="auto"/>
              </w:rPr>
            </w:pPr>
            <w:r>
              <w:rPr>
                <w:rFonts w:ascii="Arial" w:cs="Arial" w:eastAsia="Arial" w:hAnsi="Arial"/>
                <w:sz w:val="16"/>
                <w:szCs w:val="16"/>
                <w:color w:val="auto"/>
              </w:rPr>
              <w:t>138,984</w:t>
            </w:r>
          </w:p>
        </w:tc>
        <w:tc>
          <w:tcPr>
            <w:tcW w:w="0" w:type="dxa"/>
            <w:vAlign w:val="bottom"/>
          </w:tcPr>
          <w:p>
            <w:pPr>
              <w:spacing w:after="0"/>
              <w:rPr>
                <w:sz w:val="1"/>
                <w:szCs w:val="1"/>
                <w:color w:val="auto"/>
              </w:rPr>
            </w:pPr>
          </w:p>
        </w:tc>
      </w:tr>
      <w:tr>
        <w:trPr>
          <w:trHeight w:val="194"/>
        </w:trPr>
        <w:tc>
          <w:tcPr>
            <w:tcW w:w="1640" w:type="dxa"/>
            <w:vAlign w:val="bottom"/>
          </w:tcPr>
          <w:p>
            <w:pPr>
              <w:ind w:left="60"/>
              <w:spacing w:after="0"/>
              <w:rPr>
                <w:sz w:val="20"/>
                <w:szCs w:val="20"/>
                <w:color w:val="auto"/>
              </w:rPr>
            </w:pPr>
            <w:r>
              <w:rPr>
                <w:rFonts w:ascii="Arial" w:cs="Arial" w:eastAsia="Arial" w:hAnsi="Arial"/>
                <w:sz w:val="16"/>
                <w:szCs w:val="16"/>
                <w:b w:val="1"/>
                <w:bCs w:val="1"/>
                <w:color w:val="0066BA"/>
                <w:w w:val="95"/>
              </w:rPr>
              <w:t>Prashanth Mahendra-</w:t>
            </w:r>
          </w:p>
        </w:tc>
        <w:tc>
          <w:tcPr>
            <w:tcW w:w="2200" w:type="dxa"/>
            <w:vAlign w:val="bottom"/>
            <w:shd w:val="clear" w:color="auto" w:fill="EAEAEA"/>
          </w:tcPr>
          <w:p>
            <w:pPr>
              <w:spacing w:after="0"/>
              <w:rPr>
                <w:sz w:val="16"/>
                <w:szCs w:val="16"/>
                <w:color w:val="auto"/>
              </w:rPr>
            </w:pPr>
          </w:p>
        </w:tc>
        <w:tc>
          <w:tcPr>
            <w:tcW w:w="1880" w:type="dxa"/>
            <w:vAlign w:val="bottom"/>
          </w:tcPr>
          <w:p>
            <w:pPr>
              <w:spacing w:after="0"/>
              <w:rPr>
                <w:sz w:val="16"/>
                <w:szCs w:val="16"/>
                <w:color w:val="auto"/>
              </w:rPr>
            </w:pPr>
          </w:p>
        </w:tc>
        <w:tc>
          <w:tcPr>
            <w:tcW w:w="2240" w:type="dxa"/>
            <w:vAlign w:val="bottom"/>
            <w:shd w:val="clear" w:color="auto" w:fill="EAEAEA"/>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6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66BA"/>
              </w:rPr>
              <w:t>Rajah</w:t>
            </w:r>
          </w:p>
        </w:tc>
        <w:tc>
          <w:tcPr>
            <w:tcW w:w="2200" w:type="dxa"/>
            <w:vAlign w:val="bottom"/>
            <w:tcBorders>
              <w:bottom w:val="single" w:sz="8" w:color="auto"/>
            </w:tcBorders>
            <w:shd w:val="clear" w:color="auto" w:fill="EAEAEA"/>
          </w:tcPr>
          <w:p>
            <w:pPr>
              <w:jc w:val="right"/>
              <w:ind w:right="105"/>
              <w:spacing w:after="0"/>
              <w:rPr>
                <w:sz w:val="20"/>
                <w:szCs w:val="20"/>
                <w:color w:val="auto"/>
              </w:rPr>
            </w:pPr>
            <w:r>
              <w:rPr>
                <w:rFonts w:ascii="Arial" w:cs="Arial" w:eastAsia="Arial" w:hAnsi="Arial"/>
                <w:sz w:val="16"/>
                <w:szCs w:val="16"/>
                <w:color w:val="auto"/>
              </w:rPr>
              <w:t>67,509</w:t>
            </w:r>
          </w:p>
        </w:tc>
        <w:tc>
          <w:tcPr>
            <w:tcW w:w="1880" w:type="dxa"/>
            <w:vAlign w:val="bottom"/>
            <w:tcBorders>
              <w:bottom w:val="single" w:sz="8" w:color="auto"/>
            </w:tcBorders>
          </w:tcPr>
          <w:p>
            <w:pPr>
              <w:jc w:val="right"/>
              <w:ind w:right="86"/>
              <w:spacing w:after="0"/>
              <w:rPr>
                <w:sz w:val="20"/>
                <w:szCs w:val="20"/>
                <w:color w:val="auto"/>
              </w:rPr>
            </w:pPr>
            <w:r>
              <w:rPr>
                <w:rFonts w:ascii="Arial" w:cs="Arial" w:eastAsia="Arial" w:hAnsi="Arial"/>
                <w:sz w:val="16"/>
                <w:szCs w:val="16"/>
                <w:color w:val="auto"/>
              </w:rPr>
              <w:t>—</w:t>
            </w:r>
          </w:p>
        </w:tc>
        <w:tc>
          <w:tcPr>
            <w:tcW w:w="2240" w:type="dxa"/>
            <w:vAlign w:val="bottom"/>
            <w:tcBorders>
              <w:bottom w:val="single" w:sz="8" w:color="auto"/>
            </w:tcBorders>
            <w:shd w:val="clear" w:color="auto" w:fill="EAEAEA"/>
          </w:tcPr>
          <w:p>
            <w:pPr>
              <w:jc w:val="right"/>
              <w:ind w:right="85"/>
              <w:spacing w:after="0"/>
              <w:rPr>
                <w:sz w:val="20"/>
                <w:szCs w:val="20"/>
                <w:color w:val="auto"/>
              </w:rPr>
            </w:pPr>
            <w:r>
              <w:rPr>
                <w:rFonts w:ascii="Arial" w:cs="Arial" w:eastAsia="Arial" w:hAnsi="Arial"/>
                <w:sz w:val="16"/>
                <w:szCs w:val="16"/>
                <w:color w:val="auto"/>
              </w:rPr>
              <w:t>15,684</w:t>
            </w:r>
          </w:p>
        </w:tc>
        <w:tc>
          <w:tcPr>
            <w:tcW w:w="2320" w:type="dxa"/>
            <w:vAlign w:val="bottom"/>
            <w:tcBorders>
              <w:bottom w:val="single" w:sz="8" w:color="auto"/>
            </w:tcBorders>
          </w:tcPr>
          <w:p>
            <w:pPr>
              <w:jc w:val="right"/>
              <w:ind w:right="86"/>
              <w:spacing w:after="0"/>
              <w:rPr>
                <w:sz w:val="20"/>
                <w:szCs w:val="20"/>
                <w:color w:val="auto"/>
              </w:rPr>
            </w:pPr>
            <w:r>
              <w:rPr>
                <w:rFonts w:ascii="Arial" w:cs="Arial" w:eastAsia="Arial" w:hAnsi="Arial"/>
                <w:sz w:val="16"/>
                <w:szCs w:val="16"/>
                <w:color w:val="auto"/>
              </w:rPr>
              <w:t>56,211</w:t>
            </w:r>
          </w:p>
        </w:tc>
        <w:tc>
          <w:tcPr>
            <w:tcW w:w="0" w:type="dxa"/>
            <w:vAlign w:val="bottom"/>
          </w:tcPr>
          <w:p>
            <w:pPr>
              <w:spacing w:after="0"/>
              <w:rPr>
                <w:sz w:val="1"/>
                <w:szCs w:val="1"/>
                <w:color w:val="auto"/>
              </w:rPr>
            </w:pPr>
          </w:p>
        </w:tc>
      </w:tr>
      <w:tr>
        <w:trPr>
          <w:trHeight w:val="214"/>
        </w:trPr>
        <w:tc>
          <w:tcPr>
            <w:tcW w:w="16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66BA"/>
              </w:rPr>
              <w:t>Martin Cotter</w:t>
            </w:r>
          </w:p>
        </w:tc>
        <w:tc>
          <w:tcPr>
            <w:tcW w:w="2200" w:type="dxa"/>
            <w:vAlign w:val="bottom"/>
            <w:tcBorders>
              <w:bottom w:val="single" w:sz="8" w:color="auto"/>
            </w:tcBorders>
            <w:shd w:val="clear" w:color="auto" w:fill="EAEAEA"/>
          </w:tcPr>
          <w:p>
            <w:pPr>
              <w:jc w:val="right"/>
              <w:ind w:right="105"/>
              <w:spacing w:after="0"/>
              <w:rPr>
                <w:sz w:val="20"/>
                <w:szCs w:val="20"/>
                <w:color w:val="auto"/>
              </w:rPr>
            </w:pPr>
            <w:r>
              <w:rPr>
                <w:rFonts w:ascii="Arial" w:cs="Arial" w:eastAsia="Arial" w:hAnsi="Arial"/>
                <w:sz w:val="16"/>
                <w:szCs w:val="16"/>
                <w:color w:val="auto"/>
              </w:rPr>
              <w:t>49,827</w:t>
            </w:r>
          </w:p>
        </w:tc>
        <w:tc>
          <w:tcPr>
            <w:tcW w:w="1880" w:type="dxa"/>
            <w:vAlign w:val="bottom"/>
            <w:tcBorders>
              <w:bottom w:val="single" w:sz="8" w:color="auto"/>
            </w:tcBorders>
          </w:tcPr>
          <w:p>
            <w:pPr>
              <w:jc w:val="right"/>
              <w:ind w:right="86"/>
              <w:spacing w:after="0"/>
              <w:rPr>
                <w:sz w:val="20"/>
                <w:szCs w:val="20"/>
                <w:color w:val="auto"/>
              </w:rPr>
            </w:pPr>
            <w:r>
              <w:rPr>
                <w:rFonts w:ascii="Arial" w:cs="Arial" w:eastAsia="Arial" w:hAnsi="Arial"/>
                <w:sz w:val="16"/>
                <w:szCs w:val="16"/>
                <w:color w:val="auto"/>
              </w:rPr>
              <w:t>—</w:t>
            </w:r>
          </w:p>
        </w:tc>
        <w:tc>
          <w:tcPr>
            <w:tcW w:w="2240" w:type="dxa"/>
            <w:vAlign w:val="bottom"/>
            <w:tcBorders>
              <w:bottom w:val="single" w:sz="8" w:color="auto"/>
            </w:tcBorders>
            <w:shd w:val="clear" w:color="auto" w:fill="EAEAEA"/>
          </w:tcPr>
          <w:p>
            <w:pPr>
              <w:jc w:val="right"/>
              <w:ind w:right="85"/>
              <w:spacing w:after="0"/>
              <w:rPr>
                <w:sz w:val="20"/>
                <w:szCs w:val="20"/>
                <w:color w:val="auto"/>
              </w:rPr>
            </w:pPr>
            <w:r>
              <w:rPr>
                <w:rFonts w:ascii="Arial" w:cs="Arial" w:eastAsia="Arial" w:hAnsi="Arial"/>
                <w:sz w:val="16"/>
                <w:szCs w:val="16"/>
                <w:color w:val="auto"/>
              </w:rPr>
              <w:t>11,625</w:t>
            </w:r>
          </w:p>
        </w:tc>
        <w:tc>
          <w:tcPr>
            <w:tcW w:w="2320" w:type="dxa"/>
            <w:vAlign w:val="bottom"/>
            <w:tcBorders>
              <w:bottom w:val="single" w:sz="8" w:color="auto"/>
            </w:tcBorders>
          </w:tcPr>
          <w:p>
            <w:pPr>
              <w:jc w:val="right"/>
              <w:ind w:right="86"/>
              <w:spacing w:after="0"/>
              <w:rPr>
                <w:sz w:val="20"/>
                <w:szCs w:val="20"/>
                <w:color w:val="auto"/>
              </w:rPr>
            </w:pPr>
            <w:r>
              <w:rPr>
                <w:rFonts w:ascii="Arial" w:cs="Arial" w:eastAsia="Arial" w:hAnsi="Arial"/>
                <w:sz w:val="16"/>
                <w:szCs w:val="16"/>
                <w:color w:val="auto"/>
              </w:rPr>
              <w:t>39,044</w:t>
            </w:r>
          </w:p>
        </w:tc>
        <w:tc>
          <w:tcPr>
            <w:tcW w:w="0" w:type="dxa"/>
            <w:vAlign w:val="bottom"/>
          </w:tcPr>
          <w:p>
            <w:pPr>
              <w:spacing w:after="0"/>
              <w:rPr>
                <w:sz w:val="1"/>
                <w:szCs w:val="1"/>
                <w:color w:val="auto"/>
              </w:rPr>
            </w:pPr>
          </w:p>
        </w:tc>
      </w:tr>
      <w:tr>
        <w:trPr>
          <w:trHeight w:val="214"/>
        </w:trPr>
        <w:tc>
          <w:tcPr>
            <w:tcW w:w="16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66BA"/>
              </w:rPr>
              <w:t>John Hassett</w:t>
            </w:r>
          </w:p>
        </w:tc>
        <w:tc>
          <w:tcPr>
            <w:tcW w:w="2200" w:type="dxa"/>
            <w:vAlign w:val="bottom"/>
            <w:tcBorders>
              <w:bottom w:val="single" w:sz="8" w:color="auto"/>
            </w:tcBorders>
            <w:shd w:val="clear" w:color="auto" w:fill="EAEAEA"/>
          </w:tcPr>
          <w:p>
            <w:pPr>
              <w:jc w:val="right"/>
              <w:ind w:right="105"/>
              <w:spacing w:after="0"/>
              <w:rPr>
                <w:sz w:val="20"/>
                <w:szCs w:val="20"/>
                <w:color w:val="auto"/>
              </w:rPr>
            </w:pPr>
            <w:r>
              <w:rPr>
                <w:rFonts w:ascii="Arial" w:cs="Arial" w:eastAsia="Arial" w:hAnsi="Arial"/>
                <w:sz w:val="16"/>
                <w:szCs w:val="16"/>
                <w:color w:val="auto"/>
              </w:rPr>
              <w:t>50,218</w:t>
            </w:r>
          </w:p>
        </w:tc>
        <w:tc>
          <w:tcPr>
            <w:tcW w:w="1880" w:type="dxa"/>
            <w:vAlign w:val="bottom"/>
            <w:tcBorders>
              <w:bottom w:val="single" w:sz="8" w:color="auto"/>
            </w:tcBorders>
          </w:tcPr>
          <w:p>
            <w:pPr>
              <w:jc w:val="right"/>
              <w:ind w:right="86"/>
              <w:spacing w:after="0"/>
              <w:rPr>
                <w:sz w:val="20"/>
                <w:szCs w:val="20"/>
                <w:color w:val="auto"/>
              </w:rPr>
            </w:pPr>
            <w:r>
              <w:rPr>
                <w:rFonts w:ascii="Arial" w:cs="Arial" w:eastAsia="Arial" w:hAnsi="Arial"/>
                <w:sz w:val="16"/>
                <w:szCs w:val="16"/>
                <w:color w:val="auto"/>
              </w:rPr>
              <w:t>—</w:t>
            </w:r>
          </w:p>
        </w:tc>
        <w:tc>
          <w:tcPr>
            <w:tcW w:w="2240" w:type="dxa"/>
            <w:vAlign w:val="bottom"/>
            <w:tcBorders>
              <w:bottom w:val="single" w:sz="8" w:color="auto"/>
            </w:tcBorders>
            <w:shd w:val="clear" w:color="auto" w:fill="EAEAEA"/>
          </w:tcPr>
          <w:p>
            <w:pPr>
              <w:jc w:val="right"/>
              <w:ind w:right="85"/>
              <w:spacing w:after="0"/>
              <w:rPr>
                <w:sz w:val="20"/>
                <w:szCs w:val="20"/>
                <w:color w:val="auto"/>
              </w:rPr>
            </w:pPr>
            <w:r>
              <w:rPr>
                <w:rFonts w:ascii="Arial" w:cs="Arial" w:eastAsia="Arial" w:hAnsi="Arial"/>
                <w:sz w:val="16"/>
                <w:szCs w:val="16"/>
                <w:color w:val="auto"/>
              </w:rPr>
              <w:t>11,624</w:t>
            </w:r>
          </w:p>
        </w:tc>
        <w:tc>
          <w:tcPr>
            <w:tcW w:w="2320" w:type="dxa"/>
            <w:vAlign w:val="bottom"/>
            <w:tcBorders>
              <w:bottom w:val="single" w:sz="8" w:color="auto"/>
            </w:tcBorders>
          </w:tcPr>
          <w:p>
            <w:pPr>
              <w:jc w:val="right"/>
              <w:ind w:right="86"/>
              <w:spacing w:after="0"/>
              <w:rPr>
                <w:sz w:val="20"/>
                <w:szCs w:val="20"/>
                <w:color w:val="auto"/>
              </w:rPr>
            </w:pPr>
            <w:r>
              <w:rPr>
                <w:rFonts w:ascii="Arial" w:cs="Arial" w:eastAsia="Arial" w:hAnsi="Arial"/>
                <w:sz w:val="16"/>
                <w:szCs w:val="16"/>
                <w:color w:val="auto"/>
              </w:rPr>
              <w:t>39,044</w:t>
            </w:r>
          </w:p>
        </w:tc>
        <w:tc>
          <w:tcPr>
            <w:tcW w:w="0" w:type="dxa"/>
            <w:vAlign w:val="bottom"/>
          </w:tcPr>
          <w:p>
            <w:pPr>
              <w:spacing w:after="0"/>
              <w:rPr>
                <w:sz w:val="1"/>
                <w:szCs w:val="1"/>
                <w:color w:val="auto"/>
              </w:rPr>
            </w:pPr>
          </w:p>
        </w:tc>
      </w:tr>
      <w:tr>
        <w:trPr>
          <w:trHeight w:val="214"/>
        </w:trPr>
        <w:tc>
          <w:tcPr>
            <w:tcW w:w="16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0066BA"/>
              </w:rPr>
              <w:t>Greg Henderson</w:t>
            </w:r>
          </w:p>
        </w:tc>
        <w:tc>
          <w:tcPr>
            <w:tcW w:w="2200" w:type="dxa"/>
            <w:vAlign w:val="bottom"/>
            <w:tcBorders>
              <w:bottom w:val="single" w:sz="8" w:color="auto"/>
            </w:tcBorders>
            <w:shd w:val="clear" w:color="auto" w:fill="EAEAEA"/>
          </w:tcPr>
          <w:p>
            <w:pPr>
              <w:jc w:val="right"/>
              <w:ind w:right="105"/>
              <w:spacing w:after="0"/>
              <w:rPr>
                <w:sz w:val="20"/>
                <w:szCs w:val="20"/>
                <w:color w:val="auto"/>
              </w:rPr>
            </w:pPr>
            <w:r>
              <w:rPr>
                <w:rFonts w:ascii="Arial" w:cs="Arial" w:eastAsia="Arial" w:hAnsi="Arial"/>
                <w:sz w:val="16"/>
                <w:szCs w:val="16"/>
                <w:color w:val="auto"/>
              </w:rPr>
              <w:t>54,351</w:t>
            </w:r>
          </w:p>
        </w:tc>
        <w:tc>
          <w:tcPr>
            <w:tcW w:w="1880" w:type="dxa"/>
            <w:vAlign w:val="bottom"/>
            <w:tcBorders>
              <w:bottom w:val="single" w:sz="8" w:color="auto"/>
            </w:tcBorders>
          </w:tcPr>
          <w:p>
            <w:pPr>
              <w:jc w:val="right"/>
              <w:ind w:right="86"/>
              <w:spacing w:after="0"/>
              <w:rPr>
                <w:sz w:val="20"/>
                <w:szCs w:val="20"/>
                <w:color w:val="auto"/>
              </w:rPr>
            </w:pPr>
            <w:r>
              <w:rPr>
                <w:rFonts w:ascii="Arial" w:cs="Arial" w:eastAsia="Arial" w:hAnsi="Arial"/>
                <w:sz w:val="16"/>
                <w:szCs w:val="16"/>
                <w:color w:val="auto"/>
              </w:rPr>
              <w:t>—</w:t>
            </w:r>
          </w:p>
        </w:tc>
        <w:tc>
          <w:tcPr>
            <w:tcW w:w="2240" w:type="dxa"/>
            <w:vAlign w:val="bottom"/>
            <w:tcBorders>
              <w:bottom w:val="single" w:sz="8" w:color="auto"/>
            </w:tcBorders>
            <w:shd w:val="clear" w:color="auto" w:fill="EAEAEA"/>
          </w:tcPr>
          <w:p>
            <w:pPr>
              <w:jc w:val="right"/>
              <w:ind w:right="85"/>
              <w:spacing w:after="0"/>
              <w:rPr>
                <w:sz w:val="20"/>
                <w:szCs w:val="20"/>
                <w:color w:val="auto"/>
              </w:rPr>
            </w:pPr>
            <w:r>
              <w:rPr>
                <w:rFonts w:ascii="Arial" w:cs="Arial" w:eastAsia="Arial" w:hAnsi="Arial"/>
                <w:sz w:val="16"/>
                <w:szCs w:val="16"/>
                <w:color w:val="auto"/>
              </w:rPr>
              <w:t>10,978</w:t>
            </w:r>
          </w:p>
        </w:tc>
        <w:tc>
          <w:tcPr>
            <w:tcW w:w="2320" w:type="dxa"/>
            <w:vAlign w:val="bottom"/>
            <w:tcBorders>
              <w:bottom w:val="single" w:sz="8" w:color="auto"/>
            </w:tcBorders>
          </w:tcPr>
          <w:p>
            <w:pPr>
              <w:jc w:val="right"/>
              <w:ind w:right="86"/>
              <w:spacing w:after="0"/>
              <w:rPr>
                <w:sz w:val="20"/>
                <w:szCs w:val="20"/>
                <w:color w:val="auto"/>
              </w:rPr>
            </w:pPr>
            <w:r>
              <w:rPr>
                <w:rFonts w:ascii="Arial" w:cs="Arial" w:eastAsia="Arial" w:hAnsi="Arial"/>
                <w:sz w:val="16"/>
                <w:szCs w:val="16"/>
                <w:color w:val="auto"/>
              </w:rPr>
              <w:t>39,044</w:t>
            </w:r>
          </w:p>
        </w:tc>
        <w:tc>
          <w:tcPr>
            <w:tcW w:w="0" w:type="dxa"/>
            <w:vAlign w:val="bottom"/>
          </w:tcPr>
          <w:p>
            <w:pPr>
              <w:spacing w:after="0"/>
              <w:rPr>
                <w:sz w:val="1"/>
                <w:szCs w:val="1"/>
                <w:color w:val="auto"/>
              </w:rPr>
            </w:pPr>
          </w:p>
        </w:tc>
      </w:tr>
      <w:tr>
        <w:trPr>
          <w:trHeight w:val="214"/>
        </w:trPr>
        <w:tc>
          <w:tcPr>
            <w:tcW w:w="1640" w:type="dxa"/>
            <w:vAlign w:val="bottom"/>
            <w:tcBorders>
              <w:bottom w:val="single" w:sz="8" w:color="0066BA"/>
            </w:tcBorders>
          </w:tcPr>
          <w:p>
            <w:pPr>
              <w:ind w:left="60"/>
              <w:spacing w:after="0"/>
              <w:rPr>
                <w:sz w:val="20"/>
                <w:szCs w:val="20"/>
                <w:color w:val="auto"/>
              </w:rPr>
            </w:pPr>
            <w:r>
              <w:rPr>
                <w:rFonts w:ascii="Arial" w:cs="Arial" w:eastAsia="Arial" w:hAnsi="Arial"/>
                <w:sz w:val="16"/>
                <w:szCs w:val="16"/>
                <w:b w:val="1"/>
                <w:bCs w:val="1"/>
                <w:color w:val="0066BA"/>
              </w:rPr>
              <w:t>Anelise Sacks</w:t>
            </w:r>
          </w:p>
        </w:tc>
        <w:tc>
          <w:tcPr>
            <w:tcW w:w="2200" w:type="dxa"/>
            <w:vAlign w:val="bottom"/>
            <w:tcBorders>
              <w:bottom w:val="single" w:sz="8" w:color="0066BA"/>
            </w:tcBorders>
            <w:shd w:val="clear" w:color="auto" w:fill="EAEAEA"/>
          </w:tcPr>
          <w:p>
            <w:pPr>
              <w:jc w:val="right"/>
              <w:ind w:right="105"/>
              <w:spacing w:after="0"/>
              <w:rPr>
                <w:sz w:val="20"/>
                <w:szCs w:val="20"/>
                <w:color w:val="auto"/>
              </w:rPr>
            </w:pPr>
            <w:r>
              <w:rPr>
                <w:rFonts w:ascii="Arial" w:cs="Arial" w:eastAsia="Arial" w:hAnsi="Arial"/>
                <w:sz w:val="16"/>
                <w:szCs w:val="16"/>
                <w:color w:val="auto"/>
              </w:rPr>
              <w:t>8,366</w:t>
            </w:r>
          </w:p>
        </w:tc>
        <w:tc>
          <w:tcPr>
            <w:tcW w:w="1880" w:type="dxa"/>
            <w:vAlign w:val="bottom"/>
            <w:tcBorders>
              <w:bottom w:val="single" w:sz="8" w:color="0066BA"/>
            </w:tcBorders>
          </w:tcPr>
          <w:p>
            <w:pPr>
              <w:jc w:val="right"/>
              <w:ind w:right="86"/>
              <w:spacing w:after="0"/>
              <w:rPr>
                <w:sz w:val="20"/>
                <w:szCs w:val="20"/>
                <w:color w:val="auto"/>
              </w:rPr>
            </w:pPr>
            <w:r>
              <w:rPr>
                <w:rFonts w:ascii="Arial" w:cs="Arial" w:eastAsia="Arial" w:hAnsi="Arial"/>
                <w:sz w:val="16"/>
                <w:szCs w:val="16"/>
                <w:color w:val="auto"/>
              </w:rPr>
              <w:t>—</w:t>
            </w:r>
          </w:p>
        </w:tc>
        <w:tc>
          <w:tcPr>
            <w:tcW w:w="2240" w:type="dxa"/>
            <w:vAlign w:val="bottom"/>
            <w:tcBorders>
              <w:bottom w:val="single" w:sz="8" w:color="0066BA"/>
            </w:tcBorders>
            <w:shd w:val="clear" w:color="auto" w:fill="EAEAEA"/>
          </w:tcPr>
          <w:p>
            <w:pPr>
              <w:jc w:val="right"/>
              <w:ind w:right="85"/>
              <w:spacing w:after="0"/>
              <w:rPr>
                <w:sz w:val="20"/>
                <w:szCs w:val="20"/>
                <w:color w:val="auto"/>
              </w:rPr>
            </w:pPr>
            <w:r>
              <w:rPr>
                <w:rFonts w:ascii="Arial" w:cs="Arial" w:eastAsia="Arial" w:hAnsi="Arial"/>
                <w:sz w:val="16"/>
                <w:szCs w:val="16"/>
                <w:color w:val="auto"/>
              </w:rPr>
              <w:t>2,289</w:t>
            </w:r>
          </w:p>
        </w:tc>
        <w:tc>
          <w:tcPr>
            <w:tcW w:w="2320" w:type="dxa"/>
            <w:vAlign w:val="bottom"/>
            <w:tcBorders>
              <w:bottom w:val="single" w:sz="8" w:color="0066BA"/>
            </w:tcBorders>
          </w:tcPr>
          <w:p>
            <w:pPr>
              <w:jc w:val="right"/>
              <w:ind w:right="86"/>
              <w:spacing w:after="0"/>
              <w:rPr>
                <w:sz w:val="20"/>
                <w:szCs w:val="20"/>
                <w:color w:val="auto"/>
              </w:rPr>
            </w:pPr>
            <w:r>
              <w:rPr>
                <w:rFonts w:ascii="Arial" w:cs="Arial" w:eastAsia="Arial" w:hAnsi="Arial"/>
                <w:sz w:val="16"/>
                <w:szCs w:val="16"/>
                <w:color w:val="auto"/>
              </w:rPr>
              <w:t>15,955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0760"/>
          </w:cols>
          <w:pgMar w:left="320" w:top="447" w:right="81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880" w:right="220" w:hanging="405"/>
        <w:spacing w:after="0" w:line="270" w:lineRule="auto"/>
        <w:tabs>
          <w:tab w:leader="none" w:pos="8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Amounts include life, disability, dental, accident and group health insurance benefit continuation for 24 months after a termination in connection with a change in control. The annual benefit costs for each executive are: $8,722 for Mr. Roche, $24,537 for Mr. Mahendra-Rajah, $15,260 for Mr. Cotter, $17,551 for Mr. Hassett, $23,944 for Mr. Henderson and $24,537 for Ms. Sacks.</w:t>
      </w:r>
    </w:p>
    <w:p>
      <w:pPr>
        <w:spacing w:after="0" w:line="29" w:lineRule="exact"/>
        <w:rPr>
          <w:rFonts w:ascii="Arial" w:cs="Arial" w:eastAsia="Arial" w:hAnsi="Arial"/>
          <w:sz w:val="17"/>
          <w:szCs w:val="17"/>
          <w:color w:val="auto"/>
        </w:rPr>
      </w:pPr>
    </w:p>
    <w:p>
      <w:pPr>
        <w:ind w:left="880" w:right="300" w:hanging="405"/>
        <w:spacing w:after="0" w:line="279" w:lineRule="auto"/>
        <w:tabs>
          <w:tab w:leader="none" w:pos="8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 calculating the excise tax gross-up amounts, we take into account Mr. Roche’s earnings from ADI for the prior five years. We include the change in control cash severance and bonus, valuations of unvested stock options that become vested upon a change in control (using the fiscal 2021 year-end closing stock price), valuations of time-based RSUs and PRSUs that become vested upon a change in control (using the fiscal 2021 year-end closing stock price), and our estimated cost of medical and other benefits. Whether Mr. Roche will receive a gross-up amount will depend primarily on his earnings in the previous five years, which will vary depending on stock option exercise activity and amounts of salary and incentives deferred under the DCP. Since 2009, our executive compensation arrangements for new executives do not contain tax gross up provisions for excess parachute payments.</w:t>
      </w:r>
    </w:p>
    <w:p>
      <w:pPr>
        <w:spacing w:after="0" w:line="251"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33333"/>
        </w:rPr>
        <w:t>CEO Pay Ratio</w:t>
      </w:r>
    </w:p>
    <w:p>
      <w:pPr>
        <w:spacing w:after="0" w:line="229" w:lineRule="exact"/>
        <w:rPr>
          <w:sz w:val="20"/>
          <w:szCs w:val="20"/>
          <w:color w:val="auto"/>
        </w:rPr>
      </w:pPr>
    </w:p>
    <w:p>
      <w:pPr>
        <w:ind w:left="480" w:right="480"/>
        <w:spacing w:after="0" w:line="270" w:lineRule="auto"/>
        <w:rPr>
          <w:sz w:val="20"/>
          <w:szCs w:val="20"/>
          <w:color w:val="auto"/>
        </w:rPr>
      </w:pPr>
      <w:r>
        <w:rPr>
          <w:rFonts w:ascii="Arial" w:cs="Arial" w:eastAsia="Arial" w:hAnsi="Arial"/>
          <w:sz w:val="17"/>
          <w:szCs w:val="17"/>
          <w:color w:val="auto"/>
        </w:rPr>
        <w:t>As required by Section 953(b) of the Dodd-Frank Wall Street Reform and Consumer Protection Act, and Item 402(u) of Regulation S-K, we are providing the following information about the relationship of the annual total compensation of our median employee and the annual total compensation of Vincent Roche, the Company’s President and Chief Executive Officer.</w:t>
      </w:r>
    </w:p>
    <w:p>
      <w:pPr>
        <w:spacing w:after="0" w:line="69" w:lineRule="exact"/>
        <w:rPr>
          <w:sz w:val="20"/>
          <w:szCs w:val="20"/>
          <w:color w:val="auto"/>
        </w:rPr>
      </w:pPr>
    </w:p>
    <w:p>
      <w:pPr>
        <w:ind w:left="480" w:right="280"/>
        <w:spacing w:after="0" w:line="281" w:lineRule="auto"/>
        <w:rPr>
          <w:sz w:val="20"/>
          <w:szCs w:val="20"/>
          <w:color w:val="auto"/>
        </w:rPr>
      </w:pPr>
      <w:r>
        <w:rPr>
          <w:rFonts w:ascii="Arial" w:cs="Arial" w:eastAsia="Arial" w:hAnsi="Arial"/>
          <w:sz w:val="16"/>
          <w:szCs w:val="16"/>
          <w:color w:val="auto"/>
        </w:rPr>
        <w:t>This pay ratio is a reasonable estimate calculated in a manner consistent with SEC rules based on our human resources system of records and the methodology described below. Because the SEC rules for identifying the median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below, as other companies may have different employment and compensation practices and may utilize different methodologies, exclusions, estimates, and assumptions in calculating their own pay ratios.</w:t>
      </w:r>
    </w:p>
    <w:p>
      <w:pPr>
        <w:spacing w:after="0" w:line="60" w:lineRule="exact"/>
        <w:rPr>
          <w:sz w:val="20"/>
          <w:szCs w:val="20"/>
          <w:color w:val="auto"/>
        </w:rPr>
      </w:pPr>
    </w:p>
    <w:p>
      <w:pPr>
        <w:ind w:left="480" w:right="340"/>
        <w:spacing w:after="0" w:line="286" w:lineRule="auto"/>
        <w:rPr>
          <w:sz w:val="20"/>
          <w:szCs w:val="20"/>
          <w:color w:val="auto"/>
        </w:rPr>
      </w:pPr>
      <w:r>
        <w:rPr>
          <w:rFonts w:ascii="Arial" w:cs="Arial" w:eastAsia="Arial" w:hAnsi="Arial"/>
          <w:sz w:val="17"/>
          <w:szCs w:val="17"/>
          <w:color w:val="auto"/>
        </w:rPr>
        <w:t>To identify the median employee in fiscal 2021 and to determine such employee’s annual total compensation, we used the following methodology and material assumptions, adjustments and estimates:</w:t>
      </w:r>
    </w:p>
    <w:p>
      <w:pPr>
        <w:spacing w:after="0" w:line="67" w:lineRule="exact"/>
        <w:rPr>
          <w:sz w:val="20"/>
          <w:szCs w:val="20"/>
          <w:color w:val="auto"/>
        </w:rPr>
      </w:pPr>
    </w:p>
    <w:p>
      <w:pPr>
        <w:ind w:left="660" w:hanging="185"/>
        <w:spacing w:after="0"/>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We selected October 30, 2021, as the date upon which we would identify the “median employee.”</w:t>
      </w:r>
    </w:p>
    <w:p>
      <w:pPr>
        <w:spacing w:after="0" w:line="77" w:lineRule="exact"/>
        <w:rPr>
          <w:rFonts w:ascii="Arial" w:cs="Arial" w:eastAsia="Arial" w:hAnsi="Arial"/>
          <w:sz w:val="17"/>
          <w:szCs w:val="17"/>
          <w:color w:val="auto"/>
        </w:rPr>
      </w:pPr>
    </w:p>
    <w:p>
      <w:pPr>
        <w:ind w:left="660" w:right="660" w:hanging="185"/>
        <w:spacing w:after="0" w:line="286" w:lineRule="auto"/>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We used our global employee population as of this date, which includes operators located in our manufacturing facilities around the world, including the Philippines.</w:t>
      </w:r>
    </w:p>
    <w:p>
      <w:pPr>
        <w:spacing w:after="0" w:line="15" w:lineRule="exact"/>
        <w:rPr>
          <w:rFonts w:ascii="Arial" w:cs="Arial" w:eastAsia="Arial" w:hAnsi="Arial"/>
          <w:sz w:val="17"/>
          <w:szCs w:val="17"/>
          <w:color w:val="auto"/>
        </w:rPr>
      </w:pPr>
    </w:p>
    <w:p>
      <w:pPr>
        <w:ind w:left="660" w:right="180" w:hanging="185"/>
        <w:spacing w:after="0" w:line="270" w:lineRule="auto"/>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To identify the median employee, we used annual base salary and target bonus (or sales incentive) at a target of 1.0x of annual base salary. Base salaries were annualized for all permanent employees who were employees for less than the full fiscal year and not on an unpaid leave of absence as of the identification date.</w:t>
      </w:r>
    </w:p>
    <w:p>
      <w:pPr>
        <w:spacing w:after="0" w:line="29" w:lineRule="exact"/>
        <w:rPr>
          <w:rFonts w:ascii="Arial" w:cs="Arial" w:eastAsia="Arial" w:hAnsi="Arial"/>
          <w:sz w:val="17"/>
          <w:szCs w:val="17"/>
          <w:color w:val="auto"/>
        </w:rPr>
      </w:pPr>
    </w:p>
    <w:p>
      <w:pPr>
        <w:ind w:left="660" w:right="400" w:hanging="185"/>
        <w:spacing w:after="0" w:line="286" w:lineRule="auto"/>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We identified and calculated the elements of the median employee’s total compensation for fiscal 2021 in accordance with the requirements of Item 402(c)(2)(x) of Regulation S-K.</w:t>
      </w:r>
    </w:p>
    <w:p>
      <w:pPr>
        <w:spacing w:after="0" w:line="15" w:lineRule="exact"/>
        <w:rPr>
          <w:rFonts w:ascii="Arial" w:cs="Arial" w:eastAsia="Arial" w:hAnsi="Arial"/>
          <w:sz w:val="17"/>
          <w:szCs w:val="17"/>
          <w:color w:val="auto"/>
        </w:rPr>
      </w:pPr>
    </w:p>
    <w:p>
      <w:pPr>
        <w:ind w:left="660" w:right="340" w:hanging="185"/>
        <w:spacing w:after="0" w:line="286" w:lineRule="auto"/>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We applied the exchange rate that we utilize in our accounting system, as of our fiscal year end (October 30, 2021), to convert foreign currency to U.S. dollars.</w:t>
      </w:r>
    </w:p>
    <w:p>
      <w:pPr>
        <w:spacing w:after="0" w:line="54" w:lineRule="exact"/>
        <w:rPr>
          <w:sz w:val="20"/>
          <w:szCs w:val="20"/>
          <w:color w:val="auto"/>
        </w:rPr>
      </w:pPr>
    </w:p>
    <w:p>
      <w:pPr>
        <w:ind w:left="480" w:right="180"/>
        <w:spacing w:after="0" w:line="259" w:lineRule="auto"/>
        <w:rPr>
          <w:sz w:val="20"/>
          <w:szCs w:val="20"/>
          <w:color w:val="auto"/>
        </w:rPr>
      </w:pPr>
      <w:r>
        <w:rPr>
          <w:rFonts w:ascii="Arial" w:cs="Arial" w:eastAsia="Arial" w:hAnsi="Arial"/>
          <w:sz w:val="17"/>
          <w:szCs w:val="17"/>
          <w:color w:val="auto"/>
        </w:rPr>
        <w:t>For fiscal 2021, the annual total compensation of the same median employee was $46,141. The annual total compensation of our Chief Executive Officer for fiscal 2021 was $30,824,323, which is the annual total compensation of our Chief Executive Officer reported in the “Total” column of the Summary Compensation Table appearing on page 46. Based on this information, the ratio of the annual total compensation of our Chief Executive Officer to the median of the annual total compensation of all other employees was approximately 668 to 1. The special CEO Performance Stock Option Award that we granted to our Chief Executive Officer in December 2020 is included in the annual compensation of our Chief Executive Officer as reported in the Summary Compensation Table above. If we were to exclude the CEO Performance Stock Award, the annual total compensation of our Chief Executive Officer for fiscal 2021 would have been $16,608,253, and the resulting CEO pay ratio would have been approximately 360 to 1.</w:t>
      </w: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0940"/>
          </w:cols>
          <w:pgMar w:left="320" w:top="447" w:right="63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33333"/>
        </w:rPr>
        <w:t>Equity Award Program Description</w:t>
      </w:r>
    </w:p>
    <w:p>
      <w:pPr>
        <w:spacing w:after="0" w:line="229" w:lineRule="exact"/>
        <w:rPr>
          <w:sz w:val="20"/>
          <w:szCs w:val="20"/>
          <w:color w:val="auto"/>
        </w:rPr>
      </w:pPr>
    </w:p>
    <w:p>
      <w:pPr>
        <w:ind w:left="480"/>
        <w:spacing w:after="0" w:line="275" w:lineRule="auto"/>
        <w:rPr>
          <w:sz w:val="20"/>
          <w:szCs w:val="20"/>
          <w:color w:val="auto"/>
        </w:rPr>
      </w:pPr>
      <w:r>
        <w:rPr>
          <w:rFonts w:ascii="Arial" w:cs="Arial" w:eastAsia="Arial" w:hAnsi="Arial"/>
          <w:sz w:val="16"/>
          <w:szCs w:val="16"/>
          <w:color w:val="auto"/>
        </w:rPr>
        <w:t>Our equity award program is a broad-based, long-term employee retention program that is intended to attract, retain and motivate our employees, executive officers and directors and to align their interests with those of our shareholders. Our shareholders approved our 2020 Plan at our 2020 annual meeting of shareholders held on March 11, 2020. Under our 2020 Plan, we may grant options to purchase shares of our common stock, stock appreciation rights, restricted stock, restricted stock units and other stock-based awards to all employees, executive officers, directors, consultants and advisors of ADI. All stock options have a maximum term of ten years, and for employees, generally vest in four equal installments on each of the first, second, third and fourth anniversaries of the date of grant, subject to full or partial acceleration upon death, disability or a change in control. The 2020 Plan does not permit us to grant options at exercise prices that are below the fair market value of our common stock on the date of grant. Generally, our employee time-based RSUs vest in four equal installments on each of the first, second, third and fourth anniversaries of the date of grant. Our TSR PRSUs have a three-year performance period under which the number of shares of ADI common stock received following vesting, if any, will be based on ADI’s TSR performance measured against the median TSR of a comparator group of companies over the three-year period. Our financial metric PRSUs have a three-year vesting period under which the number of shares of ADI common stock received following vesting, if any, will be based on ADI’s achievement of non-GAAP OPBT targets set by the Compensation Committee for one-year, two-year cumulative and three-year cumulative performance periods. RSUs and PRSUs granted under the 2020 Plan are subject to full or partial acceleration upon death, disability or a change in control.</w:t>
      </w:r>
    </w:p>
    <w:p>
      <w:pPr>
        <w:spacing w:after="0" w:line="67" w:lineRule="exact"/>
        <w:rPr>
          <w:sz w:val="20"/>
          <w:szCs w:val="20"/>
          <w:color w:val="auto"/>
        </w:rPr>
      </w:pPr>
    </w:p>
    <w:p>
      <w:pPr>
        <w:ind w:left="480"/>
        <w:spacing w:after="0" w:line="275" w:lineRule="auto"/>
        <w:rPr>
          <w:sz w:val="20"/>
          <w:szCs w:val="20"/>
          <w:color w:val="auto"/>
        </w:rPr>
      </w:pPr>
      <w:r>
        <w:rPr>
          <w:rFonts w:ascii="Arial" w:cs="Arial" w:eastAsia="Arial" w:hAnsi="Arial"/>
          <w:sz w:val="16"/>
          <w:szCs w:val="16"/>
          <w:color w:val="auto"/>
        </w:rPr>
        <w:t>Under our 2006 Plan, we granted options to purchase shares of our common stock, stock appreciation rights, restricted stock, restricted stock units and other stock-based awards to all employees, executive officers, directors, consultants and advisors of ADI. The 2006 Plan expired by its terms on March 12, 2021, but awards outstanding under the 2006 Plan will remain in effect. We have not granted any new awards under the 2006 Plan since our shareholders approved our 2020 Plan on March 11, 2020. All stock options have a term of ten years, and for employees, generally vest in four equal installments on each of the first, second, third and fourth anniversaries of the date of grant, subject to full or partial acceleration upon death, disability or a change in control. The 2006 Plan did not permit us to grant options at exercise prices that are below the fair market value of our common stock on the date of grant. Generally, our employee time-based RSUs vest in four equal installments on each of the first, second, third and fourth anniversaries of the date of grant. Our TSR PRSUs have three-year performance periods under which the number of shares of ADI common stock received following vesting, if any, will be based on ADI’s TSR performance measured against the median TSR of a comparator group of companies over the three-year period. Our financial metric PRSUs have a three-year vesting period under which the number of shares of ADI common stock received following vesting, if any, will be based on ADI’s achievement of non-GAAP OPBT targets set by the Compensation Committee for one-year, two-year cumulative and three-year cumulative performance periods. RSUs granted under the 2006 Plan are subject to full or partial acceleration upon death, disability or a change in control.</w:t>
      </w:r>
    </w:p>
    <w:p>
      <w:pPr>
        <w:spacing w:after="0" w:line="69" w:lineRule="exact"/>
        <w:rPr>
          <w:sz w:val="20"/>
          <w:szCs w:val="20"/>
          <w:color w:val="auto"/>
        </w:rPr>
      </w:pPr>
    </w:p>
    <w:p>
      <w:pPr>
        <w:ind w:left="480" w:right="40"/>
        <w:spacing w:after="0" w:line="297" w:lineRule="auto"/>
        <w:rPr>
          <w:sz w:val="20"/>
          <w:szCs w:val="20"/>
          <w:color w:val="auto"/>
        </w:rPr>
      </w:pPr>
      <w:r>
        <w:rPr>
          <w:rFonts w:ascii="Arial" w:cs="Arial" w:eastAsia="Arial" w:hAnsi="Arial"/>
          <w:sz w:val="15"/>
          <w:szCs w:val="15"/>
          <w:color w:val="auto"/>
        </w:rPr>
        <w:t>Under our 2010 Plan, which we assumed as part of the Linear Technology acquisition, we granted options to purchase shares of our common stock, stock appreciation rights, restricted stock, restricted stock units and other stock-based awards to legacy Linear Technology employees. The 2010 Plan expired by its terms on September 15, 2020, but awards outstanding under the 2010 Plan will remain in effect. We have not granted any new awards under the 2010 Plan since our shareholders approved our 2020 Plan on March 10, 2020. All stock options have a term of ten years, and for employees, generally vest in four equal installments on each of the first, second, third and fourth anniversaries of the date of grant, subject to full or partial acceleration upon death or disability. The 2010 Plan did not permit us to grant options at exercise prices that are below the fair market value of our common stock on the date of grant. Generally, our employee time-based RSUs vest in four equal installments on each of the first, second, third and fourth anniversaries of the date of grant. RSUs under the 2010 Plan are subject to full or partial acceleration upon death or disability. The Compensation Committee has discretion to determine the treatment of outstanding awards under the 2010 Plan in the event of a change in control.</w:t>
      </w:r>
    </w:p>
    <w:p>
      <w:pPr>
        <w:spacing w:after="0" w:line="56" w:lineRule="exact"/>
        <w:rPr>
          <w:sz w:val="20"/>
          <w:szCs w:val="20"/>
          <w:color w:val="auto"/>
        </w:rPr>
      </w:pPr>
    </w:p>
    <w:p>
      <w:pPr>
        <w:ind w:left="480" w:right="40"/>
        <w:spacing w:after="0" w:line="261" w:lineRule="auto"/>
        <w:rPr>
          <w:sz w:val="20"/>
          <w:szCs w:val="20"/>
          <w:color w:val="auto"/>
        </w:rPr>
      </w:pPr>
      <w:r>
        <w:rPr>
          <w:rFonts w:ascii="Arial" w:cs="Arial" w:eastAsia="Arial" w:hAnsi="Arial"/>
          <w:sz w:val="17"/>
          <w:szCs w:val="17"/>
          <w:color w:val="auto"/>
        </w:rPr>
        <w:t>As part of the Linear Technology acquisition, we also assumed the 2005 Plan and converted certain outstanding Linear Technology RSU and restricted stock awards, or RSAs, based on share exchange ratios determined in accordance with the merger agreement. The resulting Company stock-based award (either an RSU or an RSA) continue to vest on the same schedule provided under the original Linear Technology RSU or Linear Technology RSA, as applicable. The Company is not granting new awards under the 2005 Plan. RSUs and RSAs under the 2005 Plan are subject to full or partial acceleration upon death or disability. The Compensation Committee has discretion to determine the treatment of outstanding awards under the 2005 Plan in the event of a change in control.</w:t>
      </w:r>
    </w:p>
    <w:p>
      <w:pPr>
        <w:spacing w:after="0" w:line="200" w:lineRule="exact"/>
        <w:rPr>
          <w:sz w:val="20"/>
          <w:szCs w:val="20"/>
          <w:color w:val="auto"/>
        </w:rPr>
      </w:pPr>
    </w:p>
    <w:p>
      <w:pPr>
        <w:spacing w:after="0" w:line="24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0760"/>
          </w:cols>
          <w:pgMar w:left="320" w:top="447" w:right="81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480" w:right="260"/>
        <w:spacing w:after="0" w:line="275" w:lineRule="auto"/>
        <w:rPr>
          <w:sz w:val="20"/>
          <w:szCs w:val="20"/>
          <w:color w:val="auto"/>
        </w:rPr>
      </w:pPr>
      <w:r>
        <w:rPr>
          <w:rFonts w:ascii="Arial" w:cs="Arial" w:eastAsia="Arial" w:hAnsi="Arial"/>
          <w:sz w:val="16"/>
          <w:szCs w:val="16"/>
          <w:color w:val="auto"/>
        </w:rPr>
        <w:t>In connection with the Maxim Integrated acquisition, we assumed and amended and restated the Maxim Integrated Amended and Restated 1996 Stock Incentive Plan, or 1996 Plan. We also assumed Maxim Integrated’s existing share reserve under the 1996 Plan and may use the reserve both to settle outstanding Maxim Integrated awards previously granted by Maxim Integrated under the plan, as well as to settle future grants made by ADI to legacy Maxim Integrated employees and any new employees of the combined company. Under the 1996 Plan we may grant options to purchase shares of our common stock, restricted stock, restricted stock units and other stock-based awards. The 1996 Plan will expire by its terms on August 11, 2024, but awards outstanding under the 1996 Plan will remain in effect. There are no stock options outstanding under the 1996 Plan. If we were to issue stock options, they would have a term of ten years, and for employees, generally vest in four equal installments on each of the first, second, third and fourth anniversaries of the date of grant, subject to full or partial acceleration upon death or disability. The 1996 Plan does not permit us to grant options at exercise prices that are below the fair market value of our common stock on the date of grant. Employee time-based RSUs and RSAs previously granted by Maxim Integrated under the 1996 Plan continue to vest on the same schedule provided under the original Maxim Integrated awards. New RSUs typically will vest in four equal installments on each of the first, second, third and fourth anniversaries of the date of grant. Generally, stock options, RSUs, and RSAs under the 1996 Plan are subject to full acceleration upon death or disability.</w:t>
      </w:r>
    </w:p>
    <w:p>
      <w:pPr>
        <w:spacing w:after="0" w:line="69" w:lineRule="exact"/>
        <w:rPr>
          <w:sz w:val="20"/>
          <w:szCs w:val="20"/>
          <w:color w:val="auto"/>
        </w:rPr>
      </w:pPr>
    </w:p>
    <w:p>
      <w:pPr>
        <w:ind w:left="480" w:right="560"/>
        <w:spacing w:after="0" w:line="356" w:lineRule="auto"/>
        <w:rPr>
          <w:sz w:val="20"/>
          <w:szCs w:val="20"/>
          <w:color w:val="auto"/>
        </w:rPr>
      </w:pPr>
      <w:r>
        <w:rPr>
          <w:rFonts w:ascii="Arial" w:cs="Arial" w:eastAsia="Arial" w:hAnsi="Arial"/>
          <w:sz w:val="15"/>
          <w:szCs w:val="15"/>
          <w:color w:val="auto"/>
        </w:rPr>
        <w:t>We can make equity award grants to executive officers and directors only from shareholder-approved plans after the Compensation Committee reviews and approves the grants. All members of the Compensation Committee are independent directors, as defined by the Nasdaq Rules.</w:t>
      </w:r>
    </w:p>
    <w:p>
      <w:pPr>
        <w:spacing w:after="0" w:line="196"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33333"/>
        </w:rPr>
        <w:t>Securities Authorized for Issuance Under Equity Compensation Plans</w:t>
      </w:r>
    </w:p>
    <w:p>
      <w:pPr>
        <w:spacing w:after="0" w:line="229" w:lineRule="exact"/>
        <w:rPr>
          <w:sz w:val="20"/>
          <w:szCs w:val="20"/>
          <w:color w:val="auto"/>
        </w:rPr>
      </w:pPr>
    </w:p>
    <w:p>
      <w:pPr>
        <w:ind w:left="480" w:right="420"/>
        <w:spacing w:after="0" w:line="265" w:lineRule="auto"/>
        <w:rPr>
          <w:sz w:val="20"/>
          <w:szCs w:val="20"/>
          <w:color w:val="auto"/>
        </w:rPr>
      </w:pPr>
      <w:r>
        <w:rPr>
          <w:rFonts w:ascii="Arial" w:cs="Arial" w:eastAsia="Arial" w:hAnsi="Arial"/>
          <w:sz w:val="17"/>
          <w:szCs w:val="17"/>
          <w:color w:val="auto"/>
        </w:rPr>
        <w:t>The following table provides information as of October 30, 2021 about the securities which are either already issued, or authorized for future issuance, under our 2020 Plan and the 1996 Plan, which we assumed in connection with the Maxim Integrated acquisition, and the securities that are issued and outstanding under our 2006 Plan, as well as our 2005 Plan and our 2010 Plan, which were both assumed in connection with the Linear Technology acquisition.</w:t>
      </w:r>
    </w:p>
    <w:p>
      <w:pPr>
        <w:spacing w:after="0" w:line="216" w:lineRule="exact"/>
        <w:rPr>
          <w:sz w:val="20"/>
          <w:szCs w:val="20"/>
          <w:color w:val="auto"/>
        </w:rPr>
      </w:pPr>
    </w:p>
    <w:tbl>
      <w:tblPr>
        <w:tblLayout w:type="fixed"/>
        <w:tblInd w:w="480" w:type="dxa"/>
        <w:tblCellMar>
          <w:top w:w="0" w:type="dxa"/>
          <w:left w:w="0" w:type="dxa"/>
          <w:bottom w:w="0" w:type="dxa"/>
          <w:right w:w="0" w:type="dxa"/>
        </w:tblCellMar>
      </w:tblPr>
      <w:tr>
        <w:trPr>
          <w:trHeight w:val="169"/>
        </w:trPr>
        <w:tc>
          <w:tcPr>
            <w:tcW w:w="2620" w:type="dxa"/>
            <w:vAlign w:val="bottom"/>
            <w:tcBorders>
              <w:bottom w:val="single" w:sz="8" w:color="0066BA"/>
            </w:tcBorders>
            <w:shd w:val="clear" w:color="auto" w:fill="0066BA"/>
          </w:tcPr>
          <w:p>
            <w:pPr>
              <w:spacing w:after="0"/>
              <w:rPr>
                <w:sz w:val="14"/>
                <w:szCs w:val="14"/>
                <w:color w:val="auto"/>
              </w:rPr>
            </w:pPr>
          </w:p>
        </w:tc>
        <w:tc>
          <w:tcPr>
            <w:tcW w:w="460" w:type="dxa"/>
            <w:vAlign w:val="bottom"/>
            <w:tcBorders>
              <w:bottom w:val="single" w:sz="8" w:color="0066BA"/>
            </w:tcBorders>
            <w:shd w:val="clear" w:color="auto" w:fill="0066BA"/>
          </w:tcPr>
          <w:p>
            <w:pPr>
              <w:spacing w:after="0"/>
              <w:rPr>
                <w:sz w:val="14"/>
                <w:szCs w:val="14"/>
                <w:color w:val="auto"/>
              </w:rPr>
            </w:pPr>
          </w:p>
        </w:tc>
        <w:tc>
          <w:tcPr>
            <w:tcW w:w="1600" w:type="dxa"/>
            <w:vAlign w:val="bottom"/>
            <w:tcBorders>
              <w:bottom w:val="single" w:sz="8" w:color="7FB2DC"/>
            </w:tcBorders>
            <w:shd w:val="clear" w:color="auto" w:fill="0066BA"/>
          </w:tcPr>
          <w:p>
            <w:pPr>
              <w:ind w:left="720"/>
              <w:spacing w:after="0"/>
              <w:rPr>
                <w:sz w:val="20"/>
                <w:szCs w:val="20"/>
                <w:color w:val="auto"/>
              </w:rPr>
            </w:pPr>
            <w:r>
              <w:rPr>
                <w:rFonts w:ascii="Arial" w:cs="Arial" w:eastAsia="Arial" w:hAnsi="Arial"/>
                <w:sz w:val="14"/>
                <w:szCs w:val="14"/>
                <w:b w:val="1"/>
                <w:bCs w:val="1"/>
                <w:color w:val="FFFFFF"/>
              </w:rPr>
              <w:t>(a)</w:t>
            </w:r>
          </w:p>
        </w:tc>
        <w:tc>
          <w:tcPr>
            <w:tcW w:w="580" w:type="dxa"/>
            <w:vAlign w:val="bottom"/>
            <w:tcBorders>
              <w:bottom w:val="single" w:sz="8" w:color="0066BA"/>
            </w:tcBorders>
            <w:shd w:val="clear" w:color="auto" w:fill="0066BA"/>
          </w:tcPr>
          <w:p>
            <w:pPr>
              <w:spacing w:after="0"/>
              <w:rPr>
                <w:sz w:val="14"/>
                <w:szCs w:val="14"/>
                <w:color w:val="auto"/>
              </w:rPr>
            </w:pPr>
          </w:p>
        </w:tc>
        <w:tc>
          <w:tcPr>
            <w:tcW w:w="460" w:type="dxa"/>
            <w:vAlign w:val="bottom"/>
            <w:tcBorders>
              <w:bottom w:val="single" w:sz="8" w:color="0066BA"/>
            </w:tcBorders>
            <w:shd w:val="clear" w:color="auto" w:fill="0066BA"/>
          </w:tcPr>
          <w:p>
            <w:pPr>
              <w:spacing w:after="0"/>
              <w:rPr>
                <w:sz w:val="14"/>
                <w:szCs w:val="14"/>
                <w:color w:val="auto"/>
              </w:rPr>
            </w:pPr>
          </w:p>
        </w:tc>
        <w:tc>
          <w:tcPr>
            <w:tcW w:w="160" w:type="dxa"/>
            <w:vAlign w:val="bottom"/>
            <w:tcBorders>
              <w:bottom w:val="single" w:sz="8" w:color="7FB2DC"/>
            </w:tcBorders>
            <w:shd w:val="clear" w:color="auto" w:fill="0066BA"/>
          </w:tcPr>
          <w:p>
            <w:pPr>
              <w:spacing w:after="0"/>
              <w:rPr>
                <w:sz w:val="14"/>
                <w:szCs w:val="14"/>
                <w:color w:val="auto"/>
              </w:rPr>
            </w:pPr>
          </w:p>
        </w:tc>
        <w:tc>
          <w:tcPr>
            <w:tcW w:w="1140" w:type="dxa"/>
            <w:vAlign w:val="bottom"/>
            <w:tcBorders>
              <w:bottom w:val="single" w:sz="8" w:color="7FB2DC"/>
            </w:tcBorders>
            <w:shd w:val="clear" w:color="auto" w:fill="0066BA"/>
          </w:tcPr>
          <w:p>
            <w:pPr>
              <w:ind w:left="420"/>
              <w:spacing w:after="0"/>
              <w:rPr>
                <w:sz w:val="20"/>
                <w:szCs w:val="20"/>
                <w:color w:val="auto"/>
              </w:rPr>
            </w:pPr>
            <w:r>
              <w:rPr>
                <w:rFonts w:ascii="Arial" w:cs="Arial" w:eastAsia="Arial" w:hAnsi="Arial"/>
                <w:sz w:val="14"/>
                <w:szCs w:val="14"/>
                <w:b w:val="1"/>
                <w:bCs w:val="1"/>
                <w:color w:val="FFFFFF"/>
              </w:rPr>
              <w:t>(b)</w:t>
            </w:r>
          </w:p>
        </w:tc>
        <w:tc>
          <w:tcPr>
            <w:tcW w:w="580" w:type="dxa"/>
            <w:vAlign w:val="bottom"/>
            <w:tcBorders>
              <w:bottom w:val="single" w:sz="8" w:color="0066BA"/>
            </w:tcBorders>
            <w:shd w:val="clear" w:color="auto" w:fill="0066BA"/>
          </w:tcPr>
          <w:p>
            <w:pPr>
              <w:spacing w:after="0"/>
              <w:rPr>
                <w:sz w:val="14"/>
                <w:szCs w:val="14"/>
                <w:color w:val="auto"/>
              </w:rPr>
            </w:pPr>
          </w:p>
        </w:tc>
        <w:tc>
          <w:tcPr>
            <w:tcW w:w="480" w:type="dxa"/>
            <w:vAlign w:val="bottom"/>
            <w:tcBorders>
              <w:bottom w:val="single" w:sz="8" w:color="0066BA"/>
            </w:tcBorders>
            <w:shd w:val="clear" w:color="auto" w:fill="0066BA"/>
          </w:tcPr>
          <w:p>
            <w:pPr>
              <w:spacing w:after="0"/>
              <w:rPr>
                <w:sz w:val="14"/>
                <w:szCs w:val="14"/>
                <w:color w:val="auto"/>
              </w:rPr>
            </w:pPr>
          </w:p>
        </w:tc>
        <w:tc>
          <w:tcPr>
            <w:tcW w:w="1620" w:type="dxa"/>
            <w:vAlign w:val="bottom"/>
            <w:tcBorders>
              <w:bottom w:val="single" w:sz="8" w:color="7FB2DC"/>
            </w:tcBorders>
            <w:shd w:val="clear" w:color="auto" w:fill="0066BA"/>
          </w:tcPr>
          <w:p>
            <w:pPr>
              <w:ind w:left="740"/>
              <w:spacing w:after="0"/>
              <w:rPr>
                <w:sz w:val="20"/>
                <w:szCs w:val="20"/>
                <w:color w:val="auto"/>
              </w:rPr>
            </w:pPr>
            <w:r>
              <w:rPr>
                <w:rFonts w:ascii="Arial" w:cs="Arial" w:eastAsia="Arial" w:hAnsi="Arial"/>
                <w:sz w:val="14"/>
                <w:szCs w:val="14"/>
                <w:b w:val="1"/>
                <w:bCs w:val="1"/>
                <w:color w:val="FFFFFF"/>
              </w:rPr>
              <w:t>(c)</w:t>
            </w:r>
          </w:p>
        </w:tc>
        <w:tc>
          <w:tcPr>
            <w:tcW w:w="580" w:type="dxa"/>
            <w:vAlign w:val="bottom"/>
            <w:tcBorders>
              <w:bottom w:val="single" w:sz="8" w:color="0066BA"/>
            </w:tcBorders>
            <w:shd w:val="clear" w:color="auto" w:fill="0066BA"/>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0066BA"/>
          </w:tcPr>
          <w:p>
            <w:pPr>
              <w:spacing w:after="0"/>
              <w:rPr>
                <w:sz w:val="11"/>
                <w:szCs w:val="11"/>
                <w:color w:val="auto"/>
              </w:rPr>
            </w:pPr>
          </w:p>
        </w:tc>
        <w:tc>
          <w:tcPr>
            <w:tcW w:w="460" w:type="dxa"/>
            <w:vAlign w:val="bottom"/>
            <w:shd w:val="clear" w:color="auto" w:fill="0066BA"/>
          </w:tcPr>
          <w:p>
            <w:pPr>
              <w:spacing w:after="0"/>
              <w:rPr>
                <w:sz w:val="11"/>
                <w:szCs w:val="11"/>
                <w:color w:val="auto"/>
              </w:rPr>
            </w:pPr>
          </w:p>
        </w:tc>
        <w:tc>
          <w:tcPr>
            <w:tcW w:w="1600" w:type="dxa"/>
            <w:vAlign w:val="bottom"/>
            <w:shd w:val="clear" w:color="auto" w:fill="0066BA"/>
          </w:tcPr>
          <w:p>
            <w:pPr>
              <w:spacing w:after="0"/>
              <w:rPr>
                <w:sz w:val="11"/>
                <w:szCs w:val="11"/>
                <w:color w:val="auto"/>
              </w:rPr>
            </w:pPr>
          </w:p>
        </w:tc>
        <w:tc>
          <w:tcPr>
            <w:tcW w:w="580" w:type="dxa"/>
            <w:vAlign w:val="bottom"/>
            <w:shd w:val="clear" w:color="auto" w:fill="0066BA"/>
          </w:tcPr>
          <w:p>
            <w:pPr>
              <w:spacing w:after="0"/>
              <w:rPr>
                <w:sz w:val="11"/>
                <w:szCs w:val="11"/>
                <w:color w:val="auto"/>
              </w:rPr>
            </w:pPr>
          </w:p>
        </w:tc>
        <w:tc>
          <w:tcPr>
            <w:tcW w:w="460" w:type="dxa"/>
            <w:vAlign w:val="bottom"/>
            <w:shd w:val="clear" w:color="auto" w:fill="0066BA"/>
          </w:tcPr>
          <w:p>
            <w:pPr>
              <w:spacing w:after="0"/>
              <w:rPr>
                <w:sz w:val="11"/>
                <w:szCs w:val="11"/>
                <w:color w:val="auto"/>
              </w:rPr>
            </w:pPr>
          </w:p>
        </w:tc>
        <w:tc>
          <w:tcPr>
            <w:tcW w:w="160" w:type="dxa"/>
            <w:vAlign w:val="bottom"/>
            <w:shd w:val="clear" w:color="auto" w:fill="0066BA"/>
          </w:tcPr>
          <w:p>
            <w:pPr>
              <w:spacing w:after="0"/>
              <w:rPr>
                <w:sz w:val="11"/>
                <w:szCs w:val="11"/>
                <w:color w:val="auto"/>
              </w:rPr>
            </w:pPr>
          </w:p>
        </w:tc>
        <w:tc>
          <w:tcPr>
            <w:tcW w:w="1140" w:type="dxa"/>
            <w:vAlign w:val="bottom"/>
            <w:shd w:val="clear" w:color="auto" w:fill="0066BA"/>
          </w:tcPr>
          <w:p>
            <w:pPr>
              <w:spacing w:after="0"/>
              <w:rPr>
                <w:sz w:val="11"/>
                <w:szCs w:val="11"/>
                <w:color w:val="auto"/>
              </w:rPr>
            </w:pPr>
          </w:p>
        </w:tc>
        <w:tc>
          <w:tcPr>
            <w:tcW w:w="580" w:type="dxa"/>
            <w:vAlign w:val="bottom"/>
            <w:shd w:val="clear" w:color="auto" w:fill="0066BA"/>
          </w:tcPr>
          <w:p>
            <w:pPr>
              <w:spacing w:after="0"/>
              <w:rPr>
                <w:sz w:val="11"/>
                <w:szCs w:val="11"/>
                <w:color w:val="auto"/>
              </w:rPr>
            </w:pPr>
          </w:p>
        </w:tc>
        <w:tc>
          <w:tcPr>
            <w:tcW w:w="480" w:type="dxa"/>
            <w:vAlign w:val="bottom"/>
            <w:shd w:val="clear" w:color="auto" w:fill="0066BA"/>
          </w:tcPr>
          <w:p>
            <w:pPr>
              <w:spacing w:after="0"/>
              <w:rPr>
                <w:sz w:val="11"/>
                <w:szCs w:val="11"/>
                <w:color w:val="auto"/>
              </w:rPr>
            </w:pPr>
          </w:p>
        </w:tc>
        <w:tc>
          <w:tcPr>
            <w:tcW w:w="2200" w:type="dxa"/>
            <w:vAlign w:val="bottom"/>
            <w:gridSpan w:val="2"/>
            <w:shd w:val="clear" w:color="auto" w:fill="0066BA"/>
          </w:tcPr>
          <w:p>
            <w:pPr>
              <w:jc w:val="right"/>
              <w:ind w:right="580"/>
              <w:spacing w:after="0" w:line="127" w:lineRule="exact"/>
              <w:rPr>
                <w:sz w:val="20"/>
                <w:szCs w:val="20"/>
                <w:color w:val="auto"/>
              </w:rPr>
            </w:pPr>
            <w:r>
              <w:rPr>
                <w:rFonts w:ascii="Arial" w:cs="Arial" w:eastAsia="Arial" w:hAnsi="Arial"/>
                <w:sz w:val="14"/>
                <w:szCs w:val="14"/>
                <w:b w:val="1"/>
                <w:bCs w:val="1"/>
                <w:color w:val="FFFFFF"/>
              </w:rPr>
              <w:t>Number of Securities</w:t>
            </w:r>
          </w:p>
        </w:tc>
        <w:tc>
          <w:tcPr>
            <w:tcW w:w="0" w:type="dxa"/>
            <w:vAlign w:val="bottom"/>
          </w:tcPr>
          <w:p>
            <w:pPr>
              <w:spacing w:after="0"/>
              <w:rPr>
                <w:sz w:val="1"/>
                <w:szCs w:val="1"/>
                <w:color w:val="auto"/>
              </w:rPr>
            </w:pPr>
          </w:p>
        </w:tc>
      </w:tr>
      <w:tr>
        <w:trPr>
          <w:trHeight w:val="143"/>
        </w:trPr>
        <w:tc>
          <w:tcPr>
            <w:tcW w:w="2620" w:type="dxa"/>
            <w:vAlign w:val="bottom"/>
            <w:shd w:val="clear" w:color="auto" w:fill="0066BA"/>
          </w:tcPr>
          <w:p>
            <w:pPr>
              <w:spacing w:after="0"/>
              <w:rPr>
                <w:sz w:val="12"/>
                <w:szCs w:val="12"/>
                <w:color w:val="auto"/>
              </w:rPr>
            </w:pPr>
          </w:p>
        </w:tc>
        <w:tc>
          <w:tcPr>
            <w:tcW w:w="460" w:type="dxa"/>
            <w:vAlign w:val="bottom"/>
            <w:shd w:val="clear" w:color="auto" w:fill="0066BA"/>
          </w:tcPr>
          <w:p>
            <w:pPr>
              <w:spacing w:after="0"/>
              <w:rPr>
                <w:sz w:val="12"/>
                <w:szCs w:val="12"/>
                <w:color w:val="auto"/>
              </w:rPr>
            </w:pPr>
          </w:p>
        </w:tc>
        <w:tc>
          <w:tcPr>
            <w:tcW w:w="2180" w:type="dxa"/>
            <w:vAlign w:val="bottom"/>
            <w:gridSpan w:val="2"/>
            <w:vMerge w:val="restart"/>
            <w:shd w:val="clear" w:color="auto" w:fill="0066BA"/>
          </w:tcPr>
          <w:p>
            <w:pPr>
              <w:jc w:val="right"/>
              <w:ind w:right="580"/>
              <w:spacing w:after="0"/>
              <w:rPr>
                <w:sz w:val="20"/>
                <w:szCs w:val="20"/>
                <w:color w:val="auto"/>
              </w:rPr>
            </w:pPr>
            <w:r>
              <w:rPr>
                <w:rFonts w:ascii="Arial" w:cs="Arial" w:eastAsia="Arial" w:hAnsi="Arial"/>
                <w:sz w:val="14"/>
                <w:szCs w:val="14"/>
                <w:b w:val="1"/>
                <w:bCs w:val="1"/>
                <w:color w:val="FFFFFF"/>
                <w:w w:val="88"/>
              </w:rPr>
              <w:t>Number of Securities to be</w:t>
            </w:r>
          </w:p>
        </w:tc>
        <w:tc>
          <w:tcPr>
            <w:tcW w:w="460" w:type="dxa"/>
            <w:vAlign w:val="bottom"/>
            <w:shd w:val="clear" w:color="auto" w:fill="0066BA"/>
          </w:tcPr>
          <w:p>
            <w:pPr>
              <w:spacing w:after="0"/>
              <w:rPr>
                <w:sz w:val="12"/>
                <w:szCs w:val="12"/>
                <w:color w:val="auto"/>
              </w:rPr>
            </w:pPr>
          </w:p>
        </w:tc>
        <w:tc>
          <w:tcPr>
            <w:tcW w:w="160" w:type="dxa"/>
            <w:vAlign w:val="bottom"/>
            <w:shd w:val="clear" w:color="auto" w:fill="0066BA"/>
          </w:tcPr>
          <w:p>
            <w:pPr>
              <w:spacing w:after="0"/>
              <w:rPr>
                <w:sz w:val="12"/>
                <w:szCs w:val="12"/>
                <w:color w:val="auto"/>
              </w:rPr>
            </w:pPr>
          </w:p>
        </w:tc>
        <w:tc>
          <w:tcPr>
            <w:tcW w:w="1720" w:type="dxa"/>
            <w:vAlign w:val="bottom"/>
            <w:gridSpan w:val="2"/>
            <w:vMerge w:val="restart"/>
            <w:shd w:val="clear" w:color="auto" w:fill="0066BA"/>
          </w:tcPr>
          <w:p>
            <w:pPr>
              <w:jc w:val="right"/>
              <w:ind w:right="580"/>
              <w:spacing w:after="0"/>
              <w:rPr>
                <w:sz w:val="20"/>
                <w:szCs w:val="20"/>
                <w:color w:val="auto"/>
              </w:rPr>
            </w:pPr>
            <w:r>
              <w:rPr>
                <w:rFonts w:ascii="Arial" w:cs="Arial" w:eastAsia="Arial" w:hAnsi="Arial"/>
                <w:sz w:val="14"/>
                <w:szCs w:val="14"/>
                <w:b w:val="1"/>
                <w:bCs w:val="1"/>
                <w:color w:val="FFFFFF"/>
                <w:w w:val="91"/>
              </w:rPr>
              <w:t>Weighted-Average</w:t>
            </w:r>
          </w:p>
        </w:tc>
        <w:tc>
          <w:tcPr>
            <w:tcW w:w="480" w:type="dxa"/>
            <w:vAlign w:val="bottom"/>
            <w:shd w:val="clear" w:color="auto" w:fill="0066BA"/>
          </w:tcPr>
          <w:p>
            <w:pPr>
              <w:spacing w:after="0"/>
              <w:rPr>
                <w:sz w:val="12"/>
                <w:szCs w:val="12"/>
                <w:color w:val="auto"/>
              </w:rPr>
            </w:pPr>
          </w:p>
        </w:tc>
        <w:tc>
          <w:tcPr>
            <w:tcW w:w="2200" w:type="dxa"/>
            <w:vAlign w:val="bottom"/>
            <w:gridSpan w:val="2"/>
            <w:shd w:val="clear" w:color="auto" w:fill="0066BA"/>
          </w:tcPr>
          <w:p>
            <w:pPr>
              <w:jc w:val="right"/>
              <w:ind w:right="580"/>
              <w:spacing w:after="0" w:line="143" w:lineRule="exact"/>
              <w:rPr>
                <w:sz w:val="20"/>
                <w:szCs w:val="20"/>
                <w:color w:val="auto"/>
              </w:rPr>
            </w:pPr>
            <w:r>
              <w:rPr>
                <w:rFonts w:ascii="Arial" w:cs="Arial" w:eastAsia="Arial" w:hAnsi="Arial"/>
                <w:sz w:val="14"/>
                <w:szCs w:val="14"/>
                <w:b w:val="1"/>
                <w:bCs w:val="1"/>
                <w:color w:val="FFFFFF"/>
              </w:rPr>
              <w:t>Remaining Available for</w:t>
            </w:r>
          </w:p>
        </w:tc>
        <w:tc>
          <w:tcPr>
            <w:tcW w:w="0" w:type="dxa"/>
            <w:vAlign w:val="bottom"/>
          </w:tcPr>
          <w:p>
            <w:pPr>
              <w:spacing w:after="0"/>
              <w:rPr>
                <w:sz w:val="1"/>
                <w:szCs w:val="1"/>
                <w:color w:val="auto"/>
              </w:rPr>
            </w:pPr>
          </w:p>
        </w:tc>
      </w:tr>
      <w:tr>
        <w:trPr>
          <w:trHeight w:val="143"/>
        </w:trPr>
        <w:tc>
          <w:tcPr>
            <w:tcW w:w="2620" w:type="dxa"/>
            <w:vAlign w:val="bottom"/>
            <w:shd w:val="clear" w:color="auto" w:fill="0066BA"/>
          </w:tcPr>
          <w:p>
            <w:pPr>
              <w:spacing w:after="0"/>
              <w:rPr>
                <w:sz w:val="12"/>
                <w:szCs w:val="12"/>
                <w:color w:val="auto"/>
              </w:rPr>
            </w:pPr>
          </w:p>
        </w:tc>
        <w:tc>
          <w:tcPr>
            <w:tcW w:w="460" w:type="dxa"/>
            <w:vAlign w:val="bottom"/>
            <w:shd w:val="clear" w:color="auto" w:fill="0066BA"/>
          </w:tcPr>
          <w:p>
            <w:pPr>
              <w:spacing w:after="0"/>
              <w:rPr>
                <w:sz w:val="12"/>
                <w:szCs w:val="12"/>
                <w:color w:val="auto"/>
              </w:rPr>
            </w:pPr>
          </w:p>
        </w:tc>
        <w:tc>
          <w:tcPr>
            <w:tcW w:w="2180" w:type="dxa"/>
            <w:vAlign w:val="bottom"/>
            <w:gridSpan w:val="2"/>
            <w:vMerge w:val="continue"/>
            <w:shd w:val="clear" w:color="auto" w:fill="0066BA"/>
          </w:tcPr>
          <w:p>
            <w:pPr>
              <w:spacing w:after="0"/>
              <w:rPr>
                <w:sz w:val="12"/>
                <w:szCs w:val="12"/>
                <w:color w:val="auto"/>
              </w:rPr>
            </w:pPr>
          </w:p>
        </w:tc>
        <w:tc>
          <w:tcPr>
            <w:tcW w:w="460" w:type="dxa"/>
            <w:vAlign w:val="bottom"/>
            <w:shd w:val="clear" w:color="auto" w:fill="0066BA"/>
          </w:tcPr>
          <w:p>
            <w:pPr>
              <w:spacing w:after="0"/>
              <w:rPr>
                <w:sz w:val="12"/>
                <w:szCs w:val="12"/>
                <w:color w:val="auto"/>
              </w:rPr>
            </w:pPr>
          </w:p>
        </w:tc>
        <w:tc>
          <w:tcPr>
            <w:tcW w:w="160" w:type="dxa"/>
            <w:vAlign w:val="bottom"/>
            <w:shd w:val="clear" w:color="auto" w:fill="0066BA"/>
          </w:tcPr>
          <w:p>
            <w:pPr>
              <w:spacing w:after="0"/>
              <w:rPr>
                <w:sz w:val="12"/>
                <w:szCs w:val="12"/>
                <w:color w:val="auto"/>
              </w:rPr>
            </w:pPr>
          </w:p>
        </w:tc>
        <w:tc>
          <w:tcPr>
            <w:tcW w:w="1720" w:type="dxa"/>
            <w:vAlign w:val="bottom"/>
            <w:gridSpan w:val="2"/>
            <w:vMerge w:val="continue"/>
            <w:shd w:val="clear" w:color="auto" w:fill="0066BA"/>
          </w:tcPr>
          <w:p>
            <w:pPr>
              <w:spacing w:after="0"/>
              <w:rPr>
                <w:sz w:val="12"/>
                <w:szCs w:val="12"/>
                <w:color w:val="auto"/>
              </w:rPr>
            </w:pPr>
          </w:p>
        </w:tc>
        <w:tc>
          <w:tcPr>
            <w:tcW w:w="480" w:type="dxa"/>
            <w:vAlign w:val="bottom"/>
            <w:shd w:val="clear" w:color="auto" w:fill="0066BA"/>
          </w:tcPr>
          <w:p>
            <w:pPr>
              <w:spacing w:after="0"/>
              <w:rPr>
                <w:sz w:val="12"/>
                <w:szCs w:val="12"/>
                <w:color w:val="auto"/>
              </w:rPr>
            </w:pPr>
          </w:p>
        </w:tc>
        <w:tc>
          <w:tcPr>
            <w:tcW w:w="2200" w:type="dxa"/>
            <w:vAlign w:val="bottom"/>
            <w:gridSpan w:val="2"/>
            <w:shd w:val="clear" w:color="auto" w:fill="0066BA"/>
          </w:tcPr>
          <w:p>
            <w:pPr>
              <w:jc w:val="right"/>
              <w:ind w:right="580"/>
              <w:spacing w:after="0" w:line="143" w:lineRule="exact"/>
              <w:rPr>
                <w:sz w:val="20"/>
                <w:szCs w:val="20"/>
                <w:color w:val="auto"/>
              </w:rPr>
            </w:pPr>
            <w:r>
              <w:rPr>
                <w:rFonts w:ascii="Arial" w:cs="Arial" w:eastAsia="Arial" w:hAnsi="Arial"/>
                <w:sz w:val="14"/>
                <w:szCs w:val="14"/>
                <w:b w:val="1"/>
                <w:bCs w:val="1"/>
                <w:color w:val="FFFFFF"/>
              </w:rPr>
              <w:t>Future Issuance Under</w:t>
            </w:r>
          </w:p>
        </w:tc>
        <w:tc>
          <w:tcPr>
            <w:tcW w:w="0" w:type="dxa"/>
            <w:vAlign w:val="bottom"/>
          </w:tcPr>
          <w:p>
            <w:pPr>
              <w:spacing w:after="0"/>
              <w:rPr>
                <w:sz w:val="1"/>
                <w:szCs w:val="1"/>
                <w:color w:val="auto"/>
              </w:rPr>
            </w:pPr>
          </w:p>
        </w:tc>
      </w:tr>
      <w:tr>
        <w:trPr>
          <w:trHeight w:val="143"/>
        </w:trPr>
        <w:tc>
          <w:tcPr>
            <w:tcW w:w="2620" w:type="dxa"/>
            <w:vAlign w:val="bottom"/>
            <w:shd w:val="clear" w:color="auto" w:fill="0066BA"/>
          </w:tcPr>
          <w:p>
            <w:pPr>
              <w:spacing w:after="0"/>
              <w:rPr>
                <w:sz w:val="12"/>
                <w:szCs w:val="12"/>
                <w:color w:val="auto"/>
              </w:rPr>
            </w:pPr>
          </w:p>
        </w:tc>
        <w:tc>
          <w:tcPr>
            <w:tcW w:w="460" w:type="dxa"/>
            <w:vAlign w:val="bottom"/>
            <w:shd w:val="clear" w:color="auto" w:fill="0066BA"/>
          </w:tcPr>
          <w:p>
            <w:pPr>
              <w:spacing w:after="0"/>
              <w:rPr>
                <w:sz w:val="12"/>
                <w:szCs w:val="12"/>
                <w:color w:val="auto"/>
              </w:rPr>
            </w:pPr>
          </w:p>
        </w:tc>
        <w:tc>
          <w:tcPr>
            <w:tcW w:w="2180" w:type="dxa"/>
            <w:vAlign w:val="bottom"/>
            <w:gridSpan w:val="2"/>
            <w:shd w:val="clear" w:color="auto" w:fill="0066BA"/>
          </w:tcPr>
          <w:p>
            <w:pPr>
              <w:jc w:val="right"/>
              <w:ind w:right="580"/>
              <w:spacing w:after="0" w:line="143" w:lineRule="exact"/>
              <w:rPr>
                <w:sz w:val="20"/>
                <w:szCs w:val="20"/>
                <w:color w:val="auto"/>
              </w:rPr>
            </w:pPr>
            <w:r>
              <w:rPr>
                <w:rFonts w:ascii="Arial" w:cs="Arial" w:eastAsia="Arial" w:hAnsi="Arial"/>
                <w:sz w:val="14"/>
                <w:szCs w:val="14"/>
                <w:b w:val="1"/>
                <w:bCs w:val="1"/>
                <w:color w:val="FFFFFF"/>
                <w:w w:val="97"/>
              </w:rPr>
              <w:t>Issued Upon Exercise of</w:t>
            </w:r>
          </w:p>
        </w:tc>
        <w:tc>
          <w:tcPr>
            <w:tcW w:w="460" w:type="dxa"/>
            <w:vAlign w:val="bottom"/>
            <w:shd w:val="clear" w:color="auto" w:fill="0066BA"/>
          </w:tcPr>
          <w:p>
            <w:pPr>
              <w:spacing w:after="0"/>
              <w:rPr>
                <w:sz w:val="12"/>
                <w:szCs w:val="12"/>
                <w:color w:val="auto"/>
              </w:rPr>
            </w:pPr>
          </w:p>
        </w:tc>
        <w:tc>
          <w:tcPr>
            <w:tcW w:w="160" w:type="dxa"/>
            <w:vAlign w:val="bottom"/>
            <w:shd w:val="clear" w:color="auto" w:fill="0066BA"/>
          </w:tcPr>
          <w:p>
            <w:pPr>
              <w:spacing w:after="0"/>
              <w:rPr>
                <w:sz w:val="12"/>
                <w:szCs w:val="12"/>
                <w:color w:val="auto"/>
              </w:rPr>
            </w:pPr>
          </w:p>
        </w:tc>
        <w:tc>
          <w:tcPr>
            <w:tcW w:w="1720" w:type="dxa"/>
            <w:vAlign w:val="bottom"/>
            <w:gridSpan w:val="2"/>
            <w:shd w:val="clear" w:color="auto" w:fill="0066BA"/>
          </w:tcPr>
          <w:p>
            <w:pPr>
              <w:jc w:val="right"/>
              <w:ind w:right="580"/>
              <w:spacing w:after="0" w:line="143" w:lineRule="exact"/>
              <w:rPr>
                <w:sz w:val="20"/>
                <w:szCs w:val="20"/>
                <w:color w:val="auto"/>
              </w:rPr>
            </w:pPr>
            <w:r>
              <w:rPr>
                <w:rFonts w:ascii="Arial" w:cs="Arial" w:eastAsia="Arial" w:hAnsi="Arial"/>
                <w:sz w:val="14"/>
                <w:szCs w:val="14"/>
                <w:b w:val="1"/>
                <w:bCs w:val="1"/>
                <w:color w:val="FFFFFF"/>
                <w:w w:val="99"/>
              </w:rPr>
              <w:t>Exercise Price of</w:t>
            </w:r>
          </w:p>
        </w:tc>
        <w:tc>
          <w:tcPr>
            <w:tcW w:w="480" w:type="dxa"/>
            <w:vAlign w:val="bottom"/>
            <w:shd w:val="clear" w:color="auto" w:fill="0066BA"/>
          </w:tcPr>
          <w:p>
            <w:pPr>
              <w:spacing w:after="0"/>
              <w:rPr>
                <w:sz w:val="12"/>
                <w:szCs w:val="12"/>
                <w:color w:val="auto"/>
              </w:rPr>
            </w:pPr>
          </w:p>
        </w:tc>
        <w:tc>
          <w:tcPr>
            <w:tcW w:w="2200" w:type="dxa"/>
            <w:vAlign w:val="bottom"/>
            <w:gridSpan w:val="2"/>
            <w:shd w:val="clear" w:color="auto" w:fill="0066BA"/>
          </w:tcPr>
          <w:p>
            <w:pPr>
              <w:jc w:val="right"/>
              <w:ind w:right="580"/>
              <w:spacing w:after="0" w:line="143" w:lineRule="exact"/>
              <w:rPr>
                <w:sz w:val="20"/>
                <w:szCs w:val="20"/>
                <w:color w:val="auto"/>
              </w:rPr>
            </w:pPr>
            <w:r>
              <w:rPr>
                <w:rFonts w:ascii="Arial" w:cs="Arial" w:eastAsia="Arial" w:hAnsi="Arial"/>
                <w:sz w:val="14"/>
                <w:szCs w:val="14"/>
                <w:b w:val="1"/>
                <w:bCs w:val="1"/>
                <w:color w:val="FFFFFF"/>
              </w:rPr>
              <w:t>Equity Compensation</w:t>
            </w:r>
          </w:p>
        </w:tc>
        <w:tc>
          <w:tcPr>
            <w:tcW w:w="0" w:type="dxa"/>
            <w:vAlign w:val="bottom"/>
          </w:tcPr>
          <w:p>
            <w:pPr>
              <w:spacing w:after="0"/>
              <w:rPr>
                <w:sz w:val="1"/>
                <w:szCs w:val="1"/>
                <w:color w:val="auto"/>
              </w:rPr>
            </w:pPr>
          </w:p>
        </w:tc>
      </w:tr>
      <w:tr>
        <w:trPr>
          <w:trHeight w:val="143"/>
        </w:trPr>
        <w:tc>
          <w:tcPr>
            <w:tcW w:w="2620" w:type="dxa"/>
            <w:vAlign w:val="bottom"/>
            <w:vMerge w:val="restart"/>
            <w:shd w:val="clear" w:color="auto" w:fill="0066BA"/>
          </w:tcPr>
          <w:p>
            <w:pPr>
              <w:ind w:left="60"/>
              <w:spacing w:after="0"/>
              <w:rPr>
                <w:sz w:val="20"/>
                <w:szCs w:val="20"/>
                <w:color w:val="auto"/>
              </w:rPr>
            </w:pPr>
            <w:r>
              <w:rPr>
                <w:rFonts w:ascii="Arial" w:cs="Arial" w:eastAsia="Arial" w:hAnsi="Arial"/>
                <w:sz w:val="14"/>
                <w:szCs w:val="14"/>
                <w:b w:val="1"/>
                <w:bCs w:val="1"/>
                <w:color w:val="FFFFFF"/>
              </w:rPr>
              <w:t>Plan Category</w:t>
            </w:r>
          </w:p>
        </w:tc>
        <w:tc>
          <w:tcPr>
            <w:tcW w:w="460" w:type="dxa"/>
            <w:vAlign w:val="bottom"/>
            <w:shd w:val="clear" w:color="auto" w:fill="0066BA"/>
          </w:tcPr>
          <w:p>
            <w:pPr>
              <w:spacing w:after="0"/>
              <w:rPr>
                <w:sz w:val="12"/>
                <w:szCs w:val="12"/>
                <w:color w:val="auto"/>
              </w:rPr>
            </w:pPr>
          </w:p>
        </w:tc>
        <w:tc>
          <w:tcPr>
            <w:tcW w:w="2180" w:type="dxa"/>
            <w:vAlign w:val="bottom"/>
            <w:gridSpan w:val="2"/>
            <w:shd w:val="clear" w:color="auto" w:fill="0066BA"/>
          </w:tcPr>
          <w:p>
            <w:pPr>
              <w:jc w:val="right"/>
              <w:ind w:right="580"/>
              <w:spacing w:after="0" w:line="143" w:lineRule="exact"/>
              <w:rPr>
                <w:sz w:val="20"/>
                <w:szCs w:val="20"/>
                <w:color w:val="auto"/>
              </w:rPr>
            </w:pPr>
            <w:r>
              <w:rPr>
                <w:rFonts w:ascii="Arial" w:cs="Arial" w:eastAsia="Arial" w:hAnsi="Arial"/>
                <w:sz w:val="14"/>
                <w:szCs w:val="14"/>
                <w:b w:val="1"/>
                <w:bCs w:val="1"/>
                <w:color w:val="FFFFFF"/>
              </w:rPr>
              <w:t>Outstanding Options,</w:t>
            </w:r>
          </w:p>
        </w:tc>
        <w:tc>
          <w:tcPr>
            <w:tcW w:w="460" w:type="dxa"/>
            <w:vAlign w:val="bottom"/>
            <w:shd w:val="clear" w:color="auto" w:fill="0066BA"/>
          </w:tcPr>
          <w:p>
            <w:pPr>
              <w:spacing w:after="0"/>
              <w:rPr>
                <w:sz w:val="12"/>
                <w:szCs w:val="12"/>
                <w:color w:val="auto"/>
              </w:rPr>
            </w:pPr>
          </w:p>
        </w:tc>
        <w:tc>
          <w:tcPr>
            <w:tcW w:w="1880" w:type="dxa"/>
            <w:vAlign w:val="bottom"/>
            <w:gridSpan w:val="3"/>
            <w:shd w:val="clear" w:color="auto" w:fill="0066BA"/>
          </w:tcPr>
          <w:p>
            <w:pPr>
              <w:ind w:left="20"/>
              <w:spacing w:after="0" w:line="143" w:lineRule="exact"/>
              <w:rPr>
                <w:sz w:val="20"/>
                <w:szCs w:val="20"/>
                <w:color w:val="auto"/>
              </w:rPr>
            </w:pPr>
            <w:r>
              <w:rPr>
                <w:rFonts w:ascii="Arial" w:cs="Arial" w:eastAsia="Arial" w:hAnsi="Arial"/>
                <w:sz w:val="14"/>
                <w:szCs w:val="14"/>
                <w:b w:val="1"/>
                <w:bCs w:val="1"/>
                <w:color w:val="FFFFFF"/>
              </w:rPr>
              <w:t>Outstanding Options,</w:t>
            </w:r>
          </w:p>
        </w:tc>
        <w:tc>
          <w:tcPr>
            <w:tcW w:w="480" w:type="dxa"/>
            <w:vAlign w:val="bottom"/>
            <w:shd w:val="clear" w:color="auto" w:fill="0066BA"/>
          </w:tcPr>
          <w:p>
            <w:pPr>
              <w:spacing w:after="0"/>
              <w:rPr>
                <w:sz w:val="12"/>
                <w:szCs w:val="12"/>
                <w:color w:val="auto"/>
              </w:rPr>
            </w:pPr>
          </w:p>
        </w:tc>
        <w:tc>
          <w:tcPr>
            <w:tcW w:w="2200" w:type="dxa"/>
            <w:vAlign w:val="bottom"/>
            <w:gridSpan w:val="2"/>
            <w:shd w:val="clear" w:color="auto" w:fill="0066BA"/>
          </w:tcPr>
          <w:p>
            <w:pPr>
              <w:jc w:val="right"/>
              <w:ind w:right="580"/>
              <w:spacing w:after="0" w:line="143" w:lineRule="exact"/>
              <w:rPr>
                <w:sz w:val="20"/>
                <w:szCs w:val="20"/>
                <w:color w:val="auto"/>
              </w:rPr>
            </w:pPr>
            <w:r>
              <w:rPr>
                <w:rFonts w:ascii="Arial" w:cs="Arial" w:eastAsia="Arial" w:hAnsi="Arial"/>
                <w:sz w:val="14"/>
                <w:szCs w:val="14"/>
                <w:b w:val="1"/>
                <w:bCs w:val="1"/>
                <w:color w:val="FFFFFF"/>
                <w:w w:val="87"/>
              </w:rPr>
              <w:t>Plans (Excluding Securities</w:t>
            </w:r>
          </w:p>
        </w:tc>
        <w:tc>
          <w:tcPr>
            <w:tcW w:w="0" w:type="dxa"/>
            <w:vAlign w:val="bottom"/>
          </w:tcPr>
          <w:p>
            <w:pPr>
              <w:spacing w:after="0"/>
              <w:rPr>
                <w:sz w:val="1"/>
                <w:szCs w:val="1"/>
                <w:color w:val="auto"/>
              </w:rPr>
            </w:pPr>
          </w:p>
        </w:tc>
      </w:tr>
      <w:tr>
        <w:trPr>
          <w:trHeight w:val="166"/>
        </w:trPr>
        <w:tc>
          <w:tcPr>
            <w:tcW w:w="2620" w:type="dxa"/>
            <w:vAlign w:val="bottom"/>
            <w:vMerge w:val="continue"/>
            <w:shd w:val="clear" w:color="auto" w:fill="0066BA"/>
          </w:tcPr>
          <w:p>
            <w:pPr>
              <w:spacing w:after="0"/>
              <w:rPr>
                <w:sz w:val="14"/>
                <w:szCs w:val="14"/>
                <w:color w:val="auto"/>
              </w:rPr>
            </w:pPr>
          </w:p>
        </w:tc>
        <w:tc>
          <w:tcPr>
            <w:tcW w:w="460" w:type="dxa"/>
            <w:vAlign w:val="bottom"/>
            <w:shd w:val="clear" w:color="auto" w:fill="0066BA"/>
          </w:tcPr>
          <w:p>
            <w:pPr>
              <w:spacing w:after="0"/>
              <w:rPr>
                <w:sz w:val="14"/>
                <w:szCs w:val="14"/>
                <w:color w:val="auto"/>
              </w:rPr>
            </w:pPr>
          </w:p>
        </w:tc>
        <w:tc>
          <w:tcPr>
            <w:tcW w:w="2180" w:type="dxa"/>
            <w:vAlign w:val="bottom"/>
            <w:gridSpan w:val="2"/>
            <w:shd w:val="clear" w:color="auto" w:fill="0066BA"/>
          </w:tcPr>
          <w:p>
            <w:pPr>
              <w:jc w:val="right"/>
              <w:ind w:right="580"/>
              <w:spacing w:after="0"/>
              <w:rPr>
                <w:sz w:val="20"/>
                <w:szCs w:val="20"/>
                <w:color w:val="auto"/>
              </w:rPr>
            </w:pPr>
            <w:r>
              <w:rPr>
                <w:rFonts w:ascii="Arial" w:cs="Arial" w:eastAsia="Arial" w:hAnsi="Arial"/>
                <w:sz w:val="14"/>
                <w:szCs w:val="14"/>
                <w:b w:val="1"/>
                <w:bCs w:val="1"/>
                <w:color w:val="FFFFFF"/>
              </w:rPr>
              <w:t>Warrants and Rights</w:t>
            </w:r>
          </w:p>
        </w:tc>
        <w:tc>
          <w:tcPr>
            <w:tcW w:w="460" w:type="dxa"/>
            <w:vAlign w:val="bottom"/>
            <w:shd w:val="clear" w:color="auto" w:fill="0066BA"/>
          </w:tcPr>
          <w:p>
            <w:pPr>
              <w:spacing w:after="0"/>
              <w:rPr>
                <w:sz w:val="14"/>
                <w:szCs w:val="14"/>
                <w:color w:val="auto"/>
              </w:rPr>
            </w:pPr>
          </w:p>
        </w:tc>
        <w:tc>
          <w:tcPr>
            <w:tcW w:w="1880" w:type="dxa"/>
            <w:vAlign w:val="bottom"/>
            <w:gridSpan w:val="3"/>
            <w:shd w:val="clear" w:color="auto" w:fill="0066BA"/>
          </w:tcPr>
          <w:p>
            <w:pPr>
              <w:jc w:val="right"/>
              <w:ind w:right="580"/>
              <w:spacing w:after="0"/>
              <w:rPr>
                <w:sz w:val="20"/>
                <w:szCs w:val="20"/>
                <w:color w:val="auto"/>
              </w:rPr>
            </w:pPr>
            <w:r>
              <w:rPr>
                <w:rFonts w:ascii="Arial" w:cs="Arial" w:eastAsia="Arial" w:hAnsi="Arial"/>
                <w:sz w:val="14"/>
                <w:szCs w:val="14"/>
                <w:b w:val="1"/>
                <w:bCs w:val="1"/>
                <w:color w:val="FFFFFF"/>
                <w:w w:val="93"/>
              </w:rPr>
              <w:t>Warrants and Rights</w:t>
            </w:r>
          </w:p>
        </w:tc>
        <w:tc>
          <w:tcPr>
            <w:tcW w:w="480" w:type="dxa"/>
            <w:vAlign w:val="bottom"/>
            <w:shd w:val="clear" w:color="auto" w:fill="0066BA"/>
          </w:tcPr>
          <w:p>
            <w:pPr>
              <w:spacing w:after="0"/>
              <w:rPr>
                <w:sz w:val="14"/>
                <w:szCs w:val="14"/>
                <w:color w:val="auto"/>
              </w:rPr>
            </w:pPr>
          </w:p>
        </w:tc>
        <w:tc>
          <w:tcPr>
            <w:tcW w:w="2200" w:type="dxa"/>
            <w:vAlign w:val="bottom"/>
            <w:gridSpan w:val="2"/>
            <w:shd w:val="clear" w:color="auto" w:fill="0066BA"/>
          </w:tcPr>
          <w:p>
            <w:pPr>
              <w:jc w:val="right"/>
              <w:ind w:right="580"/>
              <w:spacing w:after="0"/>
              <w:rPr>
                <w:sz w:val="20"/>
                <w:szCs w:val="20"/>
                <w:color w:val="auto"/>
              </w:rPr>
            </w:pPr>
            <w:r>
              <w:rPr>
                <w:rFonts w:ascii="Arial" w:cs="Arial" w:eastAsia="Arial" w:hAnsi="Arial"/>
                <w:sz w:val="14"/>
                <w:szCs w:val="14"/>
                <w:b w:val="1"/>
                <w:bCs w:val="1"/>
                <w:color w:val="FFFFFF"/>
                <w:w w:val="99"/>
              </w:rPr>
              <w:t>Reflected in Column (a))</w:t>
            </w:r>
          </w:p>
        </w:tc>
        <w:tc>
          <w:tcPr>
            <w:tcW w:w="0" w:type="dxa"/>
            <w:vAlign w:val="bottom"/>
          </w:tcPr>
          <w:p>
            <w:pPr>
              <w:spacing w:after="0"/>
              <w:rPr>
                <w:sz w:val="1"/>
                <w:szCs w:val="1"/>
                <w:color w:val="auto"/>
              </w:rPr>
            </w:pPr>
          </w:p>
        </w:tc>
      </w:tr>
      <w:tr>
        <w:trPr>
          <w:trHeight w:val="185"/>
        </w:trPr>
        <w:tc>
          <w:tcPr>
            <w:tcW w:w="2620" w:type="dxa"/>
            <w:vAlign w:val="bottom"/>
          </w:tcPr>
          <w:p>
            <w:pPr>
              <w:ind w:left="60"/>
              <w:spacing w:after="0"/>
              <w:rPr>
                <w:sz w:val="20"/>
                <w:szCs w:val="20"/>
                <w:color w:val="auto"/>
              </w:rPr>
            </w:pPr>
            <w:r>
              <w:rPr>
                <w:rFonts w:ascii="Arial" w:cs="Arial" w:eastAsia="Arial" w:hAnsi="Arial"/>
                <w:sz w:val="16"/>
                <w:szCs w:val="16"/>
                <w:color w:val="auto"/>
                <w:w w:val="89"/>
              </w:rPr>
              <w:t>Equity compensation plans approved by</w:t>
            </w:r>
          </w:p>
        </w:tc>
        <w:tc>
          <w:tcPr>
            <w:tcW w:w="460" w:type="dxa"/>
            <w:vAlign w:val="bottom"/>
            <w:shd w:val="clear" w:color="auto" w:fill="EAEAEA"/>
          </w:tcPr>
          <w:p>
            <w:pPr>
              <w:spacing w:after="0"/>
              <w:rPr>
                <w:sz w:val="16"/>
                <w:szCs w:val="16"/>
                <w:color w:val="auto"/>
              </w:rPr>
            </w:pPr>
          </w:p>
        </w:tc>
        <w:tc>
          <w:tcPr>
            <w:tcW w:w="1600" w:type="dxa"/>
            <w:vAlign w:val="bottom"/>
            <w:shd w:val="clear" w:color="auto" w:fill="EAEAEA"/>
          </w:tcPr>
          <w:p>
            <w:pPr>
              <w:spacing w:after="0"/>
              <w:rPr>
                <w:sz w:val="16"/>
                <w:szCs w:val="16"/>
                <w:color w:val="auto"/>
              </w:rPr>
            </w:pPr>
          </w:p>
        </w:tc>
        <w:tc>
          <w:tcPr>
            <w:tcW w:w="580" w:type="dxa"/>
            <w:vAlign w:val="bottom"/>
            <w:shd w:val="clear" w:color="auto" w:fill="EAEAEA"/>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shd w:val="clear" w:color="auto" w:fill="EAEAEA"/>
          </w:tcPr>
          <w:p>
            <w:pPr>
              <w:spacing w:after="0"/>
              <w:rPr>
                <w:sz w:val="16"/>
                <w:szCs w:val="16"/>
                <w:color w:val="auto"/>
              </w:rPr>
            </w:pPr>
          </w:p>
        </w:tc>
        <w:tc>
          <w:tcPr>
            <w:tcW w:w="1620" w:type="dxa"/>
            <w:vAlign w:val="bottom"/>
            <w:shd w:val="clear" w:color="auto" w:fill="EAEAEA"/>
          </w:tcPr>
          <w:p>
            <w:pPr>
              <w:spacing w:after="0"/>
              <w:rPr>
                <w:sz w:val="16"/>
                <w:szCs w:val="16"/>
                <w:color w:val="auto"/>
              </w:rPr>
            </w:pPr>
          </w:p>
        </w:tc>
        <w:tc>
          <w:tcPr>
            <w:tcW w:w="580" w:type="dxa"/>
            <w:vAlign w:val="bottom"/>
            <w:shd w:val="clear" w:color="auto" w:fill="EAEAEA"/>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6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shareholders</w:t>
            </w:r>
          </w:p>
        </w:tc>
        <w:tc>
          <w:tcPr>
            <w:tcW w:w="460" w:type="dxa"/>
            <w:vAlign w:val="bottom"/>
            <w:tcBorders>
              <w:bottom w:val="single" w:sz="8" w:color="auto"/>
            </w:tcBorders>
            <w:shd w:val="clear" w:color="auto" w:fill="EAEAEA"/>
          </w:tcPr>
          <w:p>
            <w:pPr>
              <w:spacing w:after="0"/>
              <w:rPr>
                <w:sz w:val="17"/>
                <w:szCs w:val="17"/>
                <w:color w:val="auto"/>
              </w:rPr>
            </w:pPr>
          </w:p>
        </w:tc>
        <w:tc>
          <w:tcPr>
            <w:tcW w:w="2180" w:type="dxa"/>
            <w:vAlign w:val="bottom"/>
            <w:tcBorders>
              <w:bottom w:val="single" w:sz="8" w:color="auto"/>
            </w:tcBorders>
            <w:gridSpan w:val="2"/>
            <w:shd w:val="clear" w:color="auto" w:fill="EAEAEA"/>
          </w:tcPr>
          <w:p>
            <w:pPr>
              <w:jc w:val="right"/>
              <w:ind w:right="400"/>
              <w:spacing w:after="0"/>
              <w:rPr>
                <w:sz w:val="20"/>
                <w:szCs w:val="20"/>
                <w:color w:val="auto"/>
              </w:rPr>
            </w:pPr>
            <w:r>
              <w:rPr>
                <w:rFonts w:ascii="Arial" w:cs="Arial" w:eastAsia="Arial" w:hAnsi="Arial"/>
                <w:sz w:val="16"/>
                <w:szCs w:val="16"/>
                <w:color w:val="auto"/>
              </w:rPr>
              <w:t>6,528,756 (1)</w:t>
            </w:r>
          </w:p>
        </w:tc>
        <w:tc>
          <w:tcPr>
            <w:tcW w:w="620" w:type="dxa"/>
            <w:vAlign w:val="bottom"/>
            <w:tcBorders>
              <w:bottom w:val="single" w:sz="8" w:color="auto"/>
            </w:tcBorders>
            <w:gridSpan w:val="2"/>
          </w:tcPr>
          <w:p>
            <w:pPr>
              <w:ind w:left="48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6"/>
                <w:szCs w:val="16"/>
                <w:color w:val="auto"/>
              </w:rPr>
              <w:t>85.33 (2)</w:t>
            </w:r>
          </w:p>
        </w:tc>
        <w:tc>
          <w:tcPr>
            <w:tcW w:w="480" w:type="dxa"/>
            <w:vAlign w:val="bottom"/>
            <w:tcBorders>
              <w:bottom w:val="single" w:sz="8" w:color="auto"/>
            </w:tcBorders>
            <w:shd w:val="clear" w:color="auto" w:fill="EAEAEA"/>
          </w:tcPr>
          <w:p>
            <w:pPr>
              <w:spacing w:after="0"/>
              <w:rPr>
                <w:sz w:val="17"/>
                <w:szCs w:val="17"/>
                <w:color w:val="auto"/>
              </w:rPr>
            </w:pPr>
          </w:p>
        </w:tc>
        <w:tc>
          <w:tcPr>
            <w:tcW w:w="2200" w:type="dxa"/>
            <w:vAlign w:val="bottom"/>
            <w:tcBorders>
              <w:bottom w:val="single" w:sz="8" w:color="auto"/>
            </w:tcBorders>
            <w:gridSpan w:val="2"/>
            <w:shd w:val="clear" w:color="auto" w:fill="EAEAEA"/>
          </w:tcPr>
          <w:p>
            <w:pPr>
              <w:jc w:val="right"/>
              <w:ind w:right="400"/>
              <w:spacing w:after="0"/>
              <w:rPr>
                <w:sz w:val="20"/>
                <w:szCs w:val="20"/>
                <w:color w:val="auto"/>
              </w:rPr>
            </w:pPr>
            <w:r>
              <w:rPr>
                <w:rFonts w:ascii="Arial" w:cs="Arial" w:eastAsia="Arial" w:hAnsi="Arial"/>
                <w:sz w:val="16"/>
                <w:szCs w:val="16"/>
                <w:color w:val="auto"/>
              </w:rPr>
              <w:t>18,215,308 (3)</w:t>
            </w:r>
          </w:p>
        </w:tc>
        <w:tc>
          <w:tcPr>
            <w:tcW w:w="0" w:type="dxa"/>
            <w:vAlign w:val="bottom"/>
          </w:tcPr>
          <w:p>
            <w:pPr>
              <w:spacing w:after="0"/>
              <w:rPr>
                <w:sz w:val="1"/>
                <w:szCs w:val="1"/>
                <w:color w:val="auto"/>
              </w:rPr>
            </w:pPr>
          </w:p>
        </w:tc>
      </w:tr>
      <w:tr>
        <w:trPr>
          <w:trHeight w:val="181"/>
        </w:trPr>
        <w:tc>
          <w:tcPr>
            <w:tcW w:w="2620" w:type="dxa"/>
            <w:vAlign w:val="bottom"/>
          </w:tcPr>
          <w:p>
            <w:pPr>
              <w:ind w:left="60"/>
              <w:spacing w:after="0" w:line="181" w:lineRule="exact"/>
              <w:rPr>
                <w:sz w:val="20"/>
                <w:szCs w:val="20"/>
                <w:color w:val="auto"/>
              </w:rPr>
            </w:pPr>
            <w:r>
              <w:rPr>
                <w:rFonts w:ascii="Arial" w:cs="Arial" w:eastAsia="Arial" w:hAnsi="Arial"/>
                <w:sz w:val="16"/>
                <w:szCs w:val="16"/>
                <w:color w:val="auto"/>
                <w:w w:val="87"/>
              </w:rPr>
              <w:t>Equity compensation plans not approved</w:t>
            </w:r>
          </w:p>
        </w:tc>
        <w:tc>
          <w:tcPr>
            <w:tcW w:w="460" w:type="dxa"/>
            <w:vAlign w:val="bottom"/>
            <w:shd w:val="clear" w:color="auto" w:fill="EAEAEA"/>
          </w:tcPr>
          <w:p>
            <w:pPr>
              <w:spacing w:after="0"/>
              <w:rPr>
                <w:sz w:val="15"/>
                <w:szCs w:val="15"/>
                <w:color w:val="auto"/>
              </w:rPr>
            </w:pPr>
          </w:p>
        </w:tc>
        <w:tc>
          <w:tcPr>
            <w:tcW w:w="1600" w:type="dxa"/>
            <w:vAlign w:val="bottom"/>
            <w:shd w:val="clear" w:color="auto" w:fill="EAEAEA"/>
          </w:tcPr>
          <w:p>
            <w:pPr>
              <w:spacing w:after="0"/>
              <w:rPr>
                <w:sz w:val="15"/>
                <w:szCs w:val="15"/>
                <w:color w:val="auto"/>
              </w:rPr>
            </w:pPr>
          </w:p>
        </w:tc>
        <w:tc>
          <w:tcPr>
            <w:tcW w:w="580" w:type="dxa"/>
            <w:vAlign w:val="bottom"/>
            <w:shd w:val="clear" w:color="auto" w:fill="EAEAEA"/>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shd w:val="clear" w:color="auto" w:fill="EAEAEA"/>
          </w:tcPr>
          <w:p>
            <w:pPr>
              <w:spacing w:after="0"/>
              <w:rPr>
                <w:sz w:val="15"/>
                <w:szCs w:val="15"/>
                <w:color w:val="auto"/>
              </w:rPr>
            </w:pPr>
          </w:p>
        </w:tc>
        <w:tc>
          <w:tcPr>
            <w:tcW w:w="1620" w:type="dxa"/>
            <w:vAlign w:val="bottom"/>
            <w:shd w:val="clear" w:color="auto" w:fill="EAEAEA"/>
          </w:tcPr>
          <w:p>
            <w:pPr>
              <w:spacing w:after="0"/>
              <w:rPr>
                <w:sz w:val="15"/>
                <w:szCs w:val="15"/>
                <w:color w:val="auto"/>
              </w:rPr>
            </w:pPr>
          </w:p>
        </w:tc>
        <w:tc>
          <w:tcPr>
            <w:tcW w:w="580" w:type="dxa"/>
            <w:vAlign w:val="bottom"/>
            <w:shd w:val="clear" w:color="auto" w:fill="EAEAEA"/>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6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by shareholders (4)</w:t>
            </w:r>
          </w:p>
        </w:tc>
        <w:tc>
          <w:tcPr>
            <w:tcW w:w="460" w:type="dxa"/>
            <w:vAlign w:val="bottom"/>
            <w:tcBorders>
              <w:bottom w:val="single" w:sz="8" w:color="auto"/>
            </w:tcBorders>
            <w:shd w:val="clear" w:color="auto" w:fill="EAEAEA"/>
          </w:tcPr>
          <w:p>
            <w:pPr>
              <w:spacing w:after="0"/>
              <w:rPr>
                <w:sz w:val="17"/>
                <w:szCs w:val="17"/>
                <w:color w:val="auto"/>
              </w:rPr>
            </w:pPr>
          </w:p>
        </w:tc>
        <w:tc>
          <w:tcPr>
            <w:tcW w:w="2180" w:type="dxa"/>
            <w:vAlign w:val="bottom"/>
            <w:tcBorders>
              <w:bottom w:val="single" w:sz="8" w:color="auto"/>
            </w:tcBorders>
            <w:gridSpan w:val="2"/>
            <w:shd w:val="clear" w:color="auto" w:fill="EAEAEA"/>
          </w:tcPr>
          <w:p>
            <w:pPr>
              <w:jc w:val="right"/>
              <w:ind w:right="400"/>
              <w:spacing w:after="0"/>
              <w:rPr>
                <w:sz w:val="20"/>
                <w:szCs w:val="20"/>
                <w:color w:val="auto"/>
              </w:rPr>
            </w:pPr>
            <w:r>
              <w:rPr>
                <w:rFonts w:ascii="Arial" w:cs="Arial" w:eastAsia="Arial" w:hAnsi="Arial"/>
                <w:sz w:val="16"/>
                <w:szCs w:val="16"/>
                <w:color w:val="auto"/>
              </w:rPr>
              <w:t>3,141,753 (4)</w:t>
            </w:r>
          </w:p>
        </w:tc>
        <w:tc>
          <w:tcPr>
            <w:tcW w:w="620" w:type="dxa"/>
            <w:vAlign w:val="bottom"/>
            <w:tcBorders>
              <w:bottom w:val="single" w:sz="8" w:color="auto"/>
            </w:tcBorders>
            <w:gridSpan w:val="2"/>
          </w:tcPr>
          <w:p>
            <w:pPr>
              <w:ind w:left="48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EAEAEA"/>
          </w:tcPr>
          <w:p>
            <w:pPr>
              <w:spacing w:after="0"/>
              <w:rPr>
                <w:sz w:val="17"/>
                <w:szCs w:val="17"/>
                <w:color w:val="auto"/>
              </w:rPr>
            </w:pPr>
          </w:p>
        </w:tc>
        <w:tc>
          <w:tcPr>
            <w:tcW w:w="2200" w:type="dxa"/>
            <w:vAlign w:val="bottom"/>
            <w:tcBorders>
              <w:bottom w:val="single" w:sz="8" w:color="auto"/>
            </w:tcBorders>
            <w:gridSpan w:val="2"/>
            <w:shd w:val="clear" w:color="auto" w:fill="EAEAEA"/>
          </w:tcPr>
          <w:p>
            <w:pPr>
              <w:jc w:val="right"/>
              <w:ind w:right="400"/>
              <w:spacing w:after="0"/>
              <w:rPr>
                <w:sz w:val="20"/>
                <w:szCs w:val="20"/>
                <w:color w:val="auto"/>
              </w:rPr>
            </w:pPr>
            <w:r>
              <w:rPr>
                <w:rFonts w:ascii="Arial" w:cs="Arial" w:eastAsia="Arial" w:hAnsi="Arial"/>
                <w:sz w:val="16"/>
                <w:szCs w:val="16"/>
                <w:color w:val="auto"/>
              </w:rPr>
              <w:t>9,033,636 (4)</w:t>
            </w:r>
          </w:p>
        </w:tc>
        <w:tc>
          <w:tcPr>
            <w:tcW w:w="0" w:type="dxa"/>
            <w:vAlign w:val="bottom"/>
          </w:tcPr>
          <w:p>
            <w:pPr>
              <w:spacing w:after="0"/>
              <w:rPr>
                <w:sz w:val="1"/>
                <w:szCs w:val="1"/>
                <w:color w:val="auto"/>
              </w:rPr>
            </w:pPr>
          </w:p>
        </w:tc>
      </w:tr>
      <w:tr>
        <w:trPr>
          <w:trHeight w:val="191"/>
        </w:trPr>
        <w:tc>
          <w:tcPr>
            <w:tcW w:w="2620" w:type="dxa"/>
            <w:vAlign w:val="bottom"/>
            <w:tcBorders>
              <w:bottom w:val="single" w:sz="8" w:color="0066BA"/>
            </w:tcBorders>
          </w:tcPr>
          <w:p>
            <w:pPr>
              <w:ind w:left="60"/>
              <w:spacing w:after="0"/>
              <w:rPr>
                <w:sz w:val="20"/>
                <w:szCs w:val="20"/>
                <w:color w:val="auto"/>
              </w:rPr>
            </w:pPr>
            <w:r>
              <w:rPr>
                <w:rFonts w:ascii="Arial" w:cs="Arial" w:eastAsia="Arial" w:hAnsi="Arial"/>
                <w:sz w:val="16"/>
                <w:szCs w:val="16"/>
                <w:color w:val="auto"/>
              </w:rPr>
              <w:t>Total</w:t>
            </w:r>
          </w:p>
        </w:tc>
        <w:tc>
          <w:tcPr>
            <w:tcW w:w="460" w:type="dxa"/>
            <w:vAlign w:val="bottom"/>
            <w:tcBorders>
              <w:bottom w:val="single" w:sz="8" w:color="0066BA"/>
            </w:tcBorders>
            <w:shd w:val="clear" w:color="auto" w:fill="EAEAEA"/>
          </w:tcPr>
          <w:p>
            <w:pPr>
              <w:spacing w:after="0"/>
              <w:rPr>
                <w:sz w:val="16"/>
                <w:szCs w:val="16"/>
                <w:color w:val="auto"/>
              </w:rPr>
            </w:pPr>
          </w:p>
        </w:tc>
        <w:tc>
          <w:tcPr>
            <w:tcW w:w="2180" w:type="dxa"/>
            <w:vAlign w:val="bottom"/>
            <w:tcBorders>
              <w:bottom w:val="single" w:sz="8" w:color="0066BA"/>
            </w:tcBorders>
            <w:gridSpan w:val="2"/>
            <w:shd w:val="clear" w:color="auto" w:fill="EAEAEA"/>
          </w:tcPr>
          <w:p>
            <w:pPr>
              <w:jc w:val="right"/>
              <w:ind w:right="580"/>
              <w:spacing w:after="0"/>
              <w:rPr>
                <w:sz w:val="20"/>
                <w:szCs w:val="20"/>
                <w:color w:val="auto"/>
              </w:rPr>
            </w:pPr>
            <w:r>
              <w:rPr>
                <w:rFonts w:ascii="Arial" w:cs="Arial" w:eastAsia="Arial" w:hAnsi="Arial"/>
                <w:sz w:val="16"/>
                <w:szCs w:val="16"/>
                <w:color w:val="auto"/>
              </w:rPr>
              <w:t>9,670,509</w:t>
            </w:r>
          </w:p>
        </w:tc>
        <w:tc>
          <w:tcPr>
            <w:tcW w:w="620" w:type="dxa"/>
            <w:vAlign w:val="bottom"/>
            <w:tcBorders>
              <w:bottom w:val="single" w:sz="8" w:color="0066BA"/>
            </w:tcBorders>
            <w:gridSpan w:val="2"/>
          </w:tcPr>
          <w:p>
            <w:pPr>
              <w:ind w:left="48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0066BA"/>
            </w:tcBorders>
            <w:gridSpan w:val="2"/>
          </w:tcPr>
          <w:p>
            <w:pPr>
              <w:jc w:val="right"/>
              <w:ind w:right="400"/>
              <w:spacing w:after="0"/>
              <w:rPr>
                <w:sz w:val="20"/>
                <w:szCs w:val="20"/>
                <w:color w:val="auto"/>
              </w:rPr>
            </w:pPr>
            <w:r>
              <w:rPr>
                <w:rFonts w:ascii="Arial" w:cs="Arial" w:eastAsia="Arial" w:hAnsi="Arial"/>
                <w:sz w:val="16"/>
                <w:szCs w:val="16"/>
                <w:color w:val="auto"/>
              </w:rPr>
              <w:t>85.33 (2)</w:t>
            </w:r>
          </w:p>
        </w:tc>
        <w:tc>
          <w:tcPr>
            <w:tcW w:w="480" w:type="dxa"/>
            <w:vAlign w:val="bottom"/>
            <w:tcBorders>
              <w:bottom w:val="single" w:sz="8" w:color="0066BA"/>
            </w:tcBorders>
            <w:shd w:val="clear" w:color="auto" w:fill="EAEAEA"/>
          </w:tcPr>
          <w:p>
            <w:pPr>
              <w:spacing w:after="0"/>
              <w:rPr>
                <w:sz w:val="16"/>
                <w:szCs w:val="16"/>
                <w:color w:val="auto"/>
              </w:rPr>
            </w:pPr>
          </w:p>
        </w:tc>
        <w:tc>
          <w:tcPr>
            <w:tcW w:w="2200" w:type="dxa"/>
            <w:vAlign w:val="bottom"/>
            <w:tcBorders>
              <w:bottom w:val="single" w:sz="8" w:color="0066BA"/>
            </w:tcBorders>
            <w:gridSpan w:val="2"/>
            <w:shd w:val="clear" w:color="auto" w:fill="EAEAEA"/>
          </w:tcPr>
          <w:p>
            <w:pPr>
              <w:jc w:val="right"/>
              <w:ind w:right="580"/>
              <w:spacing w:after="0"/>
              <w:rPr>
                <w:sz w:val="20"/>
                <w:szCs w:val="20"/>
                <w:color w:val="auto"/>
              </w:rPr>
            </w:pPr>
            <w:r>
              <w:rPr>
                <w:rFonts w:ascii="Arial" w:cs="Arial" w:eastAsia="Arial" w:hAnsi="Arial"/>
                <w:sz w:val="16"/>
                <w:szCs w:val="16"/>
                <w:color w:val="auto"/>
              </w:rPr>
              <w:t>27,248,944</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880" w:right="340" w:hanging="405"/>
        <w:spacing w:after="0" w:line="286" w:lineRule="auto"/>
        <w:tabs>
          <w:tab w:leader="none" w:pos="8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Includes 670,558 RSUs under our 2006 Plan that were outstanding on October 30, 2021 and 2,110,465 RSUs under our 2020 Plan that were outstanding on October 30, 2021.</w:t>
      </w:r>
    </w:p>
    <w:p>
      <w:pPr>
        <w:spacing w:after="0" w:line="15" w:lineRule="exact"/>
        <w:rPr>
          <w:rFonts w:ascii="Arial" w:cs="Arial" w:eastAsia="Arial" w:hAnsi="Arial"/>
          <w:sz w:val="17"/>
          <w:szCs w:val="17"/>
          <w:color w:val="auto"/>
        </w:rPr>
      </w:pPr>
    </w:p>
    <w:p>
      <w:pPr>
        <w:ind w:left="880" w:hanging="405"/>
        <w:spacing w:after="0"/>
        <w:tabs>
          <w:tab w:leader="none" w:pos="8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weighted average exercise price of outstanding options, warrants and rights excludes RSUs, which do not have an exercise price.</w:t>
      </w:r>
    </w:p>
    <w:p>
      <w:pPr>
        <w:spacing w:after="0" w:line="89" w:lineRule="exact"/>
        <w:rPr>
          <w:rFonts w:ascii="Arial" w:cs="Arial" w:eastAsia="Arial" w:hAnsi="Arial"/>
          <w:sz w:val="16"/>
          <w:szCs w:val="16"/>
          <w:color w:val="auto"/>
        </w:rPr>
      </w:pPr>
    </w:p>
    <w:p>
      <w:pPr>
        <w:ind w:left="880" w:right="200" w:hanging="405"/>
        <w:spacing w:after="0" w:line="281" w:lineRule="auto"/>
        <w:tabs>
          <w:tab w:leader="none" w:pos="8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Our 2020 Plan, which was approved by shareholders in March 2020, allows for the issuance of 9,585,500 shares of our common stock, plus such additional number of shares of our common stock (up to 20,857,992) as is equal to the sum of (x) the number of shares of common stock reserved for issuance under the 2006 Plan and the 2010 Plan that remained available for grant under such plan immediately prior to the date that the 2020 Plan was approved by our shareholders and (y) the number of shares of common stock subject to awards granted under the 2006 Plan, the 2010 Plan and the 2005 Plan which awards expire, terminate or are otherwise surrendered, cancelled, forfeited or repurchased by us at their original issuance price pursuant to a contractual repurchase right.</w:t>
      </w: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0940"/>
          </w:cols>
          <w:pgMar w:left="320" w:top="447" w:right="63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880" w:right="20" w:hanging="405"/>
        <w:spacing w:after="0" w:line="281" w:lineRule="auto"/>
        <w:tabs>
          <w:tab w:leader="none" w:pos="8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 connection with the acquisition of Linear Technology in March 2017, we assumed the 2005 Plan and the 2010 Plan and issued 2.8 million RSU and RSA awards, in the aggregate, in replacement of outstanding and unvested Linear Technology equity awards under such plans. The 2010 Plan expired by its terms on September 15, 2020, but awards outstanding under the 2010 Plan will remain in effect. In connection with the acquisition of Maxim Integrated in August 2021, we assumed the 1996 Plan. Awards granted by Maxim Integrated under the 1996 Plan based on shares of Maxim Integrated common stock converted to awards based on shares of ADI common stock upon consummation of the acquisition based on an exchange ratio set forth in the merger agreement.</w:t>
      </w:r>
    </w:p>
    <w:p>
      <w:pPr>
        <w:spacing w:after="0" w:line="60" w:lineRule="exact"/>
        <w:rPr>
          <w:sz w:val="20"/>
          <w:szCs w:val="20"/>
          <w:color w:val="auto"/>
        </w:rPr>
      </w:pPr>
    </w:p>
    <w:p>
      <w:pPr>
        <w:ind w:left="480"/>
        <w:spacing w:after="0" w:line="258" w:lineRule="auto"/>
        <w:rPr>
          <w:sz w:val="20"/>
          <w:szCs w:val="20"/>
          <w:color w:val="auto"/>
        </w:rPr>
      </w:pPr>
      <w:r>
        <w:rPr>
          <w:rFonts w:ascii="Arial" w:cs="Arial" w:eastAsia="Arial" w:hAnsi="Arial"/>
          <w:sz w:val="17"/>
          <w:szCs w:val="17"/>
          <w:color w:val="auto"/>
        </w:rPr>
        <w:t>Under our 1996 Plan, which we assumed as part of our acquisition of Maxim Integrated, we may grant options to purchase shares of our common stock, restricted stock awards, and restricted stock units to legacy Maxim Integrated employees or new employees hired after the completion of the Maxim Integrated acquisition. All stock options granted under the 1996 Plan will have a maximum term of ten years, and for employees, will generally vest in four equal installments on each of the first, second, third and fourth anniversaries of the date of grant, subject to accelerated vesting upon death or disability. The 1996 Plan does not permit us to grant options at exercise prices that are below the fair market value of our common stock on the date of grant. Generally, RSUs granted to employees under the 1996 Plan vest in four equal installments on each of the first, second, third and fourth anniversaries of the date of grant, subject to accelerated vesting upon death or disability. The 1996 Plan also contains provisions addressing the consequences of a reorganization event or change in control, which may result in full or partial accelerated vesting of awards on or after the reorganization event or change in control. The 1996 Plan will terminate on August 11, 2024 unless it is terminated sooner by our Board.</w:t>
      </w:r>
    </w:p>
    <w:p>
      <w:pPr>
        <w:spacing w:after="0" w:line="271"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33333"/>
        </w:rPr>
        <w:t>Compensation Committee Interlocks and Insider Participation</w:t>
      </w:r>
    </w:p>
    <w:p>
      <w:pPr>
        <w:spacing w:after="0" w:line="229" w:lineRule="exact"/>
        <w:rPr>
          <w:sz w:val="20"/>
          <w:szCs w:val="20"/>
          <w:color w:val="auto"/>
        </w:rPr>
      </w:pPr>
    </w:p>
    <w:p>
      <w:pPr>
        <w:ind w:left="480" w:right="40"/>
        <w:spacing w:after="0" w:line="265" w:lineRule="auto"/>
        <w:rPr>
          <w:sz w:val="20"/>
          <w:szCs w:val="20"/>
          <w:color w:val="auto"/>
        </w:rPr>
      </w:pPr>
      <w:r>
        <w:rPr>
          <w:rFonts w:ascii="Arial" w:cs="Arial" w:eastAsia="Arial" w:hAnsi="Arial"/>
          <w:sz w:val="17"/>
          <w:szCs w:val="17"/>
          <w:color w:val="auto"/>
        </w:rPr>
        <w:t>During fiscal 2021, Drs. Frank, Wee, Glimcher and Little1 served as members of our Compensation Committee. No member of our Compensation Committee was at any time during fiscal 2021, or formerly, an officer or employee of ADI or any subsidiary of ADI. No member of our Compensation Committee had any relationship with us during fiscal 2021 requiring disclosure under Item 404 of Regulation S-K under the Exchange Act.</w:t>
      </w:r>
    </w:p>
    <w:p>
      <w:pPr>
        <w:spacing w:after="0" w:line="73" w:lineRule="exact"/>
        <w:rPr>
          <w:sz w:val="20"/>
          <w:szCs w:val="20"/>
          <w:color w:val="auto"/>
        </w:rPr>
      </w:pPr>
    </w:p>
    <w:p>
      <w:pPr>
        <w:ind w:left="480" w:right="220"/>
        <w:spacing w:after="0" w:line="270" w:lineRule="auto"/>
        <w:rPr>
          <w:sz w:val="20"/>
          <w:szCs w:val="20"/>
          <w:color w:val="auto"/>
        </w:rPr>
      </w:pPr>
      <w:r>
        <w:rPr>
          <w:rFonts w:ascii="Arial" w:cs="Arial" w:eastAsia="Arial" w:hAnsi="Arial"/>
          <w:sz w:val="17"/>
          <w:szCs w:val="17"/>
          <w:color w:val="auto"/>
        </w:rPr>
        <w:t>During fiscal 2021, none of our executive officers served as a member of the board of directors or compensation committee (or other committee serving an equivalent function) of any entity that had one or more executive officers serving as a member of our Board of Directors or Compensation Committee.</w:t>
      </w:r>
    </w:p>
    <w:p>
      <w:pPr>
        <w:spacing w:after="0" w:line="256"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33333"/>
        </w:rPr>
        <w:t>Compensation Committee Report</w:t>
      </w:r>
    </w:p>
    <w:p>
      <w:pPr>
        <w:spacing w:after="0" w:line="229" w:lineRule="exact"/>
        <w:rPr>
          <w:sz w:val="20"/>
          <w:szCs w:val="20"/>
          <w:color w:val="auto"/>
        </w:rPr>
      </w:pPr>
    </w:p>
    <w:p>
      <w:pPr>
        <w:ind w:left="480" w:right="60"/>
        <w:spacing w:after="0" w:line="270" w:lineRule="auto"/>
        <w:rPr>
          <w:sz w:val="20"/>
          <w:szCs w:val="20"/>
          <w:color w:val="auto"/>
        </w:rPr>
      </w:pPr>
      <w:r>
        <w:rPr>
          <w:rFonts w:ascii="Arial" w:cs="Arial" w:eastAsia="Arial" w:hAnsi="Arial"/>
          <w:sz w:val="17"/>
          <w:szCs w:val="17"/>
          <w:color w:val="auto"/>
        </w:rPr>
        <w:t>The Compensation Committee has reviewed and discussed the Compensation Discussion and Analysis required by Item 402(b) of Regulation S-K with our management. Based on this review and discussion, the Compensation Committee recommended to our Board of Directors that the Compensation Discussion and Analysis be included in this proxy statement.</w:t>
      </w:r>
    </w:p>
    <w:p>
      <w:pPr>
        <w:spacing w:after="0" w:line="11"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Compensation Committee</w:t>
      </w:r>
    </w:p>
    <w:p>
      <w:pPr>
        <w:spacing w:after="0" w:line="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Edward H. Frank, Chair</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Laurie H. Glimcher</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Mark M. Little</w:t>
      </w:r>
      <w:r>
        <w:rPr>
          <w:rFonts w:ascii="Arial" w:cs="Arial" w:eastAsia="Arial" w:hAnsi="Arial"/>
          <w:sz w:val="14"/>
          <w:szCs w:val="14"/>
          <w:color w:val="auto"/>
        </w:rPr>
        <w:t>1</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Susie Wee</w:t>
      </w:r>
    </w:p>
    <w:p>
      <w:pPr>
        <w:spacing w:after="0" w:line="206" w:lineRule="exact"/>
        <w:rPr>
          <w:sz w:val="20"/>
          <w:szCs w:val="20"/>
          <w:color w:val="auto"/>
        </w:rPr>
      </w:pPr>
    </w:p>
    <w:p>
      <w:pPr>
        <w:ind w:left="480"/>
        <w:spacing w:after="0"/>
        <w:rPr>
          <w:sz w:val="20"/>
          <w:szCs w:val="20"/>
          <w:color w:val="auto"/>
        </w:rPr>
      </w:pPr>
      <w:r>
        <w:rPr>
          <w:rFonts w:ascii="Arial" w:cs="Arial" w:eastAsia="Arial" w:hAnsi="Arial"/>
          <w:sz w:val="13"/>
          <w:szCs w:val="13"/>
          <w:i w:val="1"/>
          <w:iCs w:val="1"/>
          <w:color w:val="auto"/>
        </w:rPr>
        <w:t>(1) Dr. Little is not standing for re-election and his term on the Board will end at the Annual Meeting on March 9, 2022.</w:t>
      </w:r>
    </w:p>
    <w:p>
      <w:pPr>
        <w:spacing w:after="0" w:line="200" w:lineRule="exact"/>
        <w:rPr>
          <w:sz w:val="20"/>
          <w:szCs w:val="20"/>
          <w:color w:val="auto"/>
        </w:rPr>
      </w:pPr>
    </w:p>
    <w:p>
      <w:pPr>
        <w:spacing w:after="0" w:line="26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0680"/>
          </w:cols>
          <w:pgMar w:left="320" w:top="447" w:right="89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52" w:lineRule="exact"/>
        <w:rPr>
          <w:sz w:val="20"/>
          <w:szCs w:val="20"/>
          <w:color w:val="auto"/>
        </w:rPr>
      </w:pPr>
    </w:p>
    <w:p>
      <w:pPr>
        <w:ind w:left="480"/>
        <w:spacing w:after="0"/>
        <w:rPr>
          <w:sz w:val="20"/>
          <w:szCs w:val="20"/>
          <w:color w:val="auto"/>
        </w:rPr>
      </w:pPr>
      <w:r>
        <w:rPr>
          <w:rFonts w:ascii="Arial" w:cs="Arial" w:eastAsia="Arial" w:hAnsi="Arial"/>
          <w:sz w:val="55"/>
          <w:szCs w:val="55"/>
          <w:b w:val="1"/>
          <w:bCs w:val="1"/>
          <w:color w:val="0066BA"/>
        </w:rPr>
        <w:t>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110490</wp:posOffset>
            </wp:positionV>
            <wp:extent cx="264160" cy="26416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64160" cy="264160"/>
                    </a:xfrm>
                    <a:prstGeom prst="rect">
                      <a:avLst/>
                    </a:prstGeom>
                    <a:noFill/>
                  </pic:spPr>
                </pic:pic>
              </a:graphicData>
            </a:graphic>
          </wp:anchor>
        </w:drawing>
      </w:r>
    </w:p>
    <w:p>
      <w:pPr>
        <w:spacing w:after="0" w:line="160" w:lineRule="exact"/>
        <w:rPr>
          <w:sz w:val="20"/>
          <w:szCs w:val="20"/>
          <w:color w:val="auto"/>
        </w:rPr>
      </w:pPr>
    </w:p>
    <w:p>
      <w:pPr>
        <w:ind w:left="1400" w:right="2680" w:firstLine="116"/>
        <w:spacing w:after="0" w:line="241" w:lineRule="auto"/>
        <w:rPr>
          <w:sz w:val="20"/>
          <w:szCs w:val="20"/>
          <w:color w:val="auto"/>
        </w:rPr>
      </w:pPr>
      <w:r>
        <w:rPr>
          <w:rFonts w:ascii="Arial" w:cs="Arial" w:eastAsia="Arial" w:hAnsi="Arial"/>
          <w:sz w:val="45"/>
          <w:szCs w:val="45"/>
          <w:color w:val="auto"/>
        </w:rPr>
        <w:t>APPROVAL OF THE ANALOG DEVICES, INC. 2022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129540</wp:posOffset>
            </wp:positionV>
            <wp:extent cx="654240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542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480" w:type="dxa"/>
        <w:tblCellMar>
          <w:top w:w="0" w:type="dxa"/>
          <w:left w:w="0" w:type="dxa"/>
          <w:bottom w:w="0" w:type="dxa"/>
          <w:right w:w="0" w:type="dxa"/>
        </w:tblCellMar>
      </w:tblPr>
      <w:tr>
        <w:trPr>
          <w:trHeight w:val="338"/>
        </w:trPr>
        <w:tc>
          <w:tcPr>
            <w:tcW w:w="8320" w:type="dxa"/>
            <w:vAlign w:val="bottom"/>
          </w:tcPr>
          <w:p>
            <w:pPr>
              <w:spacing w:after="0"/>
              <w:rPr>
                <w:sz w:val="20"/>
                <w:szCs w:val="20"/>
                <w:color w:val="auto"/>
              </w:rPr>
            </w:pPr>
            <w:r>
              <w:rPr>
                <w:rFonts w:ascii="Arial" w:cs="Arial" w:eastAsia="Arial" w:hAnsi="Arial"/>
                <w:sz w:val="29"/>
                <w:szCs w:val="29"/>
                <w:color w:val="0066BA"/>
              </w:rPr>
              <w:t>Our Board of Directors unanimously recommends that you vote</w:t>
            </w:r>
          </w:p>
        </w:tc>
        <w:tc>
          <w:tcPr>
            <w:tcW w:w="1240" w:type="dxa"/>
            <w:vAlign w:val="bottom"/>
            <w:shd w:val="clear" w:color="auto" w:fill="0066BA"/>
          </w:tcPr>
          <w:p>
            <w:pPr>
              <w:ind w:left="540"/>
              <w:spacing w:after="0"/>
              <w:rPr>
                <w:sz w:val="20"/>
                <w:szCs w:val="20"/>
                <w:color w:val="auto"/>
              </w:rPr>
            </w:pPr>
            <w:r>
              <w:rPr>
                <w:rFonts w:ascii="Arial" w:cs="Arial" w:eastAsia="Arial" w:hAnsi="Arial"/>
                <w:sz w:val="29"/>
                <w:szCs w:val="29"/>
                <w:color w:val="FFFFFF"/>
                <w:shd w:val="clear" w:color="auto" w:fill="0066BA"/>
              </w:rPr>
              <w:t>FOR</w:t>
            </w:r>
          </w:p>
        </w:tc>
        <w:tc>
          <w:tcPr>
            <w:tcW w:w="480" w:type="dxa"/>
            <w:vAlign w:val="bottom"/>
          </w:tcPr>
          <w:p>
            <w:pPr>
              <w:ind w:left="80"/>
              <w:spacing w:after="0"/>
              <w:rPr>
                <w:sz w:val="20"/>
                <w:szCs w:val="20"/>
                <w:color w:val="auto"/>
              </w:rPr>
            </w:pPr>
            <w:r>
              <w:rPr>
                <w:rFonts w:ascii="Arial" w:cs="Arial" w:eastAsia="Arial" w:hAnsi="Arial"/>
                <w:sz w:val="29"/>
                <w:szCs w:val="29"/>
                <w:color w:val="0066BA"/>
                <w:w w:val="94"/>
              </w:rPr>
              <w:t>the</w:t>
            </w:r>
          </w:p>
        </w:tc>
      </w:tr>
      <w:tr>
        <w:trPr>
          <w:trHeight w:val="374"/>
        </w:trPr>
        <w:tc>
          <w:tcPr>
            <w:tcW w:w="8320" w:type="dxa"/>
            <w:vAlign w:val="bottom"/>
          </w:tcPr>
          <w:p>
            <w:pPr>
              <w:spacing w:after="0"/>
              <w:rPr>
                <w:sz w:val="20"/>
                <w:szCs w:val="20"/>
                <w:color w:val="auto"/>
              </w:rPr>
            </w:pPr>
            <w:r>
              <w:rPr>
                <w:rFonts w:ascii="Arial" w:cs="Arial" w:eastAsia="Arial" w:hAnsi="Arial"/>
                <w:sz w:val="29"/>
                <w:szCs w:val="29"/>
                <w:color w:val="0066BA"/>
              </w:rPr>
              <w:t>approval of the 2022 Employee Stock Purchase Plan.</w:t>
            </w: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80" w:right="180"/>
        <w:spacing w:after="0" w:line="270" w:lineRule="auto"/>
        <w:rPr>
          <w:sz w:val="20"/>
          <w:szCs w:val="20"/>
          <w:color w:val="auto"/>
        </w:rPr>
      </w:pPr>
      <w:r>
        <w:rPr>
          <w:rFonts w:ascii="Arial" w:cs="Arial" w:eastAsia="Arial" w:hAnsi="Arial"/>
          <w:sz w:val="17"/>
          <w:szCs w:val="17"/>
          <w:color w:val="auto"/>
        </w:rPr>
        <w:t>On December 8, 2021, upon the recommendation of our Compensation Committee, our Board of Directors adopted, subject to shareholder approval, our 2022 Employee Stock Purchase Plan, which we refer to as the ESPP. The ESPP provides for 5,000,000 shares of our common stock to be available for purchase by eligible employees according to its terms.</w:t>
      </w:r>
    </w:p>
    <w:p>
      <w:pPr>
        <w:spacing w:after="0" w:line="69" w:lineRule="exact"/>
        <w:rPr>
          <w:sz w:val="20"/>
          <w:szCs w:val="20"/>
          <w:color w:val="auto"/>
        </w:rPr>
      </w:pPr>
    </w:p>
    <w:p>
      <w:pPr>
        <w:ind w:left="480" w:right="300"/>
        <w:spacing w:after="0" w:line="302" w:lineRule="auto"/>
        <w:rPr>
          <w:sz w:val="20"/>
          <w:szCs w:val="20"/>
          <w:color w:val="auto"/>
        </w:rPr>
      </w:pPr>
      <w:r>
        <w:rPr>
          <w:rFonts w:ascii="Arial" w:cs="Arial" w:eastAsia="Arial" w:hAnsi="Arial"/>
          <w:sz w:val="15"/>
          <w:szCs w:val="15"/>
          <w:color w:val="auto"/>
        </w:rPr>
        <w:t>The ESPP is intended to benefit the Company and our shareholders by attracting, retaining and motivating talented employees across the globe, which we believe to be critical for our success, and aligning the interests of participating employees with our shareholders. We believe that the ability to participate in our ESPP is an attractive feature for current and potential employees because it affords them the opportunity to share in the growth and success of our company. The ESPP also helps to attract and retain employees worldwide because employee stock purchase plans are commonly offered by our peers and other industry leaders. To further encourage stock ownership among our employees while providing our employees a benefit that is common in the companies with which we compete for talent, our Board of Directors has adopted the ESPP.</w:t>
      </w:r>
    </w:p>
    <w:p>
      <w:pPr>
        <w:spacing w:after="0" w:line="143"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0066BA"/>
        </w:rPr>
        <w:t>Description of the ESPP</w:t>
      </w:r>
    </w:p>
    <w:p>
      <w:pPr>
        <w:spacing w:after="0" w:line="124" w:lineRule="exact"/>
        <w:rPr>
          <w:sz w:val="20"/>
          <w:szCs w:val="20"/>
          <w:color w:val="auto"/>
        </w:rPr>
      </w:pPr>
    </w:p>
    <w:p>
      <w:pPr>
        <w:ind w:left="480" w:right="180"/>
        <w:spacing w:after="0" w:line="274" w:lineRule="auto"/>
        <w:rPr>
          <w:sz w:val="20"/>
          <w:szCs w:val="20"/>
          <w:color w:val="auto"/>
        </w:rPr>
      </w:pPr>
      <w:r>
        <w:rPr>
          <w:rFonts w:ascii="Arial" w:cs="Arial" w:eastAsia="Arial" w:hAnsi="Arial"/>
          <w:sz w:val="16"/>
          <w:szCs w:val="16"/>
          <w:color w:val="auto"/>
        </w:rPr>
        <w:t>The following is a brief summary of the ESPP. The following description is only a summary of the material terms of the ESPP, and is qualified in its entirety by reference to the ESPP, a copy of which is attached to this proxy statement as Appendix B. The ESPP is intended to qualify as an “employee stock purchase plan” as defined under Section 423 of the U.S. Internal Revenue Code of 1986, as amended, and the regulations and guidance issued thereunder, which we refer to collectively as the Code, and will be interpreted consistently therewith. However, the Board of Directors, the Compensation Committee or its delegate may authorize offerings that are not intended to comply with the requirements of</w:t>
      </w:r>
    </w:p>
    <w:p>
      <w:pPr>
        <w:spacing w:after="0" w:line="3" w:lineRule="exact"/>
        <w:rPr>
          <w:sz w:val="20"/>
          <w:szCs w:val="20"/>
          <w:color w:val="auto"/>
        </w:rPr>
      </w:pPr>
    </w:p>
    <w:p>
      <w:pPr>
        <w:ind w:left="480" w:right="400"/>
        <w:spacing w:after="0" w:line="260" w:lineRule="auto"/>
        <w:rPr>
          <w:sz w:val="20"/>
          <w:szCs w:val="20"/>
          <w:color w:val="auto"/>
        </w:rPr>
      </w:pPr>
      <w:r>
        <w:rPr>
          <w:rFonts w:ascii="Arial" w:cs="Arial" w:eastAsia="Arial" w:hAnsi="Arial"/>
          <w:sz w:val="17"/>
          <w:szCs w:val="17"/>
          <w:color w:val="auto"/>
        </w:rPr>
        <w:t>Section 423 of the Code, pursuant to any rules, procedures, agreements, appendices or sub-plans (collectively referred to as sub-plans) as may be adopted for such purpose and/ or to achieve tax, securities law or other compliance or policy objectives in jurisdictions outside the United States. We refer to any such offerings as nonqualified offerings and to any offerings that are intended to comply with Section 423 of the Code as Section 423 offerings.</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Administration</w:t>
      </w:r>
    </w:p>
    <w:p>
      <w:pPr>
        <w:spacing w:after="0" w:line="57" w:lineRule="exact"/>
        <w:rPr>
          <w:sz w:val="20"/>
          <w:szCs w:val="20"/>
          <w:color w:val="auto"/>
        </w:rPr>
      </w:pPr>
    </w:p>
    <w:p>
      <w:pPr>
        <w:jc w:val="both"/>
        <w:ind w:left="480" w:right="460"/>
        <w:spacing w:after="0" w:line="260" w:lineRule="auto"/>
        <w:rPr>
          <w:sz w:val="20"/>
          <w:szCs w:val="20"/>
          <w:color w:val="auto"/>
        </w:rPr>
      </w:pPr>
      <w:r>
        <w:rPr>
          <w:rFonts w:ascii="Arial" w:cs="Arial" w:eastAsia="Arial" w:hAnsi="Arial"/>
          <w:sz w:val="17"/>
          <w:szCs w:val="17"/>
          <w:color w:val="auto"/>
        </w:rPr>
        <w:t>The ESPP is administered by our Board of Directors, which has delegated authority to administer the plan to the Compensation Committee. Our Board of Directors or the Compensation Committee has authority to make rules and regulations for the administration of the ESPP, to decide all disputes arising in connection with the</w:t>
      </w:r>
    </w:p>
    <w:p>
      <w:pPr>
        <w:spacing w:after="0" w:line="2" w:lineRule="exact"/>
        <w:rPr>
          <w:sz w:val="20"/>
          <w:szCs w:val="20"/>
          <w:color w:val="auto"/>
        </w:rPr>
      </w:pPr>
    </w:p>
    <w:p>
      <w:pPr>
        <w:ind w:left="480" w:right="280"/>
        <w:spacing w:after="0" w:line="279" w:lineRule="auto"/>
        <w:rPr>
          <w:sz w:val="20"/>
          <w:szCs w:val="20"/>
          <w:color w:val="auto"/>
        </w:rPr>
      </w:pPr>
      <w:r>
        <w:rPr>
          <w:rFonts w:ascii="Arial" w:cs="Arial" w:eastAsia="Arial" w:hAnsi="Arial"/>
          <w:sz w:val="16"/>
          <w:szCs w:val="16"/>
          <w:color w:val="auto"/>
        </w:rPr>
        <w:t>ESPP, to determine which Designated Companies (as defined below) will participate in the ESPP, to determine whether such Designated Company will participate in a Section 423 offering or a nonqualified offering, and to supervise the administration of the ESPP, with its interpretation and decisions with respect to the ESPP being final and conclusive. To the extent not prohibited by applicable law, the Board or Compensation Committee may delegate administrative tasks under the ESPP to the services of an agent or officer of the Company, including, without limitation, determining the Designated Companies eligible to participate in the ESPP or any offering thereunder.</w:t>
      </w: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0940"/>
          </w:cols>
          <w:pgMar w:left="320" w:top="447" w:right="63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Eligibility</w:t>
      </w:r>
    </w:p>
    <w:p>
      <w:pPr>
        <w:spacing w:after="0" w:line="57" w:lineRule="exact"/>
        <w:rPr>
          <w:sz w:val="20"/>
          <w:szCs w:val="20"/>
          <w:color w:val="auto"/>
        </w:rPr>
      </w:pPr>
    </w:p>
    <w:p>
      <w:pPr>
        <w:ind w:left="480" w:right="180"/>
        <w:spacing w:after="0" w:line="263" w:lineRule="auto"/>
        <w:rPr>
          <w:sz w:val="20"/>
          <w:szCs w:val="20"/>
          <w:color w:val="auto"/>
        </w:rPr>
      </w:pPr>
      <w:r>
        <w:rPr>
          <w:rFonts w:ascii="Arial" w:cs="Arial" w:eastAsia="Arial" w:hAnsi="Arial"/>
          <w:sz w:val="17"/>
          <w:szCs w:val="17"/>
          <w:color w:val="auto"/>
        </w:rPr>
        <w:t>Employees of the Company and any subsidiary of the Company (as defined under Code Section 424(f)) or, solely with respect to a nonqualified offering, any other entity in which the Company has a greater than fifty percent (50%) equity interest, in each case designated by our Board of Directors, the Compensation Committee or its delegate from time to time (the Company, and any subsidiary or other such entity so designated are each referred to as a Designated Company and collectively referred to as the Designated Companies) are eligible to participate in the ESPP provided that they:</w:t>
      </w:r>
    </w:p>
    <w:p>
      <w:pPr>
        <w:spacing w:after="0" w:line="35" w:lineRule="exact"/>
        <w:rPr>
          <w:sz w:val="20"/>
          <w:szCs w:val="20"/>
          <w:color w:val="auto"/>
        </w:rPr>
      </w:pPr>
    </w:p>
    <w:p>
      <w:pPr>
        <w:ind w:left="860" w:hanging="385"/>
        <w:spacing w:after="0"/>
        <w:tabs>
          <w:tab w:leader="none" w:pos="8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Work more than twenty (20) hours per week and for more than five (5) months in a calendar year,</w:t>
      </w:r>
    </w:p>
    <w:p>
      <w:pPr>
        <w:spacing w:after="0" w:line="77" w:lineRule="exact"/>
        <w:rPr>
          <w:rFonts w:ascii="Arial" w:cs="Arial" w:eastAsia="Arial" w:hAnsi="Arial"/>
          <w:sz w:val="17"/>
          <w:szCs w:val="17"/>
          <w:color w:val="auto"/>
        </w:rPr>
      </w:pPr>
    </w:p>
    <w:p>
      <w:pPr>
        <w:ind w:left="860" w:hanging="385"/>
        <w:spacing w:after="0"/>
        <w:tabs>
          <w:tab w:leader="none" w:pos="8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Have been employed by a Designated Company for at least two months prior to enrolling in the ESPP, and</w:t>
      </w:r>
    </w:p>
    <w:p>
      <w:pPr>
        <w:spacing w:after="0" w:line="77" w:lineRule="exact"/>
        <w:rPr>
          <w:rFonts w:ascii="Arial" w:cs="Arial" w:eastAsia="Arial" w:hAnsi="Arial"/>
          <w:sz w:val="17"/>
          <w:szCs w:val="17"/>
          <w:color w:val="auto"/>
        </w:rPr>
      </w:pPr>
    </w:p>
    <w:p>
      <w:pPr>
        <w:ind w:left="860" w:hanging="385"/>
        <w:spacing w:after="0"/>
        <w:tabs>
          <w:tab w:leader="none" w:pos="8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Are employees of a Designated Company on the first day of the applicable plan period.</w:t>
      </w:r>
    </w:p>
    <w:p>
      <w:pPr>
        <w:spacing w:after="0" w:line="117" w:lineRule="exact"/>
        <w:rPr>
          <w:sz w:val="20"/>
          <w:szCs w:val="20"/>
          <w:color w:val="auto"/>
        </w:rPr>
      </w:pPr>
    </w:p>
    <w:p>
      <w:pPr>
        <w:jc w:val="both"/>
        <w:ind w:left="480" w:right="40"/>
        <w:spacing w:after="0" w:line="295" w:lineRule="auto"/>
        <w:rPr>
          <w:sz w:val="20"/>
          <w:szCs w:val="20"/>
          <w:color w:val="auto"/>
        </w:rPr>
      </w:pPr>
      <w:r>
        <w:rPr>
          <w:rFonts w:ascii="Arial" w:cs="Arial" w:eastAsia="Arial" w:hAnsi="Arial"/>
          <w:sz w:val="16"/>
          <w:szCs w:val="16"/>
          <w:color w:val="auto"/>
        </w:rPr>
        <w:t>Notwithstanding the foregoing, an employee of a Designated Company will also be eligible to participate in an offering to the extent that local law requires participation in the offering to be extended to such employee, as determined by the Board of Directors, the Compensation Committee or its delegate in a manner consistent with Section 423 of the Code or otherwise under a nonqualified offering.</w:t>
      </w:r>
    </w:p>
    <w:p>
      <w:pPr>
        <w:spacing w:after="0" w:line="50" w:lineRule="exact"/>
        <w:rPr>
          <w:sz w:val="20"/>
          <w:szCs w:val="20"/>
          <w:color w:val="auto"/>
        </w:rPr>
      </w:pPr>
    </w:p>
    <w:p>
      <w:pPr>
        <w:ind w:left="480"/>
        <w:spacing w:after="0" w:line="260" w:lineRule="auto"/>
        <w:rPr>
          <w:sz w:val="20"/>
          <w:szCs w:val="20"/>
          <w:color w:val="auto"/>
        </w:rPr>
      </w:pPr>
      <w:r>
        <w:rPr>
          <w:rFonts w:ascii="Arial" w:cs="Arial" w:eastAsia="Arial" w:hAnsi="Arial"/>
          <w:sz w:val="17"/>
          <w:szCs w:val="17"/>
          <w:color w:val="auto"/>
        </w:rPr>
        <w:t>No employee can be granted an option under the ESPP that would result in the employee owning common stock and/or options to purchase common stock representing five percent or more of the total combined voting power or value of all classes of our outstanding capital stock. Our Board of Directors, the Compensation Committee or its delegate retain the discretion to determine which eligible employees may participate in a Section 423 offering pursuant to and consistent with the applicable Treasury regulations under Section 423 of the Code. In the case of a nonqualified offering, an eligible employee (or group of eligible employees) may be excluded from participation in an offering if the Board of Directors, the Compensation Committee or its delegate determine that participation of such eligible employee(s) is not advisable or practical for any reason.</w:t>
      </w:r>
    </w:p>
    <w:p>
      <w:pPr>
        <w:spacing w:after="0" w:line="79" w:lineRule="exact"/>
        <w:rPr>
          <w:sz w:val="20"/>
          <w:szCs w:val="20"/>
          <w:color w:val="auto"/>
        </w:rPr>
      </w:pPr>
    </w:p>
    <w:p>
      <w:pPr>
        <w:ind w:left="480" w:right="180"/>
        <w:spacing w:after="0" w:line="286" w:lineRule="auto"/>
        <w:rPr>
          <w:sz w:val="20"/>
          <w:szCs w:val="20"/>
          <w:color w:val="auto"/>
        </w:rPr>
      </w:pPr>
      <w:r>
        <w:rPr>
          <w:rFonts w:ascii="Arial" w:cs="Arial" w:eastAsia="Arial" w:hAnsi="Arial"/>
          <w:sz w:val="17"/>
          <w:szCs w:val="17"/>
          <w:color w:val="auto"/>
        </w:rPr>
        <w:t>As of January 7, 2022, approximately 23,358 employees (excluding executive officers) and 4 executive officers (all of whom are also employees) would have been eligible to participate in the ESPP.</w:t>
      </w:r>
    </w:p>
    <w:p>
      <w:pPr>
        <w:spacing w:after="0" w:line="143"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ESPP Operation</w:t>
      </w:r>
    </w:p>
    <w:p>
      <w:pPr>
        <w:spacing w:after="0" w:line="57" w:lineRule="exact"/>
        <w:rPr>
          <w:sz w:val="20"/>
          <w:szCs w:val="20"/>
          <w:color w:val="auto"/>
        </w:rPr>
      </w:pPr>
    </w:p>
    <w:p>
      <w:pPr>
        <w:ind w:left="480" w:right="120"/>
        <w:spacing w:after="0" w:line="295" w:lineRule="auto"/>
        <w:rPr>
          <w:sz w:val="20"/>
          <w:szCs w:val="20"/>
          <w:color w:val="auto"/>
        </w:rPr>
      </w:pPr>
      <w:r>
        <w:rPr>
          <w:rFonts w:ascii="Arial" w:cs="Arial" w:eastAsia="Arial" w:hAnsi="Arial"/>
          <w:sz w:val="15"/>
          <w:szCs w:val="15"/>
          <w:color w:val="auto"/>
        </w:rPr>
        <w:t>The ESPP permits eligible employees to purchase shares of our common stock at a discount. Eligible employees may elect to participate by completing an enrollment form and timely submitting it to us. By completing the enrollment form, a participating employee will be authorizing after-tax payroll deductions from the employee’s “compensation” paid during the plan period. With respect to a Designated Company that is incorporated or formed in a non-U.S. jurisdiction, where participation in the ESPP through payroll deductions is prohibited or otherwise problematic under local law (as determined by the Board of Directors, the Compensation Committee or its delegate), participating employees may be permitted to elect to participate through other contributions in a form acceptable in lieu of payroll deductions. For purposes of the ESPP, “compensation” is defined as the amount of money reportable on the employee’s U.S. Federal Income Tax Withholding Statement (or analogous non-U.S. statement), excluding overtime, shift premium, incentive or bonus awards, sales incentives, allowances and reimbursements for expenses such as relocation allowances for travel expenses, income or gains associated with the grant or vesting of restricted stock or restricted stock units, income or gains on the exercise of Company stock options or stock appreciation rights, and similar items, whether or not shown or separately identified on the employee’s U.S. Federal Income Tax Withholding Statement (or analogous non-U.S. statement). Participating employees will authorize payroll deductions or other contributions at a specified whole percentage of the participating employee’s compensation, subject to a minimum permitted percentage of 1% and a maximum permitted percentage of 20%. Our Board of Directors, the Compensation Committee or its delegate may, in its discretion, designate a higher minimum, and/or a lower maximum, contribution rate.</w:t>
      </w:r>
    </w:p>
    <w:p>
      <w:pPr>
        <w:spacing w:after="0" w:line="262" w:lineRule="exact"/>
        <w:rPr>
          <w:sz w:val="20"/>
          <w:szCs w:val="20"/>
          <w:color w:val="auto"/>
        </w:rPr>
      </w:pPr>
    </w:p>
    <w:p>
      <w:pPr>
        <w:ind w:left="480" w:right="200"/>
        <w:spacing w:after="0" w:line="260" w:lineRule="auto"/>
        <w:rPr>
          <w:sz w:val="20"/>
          <w:szCs w:val="20"/>
          <w:color w:val="auto"/>
        </w:rPr>
      </w:pPr>
      <w:r>
        <w:rPr>
          <w:rFonts w:ascii="Arial" w:cs="Arial" w:eastAsia="Arial" w:hAnsi="Arial"/>
          <w:sz w:val="17"/>
          <w:szCs w:val="17"/>
          <w:color w:val="auto"/>
        </w:rPr>
        <w:t>The ESPP will be implemented by consecutive six (6) month plan periods. Our Board of Directors, the Compensation Committee or its delegate may choose a different plan period of not more than 12 months. Plan periods will begin at such time as our Board of Directors, the Compensation Committee or its delegate may determine. Unless otherwise determined by the Board of Directors, the Compensation Committee or its delegate, each offering during a plan period in which eligible employees of one or more Designated Companies may participate will be deemed a separate offering for purposes of Section 423 of the Code, even if the dates of the applicable plan periods of each such offering are identical and the provisions of the ESPP will separately apply to each such offering. With respect to Section 423 offerings, the terms of separate offerings need not be identical</w:t>
      </w:r>
    </w:p>
    <w:p>
      <w:pPr>
        <w:spacing w:after="0" w:line="200" w:lineRule="exact"/>
        <w:rPr>
          <w:sz w:val="20"/>
          <w:szCs w:val="20"/>
          <w:color w:val="auto"/>
        </w:rPr>
      </w:pPr>
    </w:p>
    <w:p>
      <w:pPr>
        <w:spacing w:after="0" w:line="24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0760"/>
          </w:cols>
          <w:pgMar w:left="320" w:top="447" w:right="81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480" w:right="800"/>
        <w:spacing w:after="0" w:line="286" w:lineRule="auto"/>
        <w:rPr>
          <w:sz w:val="20"/>
          <w:szCs w:val="20"/>
          <w:color w:val="auto"/>
        </w:rPr>
      </w:pPr>
      <w:r>
        <w:rPr>
          <w:rFonts w:ascii="Arial" w:cs="Arial" w:eastAsia="Arial" w:hAnsi="Arial"/>
          <w:sz w:val="17"/>
          <w:szCs w:val="17"/>
          <w:color w:val="auto"/>
        </w:rPr>
        <w:t>provided that all eligible employees granted options in a particular offering have equal rights and privileges, except as may be permitted by Section 423 of the Code. A nonqualified offering need not satisfy such requirement.</w:t>
      </w:r>
    </w:p>
    <w:p>
      <w:pPr>
        <w:spacing w:after="0" w:line="54" w:lineRule="exact"/>
        <w:rPr>
          <w:sz w:val="20"/>
          <w:szCs w:val="20"/>
          <w:color w:val="auto"/>
        </w:rPr>
      </w:pPr>
    </w:p>
    <w:p>
      <w:pPr>
        <w:ind w:left="480" w:right="280"/>
        <w:spacing w:after="0" w:line="259" w:lineRule="auto"/>
        <w:rPr>
          <w:sz w:val="20"/>
          <w:szCs w:val="20"/>
          <w:color w:val="auto"/>
        </w:rPr>
      </w:pPr>
      <w:r>
        <w:rPr>
          <w:rFonts w:ascii="Arial" w:cs="Arial" w:eastAsia="Arial" w:hAnsi="Arial"/>
          <w:sz w:val="17"/>
          <w:szCs w:val="17"/>
          <w:color w:val="auto"/>
        </w:rPr>
        <w:t>On the first day of each plan period, each employee who is enrolled in the ESPP will automatically receive an option to purchase, on the last business day of the plan period, that number of shares of our common stock, including fractional shares, determined by multiplying $2,083 by the number of full months in the plan period and dividing the result by the closing price of the common stock on such date; provided that no employee maybe granted an option that permits the employee’s rights to purchase common stock under the ESPP (and any employee stock purchase plans of the Company and its subsidiaries) to accrue at a rate which exceeds $25,000 of the fair market value of such common stock (determined as of the date such option is granted) for each calendar year in which the option is outstanding at any time. Our Board of Directors, the Compensation Committee or its delegate may set a different formula or a fixed number of shares of common stock (including fractional shares) that each participating employee may purchase per plan period, but such number of shares shall not be greater than the maximum number of shares determined under the preceding sentence.</w:t>
      </w:r>
    </w:p>
    <w:p>
      <w:pPr>
        <w:spacing w:after="0" w:line="79" w:lineRule="exact"/>
        <w:rPr>
          <w:sz w:val="20"/>
          <w:szCs w:val="20"/>
          <w:color w:val="auto"/>
        </w:rPr>
      </w:pPr>
    </w:p>
    <w:p>
      <w:pPr>
        <w:ind w:left="480" w:right="180"/>
        <w:spacing w:after="0" w:line="292" w:lineRule="auto"/>
        <w:rPr>
          <w:sz w:val="20"/>
          <w:szCs w:val="20"/>
          <w:color w:val="auto"/>
        </w:rPr>
      </w:pPr>
      <w:r>
        <w:rPr>
          <w:rFonts w:ascii="Arial" w:cs="Arial" w:eastAsia="Arial" w:hAnsi="Arial"/>
          <w:sz w:val="15"/>
          <w:szCs w:val="15"/>
          <w:color w:val="auto"/>
        </w:rPr>
        <w:t>Unless an employee withdraws from the ESPP, the employee’s option will be exercised automatically on the last business day of the plan period as to the largest number of shares of common stock, including fractional shares, that can be purchased with the deductions or other contributions accumulated as of the last business day of the plan period, subject to the limitations described in the preceding paragraph. Our Board of Directors, the Compensation Committee or its delegate will determine the purchase price of the shares in a given plan period, including whether such purchase price will be determined based on the lesser of the closing price of our common stock on the first business day of the plan period and the last business day of the plan period, or will be based solely on the closing price of our common stock on the last day of the plan period; provided, however, that such purchase price shall be, in either case, (i) at least 85% of the applicable closing price in the case of a Section 423 offering and</w:t>
      </w:r>
    </w:p>
    <w:p>
      <w:pPr>
        <w:jc w:val="both"/>
        <w:ind w:left="480" w:right="280" w:hanging="5"/>
        <w:spacing w:after="0" w:line="259" w:lineRule="auto"/>
        <w:tabs>
          <w:tab w:leader="none" w:pos="735" w:val="left"/>
        </w:tabs>
        <w:numPr>
          <w:ilvl w:val="0"/>
          <w:numId w:val="81"/>
        </w:numPr>
        <w:rPr>
          <w:rFonts w:ascii="Arial" w:cs="Arial" w:eastAsia="Arial" w:hAnsi="Arial"/>
          <w:sz w:val="17"/>
          <w:szCs w:val="17"/>
          <w:color w:val="auto"/>
        </w:rPr>
      </w:pPr>
      <w:r>
        <w:rPr>
          <w:rFonts w:ascii="Arial" w:cs="Arial" w:eastAsia="Arial" w:hAnsi="Arial"/>
          <w:sz w:val="17"/>
          <w:szCs w:val="17"/>
          <w:color w:val="auto"/>
        </w:rPr>
        <w:t>at least 80% of the applicable closing price in the case of a nonqualified offering. In the absence of a determination by the Board of Directors, the Compensation Committee or its delegate, the purchase price will be 85% of the lesser of the closing price of our common stock on (i) the first day of the plan period and (ii) the last business day of the plan period. If the total number of shares of common stock with respect to which options are to be exercised exceeds the number of shares remaining available for issuance under the ESPP, we will only issue to employees in that offering the number of shares remaining available for issuance, on a pro-rata basis.</w:t>
      </w:r>
    </w:p>
    <w:p>
      <w:pPr>
        <w:spacing w:after="0" w:line="78" w:lineRule="exact"/>
        <w:rPr>
          <w:sz w:val="20"/>
          <w:szCs w:val="20"/>
          <w:color w:val="auto"/>
        </w:rPr>
      </w:pPr>
    </w:p>
    <w:p>
      <w:pPr>
        <w:ind w:left="480" w:right="180"/>
        <w:spacing w:after="0" w:line="259" w:lineRule="auto"/>
        <w:rPr>
          <w:sz w:val="20"/>
          <w:szCs w:val="20"/>
          <w:color w:val="auto"/>
        </w:rPr>
      </w:pPr>
      <w:r>
        <w:rPr>
          <w:rFonts w:ascii="Arial" w:cs="Arial" w:eastAsia="Arial" w:hAnsi="Arial"/>
          <w:sz w:val="17"/>
          <w:szCs w:val="17"/>
          <w:color w:val="auto"/>
        </w:rPr>
        <w:t>The Company will determine in advance of each plan period whether participating employees will be eligible to increase, decrease or discontinue payroll deductions or other contributions during the plan period (and if so, on what terms) and will provide notice of such determination to all employees eligible to participate in the plan period. To the extent that withdrawals during a plan period are permitted, the Company will specify whether the participating employee must draw out the balance accumulated in or contributed to the employee’s account or whether a partial withdrawal is permitted. An employee who has withdrawn from participation in a plan period may not rejoin that plan period, but may participate in subsequent plan periods in accordance with the terms set forth by the Board of Directors, the Compensation Committee or its delegate. No interest will accrue on the payroll deductions, except as our Board of Directors, the Compensation Committee or its delegate may otherwise provide or as required by applicable law.</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Adjustments for Changes in Common Stock and Certain Other Events</w:t>
      </w:r>
    </w:p>
    <w:p>
      <w:pPr>
        <w:spacing w:after="0" w:line="57" w:lineRule="exact"/>
        <w:rPr>
          <w:sz w:val="20"/>
          <w:szCs w:val="20"/>
          <w:color w:val="auto"/>
        </w:rPr>
      </w:pPr>
    </w:p>
    <w:p>
      <w:pPr>
        <w:ind w:left="480" w:right="240"/>
        <w:spacing w:after="0" w:line="265" w:lineRule="auto"/>
        <w:rPr>
          <w:sz w:val="20"/>
          <w:szCs w:val="20"/>
          <w:color w:val="auto"/>
        </w:rPr>
      </w:pPr>
      <w:r>
        <w:rPr>
          <w:rFonts w:ascii="Arial" w:cs="Arial" w:eastAsia="Arial" w:hAnsi="Arial"/>
          <w:sz w:val="17"/>
          <w:szCs w:val="17"/>
          <w:color w:val="auto"/>
        </w:rPr>
        <w:t>We are required to make equitable adjustments to the number and class of securities available under the ESPP, the share limitations under the ESPP and the purchase price for a plan period under the ESPP to reflect stock splits, reverse stock splits, stock dividends, recapitalizations, combinations of shares, reclassifications of shares, spin-offs and other similar changes in capitalization or events or any dividends or distributions to holders of our common stock other than ordinary cash dividends.</w:t>
      </w:r>
    </w:p>
    <w:p>
      <w:pPr>
        <w:spacing w:after="0" w:line="73" w:lineRule="exact"/>
        <w:rPr>
          <w:sz w:val="20"/>
          <w:szCs w:val="20"/>
          <w:color w:val="auto"/>
        </w:rPr>
      </w:pPr>
    </w:p>
    <w:p>
      <w:pPr>
        <w:ind w:left="480" w:right="380"/>
        <w:spacing w:after="0" w:line="270" w:lineRule="auto"/>
        <w:rPr>
          <w:sz w:val="20"/>
          <w:szCs w:val="20"/>
          <w:color w:val="auto"/>
        </w:rPr>
      </w:pPr>
      <w:r>
        <w:rPr>
          <w:rFonts w:ascii="Arial" w:cs="Arial" w:eastAsia="Arial" w:hAnsi="Arial"/>
          <w:sz w:val="17"/>
          <w:szCs w:val="17"/>
          <w:color w:val="auto"/>
        </w:rPr>
        <w:t>In connection with a merger or other reorganization event (as defined in the ESPP), our Board of Directors, the Compensation Committee or its delegate may take any one or more of the following actions as to outstanding options to purchase shares of our common stock under the ESPP on such terms as our Board of Directors, the Compensation Committee or its delegate determines:</w:t>
      </w:r>
    </w:p>
    <w:p>
      <w:pPr>
        <w:spacing w:after="0" w:line="30" w:lineRule="exact"/>
        <w:rPr>
          <w:sz w:val="20"/>
          <w:szCs w:val="20"/>
          <w:color w:val="auto"/>
        </w:rPr>
      </w:pPr>
    </w:p>
    <w:p>
      <w:pPr>
        <w:ind w:left="860" w:right="380" w:hanging="385"/>
        <w:spacing w:after="0" w:line="286" w:lineRule="auto"/>
        <w:tabs>
          <w:tab w:leader="none" w:pos="8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Provide that options shall be assumed, or substantially equivalent options will be substituted, by the acquiring or succeeding corporation (or an affiliate thereof);</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0940"/>
          </w:cols>
          <w:pgMar w:left="320" w:top="447" w:right="63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860" w:right="20" w:hanging="385"/>
        <w:spacing w:after="0" w:line="263" w:lineRule="auto"/>
        <w:tabs>
          <w:tab w:leader="none" w:pos="8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Upon written notice to employees, provide that all outstanding options will be terminated immediately prior to the consummation of such reorganization event and that all such outstanding options will become exercisable to the extent of accumulated payroll deductions or other contributions as of a date specified by our Board of Directors, the Compensation Committee or its delegate in such notice, which date shall be ten days preceding the effective date of the reorganization event (or such other number of days as is determined by our Board of Directors, the Compensation Committee or its delegate);</w:t>
      </w:r>
    </w:p>
    <w:p>
      <w:pPr>
        <w:spacing w:after="0" w:line="86" w:lineRule="exact"/>
        <w:rPr>
          <w:rFonts w:ascii="Arial" w:cs="Arial" w:eastAsia="Arial" w:hAnsi="Arial"/>
          <w:sz w:val="17"/>
          <w:szCs w:val="17"/>
          <w:color w:val="auto"/>
        </w:rPr>
      </w:pPr>
    </w:p>
    <w:p>
      <w:pPr>
        <w:ind w:left="860" w:right="260" w:hanging="385"/>
        <w:spacing w:after="0" w:line="270" w:lineRule="auto"/>
        <w:tabs>
          <w:tab w:leader="none" w:pos="8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Upon written notice to employees, provide that all outstanding options will be cancelled as of a date prior to the effective date of the reorganization event and that all accumulated payroll deductions or other contributions will be returned to participating employees on such date;</w:t>
      </w:r>
    </w:p>
    <w:p>
      <w:pPr>
        <w:spacing w:after="0" w:line="81" w:lineRule="exact"/>
        <w:rPr>
          <w:rFonts w:ascii="Arial" w:cs="Arial" w:eastAsia="Arial" w:hAnsi="Arial"/>
          <w:sz w:val="17"/>
          <w:szCs w:val="17"/>
          <w:color w:val="auto"/>
        </w:rPr>
      </w:pPr>
    </w:p>
    <w:p>
      <w:pPr>
        <w:ind w:left="860" w:right="140" w:hanging="385"/>
        <w:spacing w:after="0" w:line="295" w:lineRule="auto"/>
        <w:tabs>
          <w:tab w:leader="none" w:pos="860" w:val="left"/>
        </w:tabs>
        <w:numPr>
          <w:ilvl w:val="0"/>
          <w:numId w:val="83"/>
        </w:numPr>
        <w:rPr>
          <w:rFonts w:ascii="Arial" w:cs="Arial" w:eastAsia="Arial" w:hAnsi="Arial"/>
          <w:sz w:val="15"/>
          <w:szCs w:val="15"/>
          <w:color w:val="auto"/>
        </w:rPr>
      </w:pPr>
      <w:r>
        <w:rPr>
          <w:rFonts w:ascii="Arial" w:cs="Arial" w:eastAsia="Arial" w:hAnsi="Arial"/>
          <w:sz w:val="15"/>
          <w:szCs w:val="15"/>
          <w:color w:val="auto"/>
        </w:rPr>
        <w:t>In the event of a reorganization event under the terms of which holders of our common stock will receive upon consummation thereof a cash payment for each share surrendered in the reorganization event, which we refer to as the acquisition price, change the last day of the plan period to be the date of the consummation of the reorganization event and make or provide for a cash payment to each employee equal to</w:t>
      </w:r>
    </w:p>
    <w:p>
      <w:pPr>
        <w:ind w:left="860" w:right="100"/>
        <w:spacing w:after="0" w:line="259" w:lineRule="auto"/>
        <w:rPr>
          <w:rFonts w:ascii="Arial" w:cs="Arial" w:eastAsia="Arial" w:hAnsi="Arial"/>
          <w:sz w:val="15"/>
          <w:szCs w:val="15"/>
          <w:color w:val="auto"/>
        </w:rPr>
      </w:pPr>
      <w:r>
        <w:rPr>
          <w:rFonts w:ascii="Arial" w:cs="Arial" w:eastAsia="Arial" w:hAnsi="Arial"/>
          <w:sz w:val="17"/>
          <w:szCs w:val="17"/>
          <w:color w:val="auto"/>
        </w:rPr>
        <w:t>(1) the acquisition price times the number of shares of our common stock that the employee’s accumulated payroll deductions or other contributions as of immediately prior to the reorganization event could purchase at the applicable purchase price, where the acquisition price is treated as the fair market value of our common stock on the last day of the applicable plan period for purposes of determining the purchase price and where the number of shares that could be purchased is subject to the applicable limitations under the ESPP, minus (2) the result of multiplying such number of shares by the purchase price;</w:t>
      </w:r>
    </w:p>
    <w:p>
      <w:pPr>
        <w:spacing w:after="0" w:line="90" w:lineRule="exact"/>
        <w:rPr>
          <w:rFonts w:ascii="Arial" w:cs="Arial" w:eastAsia="Arial" w:hAnsi="Arial"/>
          <w:sz w:val="15"/>
          <w:szCs w:val="15"/>
          <w:color w:val="auto"/>
        </w:rPr>
      </w:pPr>
    </w:p>
    <w:p>
      <w:pPr>
        <w:ind w:left="860" w:right="220" w:hanging="385"/>
        <w:spacing w:after="0" w:line="286" w:lineRule="auto"/>
        <w:tabs>
          <w:tab w:leader="none" w:pos="8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Provide that, in connection with our liquidation or dissolution, options shall convert into the right to receive liquidation proceeds (net of the purchase price thereof); and/or</w:t>
      </w:r>
    </w:p>
    <w:p>
      <w:pPr>
        <w:spacing w:after="0" w:line="67" w:lineRule="exact"/>
        <w:rPr>
          <w:rFonts w:ascii="Arial" w:cs="Arial" w:eastAsia="Arial" w:hAnsi="Arial"/>
          <w:sz w:val="17"/>
          <w:szCs w:val="17"/>
          <w:color w:val="auto"/>
        </w:rPr>
      </w:pPr>
    </w:p>
    <w:p>
      <w:pPr>
        <w:ind w:left="860" w:hanging="385"/>
        <w:spacing w:after="0"/>
        <w:tabs>
          <w:tab w:leader="none" w:pos="8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any combination of the foregoing.</w:t>
      </w:r>
    </w:p>
    <w:p>
      <w:pPr>
        <w:spacing w:after="0" w:line="206"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Employees in Non-U.S. Jurisdictions; Sub-Plans</w:t>
      </w:r>
    </w:p>
    <w:p>
      <w:pPr>
        <w:spacing w:after="0" w:line="57" w:lineRule="exact"/>
        <w:rPr>
          <w:sz w:val="20"/>
          <w:szCs w:val="20"/>
          <w:color w:val="auto"/>
        </w:rPr>
      </w:pPr>
    </w:p>
    <w:p>
      <w:pPr>
        <w:ind w:left="480"/>
        <w:spacing w:after="0" w:line="275" w:lineRule="auto"/>
        <w:rPr>
          <w:sz w:val="20"/>
          <w:szCs w:val="20"/>
          <w:color w:val="auto"/>
        </w:rPr>
      </w:pPr>
      <w:r>
        <w:rPr>
          <w:rFonts w:ascii="Arial" w:cs="Arial" w:eastAsia="Arial" w:hAnsi="Arial"/>
          <w:sz w:val="16"/>
          <w:szCs w:val="16"/>
          <w:color w:val="auto"/>
        </w:rPr>
        <w:t>The Board of Directors, the Compensation Committee or its delegate may, to comply with the laws of a non-U.S. jurisdiction, grant options under a Section 423 offering to employees of a Designated Company who are citizens or residents of a non-U.S. jurisdiction (without regard to whether they are also citizens of the United States or resident aliens) with terms that are specified and communicated to the employees in such jurisdiction and that are less favorable (but not more favorable) than the terms of the options granted under such offering to employees of the Designated Company who are resident in the United States Notwithstanding the preceding sentence, employees of the Designated Company who are citizens or residents of a non-U.S. jurisdiction may be excluded from eligibility under a Section 423 offering if the grant of an option under the plan to a citizen or resident of such jurisdiction is prohibited under the laws of the jurisdiction or if compliance with the laws of the jurisdiction would cause the offering to violate the terms of Section 423 of the Code. The Board of Directors, the Compensation Committee or its delegate may establish one or more sub-plans under the ESPP to accommodate requirements of local law and procedures outside the United States, facilitate the administration of the ESPP or accomplish other Company objectives in offering the ESPP in jurisdictions outside the United States, or to qualify for particular tax treatment under laws of jurisdictions other than the United States. Such sub-plans may take precedence over the provisions of the ESPP, but unless otherwise amended or superseded by the terms of such sub-plan, the provisions of the ESPP will govern the sub-plan. To the extent inconsistent with the requirements of Section 423 of the Code, any such sub-plan will be operated through nonqualified offerings and rights granted thereunder will not be required by the terms of the ESPP to comply with Section 423 of the Code.</w:t>
      </w:r>
    </w:p>
    <w:p>
      <w:pPr>
        <w:spacing w:after="0" w:line="156"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Withholding; Section 409A</w:t>
      </w:r>
    </w:p>
    <w:p>
      <w:pPr>
        <w:spacing w:after="0" w:line="57" w:lineRule="exact"/>
        <w:rPr>
          <w:sz w:val="20"/>
          <w:szCs w:val="20"/>
          <w:color w:val="auto"/>
        </w:rPr>
      </w:pPr>
    </w:p>
    <w:p>
      <w:pPr>
        <w:ind w:left="480" w:right="40"/>
        <w:spacing w:after="0" w:line="279" w:lineRule="auto"/>
        <w:rPr>
          <w:sz w:val="20"/>
          <w:szCs w:val="20"/>
          <w:color w:val="auto"/>
        </w:rPr>
      </w:pPr>
      <w:r>
        <w:rPr>
          <w:rFonts w:ascii="Arial" w:cs="Arial" w:eastAsia="Arial" w:hAnsi="Arial"/>
          <w:sz w:val="16"/>
          <w:szCs w:val="16"/>
          <w:color w:val="auto"/>
        </w:rPr>
        <w:t>At the time of any taxable event that creates an obligation for any Designated Company to withhold U.S. or non-U.S. federal, state and/or local taxes (including, without limitation, income tax, social insurance contributions, fringe benefit tax, employment tax, stamp tax and any employer tax liability which has been transferred to an employee) for which an employee is liable in connection with his or her participation in the ESPP (referred to collectively as tax-related items), each affected employee shall, no later than the date or event creating the withholding obligation for tax-related items, make provision satisfactory to us for payment of any tax-related items required by law to be withheld in connection with the purchase of such shares. The Company may, to the extent permitted by law, withhold any such tax-related items from any payment of any kind otherwise due to an employee, including by one or more of the following methods: (i) retaining from the shares of common</w:t>
      </w:r>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0760"/>
          </w:cols>
          <w:pgMar w:left="320" w:top="447" w:right="81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480" w:right="180"/>
        <w:spacing w:after="0" w:line="300" w:lineRule="auto"/>
        <w:rPr>
          <w:sz w:val="20"/>
          <w:szCs w:val="20"/>
          <w:color w:val="auto"/>
        </w:rPr>
      </w:pPr>
      <w:r>
        <w:rPr>
          <w:rFonts w:ascii="Arial" w:cs="Arial" w:eastAsia="Arial" w:hAnsi="Arial"/>
          <w:sz w:val="15"/>
          <w:szCs w:val="15"/>
          <w:color w:val="auto"/>
        </w:rPr>
        <w:t>stock otherwise issuable to the participating employee on the last day of the plan period a number of shares having a fair market value sufficient to cover the withholding obligation for the tax-related items (provided that such amount shall not exceed the maximum statutory tax rate or such lesser amount as is necessary to avoid liability accounting treatment), (ii) withholding from proceeds from the sale of shares of common stock issued upon exercise of the option granted under the ESPP, either through a voluntary sale or an automatic sale arranged by the Company, or (iii) withholding from the employee’s wages or other compensation. Section 423 offerings are exempt from Section 409A of the Code. Nonqualified offerings are intended to be exempt from, or to comply with, Section 409A of the Code and, as such, the exercise date for each plan period will be fixed prior to the commencement of such plan period and may not be accelerated or deferred unless permitted or required by Section 409A of the Code.</w:t>
      </w:r>
    </w:p>
    <w:p>
      <w:pPr>
        <w:spacing w:after="0" w:line="141"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Amendments</w:t>
      </w:r>
    </w:p>
    <w:p>
      <w:pPr>
        <w:spacing w:after="0" w:line="57" w:lineRule="exact"/>
        <w:rPr>
          <w:sz w:val="20"/>
          <w:szCs w:val="20"/>
          <w:color w:val="auto"/>
        </w:rPr>
      </w:pPr>
    </w:p>
    <w:p>
      <w:pPr>
        <w:ind w:left="480" w:right="220"/>
        <w:spacing w:after="0" w:line="279" w:lineRule="auto"/>
        <w:rPr>
          <w:sz w:val="20"/>
          <w:szCs w:val="20"/>
          <w:color w:val="auto"/>
        </w:rPr>
      </w:pPr>
      <w:r>
        <w:rPr>
          <w:rFonts w:ascii="Arial" w:cs="Arial" w:eastAsia="Arial" w:hAnsi="Arial"/>
          <w:sz w:val="16"/>
          <w:szCs w:val="16"/>
          <w:color w:val="auto"/>
        </w:rPr>
        <w:t>Our Board of Directors may at any time, and from time to time, amend or suspend the ESPP or any portion thereof, except that if approval of any such amendment by the shareholders is required by law, Section 423 of the Code or the applicable listing rules of the exchange on which our common stock is traded, such amendment will not be effected without shareholder approval. Notwithstanding the foregoing, the following amendments will require the approval of our shareholders: (i) any increase in the number of shares of common stock that may be purchased under the plan, (ii) any ability to issue shares of common stock prior to payment therefor in full, (iii) any reduction in the per share price at which common stock may be purchased and (iv) any change in the definition of Designated Companies eligible to participate in the plan. In no event shall any amendment be made that would cause the ESPP to fail to comply with Section 423 of the Code.</w:t>
      </w:r>
    </w:p>
    <w:p>
      <w:pPr>
        <w:spacing w:after="0" w:line="261"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0066BA"/>
        </w:rPr>
        <w:t>New Plan Benefits</w:t>
      </w:r>
    </w:p>
    <w:p>
      <w:pPr>
        <w:spacing w:after="0" w:line="124" w:lineRule="exact"/>
        <w:rPr>
          <w:sz w:val="20"/>
          <w:szCs w:val="20"/>
          <w:color w:val="auto"/>
        </w:rPr>
      </w:pPr>
    </w:p>
    <w:p>
      <w:pPr>
        <w:ind w:left="480" w:right="380"/>
        <w:spacing w:after="0" w:line="323" w:lineRule="auto"/>
        <w:rPr>
          <w:sz w:val="20"/>
          <w:szCs w:val="20"/>
          <w:color w:val="auto"/>
        </w:rPr>
      </w:pPr>
      <w:r>
        <w:rPr>
          <w:rFonts w:ascii="Arial" w:cs="Arial" w:eastAsia="Arial" w:hAnsi="Arial"/>
          <w:sz w:val="15"/>
          <w:szCs w:val="15"/>
          <w:color w:val="auto"/>
        </w:rPr>
        <w:t>Benefits and purchases of shares of our common stock under the ESPP depend on elections made by employees as to the amount of payroll deductions or other contributions to be taken per plan period, as well as on the fair market value of our common stock on dates in the future. As a result, it is not possible to determine the benefits that will be received by executive officers and other employees in the future under the ESPP.</w:t>
      </w:r>
    </w:p>
    <w:p>
      <w:pPr>
        <w:spacing w:after="0" w:line="32" w:lineRule="exact"/>
        <w:rPr>
          <w:sz w:val="20"/>
          <w:szCs w:val="20"/>
          <w:color w:val="auto"/>
        </w:rPr>
      </w:pPr>
    </w:p>
    <w:p>
      <w:pPr>
        <w:ind w:left="480" w:right="300"/>
        <w:spacing w:after="0" w:line="270" w:lineRule="auto"/>
        <w:rPr>
          <w:sz w:val="20"/>
          <w:szCs w:val="20"/>
          <w:color w:val="auto"/>
        </w:rPr>
      </w:pPr>
      <w:r>
        <w:rPr>
          <w:rFonts w:ascii="Arial" w:cs="Arial" w:eastAsia="Arial" w:hAnsi="Arial"/>
          <w:sz w:val="17"/>
          <w:szCs w:val="17"/>
          <w:color w:val="auto"/>
        </w:rPr>
        <w:t>The number of shares of our common stock that can be purchased by each employee will vary based on the fair market value of the common stock on the first and last business days of the plan period. Accordingly, the dollar value and the number of shares that may be purchased in the future pursuant to the ESPP are not currently determinable.</w:t>
      </w:r>
    </w:p>
    <w:p>
      <w:pPr>
        <w:spacing w:after="0" w:line="265"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0066BA"/>
        </w:rPr>
        <w:t>Fair Market Value</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January 7, 2022, the closing price of the Company’s shares on the Nasdaq Stock Market was $168.84.</w:t>
      </w:r>
    </w:p>
    <w:p>
      <w:pPr>
        <w:spacing w:after="0" w:line="313"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0066BA"/>
        </w:rPr>
        <w:t>United States Federal Income Tax Consequences</w:t>
      </w:r>
    </w:p>
    <w:p>
      <w:pPr>
        <w:spacing w:after="0" w:line="124" w:lineRule="exact"/>
        <w:rPr>
          <w:sz w:val="20"/>
          <w:szCs w:val="20"/>
          <w:color w:val="auto"/>
        </w:rPr>
      </w:pPr>
    </w:p>
    <w:p>
      <w:pPr>
        <w:ind w:left="480" w:right="220"/>
        <w:spacing w:after="0" w:line="295" w:lineRule="auto"/>
        <w:rPr>
          <w:sz w:val="20"/>
          <w:szCs w:val="20"/>
          <w:color w:val="auto"/>
        </w:rPr>
      </w:pPr>
      <w:r>
        <w:rPr>
          <w:rFonts w:ascii="Arial" w:cs="Arial" w:eastAsia="Arial" w:hAnsi="Arial"/>
          <w:sz w:val="15"/>
          <w:szCs w:val="15"/>
          <w:color w:val="auto"/>
        </w:rPr>
        <w:t>The following generally summarizes the United States federal income tax consequences that will arise with respect to participation in the ESPP and with respect to the sale of common stock acquired under the plan. This summary is based on the tax laws as in effect on the date of this proxy statement. Changes to these laws could alter the tax consequences described below. This summary assumes that the ESPP complies with</w:t>
      </w:r>
    </w:p>
    <w:p>
      <w:pPr>
        <w:spacing w:after="0" w:line="1" w:lineRule="exact"/>
        <w:rPr>
          <w:sz w:val="20"/>
          <w:szCs w:val="20"/>
          <w:color w:val="auto"/>
        </w:rPr>
      </w:pPr>
    </w:p>
    <w:p>
      <w:pPr>
        <w:ind w:left="480" w:right="160"/>
        <w:spacing w:after="0" w:line="263" w:lineRule="auto"/>
        <w:rPr>
          <w:sz w:val="20"/>
          <w:szCs w:val="20"/>
          <w:color w:val="auto"/>
        </w:rPr>
      </w:pPr>
      <w:r>
        <w:rPr>
          <w:rFonts w:ascii="Arial" w:cs="Arial" w:eastAsia="Arial" w:hAnsi="Arial"/>
          <w:sz w:val="17"/>
          <w:szCs w:val="17"/>
          <w:color w:val="auto"/>
        </w:rPr>
        <w:t>Section 423 of the Code and relates to a Section 423 offering. This summary assumes an option price that is equal to 85% of the fair market value of the stock on the first day of the plan period or the last day of the plan period, whichever is less. This summary does not address the non-U.S. tax consequences of participating in the ESPP.</w:t>
      </w:r>
    </w:p>
    <w:p>
      <w:pPr>
        <w:spacing w:after="0" w:line="163"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Tax Consequences to Employees</w:t>
      </w:r>
    </w:p>
    <w:p>
      <w:pPr>
        <w:spacing w:after="0" w:line="5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An employee will not have income upon enrolling in the ESPP or upon the purchase of common stock at the end of an offering.</w:t>
      </w:r>
    </w:p>
    <w:p>
      <w:pPr>
        <w:spacing w:after="0" w:line="117" w:lineRule="exact"/>
        <w:rPr>
          <w:sz w:val="20"/>
          <w:szCs w:val="20"/>
          <w:color w:val="auto"/>
        </w:rPr>
      </w:pPr>
    </w:p>
    <w:p>
      <w:pPr>
        <w:ind w:left="480" w:right="640"/>
        <w:spacing w:after="0" w:line="286" w:lineRule="auto"/>
        <w:rPr>
          <w:sz w:val="20"/>
          <w:szCs w:val="20"/>
          <w:color w:val="auto"/>
        </w:rPr>
      </w:pPr>
      <w:r>
        <w:rPr>
          <w:rFonts w:ascii="Arial" w:cs="Arial" w:eastAsia="Arial" w:hAnsi="Arial"/>
          <w:sz w:val="17"/>
          <w:szCs w:val="17"/>
          <w:color w:val="auto"/>
        </w:rPr>
        <w:t>An employee may have both compensation income and a capital gain or loss when the employee sells the stock acquired under the ESPP. The amount of each type of income and loss will depend on when the shares of common stock are sold.</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0940"/>
          </w:cols>
          <w:pgMar w:left="320" w:top="447" w:right="63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480"/>
        <w:spacing w:after="0" w:line="270" w:lineRule="auto"/>
        <w:rPr>
          <w:sz w:val="20"/>
          <w:szCs w:val="20"/>
          <w:color w:val="auto"/>
        </w:rPr>
      </w:pPr>
      <w:r>
        <w:rPr>
          <w:rFonts w:ascii="Arial" w:cs="Arial" w:eastAsia="Arial" w:hAnsi="Arial"/>
          <w:sz w:val="17"/>
          <w:szCs w:val="17"/>
          <w:color w:val="auto"/>
        </w:rPr>
        <w:t>If the common stock is sold more than two years after the commencement of the offering during which the shares were purchased and more than one year after the date that the shares were purchased, at a profit (sales proceeds exceed purchase price), then the employee will have compensation income equal to the lesser of:</w:t>
      </w:r>
    </w:p>
    <w:p>
      <w:pPr>
        <w:spacing w:after="0" w:line="30" w:lineRule="exact"/>
        <w:rPr>
          <w:sz w:val="20"/>
          <w:szCs w:val="20"/>
          <w:color w:val="auto"/>
        </w:rPr>
      </w:pPr>
    </w:p>
    <w:p>
      <w:pPr>
        <w:ind w:left="860" w:hanging="385"/>
        <w:spacing w:after="0"/>
        <w:tabs>
          <w:tab w:leader="none" w:pos="8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15% of the value of the common stock on the day the offering commenced; and</w:t>
      </w:r>
    </w:p>
    <w:p>
      <w:pPr>
        <w:spacing w:after="0" w:line="77" w:lineRule="exact"/>
        <w:rPr>
          <w:rFonts w:ascii="Arial" w:cs="Arial" w:eastAsia="Arial" w:hAnsi="Arial"/>
          <w:sz w:val="17"/>
          <w:szCs w:val="17"/>
          <w:color w:val="auto"/>
        </w:rPr>
      </w:pPr>
    </w:p>
    <w:p>
      <w:pPr>
        <w:ind w:left="860" w:hanging="385"/>
        <w:spacing w:after="0"/>
        <w:tabs>
          <w:tab w:leader="none" w:pos="8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employee’s profit.</w:t>
      </w:r>
    </w:p>
    <w:p>
      <w:pPr>
        <w:spacing w:after="0" w:line="117" w:lineRule="exact"/>
        <w:rPr>
          <w:sz w:val="20"/>
          <w:szCs w:val="20"/>
          <w:color w:val="auto"/>
        </w:rPr>
      </w:pPr>
    </w:p>
    <w:p>
      <w:pPr>
        <w:ind w:left="480" w:right="140"/>
        <w:spacing w:after="0" w:line="356" w:lineRule="auto"/>
        <w:rPr>
          <w:sz w:val="20"/>
          <w:szCs w:val="20"/>
          <w:color w:val="auto"/>
        </w:rPr>
      </w:pPr>
      <w:r>
        <w:rPr>
          <w:rFonts w:ascii="Arial" w:cs="Arial" w:eastAsia="Arial" w:hAnsi="Arial"/>
          <w:sz w:val="15"/>
          <w:szCs w:val="15"/>
          <w:color w:val="auto"/>
        </w:rPr>
        <w:t>Any profit greater than the compensation income as determined above will be long-term capital gain. If the employee sells the common stock at a loss (if sales proceeds are less than the purchase price) after satisfying these waiting periods, then the loss will be a long-term capital loss.</w:t>
      </w:r>
    </w:p>
    <w:p>
      <w:pPr>
        <w:spacing w:after="0" w:line="9" w:lineRule="exact"/>
        <w:rPr>
          <w:sz w:val="20"/>
          <w:szCs w:val="20"/>
          <w:color w:val="auto"/>
        </w:rPr>
      </w:pPr>
    </w:p>
    <w:p>
      <w:pPr>
        <w:ind w:left="480" w:right="60"/>
        <w:spacing w:after="0" w:line="283" w:lineRule="auto"/>
        <w:rPr>
          <w:sz w:val="20"/>
          <w:szCs w:val="20"/>
          <w:color w:val="auto"/>
        </w:rPr>
      </w:pPr>
      <w:r>
        <w:rPr>
          <w:rFonts w:ascii="Arial" w:cs="Arial" w:eastAsia="Arial" w:hAnsi="Arial"/>
          <w:sz w:val="16"/>
          <w:szCs w:val="16"/>
          <w:color w:val="auto"/>
        </w:rPr>
        <w:t>If the employee sells the common stock prior to satisfying these waiting periods, then the employee will have engaged in a disqualifying disposition. Upon a disqualifying disposition, the employee will have compensation income equal to the value of the common stock on the day the employee purchased the stock less the purchase price paid for the stock. The employee also will have a capital gain or loss equal to the difference between the sales proceeds and the value of the common stock on the date the common stock was purchased. This capital gain or loss will be long-term if the employee has held the common stock for more than one year and otherwise will be short-term.</w:t>
      </w:r>
    </w:p>
    <w:p>
      <w:pPr>
        <w:spacing w:after="0" w:line="149"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Tax Consequences to Us</w:t>
      </w:r>
    </w:p>
    <w:p>
      <w:pPr>
        <w:spacing w:after="0" w:line="57" w:lineRule="exact"/>
        <w:rPr>
          <w:sz w:val="20"/>
          <w:szCs w:val="20"/>
          <w:color w:val="auto"/>
        </w:rPr>
      </w:pPr>
    </w:p>
    <w:p>
      <w:pPr>
        <w:ind w:left="480" w:right="500"/>
        <w:spacing w:after="0" w:line="356" w:lineRule="auto"/>
        <w:rPr>
          <w:sz w:val="20"/>
          <w:szCs w:val="20"/>
          <w:color w:val="auto"/>
        </w:rPr>
      </w:pPr>
      <w:r>
        <w:rPr>
          <w:rFonts w:ascii="Arial" w:cs="Arial" w:eastAsia="Arial" w:hAnsi="Arial"/>
          <w:sz w:val="15"/>
          <w:szCs w:val="15"/>
          <w:color w:val="auto"/>
        </w:rPr>
        <w:t>There are no tax consequences to us with respect to the ESPP, except that we will be entitled to a deduction when an employee recognizes compensation income upon a disqualifying disposition. Any such deduction will be subject to the limitations of Section 162(m) of the Code.</w:t>
      </w:r>
    </w:p>
    <w:p>
      <w:pPr>
        <w:spacing w:after="0" w:line="37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0720"/>
          </w:cols>
          <w:pgMar w:left="320" w:top="447" w:right="85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52" w:lineRule="exact"/>
        <w:rPr>
          <w:sz w:val="20"/>
          <w:szCs w:val="20"/>
          <w:color w:val="auto"/>
        </w:rPr>
      </w:pPr>
    </w:p>
    <w:p>
      <w:pPr>
        <w:ind w:left="480"/>
        <w:spacing w:after="0"/>
        <w:rPr>
          <w:sz w:val="20"/>
          <w:szCs w:val="20"/>
          <w:color w:val="auto"/>
        </w:rPr>
      </w:pPr>
      <w:r>
        <w:rPr>
          <w:rFonts w:ascii="Arial" w:cs="Arial" w:eastAsia="Arial" w:hAnsi="Arial"/>
          <w:sz w:val="55"/>
          <w:szCs w:val="55"/>
          <w:b w:val="1"/>
          <w:bCs w:val="1"/>
          <w:color w:val="0066BA"/>
        </w:rPr>
        <w:t>Proposal 4</w:t>
      </w:r>
    </w:p>
    <w:p>
      <w:pPr>
        <w:spacing w:after="0" w:line="172" w:lineRule="exact"/>
        <w:rPr>
          <w:sz w:val="20"/>
          <w:szCs w:val="20"/>
          <w:color w:val="auto"/>
        </w:rPr>
      </w:pPr>
    </w:p>
    <w:p>
      <w:pPr>
        <w:ind w:left="1360"/>
        <w:spacing w:after="0"/>
        <w:rPr>
          <w:sz w:val="20"/>
          <w:szCs w:val="20"/>
          <w:color w:val="auto"/>
        </w:rPr>
      </w:pPr>
      <w:r>
        <w:rPr>
          <w:rFonts w:ascii="Arial" w:cs="Arial" w:eastAsia="Arial" w:hAnsi="Arial"/>
          <w:sz w:val="45"/>
          <w:szCs w:val="45"/>
          <w:color w:val="auto"/>
        </w:rPr>
        <w:t>RATIFICATION OF SELECTION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-318770</wp:posOffset>
            </wp:positionV>
            <wp:extent cx="264160" cy="2641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64160" cy="264160"/>
                    </a:xfrm>
                    <a:prstGeom prst="rect">
                      <a:avLst/>
                    </a:prstGeom>
                    <a:noFill/>
                  </pic:spPr>
                </pic:pic>
              </a:graphicData>
            </a:graphic>
          </wp:anchor>
        </w:drawing>
      </w:r>
    </w:p>
    <w:p>
      <w:pPr>
        <w:ind w:left="1360" w:right="800"/>
        <w:spacing w:after="0" w:line="247" w:lineRule="auto"/>
        <w:rPr>
          <w:sz w:val="20"/>
          <w:szCs w:val="20"/>
          <w:color w:val="auto"/>
        </w:rPr>
      </w:pPr>
      <w:r>
        <w:rPr>
          <w:rFonts w:ascii="Arial" w:cs="Arial" w:eastAsia="Arial" w:hAnsi="Arial"/>
          <w:sz w:val="45"/>
          <w:szCs w:val="45"/>
          <w:color w:val="auto"/>
        </w:rPr>
        <w:t>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94615</wp:posOffset>
            </wp:positionV>
            <wp:extent cx="654240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542405" cy="8255"/>
                    </a:xfrm>
                    <a:prstGeom prst="rect">
                      <a:avLst/>
                    </a:prstGeom>
                    <a:noFill/>
                  </pic:spPr>
                </pic:pic>
              </a:graphicData>
            </a:graphic>
          </wp:anchor>
        </w:drawing>
      </w:r>
    </w:p>
    <w:p>
      <w:pPr>
        <w:spacing w:after="0" w:line="347" w:lineRule="exact"/>
        <w:rPr>
          <w:sz w:val="20"/>
          <w:szCs w:val="20"/>
          <w:color w:val="auto"/>
        </w:rPr>
      </w:pPr>
    </w:p>
    <w:p>
      <w:pPr>
        <w:ind w:left="480" w:right="780"/>
        <w:spacing w:after="0" w:line="246" w:lineRule="auto"/>
        <w:rPr>
          <w:sz w:val="20"/>
          <w:szCs w:val="20"/>
          <w:color w:val="auto"/>
        </w:rPr>
      </w:pPr>
      <w:r>
        <w:rPr>
          <w:rFonts w:ascii="Arial" w:cs="Arial" w:eastAsia="Arial" w:hAnsi="Arial"/>
          <w:sz w:val="28"/>
          <w:szCs w:val="28"/>
          <w:color w:val="0066BA"/>
        </w:rPr>
        <w:t xml:space="preserve">Our Board of Directors unanimously recommends that you vote </w:t>
      </w:r>
      <w:r>
        <w:rPr>
          <w:rFonts w:ascii="Arial" w:cs="Arial" w:eastAsia="Arial" w:hAnsi="Arial"/>
          <w:sz w:val="28"/>
          <w:szCs w:val="28"/>
          <w:color w:val="F2F2F2"/>
        </w:rPr>
        <w:t>FOR</w:t>
      </w:r>
      <w:r>
        <w:rPr>
          <w:rFonts w:ascii="Arial" w:cs="Arial" w:eastAsia="Arial" w:hAnsi="Arial"/>
          <w:sz w:val="28"/>
          <w:szCs w:val="28"/>
          <w:color w:val="0066BA"/>
        </w:rPr>
        <w:t xml:space="preserve"> the ratification of the selection of Ernst &amp; Young LLP as our independent registered public accounting firm for fiscal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5273040</wp:posOffset>
            </wp:positionH>
            <wp:positionV relativeFrom="paragraph">
              <wp:posOffset>-625475</wp:posOffset>
            </wp:positionV>
            <wp:extent cx="702310" cy="1981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02310" cy="198120"/>
                    </a:xfrm>
                    <a:prstGeom prst="rect">
                      <a:avLst/>
                    </a:prstGeom>
                    <a:noFill/>
                  </pic:spPr>
                </pic:pic>
              </a:graphicData>
            </a:graphic>
          </wp:anchor>
        </w:drawing>
      </w:r>
    </w:p>
    <w:p>
      <w:pPr>
        <w:spacing w:after="0" w:line="165" w:lineRule="exact"/>
        <w:rPr>
          <w:sz w:val="20"/>
          <w:szCs w:val="20"/>
          <w:color w:val="auto"/>
        </w:rPr>
      </w:pPr>
    </w:p>
    <w:p>
      <w:pPr>
        <w:ind w:left="480" w:right="320"/>
        <w:spacing w:after="0" w:line="265" w:lineRule="auto"/>
        <w:rPr>
          <w:sz w:val="20"/>
          <w:szCs w:val="20"/>
          <w:color w:val="auto"/>
        </w:rPr>
      </w:pPr>
      <w:r>
        <w:rPr>
          <w:rFonts w:ascii="Arial" w:cs="Arial" w:eastAsia="Arial" w:hAnsi="Arial"/>
          <w:sz w:val="17"/>
          <w:szCs w:val="17"/>
          <w:color w:val="auto"/>
        </w:rPr>
        <w:t>Our Audit Committee is directly responsible for the appointment, compensation, retention and oversight of the Company’s independent registered public accounting firm. To execute this responsibility, the Audit Committee engages in an annual evaluation of the independent registered public accounting firm’s qualifications, performance and independence and whether the retention of the independent public accounting firm is in the best interests of the Company and our shareholders.</w:t>
      </w:r>
    </w:p>
    <w:p>
      <w:pPr>
        <w:spacing w:after="0" w:line="73" w:lineRule="exact"/>
        <w:rPr>
          <w:sz w:val="20"/>
          <w:szCs w:val="20"/>
          <w:color w:val="auto"/>
        </w:rPr>
      </w:pPr>
    </w:p>
    <w:p>
      <w:pPr>
        <w:ind w:left="480" w:right="220"/>
        <w:spacing w:after="0" w:line="259" w:lineRule="auto"/>
        <w:rPr>
          <w:sz w:val="20"/>
          <w:szCs w:val="20"/>
          <w:color w:val="auto"/>
        </w:rPr>
      </w:pPr>
      <w:r>
        <w:rPr>
          <w:rFonts w:ascii="Arial" w:cs="Arial" w:eastAsia="Arial" w:hAnsi="Arial"/>
          <w:sz w:val="17"/>
          <w:szCs w:val="17"/>
          <w:color w:val="auto"/>
        </w:rPr>
        <w:t>Our Audit Committee has selected the firm of Ernst &amp; Young LLP, independent registered public accounting firm, as our auditors for the fiscal year ending October 29, 2022 (or fiscal 2022). We have engaged Ernst &amp; Young LLP, or its predecessor firms, to serve as our independent registered public accounting firm continuously since 1967. Through Ernst &amp; Young LLP’s years of experience with ADI, Ernst &amp; Young LLP has gained institutional knowledge of and deep expertise regarding ADI’s global operations, accounting policies and practices, and internal control over financial reporting, which enables efficiency with the annual audit and benefits the Company. In accordance with SEC rules and Ernst &amp; Young LLP policies, the firm’s lead engagement partner rotates every five years. Our Audit Committee and its Chair are directly involved in the selection of Ernst &amp; Young LLP’s lead engagement partner. The Audit Committee also has the sole authority to approve all engagement fees paid to our independent registered public accounting firm.</w:t>
      </w:r>
    </w:p>
    <w:p>
      <w:pPr>
        <w:spacing w:after="0" w:line="82" w:lineRule="exact"/>
        <w:rPr>
          <w:sz w:val="20"/>
          <w:szCs w:val="20"/>
          <w:color w:val="auto"/>
        </w:rPr>
      </w:pPr>
    </w:p>
    <w:p>
      <w:pPr>
        <w:ind w:left="480" w:right="180"/>
        <w:spacing w:after="0" w:line="279" w:lineRule="auto"/>
        <w:rPr>
          <w:sz w:val="20"/>
          <w:szCs w:val="20"/>
          <w:color w:val="auto"/>
        </w:rPr>
      </w:pPr>
      <w:r>
        <w:rPr>
          <w:rFonts w:ascii="Arial" w:cs="Arial" w:eastAsia="Arial" w:hAnsi="Arial"/>
          <w:sz w:val="16"/>
          <w:szCs w:val="16"/>
          <w:color w:val="auto"/>
        </w:rPr>
        <w:t>The Audit Committee and the Board of Directors believe that the continued retention of Ernst &amp; Young LLP as our independent registered public accounting firm is in the best interests of the Company and our shareholders, and we are asking our shareholders to ratify the selection of Ernst &amp; Young LLP as our independent registered public accounting firm for fiscal 2022. Although shareholder approval of the selection of Ernst &amp; Young LLP is not required by law, our Board of Directors believes that it is advisable to give shareholders an opportunity to ratify this selection. If this proposal is not approved by our shareholders at the Annual Meeting, our Audit Committee will reconsider its selection of Ernst &amp; Young LLP. Even if the selection is ratified, the Audit Committee may in its discretion select a different independent registered public accounting firm at any time during the year if it determines that such change would be in the best interests of the Company and our shareholders.</w:t>
      </w:r>
    </w:p>
    <w:p>
      <w:pPr>
        <w:spacing w:after="0" w:line="64" w:lineRule="exact"/>
        <w:rPr>
          <w:sz w:val="20"/>
          <w:szCs w:val="20"/>
          <w:color w:val="auto"/>
        </w:rPr>
      </w:pPr>
    </w:p>
    <w:p>
      <w:pPr>
        <w:ind w:left="480" w:right="600"/>
        <w:spacing w:after="0" w:line="286" w:lineRule="auto"/>
        <w:rPr>
          <w:sz w:val="20"/>
          <w:szCs w:val="20"/>
          <w:color w:val="auto"/>
        </w:rPr>
      </w:pPr>
      <w:r>
        <w:rPr>
          <w:rFonts w:ascii="Arial" w:cs="Arial" w:eastAsia="Arial" w:hAnsi="Arial"/>
          <w:sz w:val="17"/>
          <w:szCs w:val="17"/>
          <w:color w:val="auto"/>
        </w:rPr>
        <w:t>Representatives of Ernst &amp; Young LLP are expected to attend the Annual Meeting. They will have the opportunity to make a statement if they desire to do so and will also be available to respond to appropriate questions from shareholders.</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0940"/>
          </w:cols>
          <w:pgMar w:left="320" w:top="447" w:right="63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33333"/>
        </w:rPr>
        <w:t>Independent Registered Public Accounting Firm Fees</w:t>
      </w:r>
    </w:p>
    <w:p>
      <w:pPr>
        <w:spacing w:after="0" w:line="229" w:lineRule="exact"/>
        <w:rPr>
          <w:sz w:val="20"/>
          <w:szCs w:val="20"/>
          <w:color w:val="auto"/>
        </w:rPr>
      </w:pPr>
    </w:p>
    <w:p>
      <w:pPr>
        <w:ind w:left="480" w:right="220"/>
        <w:spacing w:after="0" w:line="286" w:lineRule="auto"/>
        <w:rPr>
          <w:sz w:val="20"/>
          <w:szCs w:val="20"/>
          <w:color w:val="auto"/>
        </w:rPr>
      </w:pPr>
      <w:r>
        <w:rPr>
          <w:rFonts w:ascii="Arial" w:cs="Arial" w:eastAsia="Arial" w:hAnsi="Arial"/>
          <w:sz w:val="17"/>
          <w:szCs w:val="17"/>
          <w:color w:val="auto"/>
        </w:rPr>
        <w:t>The following table presents the aggregate fees billed for services rendered by Ernst &amp; Young LLP, our independent registered public accounting firm, for fiscal 2021 and the fiscal year ended October 31, 2020, or fiscal 2020.</w:t>
      </w:r>
    </w:p>
    <w:p>
      <w:pPr>
        <w:spacing w:after="0" w:line="197" w:lineRule="exact"/>
        <w:rPr>
          <w:sz w:val="20"/>
          <w:szCs w:val="20"/>
          <w:color w:val="auto"/>
        </w:rPr>
      </w:pPr>
    </w:p>
    <w:tbl>
      <w:tblPr>
        <w:tblLayout w:type="fixed"/>
        <w:tblInd w:w="480" w:type="dxa"/>
        <w:tblCellMar>
          <w:top w:w="0" w:type="dxa"/>
          <w:left w:w="0" w:type="dxa"/>
          <w:bottom w:w="0" w:type="dxa"/>
          <w:right w:w="0" w:type="dxa"/>
        </w:tblCellMar>
      </w:tblPr>
      <w:tr>
        <w:trPr>
          <w:trHeight w:val="182"/>
        </w:trPr>
        <w:tc>
          <w:tcPr>
            <w:tcW w:w="3900" w:type="dxa"/>
            <w:vAlign w:val="bottom"/>
            <w:shd w:val="clear" w:color="auto" w:fill="0066BA"/>
          </w:tcPr>
          <w:p>
            <w:pPr>
              <w:ind w:left="60"/>
              <w:spacing w:after="0"/>
              <w:rPr>
                <w:sz w:val="20"/>
                <w:szCs w:val="20"/>
                <w:color w:val="auto"/>
              </w:rPr>
            </w:pPr>
            <w:r>
              <w:rPr>
                <w:rFonts w:ascii="Arial" w:cs="Arial" w:eastAsia="Arial" w:hAnsi="Arial"/>
                <w:sz w:val="14"/>
                <w:szCs w:val="14"/>
                <w:b w:val="1"/>
                <w:bCs w:val="1"/>
                <w:color w:val="FFFFFF"/>
              </w:rPr>
              <w:t>Name</w:t>
            </w:r>
          </w:p>
        </w:tc>
        <w:tc>
          <w:tcPr>
            <w:tcW w:w="1620" w:type="dxa"/>
            <w:vAlign w:val="bottom"/>
            <w:shd w:val="clear" w:color="auto" w:fill="0066BA"/>
          </w:tcPr>
          <w:p>
            <w:pPr>
              <w:spacing w:after="0"/>
              <w:rPr>
                <w:sz w:val="15"/>
                <w:szCs w:val="15"/>
                <w:color w:val="auto"/>
              </w:rPr>
            </w:pPr>
          </w:p>
        </w:tc>
        <w:tc>
          <w:tcPr>
            <w:tcW w:w="1540" w:type="dxa"/>
            <w:vAlign w:val="bottom"/>
            <w:shd w:val="clear" w:color="auto" w:fill="0066BA"/>
          </w:tcPr>
          <w:p>
            <w:pPr>
              <w:jc w:val="right"/>
              <w:ind w:right="643"/>
              <w:spacing w:after="0"/>
              <w:rPr>
                <w:sz w:val="20"/>
                <w:szCs w:val="20"/>
                <w:color w:val="auto"/>
              </w:rPr>
            </w:pPr>
            <w:r>
              <w:rPr>
                <w:rFonts w:ascii="Arial" w:cs="Arial" w:eastAsia="Arial" w:hAnsi="Arial"/>
                <w:sz w:val="14"/>
                <w:szCs w:val="14"/>
                <w:b w:val="1"/>
                <w:bCs w:val="1"/>
                <w:color w:val="FFFFFF"/>
              </w:rPr>
              <w:t>Fiscal 2021</w:t>
            </w:r>
          </w:p>
        </w:tc>
        <w:tc>
          <w:tcPr>
            <w:tcW w:w="1740" w:type="dxa"/>
            <w:vAlign w:val="bottom"/>
            <w:shd w:val="clear" w:color="auto" w:fill="0066BA"/>
          </w:tcPr>
          <w:p>
            <w:pPr>
              <w:spacing w:after="0"/>
              <w:rPr>
                <w:sz w:val="15"/>
                <w:szCs w:val="15"/>
                <w:color w:val="auto"/>
              </w:rPr>
            </w:pPr>
          </w:p>
        </w:tc>
        <w:tc>
          <w:tcPr>
            <w:tcW w:w="1480" w:type="dxa"/>
            <w:vAlign w:val="bottom"/>
            <w:shd w:val="clear" w:color="auto" w:fill="0066BA"/>
          </w:tcPr>
          <w:p>
            <w:pPr>
              <w:jc w:val="right"/>
              <w:ind w:right="623"/>
              <w:spacing w:after="0"/>
              <w:rPr>
                <w:sz w:val="20"/>
                <w:szCs w:val="20"/>
                <w:color w:val="auto"/>
              </w:rPr>
            </w:pPr>
            <w:r>
              <w:rPr>
                <w:rFonts w:ascii="Arial" w:cs="Arial" w:eastAsia="Arial" w:hAnsi="Arial"/>
                <w:sz w:val="14"/>
                <w:szCs w:val="14"/>
                <w:b w:val="1"/>
                <w:bCs w:val="1"/>
                <w:color w:val="FFFFFF"/>
              </w:rPr>
              <w:t>Fiscal 2020</w:t>
            </w:r>
          </w:p>
        </w:tc>
      </w:tr>
      <w:tr>
        <w:trPr>
          <w:trHeight w:val="195"/>
        </w:trPr>
        <w:tc>
          <w:tcPr>
            <w:tcW w:w="39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Audit Fees</w:t>
            </w:r>
          </w:p>
        </w:tc>
        <w:tc>
          <w:tcPr>
            <w:tcW w:w="162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EAEAEA"/>
          </w:tcPr>
          <w:p>
            <w:pPr>
              <w:jc w:val="right"/>
              <w:ind w:right="643"/>
              <w:spacing w:after="0"/>
              <w:rPr>
                <w:sz w:val="20"/>
                <w:szCs w:val="20"/>
                <w:color w:val="auto"/>
              </w:rPr>
            </w:pPr>
            <w:r>
              <w:rPr>
                <w:rFonts w:ascii="Arial" w:cs="Arial" w:eastAsia="Arial" w:hAnsi="Arial"/>
                <w:sz w:val="16"/>
                <w:szCs w:val="16"/>
                <w:color w:val="auto"/>
              </w:rPr>
              <w:t>7,934,000</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623"/>
              <w:spacing w:after="0"/>
              <w:rPr>
                <w:sz w:val="20"/>
                <w:szCs w:val="20"/>
                <w:color w:val="auto"/>
              </w:rPr>
            </w:pPr>
            <w:r>
              <w:rPr>
                <w:rFonts w:ascii="Arial" w:cs="Arial" w:eastAsia="Arial" w:hAnsi="Arial"/>
                <w:sz w:val="16"/>
                <w:szCs w:val="16"/>
                <w:color w:val="auto"/>
              </w:rPr>
              <w:t>4,533,000</w:t>
            </w:r>
          </w:p>
        </w:tc>
      </w:tr>
      <w:tr>
        <w:trPr>
          <w:trHeight w:val="188"/>
        </w:trPr>
        <w:tc>
          <w:tcPr>
            <w:tcW w:w="39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Audit-Related Fees</w:t>
            </w:r>
          </w:p>
        </w:tc>
        <w:tc>
          <w:tcPr>
            <w:tcW w:w="1620" w:type="dxa"/>
            <w:vAlign w:val="bottom"/>
            <w:tcBorders>
              <w:bottom w:val="single" w:sz="8" w:color="auto"/>
            </w:tcBorders>
            <w:shd w:val="clear" w:color="auto" w:fill="EAEAEA"/>
          </w:tcPr>
          <w:p>
            <w:pPr>
              <w:spacing w:after="0"/>
              <w:rPr>
                <w:sz w:val="16"/>
                <w:szCs w:val="16"/>
                <w:color w:val="auto"/>
              </w:rPr>
            </w:pPr>
          </w:p>
        </w:tc>
        <w:tc>
          <w:tcPr>
            <w:tcW w:w="1540" w:type="dxa"/>
            <w:vAlign w:val="bottom"/>
            <w:tcBorders>
              <w:bottom w:val="single" w:sz="8" w:color="auto"/>
            </w:tcBorders>
            <w:shd w:val="clear" w:color="auto" w:fill="EAEAEA"/>
          </w:tcPr>
          <w:p>
            <w:pPr>
              <w:jc w:val="right"/>
              <w:ind w:right="643"/>
              <w:spacing w:after="0"/>
              <w:rPr>
                <w:sz w:val="20"/>
                <w:szCs w:val="20"/>
                <w:color w:val="auto"/>
              </w:rPr>
            </w:pPr>
            <w:r>
              <w:rPr>
                <w:rFonts w:ascii="Arial" w:cs="Arial" w:eastAsia="Arial" w:hAnsi="Arial"/>
                <w:sz w:val="16"/>
                <w:szCs w:val="16"/>
                <w:color w:val="auto"/>
              </w:rPr>
              <w:t>222</w:t>
            </w:r>
          </w:p>
        </w:tc>
        <w:tc>
          <w:tcPr>
            <w:tcW w:w="17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23"/>
              <w:spacing w:after="0"/>
              <w:rPr>
                <w:sz w:val="20"/>
                <w:szCs w:val="20"/>
                <w:color w:val="auto"/>
              </w:rPr>
            </w:pPr>
            <w:r>
              <w:rPr>
                <w:rFonts w:ascii="Arial" w:cs="Arial" w:eastAsia="Arial" w:hAnsi="Arial"/>
                <w:sz w:val="16"/>
                <w:szCs w:val="16"/>
                <w:color w:val="auto"/>
              </w:rPr>
              <w:t>1,719,000</w:t>
            </w:r>
          </w:p>
        </w:tc>
      </w:tr>
      <w:tr>
        <w:trPr>
          <w:trHeight w:val="188"/>
        </w:trPr>
        <w:tc>
          <w:tcPr>
            <w:tcW w:w="39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Tax Fees</w:t>
            </w:r>
          </w:p>
        </w:tc>
        <w:tc>
          <w:tcPr>
            <w:tcW w:w="1620" w:type="dxa"/>
            <w:vAlign w:val="bottom"/>
            <w:tcBorders>
              <w:bottom w:val="single" w:sz="8" w:color="auto"/>
            </w:tcBorders>
            <w:shd w:val="clear" w:color="auto" w:fill="EAEAEA"/>
          </w:tcPr>
          <w:p>
            <w:pPr>
              <w:spacing w:after="0"/>
              <w:rPr>
                <w:sz w:val="16"/>
                <w:szCs w:val="16"/>
                <w:color w:val="auto"/>
              </w:rPr>
            </w:pPr>
          </w:p>
        </w:tc>
        <w:tc>
          <w:tcPr>
            <w:tcW w:w="1540" w:type="dxa"/>
            <w:vAlign w:val="bottom"/>
            <w:tcBorders>
              <w:bottom w:val="single" w:sz="8" w:color="auto"/>
            </w:tcBorders>
            <w:shd w:val="clear" w:color="auto" w:fill="EAEAEA"/>
          </w:tcPr>
          <w:p>
            <w:pPr>
              <w:jc w:val="right"/>
              <w:ind w:right="643"/>
              <w:spacing w:after="0"/>
              <w:rPr>
                <w:sz w:val="20"/>
                <w:szCs w:val="20"/>
                <w:color w:val="auto"/>
              </w:rPr>
            </w:pPr>
            <w:r>
              <w:rPr>
                <w:rFonts w:ascii="Arial" w:cs="Arial" w:eastAsia="Arial" w:hAnsi="Arial"/>
                <w:sz w:val="16"/>
                <w:szCs w:val="16"/>
                <w:color w:val="auto"/>
              </w:rPr>
              <w:t>3,460,000</w:t>
            </w:r>
          </w:p>
        </w:tc>
        <w:tc>
          <w:tcPr>
            <w:tcW w:w="17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23"/>
              <w:spacing w:after="0"/>
              <w:rPr>
                <w:sz w:val="20"/>
                <w:szCs w:val="20"/>
                <w:color w:val="auto"/>
              </w:rPr>
            </w:pPr>
            <w:r>
              <w:rPr>
                <w:rFonts w:ascii="Arial" w:cs="Arial" w:eastAsia="Arial" w:hAnsi="Arial"/>
                <w:sz w:val="16"/>
                <w:szCs w:val="16"/>
                <w:color w:val="auto"/>
              </w:rPr>
              <w:t>2,223,000</w:t>
            </w:r>
          </w:p>
        </w:tc>
      </w:tr>
      <w:tr>
        <w:trPr>
          <w:trHeight w:val="188"/>
        </w:trPr>
        <w:tc>
          <w:tcPr>
            <w:tcW w:w="39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All Other Fees</w:t>
            </w:r>
          </w:p>
        </w:tc>
        <w:tc>
          <w:tcPr>
            <w:tcW w:w="1620" w:type="dxa"/>
            <w:vAlign w:val="bottom"/>
            <w:tcBorders>
              <w:bottom w:val="single" w:sz="8" w:color="auto"/>
            </w:tcBorders>
            <w:shd w:val="clear" w:color="auto" w:fill="EAEAEA"/>
          </w:tcPr>
          <w:p>
            <w:pPr>
              <w:spacing w:after="0"/>
              <w:rPr>
                <w:sz w:val="16"/>
                <w:szCs w:val="16"/>
                <w:color w:val="auto"/>
              </w:rPr>
            </w:pPr>
          </w:p>
        </w:tc>
        <w:tc>
          <w:tcPr>
            <w:tcW w:w="1540" w:type="dxa"/>
            <w:vAlign w:val="bottom"/>
            <w:tcBorders>
              <w:bottom w:val="single" w:sz="8" w:color="auto"/>
            </w:tcBorders>
            <w:shd w:val="clear" w:color="auto" w:fill="EAEAEA"/>
          </w:tcPr>
          <w:p>
            <w:pPr>
              <w:jc w:val="right"/>
              <w:ind w:right="643"/>
              <w:spacing w:after="0"/>
              <w:rPr>
                <w:sz w:val="20"/>
                <w:szCs w:val="20"/>
                <w:color w:val="auto"/>
              </w:rPr>
            </w:pPr>
            <w:r>
              <w:rPr>
                <w:rFonts w:ascii="Arial" w:cs="Arial" w:eastAsia="Arial" w:hAnsi="Arial"/>
                <w:sz w:val="16"/>
                <w:szCs w:val="16"/>
                <w:color w:val="auto"/>
              </w:rPr>
              <w:t>100</w:t>
            </w:r>
          </w:p>
        </w:tc>
        <w:tc>
          <w:tcPr>
            <w:tcW w:w="17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23"/>
              <w:spacing w:after="0"/>
              <w:rPr>
                <w:sz w:val="20"/>
                <w:szCs w:val="20"/>
                <w:color w:val="auto"/>
              </w:rPr>
            </w:pPr>
            <w:r>
              <w:rPr>
                <w:rFonts w:ascii="Arial" w:cs="Arial" w:eastAsia="Arial" w:hAnsi="Arial"/>
                <w:sz w:val="16"/>
                <w:szCs w:val="16"/>
                <w:color w:val="auto"/>
              </w:rPr>
              <w:t>—</w:t>
            </w:r>
          </w:p>
        </w:tc>
      </w:tr>
      <w:tr>
        <w:trPr>
          <w:trHeight w:val="188"/>
        </w:trPr>
        <w:tc>
          <w:tcPr>
            <w:tcW w:w="3900" w:type="dxa"/>
            <w:vAlign w:val="bottom"/>
            <w:tcBorders>
              <w:bottom w:val="single" w:sz="8" w:color="0066BA"/>
            </w:tcBorders>
          </w:tcPr>
          <w:p>
            <w:pPr>
              <w:ind w:left="60"/>
              <w:spacing w:after="0"/>
              <w:rPr>
                <w:sz w:val="20"/>
                <w:szCs w:val="20"/>
                <w:color w:val="auto"/>
              </w:rPr>
            </w:pPr>
            <w:r>
              <w:rPr>
                <w:rFonts w:ascii="Arial" w:cs="Arial" w:eastAsia="Arial" w:hAnsi="Arial"/>
                <w:sz w:val="16"/>
                <w:szCs w:val="16"/>
                <w:color w:val="auto"/>
              </w:rPr>
              <w:t>Total Fees</w:t>
            </w:r>
          </w:p>
        </w:tc>
        <w:tc>
          <w:tcPr>
            <w:tcW w:w="1620" w:type="dxa"/>
            <w:vAlign w:val="bottom"/>
            <w:tcBorders>
              <w:bottom w:val="single" w:sz="8" w:color="0066BA"/>
            </w:tcBorders>
            <w:shd w:val="clear" w:color="auto" w:fill="EAEAEA"/>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0066BA"/>
            </w:tcBorders>
            <w:shd w:val="clear" w:color="auto" w:fill="EAEAEA"/>
          </w:tcPr>
          <w:p>
            <w:pPr>
              <w:jc w:val="right"/>
              <w:ind w:right="643"/>
              <w:spacing w:after="0"/>
              <w:rPr>
                <w:sz w:val="20"/>
                <w:szCs w:val="20"/>
                <w:color w:val="auto"/>
              </w:rPr>
            </w:pPr>
            <w:r>
              <w:rPr>
                <w:rFonts w:ascii="Arial" w:cs="Arial" w:eastAsia="Arial" w:hAnsi="Arial"/>
                <w:sz w:val="16"/>
                <w:szCs w:val="16"/>
                <w:color w:val="auto"/>
                <w:w w:val="99"/>
              </w:rPr>
              <w:t>11,716,000</w:t>
            </w:r>
          </w:p>
        </w:tc>
        <w:tc>
          <w:tcPr>
            <w:tcW w:w="1740" w:type="dxa"/>
            <w:vAlign w:val="bottom"/>
            <w:tcBorders>
              <w:bottom w:val="single" w:sz="8" w:color="0066BA"/>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0066BA"/>
            </w:tcBorders>
          </w:tcPr>
          <w:p>
            <w:pPr>
              <w:jc w:val="right"/>
              <w:ind w:right="623"/>
              <w:spacing w:after="0"/>
              <w:rPr>
                <w:sz w:val="20"/>
                <w:szCs w:val="20"/>
                <w:color w:val="auto"/>
              </w:rPr>
            </w:pPr>
            <w:r>
              <w:rPr>
                <w:rFonts w:ascii="Arial" w:cs="Arial" w:eastAsia="Arial" w:hAnsi="Arial"/>
                <w:sz w:val="16"/>
                <w:szCs w:val="16"/>
                <w:color w:val="auto"/>
              </w:rPr>
              <w:t>8,475,000</w:t>
            </w:r>
          </w:p>
        </w:tc>
      </w:tr>
    </w:tbl>
    <w:p>
      <w:pPr>
        <w:spacing w:after="0" w:line="196" w:lineRule="exact"/>
        <w:rPr>
          <w:sz w:val="20"/>
          <w:szCs w:val="20"/>
          <w:color w:val="auto"/>
        </w:rPr>
      </w:pPr>
    </w:p>
    <w:p>
      <w:pPr>
        <w:ind w:left="480"/>
        <w:spacing w:after="0" w:line="283" w:lineRule="auto"/>
        <w:rPr>
          <w:sz w:val="20"/>
          <w:szCs w:val="20"/>
          <w:color w:val="auto"/>
        </w:rPr>
      </w:pPr>
      <w:r>
        <w:rPr>
          <w:rFonts w:ascii="Arial" w:cs="Arial" w:eastAsia="Arial" w:hAnsi="Arial"/>
          <w:sz w:val="16"/>
          <w:szCs w:val="16"/>
          <w:color w:val="0066BA"/>
        </w:rPr>
        <w:t xml:space="preserve">Audit Fees. </w:t>
      </w:r>
      <w:r>
        <w:rPr>
          <w:rFonts w:ascii="Arial" w:cs="Arial" w:eastAsia="Arial" w:hAnsi="Arial"/>
          <w:sz w:val="16"/>
          <w:szCs w:val="16"/>
          <w:color w:val="000000"/>
        </w:rPr>
        <w:t>These are fees related to professional services rendered in connection with the audit of our consolidated financial statements, the audit</w:t>
      </w:r>
      <w:r>
        <w:rPr>
          <w:rFonts w:ascii="Arial" w:cs="Arial" w:eastAsia="Arial" w:hAnsi="Arial"/>
          <w:sz w:val="16"/>
          <w:szCs w:val="16"/>
          <w:color w:val="0066BA"/>
        </w:rPr>
        <w:t xml:space="preserve"> </w:t>
      </w:r>
      <w:r>
        <w:rPr>
          <w:rFonts w:ascii="Arial" w:cs="Arial" w:eastAsia="Arial" w:hAnsi="Arial"/>
          <w:sz w:val="16"/>
          <w:szCs w:val="16"/>
          <w:color w:val="000000"/>
        </w:rPr>
        <w:t>of the effectiveness of our internal control over financial reporting, the reviews of our interim financial statements included in each of our Quarterly Reports on Form 10-Q, international statutory audits, assistance with registration statements and other periodic filings, and accounting consultations that relate to the audited financial statements and are necessary to comply with U.S. generally accepted accounting principles. The fees for fiscal 2021 also include audit services relating to the acquisition of Maxim Integrated.</w:t>
      </w:r>
    </w:p>
    <w:p>
      <w:pPr>
        <w:spacing w:after="0" w:line="60" w:lineRule="exact"/>
        <w:rPr>
          <w:sz w:val="20"/>
          <w:szCs w:val="20"/>
          <w:color w:val="auto"/>
        </w:rPr>
      </w:pPr>
    </w:p>
    <w:p>
      <w:pPr>
        <w:ind w:left="480" w:right="20"/>
        <w:spacing w:after="0" w:line="265" w:lineRule="auto"/>
        <w:rPr>
          <w:sz w:val="20"/>
          <w:szCs w:val="20"/>
          <w:color w:val="auto"/>
        </w:rPr>
      </w:pPr>
      <w:r>
        <w:rPr>
          <w:rFonts w:ascii="Arial" w:cs="Arial" w:eastAsia="Arial" w:hAnsi="Arial"/>
          <w:sz w:val="17"/>
          <w:szCs w:val="17"/>
          <w:color w:val="0066BA"/>
        </w:rPr>
        <w:t xml:space="preserve">Audit-Related Fees. </w:t>
      </w:r>
      <w:r>
        <w:rPr>
          <w:rFonts w:ascii="Arial" w:cs="Arial" w:eastAsia="Arial" w:hAnsi="Arial"/>
          <w:sz w:val="17"/>
          <w:szCs w:val="17"/>
          <w:color w:val="000000"/>
        </w:rPr>
        <w:t>These are fees for assurance and related services and consisted primarily of audits of employee benefit plans, accounting</w:t>
      </w:r>
      <w:r>
        <w:rPr>
          <w:rFonts w:ascii="Arial" w:cs="Arial" w:eastAsia="Arial" w:hAnsi="Arial"/>
          <w:sz w:val="17"/>
          <w:szCs w:val="17"/>
          <w:color w:val="0066BA"/>
        </w:rPr>
        <w:t xml:space="preserve"> </w:t>
      </w:r>
      <w:r>
        <w:rPr>
          <w:rFonts w:ascii="Arial" w:cs="Arial" w:eastAsia="Arial" w:hAnsi="Arial"/>
          <w:sz w:val="17"/>
          <w:szCs w:val="17"/>
          <w:color w:val="000000"/>
        </w:rPr>
        <w:t>matters not related to the annual audit, attestation services that are not required by statute or regulation, and accounting consultations in connection with transactions, merger and acquisition due diligence. The fees for fiscal 2020 included due diligence services related to the acquisition of Maxim Integrated.</w:t>
      </w:r>
    </w:p>
    <w:p>
      <w:pPr>
        <w:spacing w:after="0" w:line="73" w:lineRule="exact"/>
        <w:rPr>
          <w:sz w:val="20"/>
          <w:szCs w:val="20"/>
          <w:color w:val="auto"/>
        </w:rPr>
      </w:pPr>
    </w:p>
    <w:p>
      <w:pPr>
        <w:ind w:left="480" w:right="20"/>
        <w:spacing w:after="0" w:line="263" w:lineRule="auto"/>
        <w:rPr>
          <w:sz w:val="20"/>
          <w:szCs w:val="20"/>
          <w:color w:val="auto"/>
        </w:rPr>
      </w:pPr>
      <w:r>
        <w:rPr>
          <w:rFonts w:ascii="Arial" w:cs="Arial" w:eastAsia="Arial" w:hAnsi="Arial"/>
          <w:sz w:val="17"/>
          <w:szCs w:val="17"/>
          <w:color w:val="0066BA"/>
        </w:rPr>
        <w:t xml:space="preserve">Tax Fees. </w:t>
      </w:r>
      <w:r>
        <w:rPr>
          <w:rFonts w:ascii="Arial" w:cs="Arial" w:eastAsia="Arial" w:hAnsi="Arial"/>
          <w:sz w:val="17"/>
          <w:szCs w:val="17"/>
          <w:color w:val="000000"/>
        </w:rPr>
        <w:t>These are fees for tax advice and services, including services relating to the integration of Maxim Integrated, professional services related</w:t>
      </w:r>
      <w:r>
        <w:rPr>
          <w:rFonts w:ascii="Arial" w:cs="Arial" w:eastAsia="Arial" w:hAnsi="Arial"/>
          <w:sz w:val="17"/>
          <w:szCs w:val="17"/>
          <w:color w:val="0066BA"/>
        </w:rPr>
        <w:t xml:space="preserve"> </w:t>
      </w:r>
      <w:r>
        <w:rPr>
          <w:rFonts w:ascii="Arial" w:cs="Arial" w:eastAsia="Arial" w:hAnsi="Arial"/>
          <w:sz w:val="17"/>
          <w:szCs w:val="17"/>
          <w:color w:val="000000"/>
        </w:rPr>
        <w:t>to tax return preparation services for our expatriates, international tax returns, tax advice and planning, and assistance with international tax audits. Included in this amount are fees of $171,000 in fiscal 2021, and $295,000 in fiscal 2020, for tax compliance services for our international affiliates and tax return preparation services for our expatriate employees on international assignments. Ernst &amp; Young LLP does not provide tax services to any person in a financial reporting oversight role at Analog Devices.</w:t>
      </w:r>
    </w:p>
    <w:p>
      <w:pPr>
        <w:spacing w:after="0" w:line="74" w:lineRule="exact"/>
        <w:rPr>
          <w:sz w:val="20"/>
          <w:szCs w:val="20"/>
          <w:color w:val="auto"/>
        </w:rPr>
      </w:pPr>
    </w:p>
    <w:p>
      <w:pPr>
        <w:ind w:left="480"/>
        <w:spacing w:after="0"/>
        <w:rPr>
          <w:sz w:val="20"/>
          <w:szCs w:val="20"/>
          <w:color w:val="auto"/>
        </w:rPr>
      </w:pPr>
      <w:r>
        <w:rPr>
          <w:rFonts w:ascii="Arial" w:cs="Arial" w:eastAsia="Arial" w:hAnsi="Arial"/>
          <w:sz w:val="17"/>
          <w:szCs w:val="17"/>
          <w:color w:val="0066BA"/>
        </w:rPr>
        <w:t xml:space="preserve">All Other Fees. </w:t>
      </w:r>
      <w:r>
        <w:rPr>
          <w:rFonts w:ascii="Arial" w:cs="Arial" w:eastAsia="Arial" w:hAnsi="Arial"/>
          <w:sz w:val="17"/>
          <w:szCs w:val="17"/>
          <w:color w:val="000000"/>
        </w:rPr>
        <w:t>These are fees for services other than the services reported above, and primarily relate to advisory services.</w:t>
      </w:r>
    </w:p>
    <w:p>
      <w:pPr>
        <w:spacing w:after="0" w:line="304"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33333"/>
        </w:rPr>
        <w:t>Audit Committee’s Pre-Approval Policy and Procedures</w:t>
      </w:r>
    </w:p>
    <w:p>
      <w:pPr>
        <w:spacing w:after="0" w:line="229" w:lineRule="exact"/>
        <w:rPr>
          <w:sz w:val="20"/>
          <w:szCs w:val="20"/>
          <w:color w:val="auto"/>
        </w:rPr>
      </w:pPr>
    </w:p>
    <w:p>
      <w:pPr>
        <w:ind w:left="480" w:right="100"/>
        <w:spacing w:after="0" w:line="297" w:lineRule="auto"/>
        <w:rPr>
          <w:sz w:val="20"/>
          <w:szCs w:val="20"/>
          <w:color w:val="auto"/>
        </w:rPr>
      </w:pPr>
      <w:r>
        <w:rPr>
          <w:rFonts w:ascii="Arial" w:cs="Arial" w:eastAsia="Arial" w:hAnsi="Arial"/>
          <w:sz w:val="15"/>
          <w:szCs w:val="15"/>
          <w:color w:val="auto"/>
        </w:rPr>
        <w:t>The Audit Committee of our Board of Directors has adopted policies and procedures for the pre-approval of audit and non-audit services for the purpose of maintaining the independence of our independent registered public accounting firm. We may not engage our independent registered public accounting firm to render any audit or non-audit service unless either the service is approved in advance by the Audit Committee or the engagement to render the service is entered into pursuant to the Audit Committee’s pre-approval policies and procedures. On an annual basis, the Audit Committee may pre-approve services that are expected to be provided to Analog Devices by the independent registered public accounting firm during the following 12 months. At the time the pre-approval is granted, the Audit Committee must (1) identify the particular pre-approved services in a sufficient level of detail so that management will not be called upon to make a judgment as to whether a proposed service fits within the pre-approved services and (2) establish a monetary limit with respect to each particular pre-approved service, which limit may not be exceeded without obtaining further pre-approval under the policy. At regularly scheduled meetings of the Audit Committee, management or the independent registered public accounting firm must report to the Audit Committee regarding each service actually provided to Analog Devices.</w:t>
      </w:r>
    </w:p>
    <w:p>
      <w:pPr>
        <w:spacing w:after="0" w:line="200" w:lineRule="exact"/>
        <w:rPr>
          <w:sz w:val="20"/>
          <w:szCs w:val="20"/>
          <w:color w:val="auto"/>
        </w:rPr>
      </w:pPr>
    </w:p>
    <w:p>
      <w:pPr>
        <w:spacing w:after="0" w:line="21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0760"/>
          </w:cols>
          <w:pgMar w:left="320" w:top="447" w:right="81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480" w:right="260"/>
        <w:spacing w:after="0" w:line="302" w:lineRule="auto"/>
        <w:rPr>
          <w:sz w:val="20"/>
          <w:szCs w:val="20"/>
          <w:color w:val="auto"/>
        </w:rPr>
      </w:pPr>
      <w:r>
        <w:rPr>
          <w:rFonts w:ascii="Arial" w:cs="Arial" w:eastAsia="Arial" w:hAnsi="Arial"/>
          <w:sz w:val="15"/>
          <w:szCs w:val="15"/>
          <w:color w:val="auto"/>
        </w:rPr>
        <w:t>If the cost of any service exceeds the pre-approved monetary limit, that service must be approved (1) by the entire Audit Committee if the cost of the service exceeds $100,000 or (2) by the Chair of the Audit Committee if the cost of the service is less than $100,000 but greater than $10,000. If the cost of any service exceeds the pre-approved monetary limit, individual items with a cost of less than $10,000 each do not require further pre-approval, provided that the total cost of all individual items does not exceed $40,000 and an update of all items in this category is provided to the Audit Committee at each quarterly scheduled meeting. However, if the cost of all the individual items will exceed $40,000, the Chair of the Audit Committee must receive a summary of those items with a request for approval of any amounts to be incurred in excess of $40,000.</w:t>
      </w:r>
    </w:p>
    <w:p>
      <w:pPr>
        <w:spacing w:after="0" w:line="51" w:lineRule="exact"/>
        <w:rPr>
          <w:sz w:val="20"/>
          <w:szCs w:val="20"/>
          <w:color w:val="auto"/>
        </w:rPr>
      </w:pPr>
    </w:p>
    <w:p>
      <w:pPr>
        <w:ind w:left="480" w:right="280"/>
        <w:spacing w:after="0" w:line="265" w:lineRule="auto"/>
        <w:rPr>
          <w:sz w:val="20"/>
          <w:szCs w:val="20"/>
          <w:color w:val="auto"/>
        </w:rPr>
      </w:pPr>
      <w:r>
        <w:rPr>
          <w:rFonts w:ascii="Arial" w:cs="Arial" w:eastAsia="Arial" w:hAnsi="Arial"/>
          <w:sz w:val="17"/>
          <w:szCs w:val="17"/>
          <w:color w:val="auto"/>
        </w:rPr>
        <w:t>The Audit Committee has delegated authority to the Chair of the Audit Committee to pre-approve any audit or non-audit services to be provided to Analog Devices by the independent registered public accounting firm for which the cost is less than $100,000. During fiscal 2021 and fiscal 2020, all services provided to Analog Devices by Ernst &amp; Young LLP were pre-approved in accordance with the pre-approval policies and procedures described above.</w:t>
      </w:r>
    </w:p>
    <w:p>
      <w:pPr>
        <w:spacing w:after="0" w:line="261"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33333"/>
        </w:rPr>
        <w:t>Audit Committee Report</w:t>
      </w:r>
    </w:p>
    <w:p>
      <w:pPr>
        <w:spacing w:after="0" w:line="229" w:lineRule="exact"/>
        <w:rPr>
          <w:sz w:val="20"/>
          <w:szCs w:val="20"/>
          <w:color w:val="auto"/>
        </w:rPr>
      </w:pPr>
    </w:p>
    <w:p>
      <w:pPr>
        <w:ind w:left="480" w:right="180"/>
        <w:spacing w:after="0" w:line="274" w:lineRule="auto"/>
        <w:rPr>
          <w:sz w:val="20"/>
          <w:szCs w:val="20"/>
          <w:color w:val="auto"/>
        </w:rPr>
      </w:pPr>
      <w:r>
        <w:rPr>
          <w:rFonts w:ascii="Arial" w:cs="Arial" w:eastAsia="Arial" w:hAnsi="Arial"/>
          <w:sz w:val="16"/>
          <w:szCs w:val="16"/>
          <w:color w:val="auto"/>
        </w:rPr>
        <w:t>The Audit Committee of the Board of Directors assisted the Board of Directors’ oversight of (i) the integrity of our financial statements and the Company’s systems of internal control over financial reporting and disclosure controls and procedures, (ii) the qualifications and independence of our independent registered public accounting firm, and (iii) the performance of our internal audit function and independent registered public accounting firm. The Audit Committee also met privately with our independent registered public accounting firm and our Director of Internal Audit to discuss our financial statements and disclosures, accounting policies and their application, internal control over financial reporting, and other matters of importance to the Audit Committee, the independent registered public accounting firm and the internal auditors. Management has the primary responsibility for the financial statements and the reporting process, including the system of internal control over financial reporting. In fulfilling its oversight responsibilities, the Audit Committee reviewed and discussed with management the audited financial statements contained in our Annual Report on Form 10-K and the quarterly financial statements during fiscal 2021, including the specific disclosures in the section titled “Management’s Discussion and Analysis of Financial Condition and Results of Operations.” These discussions also addressed the quality, not just the acceptability, of the accounting principles, the reasonableness of significant judgments, and the clarity of disclosures in the financial statements. The Audit Committee reported on these meetings to our Board of Directors. The Audit Committee also selected and appointed our independent registered public accounting firm, reviewed the performance of the independent registered public accounting firm during the annual audit and on assignments unrelated to the audit, assessed the independence of the independent registered public accounting firm and reviewed and approved the independent registered public accounting firm’s fees. The Audit Committee also has adopted policies and procedures for the pre-approval of audit and non-audit services for the purpose of maintaining the independence of our independent registered public accounting firm. The Audit Committee operates under a written charter adopted by our Board of Directors.</w:t>
      </w:r>
    </w:p>
    <w:p>
      <w:pPr>
        <w:spacing w:after="0" w:line="72" w:lineRule="exact"/>
        <w:rPr>
          <w:sz w:val="20"/>
          <w:szCs w:val="20"/>
          <w:color w:val="auto"/>
        </w:rPr>
      </w:pPr>
    </w:p>
    <w:p>
      <w:pPr>
        <w:ind w:left="480" w:right="300"/>
        <w:spacing w:after="0" w:line="258" w:lineRule="auto"/>
        <w:rPr>
          <w:sz w:val="20"/>
          <w:szCs w:val="20"/>
          <w:color w:val="auto"/>
        </w:rPr>
      </w:pPr>
      <w:r>
        <w:rPr>
          <w:rFonts w:ascii="Arial" w:cs="Arial" w:eastAsia="Arial" w:hAnsi="Arial"/>
          <w:sz w:val="17"/>
          <w:szCs w:val="17"/>
          <w:color w:val="auto"/>
        </w:rPr>
        <w:t>The Audit Committee reviewed with our independent registered public accounting firm, who are responsible for expressing an opinion on the conformity of the audited financial statements with generally accepted accounting principles, their judgments as to the quality, not just the acceptability, of our accounting principles and such other matters as are required to be discussed with the Audit Committee under generally accepted auditing standards. In addition, the Audit Committee has discussed with the independent registered public accounting firm (i) the matters required to be discussed by the applicable requirements of the Public Company Accounting Oversight Board (PCAOB) and the SEC and (ii) the independent registered public accounting firm’s independence from Analog Devices and its management, including the matters in the written disclosures and the letter we received from the independent registered public accounting firm required by applicable requirements of the PCAOB regarding the independent registered public accounting firm’s communications with the Audit Committee concerning independence. The Audit Committee considered the appropriateness of the provision of non-audit services by the independent registered public accounting firm relative to their independence.</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0940"/>
          </w:cols>
          <w:pgMar w:left="320" w:top="447" w:right="63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480" w:right="120"/>
        <w:spacing w:after="0" w:line="265" w:lineRule="auto"/>
        <w:rPr>
          <w:sz w:val="20"/>
          <w:szCs w:val="20"/>
          <w:color w:val="auto"/>
        </w:rPr>
      </w:pPr>
      <w:r>
        <w:rPr>
          <w:rFonts w:ascii="Arial" w:cs="Arial" w:eastAsia="Arial" w:hAnsi="Arial"/>
          <w:sz w:val="17"/>
          <w:szCs w:val="17"/>
          <w:color w:val="auto"/>
        </w:rPr>
        <w:t>Based on its review and discussions referred to above, the Audit Committee recommended to our Board of Directors (and the Board of Directors approved) that our audited financial statements be included in our Annual Report on Form 10-K for the fiscal year ended October 30, 2021. The Audit Committee also selected Ernst &amp; Young LLP as our independent registered public accounting firm for the fiscal year ending October 29, 2022.</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Audit Committee</w:t>
      </w:r>
    </w:p>
    <w:p>
      <w:pPr>
        <w:spacing w:after="0" w:line="2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Karen M. Golz, Chair</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Bruce R. Evans</w:t>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Mercedes Johnson</w:t>
      </w:r>
    </w:p>
    <w:p>
      <w:pPr>
        <w:spacing w:after="0" w:line="200" w:lineRule="exact"/>
        <w:rPr>
          <w:sz w:val="20"/>
          <w:szCs w:val="20"/>
          <w:color w:val="auto"/>
        </w:rPr>
      </w:pPr>
    </w:p>
    <w:p>
      <w:pPr>
        <w:spacing w:after="0" w:line="222" w:lineRule="exact"/>
        <w:rPr>
          <w:sz w:val="20"/>
          <w:szCs w:val="20"/>
          <w:color w:val="auto"/>
        </w:rPr>
      </w:pPr>
    </w:p>
    <w:p>
      <w:pPr>
        <w:ind w:left="480"/>
        <w:spacing w:after="0"/>
        <w:rPr>
          <w:sz w:val="20"/>
          <w:szCs w:val="20"/>
          <w:color w:val="auto"/>
        </w:rPr>
      </w:pPr>
      <w:r>
        <w:rPr>
          <w:rFonts w:ascii="Arial" w:cs="Arial" w:eastAsia="Arial" w:hAnsi="Arial"/>
          <w:sz w:val="45"/>
          <w:szCs w:val="45"/>
          <w:color w:val="auto"/>
        </w:rPr>
        <w:t>OTHER MATTERS</w:t>
      </w:r>
    </w:p>
    <w:p>
      <w:pPr>
        <w:spacing w:after="0" w:line="192" w:lineRule="exact"/>
        <w:rPr>
          <w:sz w:val="20"/>
          <w:szCs w:val="20"/>
          <w:color w:val="auto"/>
        </w:rPr>
      </w:pPr>
    </w:p>
    <w:p>
      <w:pPr>
        <w:jc w:val="both"/>
        <w:ind w:left="480"/>
        <w:spacing w:after="0" w:line="270" w:lineRule="auto"/>
        <w:rPr>
          <w:sz w:val="20"/>
          <w:szCs w:val="20"/>
          <w:color w:val="auto"/>
        </w:rPr>
      </w:pPr>
      <w:r>
        <w:rPr>
          <w:rFonts w:ascii="Arial" w:cs="Arial" w:eastAsia="Arial" w:hAnsi="Arial"/>
          <w:sz w:val="17"/>
          <w:szCs w:val="17"/>
          <w:color w:val="auto"/>
        </w:rPr>
        <w:t>Our Board of Directors does not know of any other matters that may come before the Annual Meeting. However, if any other matters are properly presented at the Annual Meeting, it is the intention of the persons named as proxies to vote, or otherwise act, in accordance with their judgment on such matters.</w:t>
      </w:r>
    </w:p>
    <w:p>
      <w:pPr>
        <w:spacing w:after="0" w:line="200" w:lineRule="exact"/>
        <w:rPr>
          <w:sz w:val="20"/>
          <w:szCs w:val="20"/>
          <w:color w:val="auto"/>
        </w:rPr>
      </w:pPr>
    </w:p>
    <w:p>
      <w:pPr>
        <w:spacing w:after="0" w:line="23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0640"/>
          </w:cols>
          <w:pgMar w:left="320" w:top="447" w:right="93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52" w:lineRule="exact"/>
        <w:rPr>
          <w:sz w:val="20"/>
          <w:szCs w:val="20"/>
          <w:color w:val="auto"/>
        </w:rPr>
      </w:pPr>
    </w:p>
    <w:p>
      <w:pPr>
        <w:ind w:left="480"/>
        <w:spacing w:after="0"/>
        <w:rPr>
          <w:sz w:val="20"/>
          <w:szCs w:val="20"/>
          <w:color w:val="auto"/>
        </w:rPr>
      </w:pPr>
      <w:r>
        <w:rPr>
          <w:rFonts w:ascii="Arial" w:cs="Arial" w:eastAsia="Arial" w:hAnsi="Arial"/>
          <w:sz w:val="55"/>
          <w:szCs w:val="55"/>
          <w:b w:val="1"/>
          <w:bCs w:val="1"/>
          <w:color w:val="0066BA"/>
        </w:rPr>
        <w:t>Q&amp;A About Annual Meeting and Voting</w:t>
      </w:r>
    </w:p>
    <w:p>
      <w:pPr>
        <w:sectPr>
          <w:pgSz w:w="11900" w:h="16838" w:orient="portrait"/>
          <w:cols w:equalWidth="0" w:num="1">
            <w:col w:w="10940"/>
          </w:cols>
          <w:pgMar w:left="320" w:top="447" w:right="639" w:bottom="1440" w:gutter="0" w:footer="0" w:header="0"/>
        </w:sectPr>
      </w:pPr>
    </w:p>
    <w:p>
      <w:pPr>
        <w:spacing w:after="0" w:line="338"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0066BA"/>
        </w:rPr>
        <w:t>Q:What is the purpose of the Annual Meeting?</w:t>
      </w:r>
    </w:p>
    <w:p>
      <w:pPr>
        <w:spacing w:after="0" w:line="58" w:lineRule="exact"/>
        <w:rPr>
          <w:sz w:val="20"/>
          <w:szCs w:val="20"/>
          <w:color w:val="auto"/>
        </w:rPr>
      </w:pPr>
    </w:p>
    <w:p>
      <w:pPr>
        <w:ind w:left="680" w:right="100" w:hanging="205"/>
        <w:spacing w:after="0" w:line="286" w:lineRule="auto"/>
        <w:tabs>
          <w:tab w:leader="none" w:pos="680" w:val="left"/>
        </w:tabs>
        <w:numPr>
          <w:ilvl w:val="0"/>
          <w:numId w:val="85"/>
        </w:numPr>
        <w:rPr>
          <w:rFonts w:ascii="Arial" w:cs="Arial" w:eastAsia="Arial" w:hAnsi="Arial"/>
          <w:sz w:val="17"/>
          <w:szCs w:val="17"/>
          <w:b w:val="1"/>
          <w:bCs w:val="1"/>
          <w:color w:val="0066BA"/>
        </w:rPr>
      </w:pPr>
      <w:r>
        <w:rPr>
          <w:rFonts w:ascii="Arial" w:cs="Arial" w:eastAsia="Arial" w:hAnsi="Arial"/>
          <w:sz w:val="17"/>
          <w:szCs w:val="17"/>
          <w:color w:val="auto"/>
        </w:rPr>
        <w:t>At the Annual Meeting, shareholders will consider and vote on the following matters:</w:t>
      </w:r>
    </w:p>
    <w:p>
      <w:pPr>
        <w:spacing w:after="0" w:line="15" w:lineRule="exact"/>
        <w:rPr>
          <w:rFonts w:ascii="Arial" w:cs="Arial" w:eastAsia="Arial" w:hAnsi="Arial"/>
          <w:sz w:val="17"/>
          <w:szCs w:val="17"/>
          <w:b w:val="1"/>
          <w:bCs w:val="1"/>
          <w:color w:val="0066BA"/>
        </w:rPr>
      </w:pPr>
    </w:p>
    <w:p>
      <w:pPr>
        <w:ind w:left="820" w:right="20" w:hanging="175"/>
        <w:spacing w:after="0" w:line="270" w:lineRule="auto"/>
        <w:tabs>
          <w:tab w:leader="none" w:pos="820" w:val="left"/>
        </w:tabs>
        <w:numPr>
          <w:ilvl w:val="1"/>
          <w:numId w:val="85"/>
        </w:numPr>
        <w:rPr>
          <w:rFonts w:ascii="Arial" w:cs="Arial" w:eastAsia="Arial" w:hAnsi="Arial"/>
          <w:sz w:val="17"/>
          <w:szCs w:val="17"/>
          <w:color w:val="auto"/>
        </w:rPr>
      </w:pPr>
      <w:r>
        <w:rPr>
          <w:rFonts w:ascii="Arial" w:cs="Arial" w:eastAsia="Arial" w:hAnsi="Arial"/>
          <w:sz w:val="17"/>
          <w:szCs w:val="17"/>
          <w:color w:val="auto"/>
        </w:rPr>
        <w:t>The election of the 12 nominees named in this proxy statement to our Board of Directors, each for a term expiring at the next annual meeting of shareholders.</w:t>
      </w:r>
    </w:p>
    <w:p>
      <w:pPr>
        <w:spacing w:after="0" w:line="29" w:lineRule="exact"/>
        <w:rPr>
          <w:rFonts w:ascii="Arial" w:cs="Arial" w:eastAsia="Arial" w:hAnsi="Arial"/>
          <w:sz w:val="17"/>
          <w:szCs w:val="17"/>
          <w:color w:val="auto"/>
        </w:rPr>
      </w:pPr>
    </w:p>
    <w:p>
      <w:pPr>
        <w:ind w:left="820" w:right="140" w:hanging="175"/>
        <w:spacing w:after="0" w:line="263" w:lineRule="auto"/>
        <w:tabs>
          <w:tab w:leader="none" w:pos="820" w:val="left"/>
        </w:tabs>
        <w:numPr>
          <w:ilvl w:val="1"/>
          <w:numId w:val="85"/>
        </w:numPr>
        <w:rPr>
          <w:rFonts w:ascii="Arial" w:cs="Arial" w:eastAsia="Arial" w:hAnsi="Arial"/>
          <w:sz w:val="17"/>
          <w:szCs w:val="17"/>
          <w:color w:val="auto"/>
        </w:rPr>
      </w:pPr>
      <w:r>
        <w:rPr>
          <w:rFonts w:ascii="Arial" w:cs="Arial" w:eastAsia="Arial" w:hAnsi="Arial"/>
          <w:sz w:val="17"/>
          <w:szCs w:val="17"/>
          <w:color w:val="auto"/>
        </w:rPr>
        <w:t>The approval, by non-binding “say on pay” vote, of the compensation of our named executive officers, as described in the Compensation Discussion and Analysis, executive compensation tables and accompanying narrative disclosures in this proxy statement.</w:t>
      </w:r>
    </w:p>
    <w:p>
      <w:pPr>
        <w:spacing w:after="0" w:line="34" w:lineRule="exact"/>
        <w:rPr>
          <w:rFonts w:ascii="Arial" w:cs="Arial" w:eastAsia="Arial" w:hAnsi="Arial"/>
          <w:sz w:val="17"/>
          <w:szCs w:val="17"/>
          <w:color w:val="auto"/>
        </w:rPr>
      </w:pPr>
    </w:p>
    <w:p>
      <w:pPr>
        <w:ind w:left="820" w:right="100" w:hanging="175"/>
        <w:spacing w:after="0" w:line="286" w:lineRule="auto"/>
        <w:tabs>
          <w:tab w:leader="none" w:pos="820" w:val="left"/>
        </w:tabs>
        <w:numPr>
          <w:ilvl w:val="1"/>
          <w:numId w:val="85"/>
        </w:numPr>
        <w:rPr>
          <w:rFonts w:ascii="Arial" w:cs="Arial" w:eastAsia="Arial" w:hAnsi="Arial"/>
          <w:sz w:val="17"/>
          <w:szCs w:val="17"/>
          <w:color w:val="auto"/>
        </w:rPr>
      </w:pPr>
      <w:r>
        <w:rPr>
          <w:rFonts w:ascii="Arial" w:cs="Arial" w:eastAsia="Arial" w:hAnsi="Arial"/>
          <w:sz w:val="17"/>
          <w:szCs w:val="17"/>
          <w:color w:val="auto"/>
        </w:rPr>
        <w:t>The approval of the Analog Devices, Inc. 2022 Employee Stock Purchase Plan.</w:t>
      </w:r>
    </w:p>
    <w:p>
      <w:pPr>
        <w:spacing w:after="0" w:line="15" w:lineRule="exact"/>
        <w:rPr>
          <w:rFonts w:ascii="Arial" w:cs="Arial" w:eastAsia="Arial" w:hAnsi="Arial"/>
          <w:sz w:val="17"/>
          <w:szCs w:val="17"/>
          <w:color w:val="auto"/>
        </w:rPr>
      </w:pPr>
    </w:p>
    <w:p>
      <w:pPr>
        <w:ind w:left="820" w:right="100" w:hanging="175"/>
        <w:spacing w:after="0" w:line="270" w:lineRule="auto"/>
        <w:tabs>
          <w:tab w:leader="none" w:pos="820" w:val="left"/>
        </w:tabs>
        <w:numPr>
          <w:ilvl w:val="1"/>
          <w:numId w:val="85"/>
        </w:numPr>
        <w:rPr>
          <w:rFonts w:ascii="Arial" w:cs="Arial" w:eastAsia="Arial" w:hAnsi="Arial"/>
          <w:sz w:val="17"/>
          <w:szCs w:val="17"/>
          <w:color w:val="auto"/>
        </w:rPr>
      </w:pPr>
      <w:r>
        <w:rPr>
          <w:rFonts w:ascii="Arial" w:cs="Arial" w:eastAsia="Arial" w:hAnsi="Arial"/>
          <w:sz w:val="17"/>
          <w:szCs w:val="17"/>
          <w:color w:val="auto"/>
        </w:rPr>
        <w:t>The ratification of the selection of Ernst &amp; Young LLP as our independent registered public accounting firm for the fiscal year ending October 29, 2022, or fiscal 2022.</w:t>
      </w:r>
    </w:p>
    <w:p>
      <w:pPr>
        <w:spacing w:after="0" w:line="30" w:lineRule="exact"/>
        <w:rPr>
          <w:sz w:val="20"/>
          <w:szCs w:val="20"/>
          <w:color w:val="auto"/>
        </w:rPr>
      </w:pPr>
    </w:p>
    <w:p>
      <w:pPr>
        <w:ind w:left="820" w:right="300"/>
        <w:spacing w:after="0" w:line="317" w:lineRule="auto"/>
        <w:rPr>
          <w:sz w:val="20"/>
          <w:szCs w:val="20"/>
          <w:color w:val="auto"/>
        </w:rPr>
      </w:pPr>
      <w:r>
        <w:rPr>
          <w:rFonts w:ascii="Arial" w:cs="Arial" w:eastAsia="Arial" w:hAnsi="Arial"/>
          <w:sz w:val="15"/>
          <w:szCs w:val="15"/>
          <w:color w:val="auto"/>
        </w:rPr>
        <w:t>The shareholders will also act on any other business that may properly come before the meeting or any postponement, adjournment, rescheduling or continuation of the meeting.</w:t>
      </w:r>
    </w:p>
    <w:p>
      <w:pPr>
        <w:ind w:left="480"/>
        <w:spacing w:after="0"/>
        <w:rPr>
          <w:sz w:val="20"/>
          <w:szCs w:val="20"/>
          <w:color w:val="auto"/>
        </w:rPr>
      </w:pPr>
      <w:r>
        <w:rPr>
          <w:rFonts w:ascii="Arial" w:cs="Arial" w:eastAsia="Arial" w:hAnsi="Arial"/>
          <w:sz w:val="17"/>
          <w:szCs w:val="17"/>
          <w:b w:val="1"/>
          <w:bCs w:val="1"/>
          <w:color w:val="0066BA"/>
        </w:rPr>
        <w:t>Q:Who can vote?</w:t>
      </w:r>
    </w:p>
    <w:p>
      <w:pPr>
        <w:spacing w:after="0" w:line="58" w:lineRule="exact"/>
        <w:rPr>
          <w:sz w:val="20"/>
          <w:szCs w:val="20"/>
          <w:color w:val="auto"/>
        </w:rPr>
      </w:pPr>
    </w:p>
    <w:p>
      <w:pPr>
        <w:ind w:left="680" w:right="40" w:hanging="205"/>
        <w:spacing w:after="0" w:line="283" w:lineRule="auto"/>
        <w:tabs>
          <w:tab w:leader="none" w:pos="680" w:val="left"/>
        </w:tabs>
        <w:numPr>
          <w:ilvl w:val="0"/>
          <w:numId w:val="86"/>
        </w:numPr>
        <w:rPr>
          <w:rFonts w:ascii="Arial" w:cs="Arial" w:eastAsia="Arial" w:hAnsi="Arial"/>
          <w:sz w:val="16"/>
          <w:szCs w:val="16"/>
          <w:b w:val="1"/>
          <w:bCs w:val="1"/>
          <w:color w:val="0066BA"/>
        </w:rPr>
      </w:pPr>
      <w:r>
        <w:rPr>
          <w:rFonts w:ascii="Arial" w:cs="Arial" w:eastAsia="Arial" w:hAnsi="Arial"/>
          <w:sz w:val="16"/>
          <w:szCs w:val="16"/>
          <w:color w:val="auto"/>
        </w:rPr>
        <w:t>To be able to vote, you must have been an Analog Devices shareholder of record at the close of business on January 3, 2022. This date is the record date for the Annual Meeting. The number of outstanding shares entitled to vote on each proposal at the Annual Meeting is 525,766,309 shares of our common stock.</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0066BA"/>
        </w:rPr>
        <w:t>Q:How many votes do I have?</w:t>
      </w:r>
    </w:p>
    <w:p>
      <w:pPr>
        <w:spacing w:after="0" w:line="58" w:lineRule="exact"/>
        <w:rPr>
          <w:sz w:val="20"/>
          <w:szCs w:val="20"/>
          <w:color w:val="auto"/>
        </w:rPr>
      </w:pPr>
    </w:p>
    <w:p>
      <w:pPr>
        <w:ind w:left="680" w:right="200" w:hanging="205"/>
        <w:spacing w:after="0" w:line="310" w:lineRule="auto"/>
        <w:tabs>
          <w:tab w:leader="none" w:pos="680" w:val="left"/>
        </w:tabs>
        <w:numPr>
          <w:ilvl w:val="0"/>
          <w:numId w:val="87"/>
        </w:numPr>
        <w:rPr>
          <w:rFonts w:ascii="Arial" w:cs="Arial" w:eastAsia="Arial" w:hAnsi="Arial"/>
          <w:sz w:val="16"/>
          <w:szCs w:val="16"/>
          <w:b w:val="1"/>
          <w:bCs w:val="1"/>
          <w:color w:val="0066BA"/>
        </w:rPr>
      </w:pPr>
      <w:r>
        <w:rPr>
          <w:rFonts w:ascii="Arial" w:cs="Arial" w:eastAsia="Arial" w:hAnsi="Arial"/>
          <w:sz w:val="16"/>
          <w:szCs w:val="16"/>
          <w:color w:val="auto"/>
        </w:rPr>
        <w:t>Each share of our common stock that you own on the record date entitles you to one vote on each matter that is voted on.</w:t>
      </w:r>
    </w:p>
    <w:p>
      <w:pPr>
        <w:ind w:left="480"/>
        <w:spacing w:after="0"/>
        <w:rPr>
          <w:sz w:val="20"/>
          <w:szCs w:val="20"/>
          <w:color w:val="auto"/>
        </w:rPr>
      </w:pPr>
      <w:r>
        <w:rPr>
          <w:rFonts w:ascii="Arial" w:cs="Arial" w:eastAsia="Arial" w:hAnsi="Arial"/>
          <w:sz w:val="17"/>
          <w:szCs w:val="17"/>
          <w:b w:val="1"/>
          <w:bCs w:val="1"/>
          <w:color w:val="0066BA"/>
        </w:rPr>
        <w:t>Q:Is my vote important?</w:t>
      </w:r>
    </w:p>
    <w:p>
      <w:pPr>
        <w:spacing w:after="0" w:line="58" w:lineRule="exact"/>
        <w:rPr>
          <w:sz w:val="20"/>
          <w:szCs w:val="20"/>
          <w:color w:val="auto"/>
        </w:rPr>
      </w:pPr>
    </w:p>
    <w:p>
      <w:pPr>
        <w:ind w:left="680" w:right="20" w:hanging="205"/>
        <w:spacing w:after="0" w:line="287" w:lineRule="auto"/>
        <w:tabs>
          <w:tab w:leader="none" w:pos="680" w:val="left"/>
        </w:tabs>
        <w:numPr>
          <w:ilvl w:val="0"/>
          <w:numId w:val="88"/>
        </w:numPr>
        <w:rPr>
          <w:rFonts w:ascii="Arial" w:cs="Arial" w:eastAsia="Arial" w:hAnsi="Arial"/>
          <w:sz w:val="16"/>
          <w:szCs w:val="16"/>
          <w:b w:val="1"/>
          <w:bCs w:val="1"/>
          <w:color w:val="0066BA"/>
        </w:rPr>
      </w:pPr>
      <w:r>
        <w:rPr>
          <w:rFonts w:ascii="Arial" w:cs="Arial" w:eastAsia="Arial" w:hAnsi="Arial"/>
          <w:sz w:val="16"/>
          <w:szCs w:val="16"/>
          <w:color w:val="auto"/>
        </w:rPr>
        <w:t>Yes. Your vote is important no matter how many shares you own. Please take the time to vote. Take a moment to read the instructions below. Choose the way to vote that is easiest and most convenient for you and cast your vote as soon as possible.</w:t>
      </w:r>
    </w:p>
    <w:p>
      <w:pPr>
        <w:spacing w:after="0" w:line="12"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0066BA"/>
        </w:rPr>
        <w:t>Q:How do I vote?</w:t>
      </w:r>
    </w:p>
    <w:p>
      <w:pPr>
        <w:spacing w:after="0" w:line="58" w:lineRule="exact"/>
        <w:rPr>
          <w:sz w:val="20"/>
          <w:szCs w:val="20"/>
          <w:color w:val="auto"/>
        </w:rPr>
      </w:pPr>
    </w:p>
    <w:p>
      <w:pPr>
        <w:ind w:left="680" w:hanging="205"/>
        <w:spacing w:after="0" w:line="270" w:lineRule="auto"/>
        <w:tabs>
          <w:tab w:leader="none" w:pos="680" w:val="left"/>
        </w:tabs>
        <w:numPr>
          <w:ilvl w:val="0"/>
          <w:numId w:val="89"/>
        </w:numPr>
        <w:rPr>
          <w:rFonts w:ascii="Arial" w:cs="Arial" w:eastAsia="Arial" w:hAnsi="Arial"/>
          <w:sz w:val="17"/>
          <w:szCs w:val="17"/>
          <w:b w:val="1"/>
          <w:bCs w:val="1"/>
          <w:color w:val="0066BA"/>
        </w:rPr>
      </w:pPr>
      <w:r>
        <w:rPr>
          <w:rFonts w:ascii="Arial" w:cs="Arial" w:eastAsia="Arial" w:hAnsi="Arial"/>
          <w:sz w:val="17"/>
          <w:szCs w:val="17"/>
          <w:color w:val="auto"/>
        </w:rPr>
        <w:t>If you are the “record holder” of your shares, meaning that you own your shares in your own name and not through a bank, broker or other nominee, you may vote in one of four ways.</w:t>
      </w:r>
    </w:p>
    <w:p>
      <w:pPr>
        <w:spacing w:after="0" w:line="29" w:lineRule="exact"/>
        <w:rPr>
          <w:rFonts w:ascii="Arial" w:cs="Arial" w:eastAsia="Arial" w:hAnsi="Arial"/>
          <w:sz w:val="17"/>
          <w:szCs w:val="17"/>
          <w:b w:val="1"/>
          <w:bCs w:val="1"/>
          <w:color w:val="0066BA"/>
        </w:rPr>
      </w:pPr>
    </w:p>
    <w:p>
      <w:pPr>
        <w:ind w:left="820" w:right="80" w:hanging="175"/>
        <w:spacing w:after="0" w:line="302" w:lineRule="auto"/>
        <w:tabs>
          <w:tab w:leader="none" w:pos="820" w:val="left"/>
        </w:tabs>
        <w:numPr>
          <w:ilvl w:val="1"/>
          <w:numId w:val="89"/>
        </w:numPr>
        <w:rPr>
          <w:rFonts w:ascii="Arial" w:cs="Arial" w:eastAsia="Arial" w:hAnsi="Arial"/>
          <w:sz w:val="15"/>
          <w:szCs w:val="15"/>
          <w:color w:val="auto"/>
        </w:rPr>
      </w:pPr>
      <w:r>
        <w:rPr>
          <w:rFonts w:ascii="Arial" w:cs="Arial" w:eastAsia="Arial" w:hAnsi="Arial"/>
          <w:sz w:val="15"/>
          <w:szCs w:val="15"/>
          <w:color w:val="auto"/>
        </w:rPr>
        <w:t>You may vote over the Internet. If you have Internet access, you may vote your shares from any location in the world by going to proxyvote.com and following the Internet voting instructions on the Notice of Internet Availability of Proxy Materials or the proxy card. Proxies submitted via the Internet must be received by 11:59 p.m. Eastern Time on March 8, 2022.</w:t>
      </w:r>
    </w:p>
    <w:p>
      <w:pPr>
        <w:spacing w:after="0" w:line="11" w:lineRule="exact"/>
        <w:rPr>
          <w:rFonts w:ascii="Arial" w:cs="Arial" w:eastAsia="Arial" w:hAnsi="Arial"/>
          <w:sz w:val="15"/>
          <w:szCs w:val="15"/>
          <w:color w:val="auto"/>
        </w:rPr>
      </w:pPr>
    </w:p>
    <w:p>
      <w:pPr>
        <w:ind w:left="820" w:hanging="175"/>
        <w:spacing w:after="0" w:line="283" w:lineRule="auto"/>
        <w:tabs>
          <w:tab w:leader="none" w:pos="820" w:val="left"/>
        </w:tabs>
        <w:numPr>
          <w:ilvl w:val="1"/>
          <w:numId w:val="89"/>
        </w:numPr>
        <w:rPr>
          <w:rFonts w:ascii="Arial" w:cs="Arial" w:eastAsia="Arial" w:hAnsi="Arial"/>
          <w:sz w:val="16"/>
          <w:szCs w:val="16"/>
          <w:color w:val="auto"/>
        </w:rPr>
      </w:pPr>
      <w:r>
        <w:rPr>
          <w:rFonts w:ascii="Arial" w:cs="Arial" w:eastAsia="Arial" w:hAnsi="Arial"/>
          <w:sz w:val="16"/>
          <w:szCs w:val="16"/>
          <w:color w:val="auto"/>
        </w:rPr>
        <w:t>You may vote by telephone. You may vote your shares by calling 1-800-690-6903 toll-free within the United States, U.S. territories and Canada and following the instructions provided by the recorded message. Proxies submitted via telephone must be received by 11:59 p.m. Eastern Time, on March 8, 2022.</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ind w:left="360" w:right="240" w:hanging="184"/>
        <w:spacing w:after="0" w:line="296" w:lineRule="auto"/>
        <w:tabs>
          <w:tab w:leader="none" w:pos="360" w:val="left"/>
        </w:tabs>
        <w:numPr>
          <w:ilvl w:val="0"/>
          <w:numId w:val="90"/>
        </w:numPr>
        <w:rPr>
          <w:rFonts w:ascii="Arial" w:cs="Arial" w:eastAsia="Arial" w:hAnsi="Arial"/>
          <w:sz w:val="15"/>
          <w:szCs w:val="15"/>
          <w:color w:val="auto"/>
        </w:rPr>
      </w:pPr>
      <w:r>
        <w:rPr>
          <w:rFonts w:ascii="Arial" w:cs="Arial" w:eastAsia="Arial" w:hAnsi="Arial"/>
          <w:sz w:val="15"/>
          <w:szCs w:val="15"/>
          <w:color w:val="auto"/>
        </w:rPr>
        <w:t xml:space="preserve">You may vote by mail. If you received a printed proxy card, you may vote by completing and signing the proxy card and promptly mailing it in the enclosed postage-prepaid envelope. You do not need to put a stamp on the enclosed envelope if you mail it in the United States. The shares you own will be voted according to your instructions on the proxy card that you mail. </w:t>
      </w:r>
      <w:r>
        <w:rPr>
          <w:rFonts w:ascii="Arial" w:cs="Arial" w:eastAsia="Arial" w:hAnsi="Arial"/>
          <w:sz w:val="15"/>
          <w:szCs w:val="15"/>
          <w:b w:val="1"/>
          <w:bCs w:val="1"/>
          <w:color w:val="auto"/>
        </w:rPr>
        <w:t>If you return the</w:t>
      </w:r>
      <w:r>
        <w:rPr>
          <w:rFonts w:ascii="Arial" w:cs="Arial" w:eastAsia="Arial" w:hAnsi="Arial"/>
          <w:sz w:val="15"/>
          <w:szCs w:val="15"/>
          <w:color w:val="auto"/>
        </w:rPr>
        <w:t xml:space="preserve"> </w:t>
      </w:r>
      <w:r>
        <w:rPr>
          <w:rFonts w:ascii="Arial" w:cs="Arial" w:eastAsia="Arial" w:hAnsi="Arial"/>
          <w:sz w:val="15"/>
          <w:szCs w:val="15"/>
          <w:b w:val="1"/>
          <w:bCs w:val="1"/>
          <w:color w:val="auto"/>
        </w:rPr>
        <w:t>proxy card, but do not give any instructions on a particular matter described in this proxy statement, the shares you own will be voted in accordance with the recommendations of our Board of Directors</w:t>
      </w:r>
      <w:r>
        <w:rPr>
          <w:rFonts w:ascii="Arial" w:cs="Arial" w:eastAsia="Arial" w:hAnsi="Arial"/>
          <w:sz w:val="15"/>
          <w:szCs w:val="15"/>
          <w:color w:val="auto"/>
        </w:rPr>
        <w:t>. The Board of Directors recommends that you</w:t>
      </w:r>
      <w:r>
        <w:rPr>
          <w:rFonts w:ascii="Arial" w:cs="Arial" w:eastAsia="Arial" w:hAnsi="Arial"/>
          <w:sz w:val="15"/>
          <w:szCs w:val="15"/>
          <w:b w:val="1"/>
          <w:bCs w:val="1"/>
          <w:color w:val="auto"/>
        </w:rPr>
        <w:t xml:space="preserve"> </w:t>
      </w:r>
      <w:r>
        <w:rPr>
          <w:rFonts w:ascii="Arial" w:cs="Arial" w:eastAsia="Arial" w:hAnsi="Arial"/>
          <w:sz w:val="15"/>
          <w:szCs w:val="15"/>
          <w:color w:val="auto"/>
        </w:rPr>
        <w:t>vote FOR each director nominee and FOR Proposals 2, 3 and 4.</w:t>
      </w:r>
    </w:p>
    <w:p>
      <w:pPr>
        <w:spacing w:after="0" w:line="14" w:lineRule="exact"/>
        <w:rPr>
          <w:rFonts w:ascii="Arial" w:cs="Arial" w:eastAsia="Arial" w:hAnsi="Arial"/>
          <w:sz w:val="15"/>
          <w:szCs w:val="15"/>
          <w:color w:val="auto"/>
        </w:rPr>
      </w:pPr>
    </w:p>
    <w:p>
      <w:pPr>
        <w:ind w:left="360" w:right="260" w:hanging="184"/>
        <w:spacing w:after="0" w:line="265" w:lineRule="auto"/>
        <w:tabs>
          <w:tab w:leader="none" w:pos="3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You may vote in person. If you attend the Annual Meeting, you may vote by delivering your completed proxy card in person or by completing a ballot. Ballots will be available at the Annual Meeting.</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0066BA"/>
        </w:rPr>
        <w:t>Q:Can I vote if my shares are held in “street name”?</w:t>
      </w:r>
    </w:p>
    <w:p>
      <w:pPr>
        <w:spacing w:after="0" w:line="58" w:lineRule="exact"/>
        <w:rPr>
          <w:sz w:val="20"/>
          <w:szCs w:val="20"/>
          <w:color w:val="auto"/>
        </w:rPr>
      </w:pPr>
    </w:p>
    <w:p>
      <w:pPr>
        <w:ind w:left="200" w:right="180" w:hanging="193"/>
        <w:spacing w:after="0" w:line="258" w:lineRule="auto"/>
        <w:tabs>
          <w:tab w:leader="none" w:pos="200" w:val="left"/>
        </w:tabs>
        <w:numPr>
          <w:ilvl w:val="0"/>
          <w:numId w:val="91"/>
        </w:numPr>
        <w:rPr>
          <w:rFonts w:ascii="Arial" w:cs="Arial" w:eastAsia="Arial" w:hAnsi="Arial"/>
          <w:sz w:val="17"/>
          <w:szCs w:val="17"/>
          <w:b w:val="1"/>
          <w:bCs w:val="1"/>
          <w:color w:val="0066BA"/>
        </w:rPr>
      </w:pPr>
      <w:r>
        <w:rPr>
          <w:rFonts w:ascii="Arial" w:cs="Arial" w:eastAsia="Arial" w:hAnsi="Arial"/>
          <w:sz w:val="17"/>
          <w:szCs w:val="17"/>
          <w:color w:val="auto"/>
        </w:rPr>
        <w:t>If the Analog Devices shares that you own are held in “street name” by a bank, broker or other nominee, your bank, broker or other nominee is considered, with respect to those shares, the record holder of your shares, and is required to vote your shares according to your instructions. In order to vote your shares, you will need to follow the instructions that your bank, broker or other nominee provides you. Many banks, brokers or other nominees also offer the option of voting over the Internet or by telephone, instructions for which would be provided by your bank, broker or other nominee on your voting instruction form.</w:t>
      </w:r>
    </w:p>
    <w:p>
      <w:pPr>
        <w:spacing w:after="0" w:line="45" w:lineRule="exact"/>
        <w:rPr>
          <w:sz w:val="20"/>
          <w:szCs w:val="20"/>
          <w:color w:val="auto"/>
        </w:rPr>
      </w:pPr>
    </w:p>
    <w:p>
      <w:pPr>
        <w:ind w:left="180" w:right="220"/>
        <w:spacing w:after="0" w:line="293" w:lineRule="auto"/>
        <w:rPr>
          <w:sz w:val="20"/>
          <w:szCs w:val="20"/>
          <w:color w:val="auto"/>
        </w:rPr>
      </w:pPr>
      <w:r>
        <w:rPr>
          <w:rFonts w:ascii="Arial" w:cs="Arial" w:eastAsia="Arial" w:hAnsi="Arial"/>
          <w:sz w:val="15"/>
          <w:szCs w:val="15"/>
          <w:color w:val="auto"/>
        </w:rPr>
        <w:t>If you hold shares through an account with a broker, the voting of shares by such broker when you do not provide voting instructions is governed by applicable stock exchange rules. These rules allow brokers to vote shares at their discretion on “routine” matters for which their customers do not provide voting instructions. On matters that are considered “non-routine,” brokers may not vote shares without your instruction. The ratification of the selection of Ernst &amp; Young LLP as our independent registered public accounting firm for fiscal 2022 (Proposal 4) is considered a “routine” matter and your broker will be able to vote on that proposal even if it does not receive instructions from you, so long as it holds your shares in its name. The election of directors (Proposal 1), the “say on pay” advisory vote (Proposal 2) and the approval of the Analog Devices, Inc. 2022 Employee Stock Purchase Plan (Proposal 3) are “non-routine” matters. If you do not instruct your bank, broker or other nominee how to vote with respect to these proposals, your bank, broker or other nominee may not vote with respect to these proposals and those votes will be counted as “broker non-votes.” “Broker non-votes” are shares that are held in “street name” by a bank, broker or other nominee that indicates on its proxy that it does not have or did not exercise discretionary authority to vote on a particular proposal.</w:t>
      </w:r>
    </w:p>
    <w:p>
      <w:pPr>
        <w:spacing w:after="0" w:line="1288" w:lineRule="exact"/>
        <w:rPr>
          <w:sz w:val="20"/>
          <w:szCs w:val="20"/>
          <w:color w:val="auto"/>
        </w:rPr>
      </w:pPr>
    </w:p>
    <w:p>
      <w:pPr>
        <w:sectPr>
          <w:pgSz w:w="11900" w:h="16838" w:orient="portrait"/>
          <w:cols w:equalWidth="0" w:num="2">
            <w:col w:w="5380" w:space="340"/>
            <w:col w:w="5220"/>
          </w:cols>
          <w:pgMar w:left="320" w:top="447" w:right="639" w:bottom="1440" w:gutter="0" w:footer="0" w:header="0"/>
          <w:type w:val="continuous"/>
        </w:sectPr>
      </w:pPr>
    </w:p>
    <w:p>
      <w:pPr>
        <w:spacing w:after="0" w:line="356" w:lineRule="exact"/>
        <w:rPr>
          <w:sz w:val="20"/>
          <w:szCs w:val="20"/>
          <w:color w:val="auto"/>
        </w:rPr>
      </w:pPr>
    </w:p>
    <w:p>
      <w:pPr>
        <w:ind w:left="10760"/>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0940"/>
          </w:cols>
          <w:pgMar w:left="320" w:top="447" w:right="639" w:bottom="1440" w:gutter="0" w:footer="0" w:header="0"/>
          <w:type w:val="continuous"/>
        </w:sectPr>
      </w:pPr>
    </w:p>
    <w:bookmarkStart w:id="88" w:name="page89"/>
    <w:bookmarkEnd w:id="88"/>
    <w:p>
      <w:pPr>
        <w:spacing w:after="0"/>
        <w:rPr>
          <w:rFonts w:ascii="Arial" w:cs="Arial" w:eastAsia="Arial" w:hAnsi="Arial"/>
          <w:sz w:val="17"/>
          <w:szCs w:val="17"/>
          <w:b w:val="1"/>
          <w:bCs w:val="1"/>
          <w:u w:val="single" w:color="auto"/>
          <w:color w:val="0000EE"/>
        </w:rPr>
      </w:pPr>
      <w:hyperlink w:anchor="page10">
        <w:r>
          <w:rPr>
            <w:rFonts w:ascii="Arial" w:cs="Arial" w:eastAsia="Arial" w:hAnsi="Arial"/>
            <w:sz w:val="17"/>
            <w:szCs w:val="17"/>
            <w:b w:val="1"/>
            <w:bCs w:val="1"/>
            <w:u w:val="single" w:color="auto"/>
            <w:color w:val="0000EE"/>
          </w:rPr>
          <w:t>Table of Contents</w:t>
        </w:r>
      </w:hyperlink>
    </w:p>
    <w:p>
      <w:pPr>
        <w:spacing w:after="0" w:line="356" w:lineRule="exact"/>
        <w:rPr>
          <w:sz w:val="20"/>
          <w:szCs w:val="20"/>
          <w:color w:val="auto"/>
        </w:rPr>
      </w:pPr>
    </w:p>
    <w:p>
      <w:pPr>
        <w:ind w:left="640" w:right="60"/>
        <w:spacing w:after="0" w:line="278" w:lineRule="auto"/>
        <w:rPr>
          <w:sz w:val="20"/>
          <w:szCs w:val="20"/>
          <w:color w:val="auto"/>
        </w:rPr>
      </w:pPr>
      <w:r>
        <w:rPr>
          <w:rFonts w:ascii="Arial" w:cs="Arial" w:eastAsia="Arial" w:hAnsi="Arial"/>
          <w:sz w:val="16"/>
          <w:szCs w:val="16"/>
          <w:color w:val="auto"/>
        </w:rPr>
        <w:t>If your shares are held in “street name” as of the record date January 3, 2022, you must bring an account statement or letter from your broker or other nominee, showing that you are the beneficial owner of the shares as of the record date in order to be admitted to the Annual Meeting on March 9, 2022. To be able to vote your shares held in “street name” at the Annual Meeting, you need to obtain a legal proxy from your bank, broker or other nominee, issued in your name giving the right to vote your shares.</w:t>
      </w:r>
    </w:p>
    <w:p>
      <w:pPr>
        <w:spacing w:after="0" w:line="19" w:lineRule="exact"/>
        <w:rPr>
          <w:sz w:val="20"/>
          <w:szCs w:val="20"/>
          <w:color w:val="auto"/>
        </w:rPr>
      </w:pPr>
    </w:p>
    <w:p>
      <w:pPr>
        <w:ind w:left="680" w:right="60" w:hanging="194"/>
        <w:spacing w:after="0" w:line="316" w:lineRule="auto"/>
        <w:rPr>
          <w:sz w:val="20"/>
          <w:szCs w:val="20"/>
          <w:color w:val="auto"/>
        </w:rPr>
      </w:pPr>
      <w:r>
        <w:rPr>
          <w:rFonts w:ascii="Arial" w:cs="Arial" w:eastAsia="Arial" w:hAnsi="Arial"/>
          <w:sz w:val="15"/>
          <w:szCs w:val="15"/>
          <w:b w:val="1"/>
          <w:bCs w:val="1"/>
          <w:color w:val="0066BA"/>
        </w:rPr>
        <w:t>Q:Can I change my vote after I have mailed my proxy card or after I have voted my shares over the Internet or by telephone?</w:t>
      </w:r>
    </w:p>
    <w:p>
      <w:pPr>
        <w:spacing w:after="0" w:line="7" w:lineRule="exact"/>
        <w:rPr>
          <w:sz w:val="20"/>
          <w:szCs w:val="20"/>
          <w:color w:val="auto"/>
        </w:rPr>
      </w:pPr>
    </w:p>
    <w:p>
      <w:pPr>
        <w:ind w:left="680" w:right="40" w:hanging="205"/>
        <w:spacing w:after="0" w:line="295" w:lineRule="auto"/>
        <w:tabs>
          <w:tab w:leader="none" w:pos="680" w:val="left"/>
        </w:tabs>
        <w:numPr>
          <w:ilvl w:val="0"/>
          <w:numId w:val="92"/>
        </w:numPr>
        <w:rPr>
          <w:rFonts w:ascii="Arial" w:cs="Arial" w:eastAsia="Arial" w:hAnsi="Arial"/>
          <w:sz w:val="16"/>
          <w:szCs w:val="16"/>
          <w:b w:val="1"/>
          <w:bCs w:val="1"/>
          <w:color w:val="0066BA"/>
        </w:rPr>
      </w:pPr>
      <w:r>
        <w:rPr>
          <w:rFonts w:ascii="Arial" w:cs="Arial" w:eastAsia="Arial" w:hAnsi="Arial"/>
          <w:sz w:val="16"/>
          <w:szCs w:val="16"/>
          <w:color w:val="auto"/>
        </w:rPr>
        <w:t>Yes. If you are the “record holder” of your shares, you can revoke your proxy or change your vote at any time before the polls close at the Annual Meeting by doing any one of the following things:</w:t>
      </w:r>
    </w:p>
    <w:p>
      <w:pPr>
        <w:spacing w:after="0" w:line="11" w:lineRule="exact"/>
        <w:rPr>
          <w:rFonts w:ascii="Arial" w:cs="Arial" w:eastAsia="Arial" w:hAnsi="Arial"/>
          <w:sz w:val="16"/>
          <w:szCs w:val="16"/>
          <w:b w:val="1"/>
          <w:bCs w:val="1"/>
          <w:color w:val="0066BA"/>
        </w:rPr>
      </w:pPr>
    </w:p>
    <w:p>
      <w:pPr>
        <w:ind w:left="860" w:hanging="176"/>
        <w:spacing w:after="0" w:line="286" w:lineRule="auto"/>
        <w:tabs>
          <w:tab w:leader="none" w:pos="860" w:val="left"/>
        </w:tabs>
        <w:numPr>
          <w:ilvl w:val="1"/>
          <w:numId w:val="92"/>
        </w:numPr>
        <w:rPr>
          <w:rFonts w:ascii="Arial" w:cs="Arial" w:eastAsia="Arial" w:hAnsi="Arial"/>
          <w:sz w:val="17"/>
          <w:szCs w:val="17"/>
          <w:color w:val="auto"/>
        </w:rPr>
      </w:pPr>
      <w:r>
        <w:rPr>
          <w:rFonts w:ascii="Arial" w:cs="Arial" w:eastAsia="Arial" w:hAnsi="Arial"/>
          <w:sz w:val="17"/>
          <w:szCs w:val="17"/>
          <w:color w:val="auto"/>
        </w:rPr>
        <w:t>voting over the Internet or by telephone as instructed above (only your latest Internet or telephone vote is counted);</w:t>
      </w:r>
    </w:p>
    <w:p>
      <w:pPr>
        <w:spacing w:after="0" w:line="15" w:lineRule="exact"/>
        <w:rPr>
          <w:rFonts w:ascii="Arial" w:cs="Arial" w:eastAsia="Arial" w:hAnsi="Arial"/>
          <w:sz w:val="17"/>
          <w:szCs w:val="17"/>
          <w:color w:val="auto"/>
        </w:rPr>
      </w:pPr>
    </w:p>
    <w:p>
      <w:pPr>
        <w:ind w:left="860" w:hanging="176"/>
        <w:spacing w:after="0"/>
        <w:tabs>
          <w:tab w:leader="none" w:pos="860" w:val="left"/>
        </w:tabs>
        <w:numPr>
          <w:ilvl w:val="1"/>
          <w:numId w:val="92"/>
        </w:numPr>
        <w:rPr>
          <w:rFonts w:ascii="Arial" w:cs="Arial" w:eastAsia="Arial" w:hAnsi="Arial"/>
          <w:sz w:val="17"/>
          <w:szCs w:val="17"/>
          <w:color w:val="auto"/>
        </w:rPr>
      </w:pPr>
      <w:r>
        <w:rPr>
          <w:rFonts w:ascii="Arial" w:cs="Arial" w:eastAsia="Arial" w:hAnsi="Arial"/>
          <w:sz w:val="17"/>
          <w:szCs w:val="17"/>
          <w:color w:val="auto"/>
        </w:rPr>
        <w:t>signing and returning another proxy card with a later date;</w:t>
      </w:r>
    </w:p>
    <w:p>
      <w:pPr>
        <w:spacing w:after="0" w:line="77" w:lineRule="exact"/>
        <w:rPr>
          <w:rFonts w:ascii="Arial" w:cs="Arial" w:eastAsia="Arial" w:hAnsi="Arial"/>
          <w:sz w:val="17"/>
          <w:szCs w:val="17"/>
          <w:color w:val="auto"/>
        </w:rPr>
      </w:pPr>
    </w:p>
    <w:p>
      <w:pPr>
        <w:ind w:left="860" w:right="520" w:hanging="176"/>
        <w:spacing w:after="0" w:line="313" w:lineRule="auto"/>
        <w:tabs>
          <w:tab w:leader="none" w:pos="860" w:val="left"/>
        </w:tabs>
        <w:numPr>
          <w:ilvl w:val="1"/>
          <w:numId w:val="92"/>
        </w:numPr>
        <w:rPr>
          <w:rFonts w:ascii="Arial" w:cs="Arial" w:eastAsia="Arial" w:hAnsi="Arial"/>
          <w:sz w:val="16"/>
          <w:szCs w:val="16"/>
          <w:color w:val="auto"/>
        </w:rPr>
      </w:pPr>
      <w:r>
        <w:rPr>
          <w:rFonts w:ascii="Arial" w:cs="Arial" w:eastAsia="Arial" w:hAnsi="Arial"/>
          <w:sz w:val="16"/>
          <w:szCs w:val="16"/>
          <w:color w:val="auto"/>
        </w:rPr>
        <w:t>giving our Corporate Secretary a written notice before the meeting that you want to revoke your proxy; or</w:t>
      </w:r>
    </w:p>
    <w:p>
      <w:pPr>
        <w:spacing w:after="0" w:line="1" w:lineRule="exact"/>
        <w:rPr>
          <w:rFonts w:ascii="Arial" w:cs="Arial" w:eastAsia="Arial" w:hAnsi="Arial"/>
          <w:sz w:val="16"/>
          <w:szCs w:val="16"/>
          <w:color w:val="auto"/>
        </w:rPr>
      </w:pPr>
    </w:p>
    <w:p>
      <w:pPr>
        <w:ind w:left="860" w:right="340" w:hanging="176"/>
        <w:spacing w:after="0" w:line="313" w:lineRule="auto"/>
        <w:tabs>
          <w:tab w:leader="none" w:pos="860" w:val="left"/>
        </w:tabs>
        <w:numPr>
          <w:ilvl w:val="1"/>
          <w:numId w:val="92"/>
        </w:numPr>
        <w:rPr>
          <w:rFonts w:ascii="Arial" w:cs="Arial" w:eastAsia="Arial" w:hAnsi="Arial"/>
          <w:sz w:val="16"/>
          <w:szCs w:val="16"/>
          <w:color w:val="auto"/>
        </w:rPr>
      </w:pPr>
      <w:r>
        <w:rPr>
          <w:rFonts w:ascii="Arial" w:cs="Arial" w:eastAsia="Arial" w:hAnsi="Arial"/>
          <w:sz w:val="16"/>
          <w:szCs w:val="16"/>
          <w:color w:val="auto"/>
        </w:rPr>
        <w:t>attending the Annual Meeting, requesting that your proxy be revoked and voting in person as instructed above.</w:t>
      </w:r>
    </w:p>
    <w:p>
      <w:pPr>
        <w:spacing w:after="0" w:line="1" w:lineRule="exact"/>
        <w:rPr>
          <w:sz w:val="20"/>
          <w:szCs w:val="20"/>
          <w:color w:val="auto"/>
        </w:rPr>
      </w:pPr>
    </w:p>
    <w:p>
      <w:pPr>
        <w:ind w:left="640" w:right="160"/>
        <w:spacing w:after="0" w:line="286" w:lineRule="auto"/>
        <w:rPr>
          <w:sz w:val="20"/>
          <w:szCs w:val="20"/>
          <w:color w:val="auto"/>
        </w:rPr>
      </w:pPr>
      <w:r>
        <w:rPr>
          <w:rFonts w:ascii="Arial" w:cs="Arial" w:eastAsia="Arial" w:hAnsi="Arial"/>
          <w:sz w:val="17"/>
          <w:szCs w:val="17"/>
          <w:color w:val="auto"/>
        </w:rPr>
        <w:t>Your attendance at the Annual Meeting alone will not revoke your proxy.</w:t>
      </w:r>
    </w:p>
    <w:p>
      <w:pPr>
        <w:spacing w:after="0" w:line="15" w:lineRule="exact"/>
        <w:rPr>
          <w:sz w:val="20"/>
          <w:szCs w:val="20"/>
          <w:color w:val="auto"/>
        </w:rPr>
      </w:pPr>
    </w:p>
    <w:p>
      <w:pPr>
        <w:ind w:left="640" w:right="100"/>
        <w:spacing w:after="0" w:line="261" w:lineRule="auto"/>
        <w:rPr>
          <w:sz w:val="20"/>
          <w:szCs w:val="20"/>
          <w:color w:val="auto"/>
        </w:rPr>
      </w:pPr>
      <w:r>
        <w:rPr>
          <w:rFonts w:ascii="Arial" w:cs="Arial" w:eastAsia="Arial" w:hAnsi="Arial"/>
          <w:sz w:val="17"/>
          <w:szCs w:val="17"/>
          <w:color w:val="auto"/>
        </w:rPr>
        <w:t>If your shares are held in “street name,” you may submit a new, later-dated voting instruction form or contact your bank, broker or other nominee. You may also vote in person at the Annual Meeting if you obtain a legal proxy as described in the answer to the question entitled “Can I vote if my shares are held in ‘street name’”?</w:t>
      </w:r>
    </w:p>
    <w:p>
      <w:pPr>
        <w:spacing w:after="0" w:line="32"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0066BA"/>
        </w:rPr>
        <w:t>Q:What constitutes a quorum?</w:t>
      </w:r>
    </w:p>
    <w:p>
      <w:pPr>
        <w:spacing w:after="0" w:line="58" w:lineRule="exact"/>
        <w:rPr>
          <w:sz w:val="20"/>
          <w:szCs w:val="20"/>
          <w:color w:val="auto"/>
        </w:rPr>
      </w:pPr>
    </w:p>
    <w:p>
      <w:pPr>
        <w:ind w:left="680" w:right="120" w:hanging="205"/>
        <w:spacing w:after="0" w:line="281" w:lineRule="auto"/>
        <w:tabs>
          <w:tab w:leader="none" w:pos="680" w:val="left"/>
        </w:tabs>
        <w:numPr>
          <w:ilvl w:val="0"/>
          <w:numId w:val="93"/>
        </w:numPr>
        <w:rPr>
          <w:rFonts w:ascii="Arial" w:cs="Arial" w:eastAsia="Arial" w:hAnsi="Arial"/>
          <w:sz w:val="16"/>
          <w:szCs w:val="16"/>
          <w:b w:val="1"/>
          <w:bCs w:val="1"/>
          <w:color w:val="0066BA"/>
        </w:rPr>
      </w:pPr>
      <w:r>
        <w:rPr>
          <w:rFonts w:ascii="Arial" w:cs="Arial" w:eastAsia="Arial" w:hAnsi="Arial"/>
          <w:sz w:val="16"/>
          <w:szCs w:val="16"/>
          <w:color w:val="auto"/>
        </w:rPr>
        <w:t>In order for business to be conducted at the Annual Meeting, a quorum must be present in person or represented by valid proxies. For each of the proposals to be presented at the Annual Meeting, a quorum consists of the holders of a majority of the shares of common stock issued and outstanding on January 3, 2022, the record date, or at least 262,883,155 shares.</w:t>
      </w:r>
    </w:p>
    <w:p>
      <w:pPr>
        <w:spacing w:after="0" w:line="21" w:lineRule="exact"/>
        <w:rPr>
          <w:sz w:val="20"/>
          <w:szCs w:val="20"/>
          <w:color w:val="auto"/>
        </w:rPr>
      </w:pPr>
    </w:p>
    <w:p>
      <w:pPr>
        <w:ind w:left="640"/>
        <w:spacing w:after="0" w:line="281" w:lineRule="auto"/>
        <w:rPr>
          <w:sz w:val="20"/>
          <w:szCs w:val="20"/>
          <w:color w:val="auto"/>
        </w:rPr>
      </w:pPr>
      <w:r>
        <w:rPr>
          <w:rFonts w:ascii="Arial" w:cs="Arial" w:eastAsia="Arial" w:hAnsi="Arial"/>
          <w:sz w:val="16"/>
          <w:szCs w:val="16"/>
          <w:color w:val="auto"/>
        </w:rPr>
        <w:t>Shares of common stock represented in person or by proxy (including “broker non-votes” and shares that abstain or do not vote with respect to a particular proposal) will be counted for the purpose of determining whether a quorum exists at the Annual Meeting for that proposal. If a quorum is not present, the Annual Meeting will be adjourned until a quorum is obtained.</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0066BA"/>
        </w:rPr>
        <w:t>Q:What vote is required for each proposal?</w:t>
      </w:r>
    </w:p>
    <w:p>
      <w:pPr>
        <w:spacing w:after="0" w:line="52" w:lineRule="exact"/>
        <w:rPr>
          <w:sz w:val="20"/>
          <w:szCs w:val="20"/>
          <w:color w:val="auto"/>
        </w:rPr>
      </w:pPr>
    </w:p>
    <w:p>
      <w:pPr>
        <w:ind w:left="680" w:right="20" w:hanging="205"/>
        <w:spacing w:after="0" w:line="297" w:lineRule="auto"/>
        <w:tabs>
          <w:tab w:leader="none" w:pos="680" w:val="left"/>
        </w:tabs>
        <w:numPr>
          <w:ilvl w:val="0"/>
          <w:numId w:val="94"/>
        </w:numPr>
        <w:rPr>
          <w:rFonts w:ascii="Arial" w:cs="Arial" w:eastAsia="Arial" w:hAnsi="Arial"/>
          <w:sz w:val="15"/>
          <w:szCs w:val="15"/>
          <w:b w:val="1"/>
          <w:bCs w:val="1"/>
          <w:color w:val="0066BA"/>
        </w:rPr>
      </w:pPr>
      <w:r>
        <w:rPr>
          <w:rFonts w:ascii="Arial" w:cs="Arial" w:eastAsia="Arial" w:hAnsi="Arial"/>
          <w:sz w:val="15"/>
          <w:szCs w:val="15"/>
          <w:b w:val="1"/>
          <w:bCs w:val="1"/>
          <w:color w:val="auto"/>
        </w:rPr>
        <w:t xml:space="preserve">Election of directors. </w:t>
      </w:r>
      <w:r>
        <w:rPr>
          <w:rFonts w:ascii="Arial" w:cs="Arial" w:eastAsia="Arial" w:hAnsi="Arial"/>
          <w:sz w:val="15"/>
          <w:szCs w:val="15"/>
          <w:color w:val="auto"/>
        </w:rPr>
        <w:t>Under our bylaws, a nominee will be elected</w:t>
      </w:r>
      <w:r>
        <w:rPr>
          <w:rFonts w:ascii="Arial" w:cs="Arial" w:eastAsia="Arial" w:hAnsi="Arial"/>
          <w:sz w:val="15"/>
          <w:szCs w:val="15"/>
          <w:b w:val="1"/>
          <w:bCs w:val="1"/>
          <w:color w:val="auto"/>
        </w:rPr>
        <w:t xml:space="preserve"> </w:t>
      </w:r>
      <w:r>
        <w:rPr>
          <w:rFonts w:ascii="Arial" w:cs="Arial" w:eastAsia="Arial" w:hAnsi="Arial"/>
          <w:sz w:val="15"/>
          <w:szCs w:val="15"/>
          <w:color w:val="auto"/>
        </w:rPr>
        <w:t>to the Board of Directors if the votes cast “for” the nominee’s election exceed the votes cast “against” the nominee’s election, with abstentions and “broker non-votes” not counting as votes “for” or “against.” If the shares you own are held in “street name” by a bank, broker or other nominee, your bank, broker or other nominee, as the record holder of your shares, is required to vote your shares according to your instructions. If you do not instruct your bank, broker or other nominee how to vote with respect to this proposal, your bank, broker or other nominee may not vote your shares with</w:t>
      </w:r>
    </w:p>
    <w:p>
      <w:pPr>
        <w:spacing w:after="0" w:line="200" w:lineRule="exact"/>
        <w:rPr>
          <w:sz w:val="20"/>
          <w:szCs w:val="20"/>
          <w:color w:val="auto"/>
        </w:rPr>
      </w:pPr>
    </w:p>
    <w:p>
      <w:pPr>
        <w:spacing w:after="0" w:line="35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ind w:left="180"/>
        <w:spacing w:after="0" w:line="259" w:lineRule="auto"/>
        <w:rPr>
          <w:sz w:val="20"/>
          <w:szCs w:val="20"/>
          <w:color w:val="auto"/>
        </w:rPr>
      </w:pPr>
      <w:r>
        <w:rPr>
          <w:rFonts w:ascii="Arial" w:cs="Arial" w:eastAsia="Arial" w:hAnsi="Arial"/>
          <w:sz w:val="17"/>
          <w:szCs w:val="17"/>
          <w:color w:val="auto"/>
        </w:rPr>
        <w:t>respect to the elec tion of directors. If an incumbent director nominee in an uncontested election of directors receives a majority of votes “against” his or her election, the director must tender a resignation from the Board of Directors. The Board of Directors will then decide whether to accept the resignation within 90 days following certification of the shareholder vote (based on the recommendation of a committee of independent directors). We will publicly disclose the Board of Directors’ decision and its reasoning with regard to the offered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-3641725</wp:posOffset>
            </wp:positionH>
            <wp:positionV relativeFrom="paragraph">
              <wp:posOffset>-1750695</wp:posOffset>
            </wp:positionV>
            <wp:extent cx="7179310" cy="374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p>
    <w:p>
      <w:pPr>
        <w:spacing w:after="0" w:line="66" w:lineRule="exact"/>
        <w:rPr>
          <w:sz w:val="20"/>
          <w:szCs w:val="20"/>
          <w:color w:val="auto"/>
        </w:rPr>
      </w:pPr>
    </w:p>
    <w:p>
      <w:pPr>
        <w:ind w:left="180"/>
        <w:spacing w:after="0" w:line="276" w:lineRule="auto"/>
        <w:rPr>
          <w:sz w:val="20"/>
          <w:szCs w:val="20"/>
          <w:color w:val="auto"/>
        </w:rPr>
      </w:pPr>
      <w:r>
        <w:rPr>
          <w:rFonts w:ascii="Arial" w:cs="Arial" w:eastAsia="Arial" w:hAnsi="Arial"/>
          <w:sz w:val="16"/>
          <w:szCs w:val="16"/>
          <w:b w:val="1"/>
          <w:bCs w:val="1"/>
          <w:color w:val="auto"/>
        </w:rPr>
        <w:t xml:space="preserve">“Say on Pay.” </w:t>
      </w:r>
      <w:r>
        <w:rPr>
          <w:rFonts w:ascii="Arial" w:cs="Arial" w:eastAsia="Arial" w:hAnsi="Arial"/>
          <w:sz w:val="16"/>
          <w:szCs w:val="16"/>
          <w:color w:val="auto"/>
        </w:rPr>
        <w:t>Our Board of Directors is seeking a non-binding</w:t>
      </w:r>
      <w:r>
        <w:rPr>
          <w:rFonts w:ascii="Arial" w:cs="Arial" w:eastAsia="Arial" w:hAnsi="Arial"/>
          <w:sz w:val="16"/>
          <w:szCs w:val="16"/>
          <w:b w:val="1"/>
          <w:bCs w:val="1"/>
          <w:color w:val="auto"/>
        </w:rPr>
        <w:t xml:space="preserve"> </w:t>
      </w:r>
      <w:r>
        <w:rPr>
          <w:rFonts w:ascii="Arial" w:cs="Arial" w:eastAsia="Arial" w:hAnsi="Arial"/>
          <w:sz w:val="16"/>
          <w:szCs w:val="16"/>
          <w:color w:val="auto"/>
        </w:rPr>
        <w:t>advisory vote regarding the compensation of our named executive officers, as described in the Compensation Discussion and Analysis, executive compensation tables and accompanying narrative disclosures contained in this proxy statement. Under our bylaws, the affirmative vote of a majority of the total number of votes cast on the proposal is needed to approve this resolution. The vote is advisory and non-binding in nature but our Compensation Committee will take into account the outcome of the vote when considering future executive compensation arrangements. If you do not instruct your bank, broker or other nominee how to vote with respect to this proposal, your bank, broker or other nominee may not vote your shares with respect to this proposal.</w:t>
      </w:r>
    </w:p>
    <w:p>
      <w:pPr>
        <w:spacing w:after="0" w:line="20" w:lineRule="exact"/>
        <w:rPr>
          <w:sz w:val="20"/>
          <w:szCs w:val="20"/>
          <w:color w:val="auto"/>
        </w:rPr>
      </w:pPr>
    </w:p>
    <w:p>
      <w:pPr>
        <w:ind w:left="180" w:right="20"/>
        <w:spacing w:after="0" w:line="280" w:lineRule="auto"/>
        <w:rPr>
          <w:sz w:val="20"/>
          <w:szCs w:val="20"/>
          <w:color w:val="auto"/>
        </w:rPr>
      </w:pPr>
      <w:r>
        <w:rPr>
          <w:rFonts w:ascii="Arial" w:cs="Arial" w:eastAsia="Arial" w:hAnsi="Arial"/>
          <w:sz w:val="16"/>
          <w:szCs w:val="16"/>
          <w:b w:val="1"/>
          <w:bCs w:val="1"/>
          <w:color w:val="auto"/>
        </w:rPr>
        <w:t xml:space="preserve">Approval of the Analog Devices, Inc. 2022 Employee Stock Purchase Plan. </w:t>
      </w:r>
      <w:r>
        <w:rPr>
          <w:rFonts w:ascii="Arial" w:cs="Arial" w:eastAsia="Arial" w:hAnsi="Arial"/>
          <w:sz w:val="16"/>
          <w:szCs w:val="16"/>
          <w:color w:val="auto"/>
        </w:rPr>
        <w:t>Under our bylaws, the affirmative vote of a majority</w:t>
      </w:r>
      <w:r>
        <w:rPr>
          <w:rFonts w:ascii="Arial" w:cs="Arial" w:eastAsia="Arial" w:hAnsi="Arial"/>
          <w:sz w:val="16"/>
          <w:szCs w:val="16"/>
          <w:b w:val="1"/>
          <w:bCs w:val="1"/>
          <w:color w:val="auto"/>
        </w:rPr>
        <w:t xml:space="preserve"> </w:t>
      </w:r>
      <w:r>
        <w:rPr>
          <w:rFonts w:ascii="Arial" w:cs="Arial" w:eastAsia="Arial" w:hAnsi="Arial"/>
          <w:sz w:val="16"/>
          <w:szCs w:val="16"/>
          <w:color w:val="auto"/>
        </w:rPr>
        <w:t>of the total number of votes cast on the proposal is needed to approve the Analog Devices, Inc. 2022 Employee Stock Purchase Plan. If you do not instruct your bank, broker or other nominee how to vote with respect to this proposal, your bank, broker or other nominee may not vote your shares with respect to this proposal.</w:t>
      </w:r>
    </w:p>
    <w:p>
      <w:pPr>
        <w:spacing w:after="0" w:line="20" w:lineRule="exact"/>
        <w:rPr>
          <w:sz w:val="20"/>
          <w:szCs w:val="20"/>
          <w:color w:val="auto"/>
        </w:rPr>
      </w:pPr>
    </w:p>
    <w:p>
      <w:pPr>
        <w:ind w:left="180" w:right="80"/>
        <w:spacing w:after="0" w:line="261" w:lineRule="auto"/>
        <w:rPr>
          <w:sz w:val="20"/>
          <w:szCs w:val="20"/>
          <w:color w:val="auto"/>
        </w:rPr>
      </w:pPr>
      <w:r>
        <w:rPr>
          <w:rFonts w:ascii="Arial" w:cs="Arial" w:eastAsia="Arial" w:hAnsi="Arial"/>
          <w:sz w:val="17"/>
          <w:szCs w:val="17"/>
          <w:b w:val="1"/>
          <w:bCs w:val="1"/>
          <w:color w:val="auto"/>
        </w:rPr>
        <w:t xml:space="preserve">Ratification of independent registered public accounting firm. </w:t>
      </w:r>
      <w:r>
        <w:rPr>
          <w:rFonts w:ascii="Arial" w:cs="Arial" w:eastAsia="Arial" w:hAnsi="Arial"/>
          <w:sz w:val="17"/>
          <w:szCs w:val="17"/>
          <w:color w:val="auto"/>
        </w:rPr>
        <w:t>Under our bylaws, the affirmative vote of a majority of the total number of votes cast on the proposal is needed to ratify the selection of Ernst &amp; Young LLP as our independent registered public accounting firm for fiscal 2022. Even if you do not instruct your bank, broker or other nominee how to vote with respect to this proposal, your bank, broker or other nominee may vote your shares with respect to this proposal.</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0066BA"/>
        </w:rPr>
        <w:t>Q:How will votes be counted?</w:t>
      </w:r>
    </w:p>
    <w:p>
      <w:pPr>
        <w:spacing w:after="0" w:line="58" w:lineRule="exact"/>
        <w:rPr>
          <w:sz w:val="20"/>
          <w:szCs w:val="20"/>
          <w:color w:val="auto"/>
        </w:rPr>
      </w:pPr>
    </w:p>
    <w:p>
      <w:pPr>
        <w:ind w:left="200" w:hanging="193"/>
        <w:spacing w:after="0" w:line="275" w:lineRule="auto"/>
        <w:tabs>
          <w:tab w:leader="none" w:pos="200" w:val="left"/>
        </w:tabs>
        <w:numPr>
          <w:ilvl w:val="0"/>
          <w:numId w:val="95"/>
        </w:numPr>
        <w:rPr>
          <w:rFonts w:ascii="Arial" w:cs="Arial" w:eastAsia="Arial" w:hAnsi="Arial"/>
          <w:sz w:val="16"/>
          <w:szCs w:val="16"/>
          <w:b w:val="1"/>
          <w:bCs w:val="1"/>
          <w:color w:val="0066BA"/>
        </w:rPr>
      </w:pPr>
      <w:r>
        <w:rPr>
          <w:rFonts w:ascii="Arial" w:cs="Arial" w:eastAsia="Arial" w:hAnsi="Arial"/>
          <w:sz w:val="16"/>
          <w:szCs w:val="16"/>
          <w:color w:val="auto"/>
        </w:rPr>
        <w:t>Each share of common stock will be counted as one vote according to the instructions contained on a properly completed proxy card, whether submitted by mail, over the Internet, by telephone, or on a ballot voted in person at the Annual Meeting. With respect to all proposals, shares will not be voted in favor of the matter, and will not be counted as voting on the matter, if they either (1) abstain from voting on a particular matter, or (2) are “broker non-votes.” Banks, brokers and other nominees who do not receive instructions with respect to Proposals 1, 2 or 3 will not be allowed to vote these shares, and all such shares will be “broker non-votes” rather than votes “for” or “against.” Accordingly, assuming the presence of a quorum, abstentions and “broker non-votes” for a particular proposal will not be counted as votes cast to determine the outcome of a particular proposal.</w:t>
      </w:r>
    </w:p>
    <w:p>
      <w:pPr>
        <w:sectPr>
          <w:pgSz w:w="11900" w:h="16838" w:orient="portrait"/>
          <w:cols w:equalWidth="0" w:num="2">
            <w:col w:w="5400" w:space="320"/>
            <w:col w:w="5020"/>
          </w:cols>
          <w:pgMar w:left="320" w:top="447" w:right="83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50"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0066BA"/>
        </w:rPr>
        <w:t>Q:Who will count the votes?</w:t>
      </w:r>
    </w:p>
    <w:p>
      <w:pPr>
        <w:spacing w:after="0" w:line="58" w:lineRule="exact"/>
        <w:rPr>
          <w:sz w:val="20"/>
          <w:szCs w:val="20"/>
          <w:color w:val="auto"/>
        </w:rPr>
      </w:pPr>
    </w:p>
    <w:p>
      <w:pPr>
        <w:ind w:left="680" w:hanging="205"/>
        <w:spacing w:after="0"/>
        <w:tabs>
          <w:tab w:leader="none" w:pos="680" w:val="left"/>
        </w:tabs>
        <w:numPr>
          <w:ilvl w:val="0"/>
          <w:numId w:val="96"/>
        </w:numPr>
        <w:rPr>
          <w:rFonts w:ascii="Arial" w:cs="Arial" w:eastAsia="Arial" w:hAnsi="Arial"/>
          <w:sz w:val="16"/>
          <w:szCs w:val="16"/>
          <w:b w:val="1"/>
          <w:bCs w:val="1"/>
          <w:color w:val="0066BA"/>
        </w:rPr>
      </w:pPr>
      <w:r>
        <w:rPr>
          <w:rFonts w:ascii="Arial" w:cs="Arial" w:eastAsia="Arial" w:hAnsi="Arial"/>
          <w:sz w:val="16"/>
          <w:szCs w:val="16"/>
          <w:color w:val="auto"/>
        </w:rPr>
        <w:t>The votes will be counted, tabulated and certified by Broadridge.</w:t>
      </w:r>
    </w:p>
    <w:p>
      <w:pPr>
        <w:spacing w:after="0" w:line="83" w:lineRule="exact"/>
        <w:rPr>
          <w:rFonts w:ascii="Arial" w:cs="Arial" w:eastAsia="Arial" w:hAnsi="Arial"/>
          <w:sz w:val="16"/>
          <w:szCs w:val="16"/>
          <w:b w:val="1"/>
          <w:bCs w:val="1"/>
          <w:color w:val="0066BA"/>
        </w:rPr>
      </w:pPr>
    </w:p>
    <w:p>
      <w:pPr>
        <w:ind w:left="480"/>
        <w:spacing w:after="0"/>
        <w:rPr>
          <w:rFonts w:ascii="Arial" w:cs="Arial" w:eastAsia="Arial" w:hAnsi="Arial"/>
          <w:sz w:val="16"/>
          <w:szCs w:val="16"/>
          <w:b w:val="1"/>
          <w:bCs w:val="1"/>
          <w:color w:val="0066BA"/>
        </w:rPr>
      </w:pPr>
      <w:r>
        <w:rPr>
          <w:rFonts w:ascii="Arial" w:cs="Arial" w:eastAsia="Arial" w:hAnsi="Arial"/>
          <w:sz w:val="17"/>
          <w:szCs w:val="17"/>
          <w:b w:val="1"/>
          <w:bCs w:val="1"/>
          <w:color w:val="0066BA"/>
        </w:rPr>
        <w:t>Q:Will my vote be kept confidential?</w:t>
      </w:r>
    </w:p>
    <w:p>
      <w:pPr>
        <w:spacing w:after="0" w:line="58" w:lineRule="exact"/>
        <w:rPr>
          <w:sz w:val="20"/>
          <w:szCs w:val="20"/>
          <w:color w:val="auto"/>
        </w:rPr>
      </w:pPr>
    </w:p>
    <w:p>
      <w:pPr>
        <w:ind w:left="680" w:right="40" w:hanging="205"/>
        <w:spacing w:after="0" w:line="259" w:lineRule="auto"/>
        <w:tabs>
          <w:tab w:leader="none" w:pos="680" w:val="left"/>
        </w:tabs>
        <w:numPr>
          <w:ilvl w:val="0"/>
          <w:numId w:val="97"/>
        </w:numPr>
        <w:rPr>
          <w:rFonts w:ascii="Arial" w:cs="Arial" w:eastAsia="Arial" w:hAnsi="Arial"/>
          <w:sz w:val="17"/>
          <w:szCs w:val="17"/>
          <w:b w:val="1"/>
          <w:bCs w:val="1"/>
          <w:color w:val="0066BA"/>
        </w:rPr>
      </w:pPr>
      <w:r>
        <w:rPr>
          <w:rFonts w:ascii="Arial" w:cs="Arial" w:eastAsia="Arial" w:hAnsi="Arial"/>
          <w:sz w:val="17"/>
          <w:szCs w:val="17"/>
          <w:color w:val="auto"/>
        </w:rPr>
        <w:t>Yes, your vote will be kept confidential and we will not disclose your vote, unless (1) we are required to do so by law (including in connection with the pursuit or defense of a legal or administrative action or proceeding), or (2) there is a contested election for the Board of Directors. The tabulation agent will forward any written comments that you make on the proxy card to management without providing your name, unless you expressly request disclosure on your proxy card.</w:t>
      </w:r>
    </w:p>
    <w:p>
      <w:pPr>
        <w:spacing w:after="0" w:line="37" w:lineRule="exact"/>
        <w:rPr>
          <w:sz w:val="20"/>
          <w:szCs w:val="20"/>
          <w:color w:val="auto"/>
        </w:rPr>
      </w:pPr>
    </w:p>
    <w:p>
      <w:pPr>
        <w:ind w:left="680" w:right="80" w:hanging="194"/>
        <w:spacing w:after="0" w:line="279" w:lineRule="auto"/>
        <w:rPr>
          <w:sz w:val="20"/>
          <w:szCs w:val="20"/>
          <w:color w:val="auto"/>
        </w:rPr>
      </w:pPr>
      <w:r>
        <w:rPr>
          <w:rFonts w:ascii="Arial" w:cs="Arial" w:eastAsia="Arial" w:hAnsi="Arial"/>
          <w:sz w:val="17"/>
          <w:szCs w:val="17"/>
          <w:b w:val="1"/>
          <w:bCs w:val="1"/>
          <w:color w:val="0066BA"/>
        </w:rPr>
        <w:t>Q:How does the Board of Directors recommend that I vote on the proposals?</w:t>
      </w:r>
    </w:p>
    <w:p>
      <w:pPr>
        <w:spacing w:after="0" w:line="7" w:lineRule="exact"/>
        <w:rPr>
          <w:sz w:val="20"/>
          <w:szCs w:val="20"/>
          <w:color w:val="auto"/>
        </w:rPr>
      </w:pPr>
    </w:p>
    <w:p>
      <w:pPr>
        <w:ind w:left="680" w:hanging="205"/>
        <w:spacing w:after="0"/>
        <w:tabs>
          <w:tab w:leader="none" w:pos="680" w:val="left"/>
        </w:tabs>
        <w:numPr>
          <w:ilvl w:val="0"/>
          <w:numId w:val="98"/>
        </w:numPr>
        <w:rPr>
          <w:rFonts w:ascii="Arial" w:cs="Arial" w:eastAsia="Arial" w:hAnsi="Arial"/>
          <w:sz w:val="17"/>
          <w:szCs w:val="17"/>
          <w:b w:val="1"/>
          <w:bCs w:val="1"/>
          <w:color w:val="0066BA"/>
        </w:rPr>
      </w:pPr>
      <w:r>
        <w:rPr>
          <w:rFonts w:ascii="Arial" w:cs="Arial" w:eastAsia="Arial" w:hAnsi="Arial"/>
          <w:sz w:val="17"/>
          <w:szCs w:val="17"/>
          <w:color w:val="auto"/>
        </w:rPr>
        <w:t>The Board of Directors recommends that you vote:</w:t>
      </w:r>
    </w:p>
    <w:p>
      <w:pPr>
        <w:spacing w:after="0" w:line="72" w:lineRule="exact"/>
        <w:rPr>
          <w:sz w:val="20"/>
          <w:szCs w:val="20"/>
          <w:color w:val="auto"/>
        </w:rPr>
      </w:pPr>
    </w:p>
    <w:p>
      <w:pPr>
        <w:ind w:left="640" w:right="200"/>
        <w:spacing w:after="0" w:line="274" w:lineRule="auto"/>
        <w:rPr>
          <w:sz w:val="20"/>
          <w:szCs w:val="20"/>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election of each of the 12 nominees to serve as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on the Board of Directors, each for a term expiring at the next annual meeting of shareholders (Proposal 1);</w:t>
      </w:r>
    </w:p>
    <w:p>
      <w:pPr>
        <w:spacing w:after="0" w:line="20" w:lineRule="exact"/>
        <w:rPr>
          <w:sz w:val="20"/>
          <w:szCs w:val="20"/>
          <w:color w:val="auto"/>
        </w:rPr>
      </w:pPr>
    </w:p>
    <w:p>
      <w:pPr>
        <w:ind w:left="640" w:right="180"/>
        <w:spacing w:after="0" w:line="265" w:lineRule="auto"/>
        <w:rPr>
          <w:sz w:val="20"/>
          <w:szCs w:val="20"/>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approval, by non-binding “say on pay” vote,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of our named executive officers, as described in the Compensation Discussion and Analysis, executive compensation tables and accompanying narrative disclosures contained in this proxy statement (Proposal 2);</w:t>
      </w:r>
    </w:p>
    <w:p>
      <w:pPr>
        <w:spacing w:after="0" w:line="27" w:lineRule="exact"/>
        <w:rPr>
          <w:sz w:val="20"/>
          <w:szCs w:val="20"/>
          <w:color w:val="auto"/>
        </w:rPr>
      </w:pPr>
    </w:p>
    <w:p>
      <w:pPr>
        <w:ind w:left="640" w:right="400"/>
        <w:spacing w:after="0" w:line="293" w:lineRule="auto"/>
        <w:rPr>
          <w:sz w:val="20"/>
          <w:szCs w:val="20"/>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approval of the Analog Devices, Inc. 2022 Employee</w:t>
      </w:r>
      <w:r>
        <w:rPr>
          <w:rFonts w:ascii="Arial" w:cs="Arial" w:eastAsia="Arial" w:hAnsi="Arial"/>
          <w:sz w:val="17"/>
          <w:szCs w:val="17"/>
          <w:b w:val="1"/>
          <w:bCs w:val="1"/>
          <w:color w:val="auto"/>
        </w:rPr>
        <w:t xml:space="preserve"> </w:t>
      </w:r>
      <w:r>
        <w:rPr>
          <w:rFonts w:ascii="Arial" w:cs="Arial" w:eastAsia="Arial" w:hAnsi="Arial"/>
          <w:sz w:val="17"/>
          <w:szCs w:val="17"/>
          <w:color w:val="auto"/>
        </w:rPr>
        <w:t>Stock Purchase Plan (Proposal 3); and</w:t>
      </w:r>
    </w:p>
    <w:p>
      <w:pPr>
        <w:spacing w:after="0" w:line="4" w:lineRule="exact"/>
        <w:rPr>
          <w:sz w:val="20"/>
          <w:szCs w:val="20"/>
          <w:color w:val="auto"/>
        </w:rPr>
      </w:pPr>
    </w:p>
    <w:p>
      <w:pPr>
        <w:ind w:left="640" w:right="140"/>
        <w:spacing w:after="0" w:line="274" w:lineRule="auto"/>
        <w:rPr>
          <w:sz w:val="20"/>
          <w:szCs w:val="20"/>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ratification of the selection of Ernst &amp; Young LLP as our</w:t>
      </w:r>
      <w:r>
        <w:rPr>
          <w:rFonts w:ascii="Arial" w:cs="Arial" w:eastAsia="Arial" w:hAnsi="Arial"/>
          <w:sz w:val="17"/>
          <w:szCs w:val="17"/>
          <w:b w:val="1"/>
          <w:bCs w:val="1"/>
          <w:color w:val="auto"/>
        </w:rPr>
        <w:t xml:space="preserve"> </w:t>
      </w:r>
      <w:r>
        <w:rPr>
          <w:rFonts w:ascii="Arial" w:cs="Arial" w:eastAsia="Arial" w:hAnsi="Arial"/>
          <w:sz w:val="17"/>
          <w:szCs w:val="17"/>
          <w:color w:val="auto"/>
        </w:rPr>
        <w:t>independent registered public accounting firm for fiscal 2022 (Proposal 4).</w:t>
      </w:r>
    </w:p>
    <w:p>
      <w:pPr>
        <w:spacing w:after="0" w:line="20"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0066BA"/>
        </w:rPr>
        <w:t>Q:Will any other matters be voted on at this meeting?</w:t>
      </w:r>
    </w:p>
    <w:p>
      <w:pPr>
        <w:spacing w:after="0" w:line="58" w:lineRule="exact"/>
        <w:rPr>
          <w:sz w:val="20"/>
          <w:szCs w:val="20"/>
          <w:color w:val="auto"/>
        </w:rPr>
      </w:pPr>
    </w:p>
    <w:p>
      <w:pPr>
        <w:ind w:left="680" w:hanging="205"/>
        <w:spacing w:after="0" w:line="279" w:lineRule="auto"/>
        <w:tabs>
          <w:tab w:leader="none" w:pos="680" w:val="left"/>
        </w:tabs>
        <w:numPr>
          <w:ilvl w:val="0"/>
          <w:numId w:val="99"/>
        </w:numPr>
        <w:rPr>
          <w:rFonts w:ascii="Arial" w:cs="Arial" w:eastAsia="Arial" w:hAnsi="Arial"/>
          <w:sz w:val="16"/>
          <w:szCs w:val="16"/>
          <w:b w:val="1"/>
          <w:bCs w:val="1"/>
          <w:color w:val="0066BA"/>
        </w:rPr>
      </w:pPr>
      <w:r>
        <w:rPr>
          <w:rFonts w:ascii="Arial" w:cs="Arial" w:eastAsia="Arial" w:hAnsi="Arial"/>
          <w:sz w:val="16"/>
          <w:szCs w:val="16"/>
          <w:color w:val="auto"/>
        </w:rPr>
        <w:t>No. Under the laws of Massachusetts, where we are incorporated, an item may not be brought before our shareholders at a meeting unless it appears in the notice of the meeting. Our bylaws establish the process for a shareholder to bring a matter before a meeting. See “How and when may I submit a shareholder proposal, including a shareholder nomination for director, for the 2023 annual meeting of shareholders?” below.</w:t>
      </w:r>
    </w:p>
    <w:p>
      <w:pPr>
        <w:spacing w:after="0" w:line="19"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0066BA"/>
        </w:rPr>
        <w:t>Q:Where can I find the voting results?</w:t>
      </w:r>
    </w:p>
    <w:p>
      <w:pPr>
        <w:spacing w:after="0" w:line="58" w:lineRule="exact"/>
        <w:rPr>
          <w:sz w:val="20"/>
          <w:szCs w:val="20"/>
          <w:color w:val="auto"/>
        </w:rPr>
      </w:pPr>
    </w:p>
    <w:p>
      <w:pPr>
        <w:ind w:left="680" w:right="20" w:hanging="205"/>
        <w:spacing w:after="0" w:line="270" w:lineRule="auto"/>
        <w:tabs>
          <w:tab w:leader="none" w:pos="680" w:val="left"/>
        </w:tabs>
        <w:numPr>
          <w:ilvl w:val="0"/>
          <w:numId w:val="100"/>
        </w:numPr>
        <w:rPr>
          <w:rFonts w:ascii="Arial" w:cs="Arial" w:eastAsia="Arial" w:hAnsi="Arial"/>
          <w:sz w:val="17"/>
          <w:szCs w:val="17"/>
          <w:b w:val="1"/>
          <w:bCs w:val="1"/>
          <w:color w:val="0066BA"/>
        </w:rPr>
      </w:pPr>
      <w:r>
        <w:rPr>
          <w:rFonts w:ascii="Arial" w:cs="Arial" w:eastAsia="Arial" w:hAnsi="Arial"/>
          <w:sz w:val="17"/>
          <w:szCs w:val="17"/>
          <w:color w:val="auto"/>
        </w:rPr>
        <w:t>We will report the voting results in a Form 8-K filed with the U.S. Securities and Exchange Commission, or SEC, within four business days after the conclusion of the Annual Meeting.</w:t>
      </w:r>
    </w:p>
    <w:p>
      <w:pPr>
        <w:spacing w:after="0" w:line="24" w:lineRule="exact"/>
        <w:rPr>
          <w:sz w:val="20"/>
          <w:szCs w:val="20"/>
          <w:color w:val="auto"/>
        </w:rPr>
      </w:pPr>
    </w:p>
    <w:p>
      <w:pPr>
        <w:ind w:left="680" w:right="80" w:hanging="194"/>
        <w:spacing w:after="0" w:line="271" w:lineRule="auto"/>
        <w:rPr>
          <w:sz w:val="20"/>
          <w:szCs w:val="20"/>
          <w:color w:val="auto"/>
        </w:rPr>
      </w:pPr>
      <w:r>
        <w:rPr>
          <w:rFonts w:ascii="Arial" w:cs="Arial" w:eastAsia="Arial" w:hAnsi="Arial"/>
          <w:sz w:val="17"/>
          <w:szCs w:val="17"/>
          <w:b w:val="1"/>
          <w:bCs w:val="1"/>
          <w:color w:val="0066BA"/>
        </w:rPr>
        <w:t>Q:How and when may I submit a shareholder proposal, including a shareholder nomination for director, for the 2023 annual meeting of shareholders?</w:t>
      </w:r>
    </w:p>
    <w:p>
      <w:pPr>
        <w:spacing w:after="0" w:line="1" w:lineRule="exact"/>
        <w:rPr>
          <w:sz w:val="20"/>
          <w:szCs w:val="20"/>
          <w:color w:val="auto"/>
        </w:rPr>
      </w:pPr>
    </w:p>
    <w:p>
      <w:pPr>
        <w:ind w:left="680" w:right="60" w:hanging="205"/>
        <w:spacing w:after="0" w:line="299" w:lineRule="auto"/>
        <w:tabs>
          <w:tab w:leader="none" w:pos="680" w:val="left"/>
        </w:tabs>
        <w:numPr>
          <w:ilvl w:val="0"/>
          <w:numId w:val="101"/>
        </w:numPr>
        <w:rPr>
          <w:rFonts w:ascii="Arial" w:cs="Arial" w:eastAsia="Arial" w:hAnsi="Arial"/>
          <w:sz w:val="15"/>
          <w:szCs w:val="15"/>
          <w:b w:val="1"/>
          <w:bCs w:val="1"/>
          <w:color w:val="0066BA"/>
        </w:rPr>
      </w:pPr>
      <w:r>
        <w:rPr>
          <w:rFonts w:ascii="Arial" w:cs="Arial" w:eastAsia="Arial" w:hAnsi="Arial"/>
          <w:sz w:val="15"/>
          <w:szCs w:val="15"/>
          <w:b w:val="1"/>
          <w:bCs w:val="1"/>
          <w:color w:val="auto"/>
        </w:rPr>
        <w:t xml:space="preserve">Shareholder proposals for inclusion in proxy statement: </w:t>
      </w:r>
      <w:r>
        <w:rPr>
          <w:rFonts w:ascii="Arial" w:cs="Arial" w:eastAsia="Arial" w:hAnsi="Arial"/>
          <w:sz w:val="15"/>
          <w:szCs w:val="15"/>
          <w:color w:val="auto"/>
        </w:rPr>
        <w:t>If you</w:t>
      </w:r>
      <w:r>
        <w:rPr>
          <w:rFonts w:ascii="Arial" w:cs="Arial" w:eastAsia="Arial" w:hAnsi="Arial"/>
          <w:sz w:val="15"/>
          <w:szCs w:val="15"/>
          <w:b w:val="1"/>
          <w:bCs w:val="1"/>
          <w:color w:val="auto"/>
        </w:rPr>
        <w:t xml:space="preserve"> </w:t>
      </w:r>
      <w:r>
        <w:rPr>
          <w:rFonts w:ascii="Arial" w:cs="Arial" w:eastAsia="Arial" w:hAnsi="Arial"/>
          <w:sz w:val="15"/>
          <w:szCs w:val="15"/>
          <w:color w:val="auto"/>
        </w:rPr>
        <w:t>are interested in submitting a proposal for inclusion in our proxy statement for the 2023 annual meeting of shareholders, you need to follow the procedures outlined in Rule 14a-8 of the Securities Exchange Act of 1934, or the Exchange Act. To be eligible for inclusion, we must receive your shareholder proposal for our proxy statement for the 2023 annual meeting of shareholders at our principal corporate offices in Wilmington, Massachusetts at the address below no later than September 23,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ind w:right="200"/>
        <w:spacing w:after="0" w:line="273" w:lineRule="auto"/>
        <w:rPr>
          <w:sz w:val="20"/>
          <w:szCs w:val="20"/>
          <w:color w:val="auto"/>
        </w:rPr>
      </w:pPr>
      <w:r>
        <w:rPr>
          <w:rFonts w:ascii="Arial" w:cs="Arial" w:eastAsia="Arial" w:hAnsi="Arial"/>
          <w:sz w:val="16"/>
          <w:szCs w:val="16"/>
          <w:b w:val="1"/>
          <w:bCs w:val="1"/>
          <w:color w:val="auto"/>
        </w:rPr>
        <w:t xml:space="preserve">Shareholder director nominations for inclusion in proxy statement: </w:t>
      </w:r>
      <w:r>
        <w:rPr>
          <w:rFonts w:ascii="Arial" w:cs="Arial" w:eastAsia="Arial" w:hAnsi="Arial"/>
          <w:sz w:val="16"/>
          <w:szCs w:val="16"/>
          <w:color w:val="auto"/>
        </w:rPr>
        <w:t>The Board of Directors has implemented a proxy access</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in our bylaws, which allows a shareholder or group of up to 20 shareholders owning in aggregate 3% or more of our outstanding shares of common stock continuously for at least three years to nominate and include in our proxy materials director nominees constituting up to 20% of the number of directors in office or two nominees, whichever is greater, provided the shareholder(s) and nominee(s) satisfy the requirements in the bylaws. If a shareholder or group of shareholders wishes to nominate one or more director candidates to be included in our proxy statement pursuant to these proxy access provisions in Article I, Section 1.9(c) of our bylaws, the Corporate Secretary must receive advance written notice at the address noted below not less than 120 days nor more than 150 days before the first anniversary of the preceding year’s annual meeting. However, if the date of our annual meeting of shareholders is advanced by more than 20 days, or delayed by more than 60 days, from the anniversary date, or if no annual meeting was held in the preceding year, then we must receive such notice at the address noted below not earlier than the 150th day before such annual meeting and not later than the close of business on the later of (1) the 120th day prior to such annual meeting and (2) the seventh day after the day on which notice of the meeting date was mailed or public disclosure was made, whichever occurs first. Assuming that the 2023 annual meeting of shareholders is not advanced by more than 20 days nor delayed by more than 60 days from the anniversary date of the Annual Meeting, you would need to give us appropriate notice at the address noted below no earlier than October 10, 2022, and no later than November 9, 2022.</w:t>
      </w:r>
    </w:p>
    <w:p>
      <w:pPr>
        <w:spacing w:after="0" w:line="32" w:lineRule="exact"/>
        <w:rPr>
          <w:sz w:val="20"/>
          <w:szCs w:val="20"/>
          <w:color w:val="auto"/>
        </w:rPr>
      </w:pPr>
    </w:p>
    <w:p>
      <w:pPr>
        <w:ind w:right="180"/>
        <w:spacing w:after="0" w:line="292" w:lineRule="auto"/>
        <w:rPr>
          <w:sz w:val="20"/>
          <w:szCs w:val="20"/>
          <w:color w:val="auto"/>
        </w:rPr>
      </w:pPr>
      <w:r>
        <w:rPr>
          <w:rFonts w:ascii="Arial" w:cs="Arial" w:eastAsia="Arial" w:hAnsi="Arial"/>
          <w:sz w:val="15"/>
          <w:szCs w:val="15"/>
          <w:b w:val="1"/>
          <w:bCs w:val="1"/>
          <w:color w:val="auto"/>
        </w:rPr>
        <w:t xml:space="preserve">Shareholder proposals and director nominations not included in proxy statement: </w:t>
      </w:r>
      <w:r>
        <w:rPr>
          <w:rFonts w:ascii="Arial" w:cs="Arial" w:eastAsia="Arial" w:hAnsi="Arial"/>
          <w:sz w:val="15"/>
          <w:szCs w:val="15"/>
          <w:color w:val="auto"/>
        </w:rPr>
        <w:t>In addition, our bylaws require that we be given</w:t>
      </w:r>
      <w:r>
        <w:rPr>
          <w:rFonts w:ascii="Arial" w:cs="Arial" w:eastAsia="Arial" w:hAnsi="Arial"/>
          <w:sz w:val="15"/>
          <w:szCs w:val="15"/>
          <w:b w:val="1"/>
          <w:bCs w:val="1"/>
          <w:color w:val="auto"/>
        </w:rPr>
        <w:t xml:space="preserve"> </w:t>
      </w:r>
      <w:r>
        <w:rPr>
          <w:rFonts w:ascii="Arial" w:cs="Arial" w:eastAsia="Arial" w:hAnsi="Arial"/>
          <w:sz w:val="15"/>
          <w:szCs w:val="15"/>
          <w:color w:val="auto"/>
        </w:rPr>
        <w:t>advance written notice for nominations for election to our Board of Directors and other matters that shareholders wish to present for action at an annual meeting of shareholders other than those to be included in our proxy statement under Rule 14a-8. The Corporate Secretary must receive such notice at the address noted below not less than 90 days or more than 120 days before the first anniversary of the preceding year’s annual meeting of shareholders. However, if the date of our annual meeting of shareholders is advanced by more than 20 days, or delayed by more than 60 days, from the anniversary date, then we must receive such notice at the address noted below not earlier than the 120th day before such annual meeting and not later than the close of business on the later of (1) the 90th day before such annual meeting and (2) the seventh day after the day on which notice of the meeting date was mailed or public disclosure was made, whichever occurs first. Assuming that the 2023 annual meeting of shareholders is not advanced by more than 20 days nor delayed by more than 60 days from the anniversary date of the Annual Meeting, you would need to give us appropriate notice at the address noted below no earlier than November 9, 2022, and no later than December 9, 2022. If a shareholder does not provide timely notice of a nomination or other matter to be presented at the 2023 annual meeting of shareholders, under Massachusetts law, it may not be brought before our shareholders at a meeting. Our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79</w:t>
      </w:r>
    </w:p>
    <w:p>
      <w:pPr>
        <w:sectPr>
          <w:pgSz w:w="11900" w:h="16838" w:orient="portrait"/>
          <w:cols w:equalWidth="0" w:num="2">
            <w:col w:w="5400" w:space="500"/>
            <w:col w:w="5040"/>
          </w:cols>
          <w:pgMar w:left="320" w:top="447" w:right="63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hyperlink w:anchor="page10">
        <w:r>
          <w:rPr>
            <w:rFonts w:ascii="Arial" w:cs="Arial" w:eastAsia="Arial" w:hAnsi="Arial"/>
            <w:sz w:val="17"/>
            <w:szCs w:val="17"/>
            <w:b w:val="1"/>
            <w:bCs w:val="1"/>
            <w:u w:val="single" w:color="auto"/>
            <w:color w:val="0000EE"/>
          </w:rPr>
          <w:t>Table of Contents</w:t>
        </w:r>
      </w:hyperlink>
    </w:p>
    <w:p>
      <w:pPr>
        <w:spacing w:after="0" w:line="356" w:lineRule="exact"/>
        <w:rPr>
          <w:sz w:val="20"/>
          <w:szCs w:val="20"/>
          <w:color w:val="auto"/>
        </w:rPr>
      </w:pPr>
    </w:p>
    <w:p>
      <w:pPr>
        <w:ind w:left="640" w:right="80"/>
        <w:spacing w:after="0" w:line="281" w:lineRule="auto"/>
        <w:rPr>
          <w:sz w:val="20"/>
          <w:szCs w:val="20"/>
          <w:color w:val="auto"/>
        </w:rPr>
      </w:pPr>
      <w:r>
        <w:rPr>
          <w:rFonts w:ascii="Arial" w:cs="Arial" w:eastAsia="Arial" w:hAnsi="Arial"/>
          <w:sz w:val="16"/>
          <w:szCs w:val="16"/>
          <w:color w:val="auto"/>
        </w:rPr>
        <w:t>also specify requirements relating to the content of the notice that shareholders must provide to the Corporate Secretary of Analog Devices for any matter, including a shareholder proposal or nomination for director, to be properly presented at an annual shareholder meeting. A copy of the full text of our bylaws is on file with the SEC and publicly available on our website.</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Any proposals, nominations or notices should be sent to:</w:t>
      </w:r>
    </w:p>
    <w:p>
      <w:pPr>
        <w:spacing w:after="0" w:line="78" w:lineRule="exact"/>
        <w:rPr>
          <w:sz w:val="20"/>
          <w:szCs w:val="20"/>
          <w:color w:val="auto"/>
        </w:rPr>
      </w:pPr>
    </w:p>
    <w:p>
      <w:pPr>
        <w:ind w:left="640" w:right="400"/>
        <w:spacing w:after="0" w:line="260" w:lineRule="auto"/>
        <w:rPr>
          <w:sz w:val="20"/>
          <w:szCs w:val="20"/>
          <w:color w:val="auto"/>
        </w:rPr>
      </w:pPr>
      <w:r>
        <w:rPr>
          <w:rFonts w:ascii="Arial" w:cs="Arial" w:eastAsia="Arial" w:hAnsi="Arial"/>
          <w:sz w:val="17"/>
          <w:szCs w:val="17"/>
          <w:color w:val="auto"/>
        </w:rPr>
        <w:t>Janene Asgeirsson, Senior Vice President, Chief Legal Officer, Chief Risk Officer and Corporate Secretary Analog Devices, Inc.</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One Analog Way</w:t>
      </w:r>
    </w:p>
    <w:p>
      <w:pPr>
        <w:spacing w:after="0" w:line="1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Wilmington, Massachusetts 01887</w:t>
      </w:r>
    </w:p>
    <w:p>
      <w:pPr>
        <w:spacing w:after="0" w:line="1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Phone: 781-937-1164</w:t>
      </w:r>
    </w:p>
    <w:p>
      <w:pPr>
        <w:spacing w:after="0" w:line="1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Email: janene.asgeirsson@analog.com</w:t>
      </w:r>
    </w:p>
    <w:p>
      <w:pPr>
        <w:spacing w:after="0" w:line="59"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0066BA"/>
        </w:rPr>
        <w:t>Q:What are the costs of soliciting these proxies and who will pay?</w:t>
      </w:r>
    </w:p>
    <w:p>
      <w:pPr>
        <w:spacing w:after="0" w:line="81" w:lineRule="exact"/>
        <w:rPr>
          <w:sz w:val="20"/>
          <w:szCs w:val="20"/>
          <w:color w:val="auto"/>
        </w:rPr>
      </w:pPr>
    </w:p>
    <w:p>
      <w:pPr>
        <w:ind w:left="680" w:hanging="205"/>
        <w:spacing w:after="0" w:line="275" w:lineRule="auto"/>
        <w:tabs>
          <w:tab w:leader="none" w:pos="680" w:val="left"/>
        </w:tabs>
        <w:numPr>
          <w:ilvl w:val="0"/>
          <w:numId w:val="102"/>
        </w:numPr>
        <w:rPr>
          <w:rFonts w:ascii="Arial" w:cs="Arial" w:eastAsia="Arial" w:hAnsi="Arial"/>
          <w:sz w:val="16"/>
          <w:szCs w:val="16"/>
          <w:b w:val="1"/>
          <w:bCs w:val="1"/>
          <w:color w:val="0066BA"/>
        </w:rPr>
      </w:pPr>
      <w:r>
        <w:rPr>
          <w:rFonts w:ascii="Arial" w:cs="Arial" w:eastAsia="Arial" w:hAnsi="Arial"/>
          <w:sz w:val="16"/>
          <w:szCs w:val="16"/>
          <w:color w:val="auto"/>
        </w:rPr>
        <w:t>We will bear the costs of solicitation of proxies. We have engaged Alliance Advisors LLC to assist us with the solicitation of proxies and expect to pay Alliance Advisors approximately $12,500 for their services. In addition to solicitations by mail, Alliance Advisors and our directors, officers and regular employees may solicit proxies by telephone, email and personal interviews without additional remuneration. We will request brokers, custodians and fiduciaries to forward proxy soliciting material to the owners of shares of our common stock that they hold in their names. We will reimburse banks and brokers for their reasonable out-of-pocket expenses incurred in connection with the distribution of our proxy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ind w:left="200" w:right="320" w:hanging="194"/>
        <w:spacing w:after="0" w:line="279" w:lineRule="auto"/>
        <w:rPr>
          <w:sz w:val="20"/>
          <w:szCs w:val="20"/>
          <w:color w:val="auto"/>
        </w:rPr>
      </w:pPr>
      <w:r>
        <w:rPr>
          <w:rFonts w:ascii="Arial" w:cs="Arial" w:eastAsia="Arial" w:hAnsi="Arial"/>
          <w:sz w:val="17"/>
          <w:szCs w:val="17"/>
          <w:b w:val="1"/>
          <w:bCs w:val="1"/>
          <w:color w:val="0066BA"/>
        </w:rPr>
        <w:t>Q:Why did I receive a “Notice of Internet Availability of Proxy Materials” but no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-3641725</wp:posOffset>
            </wp:positionH>
            <wp:positionV relativeFrom="paragraph">
              <wp:posOffset>-829945</wp:posOffset>
            </wp:positionV>
            <wp:extent cx="7179310" cy="3746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p>
    <w:p>
      <w:pPr>
        <w:ind w:left="200" w:right="20" w:hanging="193"/>
        <w:spacing w:after="0" w:line="277" w:lineRule="auto"/>
        <w:tabs>
          <w:tab w:leader="none" w:pos="200" w:val="left"/>
        </w:tabs>
        <w:numPr>
          <w:ilvl w:val="0"/>
          <w:numId w:val="103"/>
        </w:numPr>
        <w:rPr>
          <w:rFonts w:ascii="Arial" w:cs="Arial" w:eastAsia="Arial" w:hAnsi="Arial"/>
          <w:sz w:val="16"/>
          <w:szCs w:val="16"/>
          <w:b w:val="1"/>
          <w:bCs w:val="1"/>
          <w:color w:val="0066BA"/>
        </w:rPr>
      </w:pPr>
      <w:r>
        <w:rPr>
          <w:rFonts w:ascii="Arial" w:cs="Arial" w:eastAsia="Arial" w:hAnsi="Arial"/>
          <w:sz w:val="16"/>
          <w:szCs w:val="16"/>
          <w:color w:val="auto"/>
        </w:rPr>
        <w:t>We are distributing our proxy materials to shareholders via the Internet under the “Notice and Access” approach permitted by the rules of the SEC. This approach expedites shareholders’ receipt of proxy materials while conserving natural resources and reducing our distribution costs. On or about January 21, 2022, we mailed a Notice of Internet Availability of Proxy Materials to participating shareholders containing instructions on how to access the proxy materials on the Internet, and if desired, to request to receive a paper copy of our proxy materials by mail.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0066BA"/>
        </w:rPr>
        <w:t>Q:How can I obtain an Annual Report on Form 10-K?</w:t>
      </w:r>
    </w:p>
    <w:p>
      <w:pPr>
        <w:spacing w:after="0" w:line="58" w:lineRule="exact"/>
        <w:rPr>
          <w:sz w:val="20"/>
          <w:szCs w:val="20"/>
          <w:color w:val="auto"/>
        </w:rPr>
      </w:pPr>
    </w:p>
    <w:p>
      <w:pPr>
        <w:ind w:left="200" w:hanging="193"/>
        <w:spacing w:after="0" w:line="263" w:lineRule="auto"/>
        <w:tabs>
          <w:tab w:leader="none" w:pos="200" w:val="left"/>
        </w:tabs>
        <w:numPr>
          <w:ilvl w:val="0"/>
          <w:numId w:val="104"/>
        </w:numPr>
        <w:rPr>
          <w:rFonts w:ascii="Arial" w:cs="Arial" w:eastAsia="Arial" w:hAnsi="Arial"/>
          <w:sz w:val="17"/>
          <w:szCs w:val="17"/>
          <w:b w:val="1"/>
          <w:bCs w:val="1"/>
          <w:color w:val="0066BA"/>
        </w:rPr>
      </w:pPr>
      <w:r>
        <w:rPr>
          <w:rFonts w:ascii="Arial" w:cs="Arial" w:eastAsia="Arial" w:hAnsi="Arial"/>
          <w:sz w:val="17"/>
          <w:szCs w:val="17"/>
          <w:color w:val="auto"/>
        </w:rPr>
        <w:t>Our Annual Report on Form 10-K for the fiscal year ended October 30, 2021 is available on our website at www.analog.com. If you would like a copy of our Annual Report on Form 10-K for fiscal 2021 and/or any of its exhibits, we will send you such materials without charge. Please contact:</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Investor Relations Department</w:t>
      </w:r>
    </w:p>
    <w:p>
      <w:pPr>
        <w:spacing w:after="0" w:line="2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Analog Devices, Inc.</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One Analog Way</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Wilmington, Massachusetts 01887</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Phone: 781-461-3282</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Email: investor.relations@analog.com</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0066BA"/>
        </w:rPr>
        <w:t>Q:Whom should I contact if I have any questions?</w:t>
      </w:r>
    </w:p>
    <w:p>
      <w:pPr>
        <w:spacing w:after="0" w:line="58" w:lineRule="exact"/>
        <w:rPr>
          <w:sz w:val="20"/>
          <w:szCs w:val="20"/>
          <w:color w:val="auto"/>
        </w:rPr>
      </w:pPr>
    </w:p>
    <w:p>
      <w:pPr>
        <w:ind w:left="200" w:right="280" w:hanging="193"/>
        <w:spacing w:after="0" w:line="265" w:lineRule="auto"/>
        <w:tabs>
          <w:tab w:leader="none" w:pos="200" w:val="left"/>
        </w:tabs>
        <w:numPr>
          <w:ilvl w:val="0"/>
          <w:numId w:val="105"/>
        </w:numPr>
        <w:rPr>
          <w:rFonts w:ascii="Arial" w:cs="Arial" w:eastAsia="Arial" w:hAnsi="Arial"/>
          <w:sz w:val="17"/>
          <w:szCs w:val="17"/>
          <w:b w:val="1"/>
          <w:bCs w:val="1"/>
          <w:color w:val="0066BA"/>
        </w:rPr>
      </w:pPr>
      <w:r>
        <w:rPr>
          <w:rFonts w:ascii="Arial" w:cs="Arial" w:eastAsia="Arial" w:hAnsi="Arial"/>
          <w:sz w:val="17"/>
          <w:szCs w:val="17"/>
          <w:color w:val="auto"/>
        </w:rPr>
        <w:t>If you have any questions about the Annual Meeting or your ownership of our common stock, please contact our Investor Relations Department, at the address, telephone number or email address listed above.</w:t>
      </w:r>
    </w:p>
    <w:p>
      <w:pPr>
        <w:sectPr>
          <w:pgSz w:w="11900" w:h="16838" w:orient="portrait"/>
          <w:cols w:equalWidth="0" w:num="2">
            <w:col w:w="5400" w:space="320"/>
            <w:col w:w="4980"/>
          </w:cols>
          <w:pgMar w:left="320" w:top="447" w:right="87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52" w:lineRule="exact"/>
        <w:rPr>
          <w:sz w:val="20"/>
          <w:szCs w:val="20"/>
          <w:color w:val="auto"/>
        </w:rPr>
      </w:pPr>
    </w:p>
    <w:p>
      <w:pPr>
        <w:ind w:left="480"/>
        <w:spacing w:after="0"/>
        <w:rPr>
          <w:sz w:val="20"/>
          <w:szCs w:val="20"/>
          <w:color w:val="auto"/>
        </w:rPr>
      </w:pPr>
      <w:r>
        <w:rPr>
          <w:sz w:val="1"/>
          <w:szCs w:val="1"/>
          <w:color w:val="auto"/>
        </w:rPr>
        <w:drawing>
          <wp:inline distT="0" distB="0" distL="0" distR="0">
            <wp:extent cx="255905" cy="255905"/>
            <wp:effectExtent l="0" t="0" r="0" b="0"/>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55905" cy="255905"/>
                    </a:xfrm>
                    <a:prstGeom prst="rect">
                      <a:avLst/>
                    </a:prstGeom>
                    <a:noFill/>
                    <a:ln>
                      <a:noFill/>
                    </a:ln>
                  </pic:spPr>
                </pic:pic>
              </a:graphicData>
            </a:graphic>
          </wp:inline>
        </w:drawing>
      </w:r>
      <w:r>
        <w:rPr>
          <w:rFonts w:ascii="Arial" w:cs="Arial" w:eastAsia="Arial" w:hAnsi="Arial"/>
          <w:sz w:val="55"/>
          <w:szCs w:val="55"/>
          <w:b w:val="1"/>
          <w:bCs w:val="1"/>
          <w:color w:val="333333"/>
        </w:rPr>
        <w:t xml:space="preserve"> Additional Information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33333"/>
        </w:rPr>
        <w:t>Householding of Annual Meeting Materials</w:t>
      </w:r>
    </w:p>
    <w:p>
      <w:pPr>
        <w:spacing w:after="0" w:line="125" w:lineRule="exact"/>
        <w:rPr>
          <w:sz w:val="20"/>
          <w:szCs w:val="20"/>
          <w:color w:val="auto"/>
        </w:rPr>
      </w:pPr>
    </w:p>
    <w:p>
      <w:pPr>
        <w:ind w:left="480" w:right="240"/>
        <w:spacing w:after="0" w:line="259" w:lineRule="auto"/>
        <w:rPr>
          <w:sz w:val="20"/>
          <w:szCs w:val="20"/>
          <w:color w:val="auto"/>
        </w:rPr>
      </w:pPr>
      <w:r>
        <w:rPr>
          <w:rFonts w:ascii="Arial" w:cs="Arial" w:eastAsia="Arial" w:hAnsi="Arial"/>
          <w:sz w:val="17"/>
          <w:szCs w:val="17"/>
          <w:color w:val="auto"/>
        </w:rPr>
        <w:t>Some banks, brokers and other nominee record holders may be participating in the practice of “householding” proxy statements and annual reports. This means that only one copy of our proxy statement and annual report to shareholders may have been sent to multiple shareholders in your household unless we have received contrary instructions from one or more shareholders. We will promptly deliver a separate copy of either document to you if you contact us at the following address, telephone number or email address: Investor Relations Department, Analog Devices, Inc., One Analog Way, Wilmington, Massachusetts 01887, telephone: 781-461-3282, email: investor.relations@analog.com. If you want to receive separate copies of the proxy statement or annual report to shareholders in the future, or if you are receiving multiple copies and would like to receive only one copy per household, you should contact your bank, broker, or other nominee record holder, or you may contact us at the above address, telephone number or email address.</w:t>
      </w:r>
    </w:p>
    <w:p>
      <w:pPr>
        <w:spacing w:after="0" w:line="165"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33333"/>
        </w:rPr>
        <w:t>Security Ownership Of Certain Beneficial Owners</w:t>
      </w:r>
    </w:p>
    <w:p>
      <w:pPr>
        <w:spacing w:after="0" w:line="125" w:lineRule="exact"/>
        <w:rPr>
          <w:sz w:val="20"/>
          <w:szCs w:val="20"/>
          <w:color w:val="auto"/>
        </w:rPr>
      </w:pPr>
    </w:p>
    <w:p>
      <w:pPr>
        <w:ind w:left="480" w:right="400"/>
        <w:spacing w:after="0" w:line="286" w:lineRule="auto"/>
        <w:rPr>
          <w:sz w:val="20"/>
          <w:szCs w:val="20"/>
          <w:color w:val="auto"/>
        </w:rPr>
      </w:pPr>
      <w:r>
        <w:rPr>
          <w:rFonts w:ascii="Arial" w:cs="Arial" w:eastAsia="Arial" w:hAnsi="Arial"/>
          <w:sz w:val="17"/>
          <w:szCs w:val="17"/>
          <w:color w:val="auto"/>
        </w:rPr>
        <w:t>The following table lists information about those holders known to Analog Devices to be the beneficial owners of 5% or more of our outstanding shares of common stock as of January 7, 2022:</w:t>
      </w:r>
    </w:p>
    <w:p>
      <w:pPr>
        <w:spacing w:after="0" w:line="197" w:lineRule="exact"/>
        <w:rPr>
          <w:sz w:val="20"/>
          <w:szCs w:val="20"/>
          <w:color w:val="auto"/>
        </w:rPr>
      </w:pPr>
    </w:p>
    <w:tbl>
      <w:tblPr>
        <w:tblLayout w:type="fixed"/>
        <w:tblInd w:w="480" w:type="dxa"/>
        <w:tblCellMar>
          <w:top w:w="0" w:type="dxa"/>
          <w:left w:w="0" w:type="dxa"/>
          <w:bottom w:w="0" w:type="dxa"/>
          <w:right w:w="0" w:type="dxa"/>
        </w:tblCellMar>
      </w:tblPr>
      <w:tr>
        <w:trPr>
          <w:trHeight w:val="171"/>
        </w:trPr>
        <w:tc>
          <w:tcPr>
            <w:tcW w:w="4300" w:type="dxa"/>
            <w:vAlign w:val="bottom"/>
            <w:shd w:val="clear" w:color="auto" w:fill="EAEAEA"/>
          </w:tcPr>
          <w:p>
            <w:pPr>
              <w:ind w:left="60"/>
              <w:spacing w:after="0"/>
              <w:rPr>
                <w:sz w:val="20"/>
                <w:szCs w:val="20"/>
                <w:color w:val="auto"/>
              </w:rPr>
            </w:pPr>
            <w:r>
              <w:rPr>
                <w:rFonts w:ascii="Arial" w:cs="Arial" w:eastAsia="Arial" w:hAnsi="Arial"/>
                <w:sz w:val="14"/>
                <w:szCs w:val="14"/>
                <w:b w:val="1"/>
                <w:bCs w:val="1"/>
                <w:color w:val="auto"/>
              </w:rPr>
              <w:t>Name and Address of Beneficial Owner</w:t>
            </w:r>
          </w:p>
        </w:tc>
        <w:tc>
          <w:tcPr>
            <w:tcW w:w="3240" w:type="dxa"/>
            <w:vAlign w:val="bottom"/>
            <w:shd w:val="clear" w:color="auto" w:fill="EAEAEA"/>
          </w:tcPr>
          <w:p>
            <w:pPr>
              <w:jc w:val="right"/>
              <w:ind w:right="564"/>
              <w:spacing w:after="0"/>
              <w:rPr>
                <w:sz w:val="20"/>
                <w:szCs w:val="20"/>
                <w:color w:val="auto"/>
              </w:rPr>
            </w:pPr>
            <w:r>
              <w:rPr>
                <w:rFonts w:ascii="Arial" w:cs="Arial" w:eastAsia="Arial" w:hAnsi="Arial"/>
                <w:sz w:val="14"/>
                <w:szCs w:val="14"/>
                <w:b w:val="1"/>
                <w:bCs w:val="1"/>
                <w:color w:val="auto"/>
              </w:rPr>
              <w:t>Shares Beneficially Owned</w:t>
            </w:r>
          </w:p>
        </w:tc>
        <w:tc>
          <w:tcPr>
            <w:tcW w:w="2740" w:type="dxa"/>
            <w:vAlign w:val="bottom"/>
            <w:shd w:val="clear" w:color="auto" w:fill="EAEAEA"/>
          </w:tcPr>
          <w:p>
            <w:pPr>
              <w:jc w:val="right"/>
              <w:ind w:right="285"/>
              <w:spacing w:after="0"/>
              <w:rPr>
                <w:sz w:val="20"/>
                <w:szCs w:val="20"/>
                <w:color w:val="auto"/>
              </w:rPr>
            </w:pPr>
            <w:r>
              <w:rPr>
                <w:rFonts w:ascii="Arial" w:cs="Arial" w:eastAsia="Arial" w:hAnsi="Arial"/>
                <w:sz w:val="14"/>
                <w:szCs w:val="14"/>
                <w:b w:val="1"/>
                <w:bCs w:val="1"/>
                <w:color w:val="auto"/>
              </w:rPr>
              <w:t>Percent of Common Stock</w:t>
            </w:r>
          </w:p>
        </w:tc>
      </w:tr>
      <w:tr>
        <w:trPr>
          <w:trHeight w:val="168"/>
        </w:trPr>
        <w:tc>
          <w:tcPr>
            <w:tcW w:w="4300" w:type="dxa"/>
            <w:vAlign w:val="bottom"/>
            <w:shd w:val="clear" w:color="auto" w:fill="EAEAEA"/>
          </w:tcPr>
          <w:p>
            <w:pPr>
              <w:spacing w:after="0"/>
              <w:rPr>
                <w:sz w:val="14"/>
                <w:szCs w:val="14"/>
                <w:color w:val="auto"/>
              </w:rPr>
            </w:pPr>
          </w:p>
        </w:tc>
        <w:tc>
          <w:tcPr>
            <w:tcW w:w="3240" w:type="dxa"/>
            <w:vAlign w:val="bottom"/>
            <w:shd w:val="clear" w:color="auto" w:fill="EAEAEA"/>
          </w:tcPr>
          <w:p>
            <w:pPr>
              <w:spacing w:after="0"/>
              <w:rPr>
                <w:sz w:val="14"/>
                <w:szCs w:val="14"/>
                <w:color w:val="auto"/>
              </w:rPr>
            </w:pPr>
          </w:p>
        </w:tc>
        <w:tc>
          <w:tcPr>
            <w:tcW w:w="2740" w:type="dxa"/>
            <w:vAlign w:val="bottom"/>
            <w:shd w:val="clear" w:color="auto" w:fill="EAEAEA"/>
          </w:tcPr>
          <w:p>
            <w:pPr>
              <w:jc w:val="right"/>
              <w:ind w:right="285"/>
              <w:spacing w:after="0"/>
              <w:rPr>
                <w:sz w:val="20"/>
                <w:szCs w:val="20"/>
                <w:color w:val="auto"/>
              </w:rPr>
            </w:pPr>
            <w:r>
              <w:rPr>
                <w:rFonts w:ascii="Arial" w:cs="Arial" w:eastAsia="Arial" w:hAnsi="Arial"/>
                <w:sz w:val="14"/>
                <w:szCs w:val="14"/>
                <w:b w:val="1"/>
                <w:bCs w:val="1"/>
                <w:color w:val="auto"/>
              </w:rPr>
              <w:t>Beneficially Owned (1)</w:t>
            </w:r>
          </w:p>
        </w:tc>
      </w:tr>
      <w:tr>
        <w:trPr>
          <w:trHeight w:val="195"/>
        </w:trPr>
        <w:tc>
          <w:tcPr>
            <w:tcW w:w="43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5% Shareholders:</w:t>
            </w:r>
          </w:p>
        </w:tc>
        <w:tc>
          <w:tcPr>
            <w:tcW w:w="32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r>
        <w:trPr>
          <w:trHeight w:val="178"/>
        </w:trPr>
        <w:tc>
          <w:tcPr>
            <w:tcW w:w="4300" w:type="dxa"/>
            <w:vAlign w:val="bottom"/>
          </w:tcPr>
          <w:p>
            <w:pPr>
              <w:ind w:left="140"/>
              <w:spacing w:after="0" w:line="178" w:lineRule="exact"/>
              <w:rPr>
                <w:sz w:val="20"/>
                <w:szCs w:val="20"/>
                <w:color w:val="auto"/>
              </w:rPr>
            </w:pPr>
            <w:r>
              <w:rPr>
                <w:rFonts w:ascii="Arial" w:cs="Arial" w:eastAsia="Arial" w:hAnsi="Arial"/>
                <w:sz w:val="16"/>
                <w:szCs w:val="16"/>
                <w:color w:val="auto"/>
              </w:rPr>
              <w:t>Vanguard Group Inc.(2)</w:t>
            </w:r>
          </w:p>
        </w:tc>
        <w:tc>
          <w:tcPr>
            <w:tcW w:w="3240" w:type="dxa"/>
            <w:vAlign w:val="bottom"/>
          </w:tcPr>
          <w:p>
            <w:pPr>
              <w:spacing w:after="0"/>
              <w:rPr>
                <w:sz w:val="15"/>
                <w:szCs w:val="15"/>
                <w:color w:val="auto"/>
              </w:rPr>
            </w:pPr>
          </w:p>
        </w:tc>
        <w:tc>
          <w:tcPr>
            <w:tcW w:w="2740" w:type="dxa"/>
            <w:vAlign w:val="bottom"/>
          </w:tcPr>
          <w:p>
            <w:pPr>
              <w:spacing w:after="0"/>
              <w:rPr>
                <w:sz w:val="15"/>
                <w:szCs w:val="15"/>
                <w:color w:val="auto"/>
              </w:rPr>
            </w:pPr>
          </w:p>
        </w:tc>
      </w:tr>
      <w:tr>
        <w:trPr>
          <w:trHeight w:val="195"/>
        </w:trPr>
        <w:tc>
          <w:tcPr>
            <w:tcW w:w="4300" w:type="dxa"/>
            <w:vAlign w:val="bottom"/>
          </w:tcPr>
          <w:p>
            <w:pPr>
              <w:ind w:left="140"/>
              <w:spacing w:after="0"/>
              <w:rPr>
                <w:sz w:val="20"/>
                <w:szCs w:val="20"/>
                <w:color w:val="auto"/>
              </w:rPr>
            </w:pPr>
            <w:r>
              <w:rPr>
                <w:rFonts w:ascii="Arial" w:cs="Arial" w:eastAsia="Arial" w:hAnsi="Arial"/>
                <w:sz w:val="16"/>
                <w:szCs w:val="16"/>
                <w:color w:val="auto"/>
              </w:rPr>
              <w:t>PO Box 2600</w:t>
            </w:r>
          </w:p>
        </w:tc>
        <w:tc>
          <w:tcPr>
            <w:tcW w:w="324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202"/>
        </w:trPr>
        <w:tc>
          <w:tcPr>
            <w:tcW w:w="43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Valley Forge, Pennsylvania 19482</w:t>
            </w:r>
          </w:p>
        </w:tc>
        <w:tc>
          <w:tcPr>
            <w:tcW w:w="3240" w:type="dxa"/>
            <w:vAlign w:val="bottom"/>
            <w:tcBorders>
              <w:bottom w:val="single" w:sz="8" w:color="auto"/>
            </w:tcBorders>
          </w:tcPr>
          <w:p>
            <w:pPr>
              <w:jc w:val="right"/>
              <w:ind w:right="564"/>
              <w:spacing w:after="0"/>
              <w:rPr>
                <w:sz w:val="20"/>
                <w:szCs w:val="20"/>
                <w:color w:val="auto"/>
              </w:rPr>
            </w:pPr>
            <w:r>
              <w:rPr>
                <w:rFonts w:ascii="Arial" w:cs="Arial" w:eastAsia="Arial" w:hAnsi="Arial"/>
                <w:sz w:val="16"/>
                <w:szCs w:val="16"/>
                <w:color w:val="auto"/>
              </w:rPr>
              <w:t>45,832,256</w:t>
            </w:r>
          </w:p>
        </w:tc>
        <w:tc>
          <w:tcPr>
            <w:tcW w:w="2740" w:type="dxa"/>
            <w:vAlign w:val="bottom"/>
            <w:tcBorders>
              <w:bottom w:val="single" w:sz="8" w:color="auto"/>
            </w:tcBorders>
          </w:tcPr>
          <w:p>
            <w:pPr>
              <w:jc w:val="right"/>
              <w:ind w:right="285"/>
              <w:spacing w:after="0"/>
              <w:rPr>
                <w:sz w:val="20"/>
                <w:szCs w:val="20"/>
                <w:color w:val="auto"/>
              </w:rPr>
            </w:pPr>
            <w:r>
              <w:rPr>
                <w:rFonts w:ascii="Arial" w:cs="Arial" w:eastAsia="Arial" w:hAnsi="Arial"/>
                <w:sz w:val="16"/>
                <w:szCs w:val="16"/>
                <w:color w:val="auto"/>
              </w:rPr>
              <w:t>8.7%</w:t>
            </w:r>
          </w:p>
        </w:tc>
      </w:tr>
      <w:tr>
        <w:trPr>
          <w:trHeight w:val="181"/>
        </w:trPr>
        <w:tc>
          <w:tcPr>
            <w:tcW w:w="4300" w:type="dxa"/>
            <w:vAlign w:val="bottom"/>
          </w:tcPr>
          <w:p>
            <w:pPr>
              <w:ind w:left="140"/>
              <w:spacing w:after="0" w:line="181" w:lineRule="exact"/>
              <w:rPr>
                <w:sz w:val="20"/>
                <w:szCs w:val="20"/>
                <w:color w:val="auto"/>
              </w:rPr>
            </w:pPr>
            <w:r>
              <w:rPr>
                <w:rFonts w:ascii="Arial" w:cs="Arial" w:eastAsia="Arial" w:hAnsi="Arial"/>
                <w:sz w:val="16"/>
                <w:szCs w:val="16"/>
                <w:color w:val="auto"/>
              </w:rPr>
              <w:t>BlackRock Inc.(3)</w:t>
            </w:r>
          </w:p>
        </w:tc>
        <w:tc>
          <w:tcPr>
            <w:tcW w:w="3240" w:type="dxa"/>
            <w:vAlign w:val="bottom"/>
          </w:tcPr>
          <w:p>
            <w:pPr>
              <w:spacing w:after="0"/>
              <w:rPr>
                <w:sz w:val="15"/>
                <w:szCs w:val="15"/>
                <w:color w:val="auto"/>
              </w:rPr>
            </w:pPr>
          </w:p>
        </w:tc>
        <w:tc>
          <w:tcPr>
            <w:tcW w:w="2740" w:type="dxa"/>
            <w:vAlign w:val="bottom"/>
          </w:tcPr>
          <w:p>
            <w:pPr>
              <w:spacing w:after="0"/>
              <w:rPr>
                <w:sz w:val="15"/>
                <w:szCs w:val="15"/>
                <w:color w:val="auto"/>
              </w:rPr>
            </w:pPr>
          </w:p>
        </w:tc>
      </w:tr>
      <w:tr>
        <w:trPr>
          <w:trHeight w:val="195"/>
        </w:trPr>
        <w:tc>
          <w:tcPr>
            <w:tcW w:w="4300" w:type="dxa"/>
            <w:vAlign w:val="bottom"/>
          </w:tcPr>
          <w:p>
            <w:pPr>
              <w:ind w:left="140"/>
              <w:spacing w:after="0"/>
              <w:rPr>
                <w:sz w:val="20"/>
                <w:szCs w:val="20"/>
                <w:color w:val="auto"/>
              </w:rPr>
            </w:pPr>
            <w:r>
              <w:rPr>
                <w:rFonts w:ascii="Arial" w:cs="Arial" w:eastAsia="Arial" w:hAnsi="Arial"/>
                <w:sz w:val="16"/>
                <w:szCs w:val="16"/>
                <w:color w:val="auto"/>
              </w:rPr>
              <w:t>55 East 52nd Street</w:t>
            </w:r>
          </w:p>
        </w:tc>
        <w:tc>
          <w:tcPr>
            <w:tcW w:w="324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202"/>
        </w:trPr>
        <w:tc>
          <w:tcPr>
            <w:tcW w:w="43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New York, New York 10055</w:t>
            </w:r>
          </w:p>
        </w:tc>
        <w:tc>
          <w:tcPr>
            <w:tcW w:w="3240" w:type="dxa"/>
            <w:vAlign w:val="bottom"/>
            <w:tcBorders>
              <w:bottom w:val="single" w:sz="8" w:color="auto"/>
            </w:tcBorders>
          </w:tcPr>
          <w:p>
            <w:pPr>
              <w:jc w:val="right"/>
              <w:ind w:right="564"/>
              <w:spacing w:after="0"/>
              <w:rPr>
                <w:sz w:val="20"/>
                <w:szCs w:val="20"/>
                <w:color w:val="auto"/>
              </w:rPr>
            </w:pPr>
            <w:r>
              <w:rPr>
                <w:rFonts w:ascii="Arial" w:cs="Arial" w:eastAsia="Arial" w:hAnsi="Arial"/>
                <w:sz w:val="16"/>
                <w:szCs w:val="16"/>
                <w:color w:val="auto"/>
              </w:rPr>
              <w:t>43,693,296</w:t>
            </w:r>
          </w:p>
        </w:tc>
        <w:tc>
          <w:tcPr>
            <w:tcW w:w="2740" w:type="dxa"/>
            <w:vAlign w:val="bottom"/>
            <w:tcBorders>
              <w:bottom w:val="single" w:sz="8" w:color="auto"/>
            </w:tcBorders>
          </w:tcPr>
          <w:p>
            <w:pPr>
              <w:jc w:val="right"/>
              <w:ind w:right="285"/>
              <w:spacing w:after="0"/>
              <w:rPr>
                <w:sz w:val="20"/>
                <w:szCs w:val="20"/>
                <w:color w:val="auto"/>
              </w:rPr>
            </w:pPr>
            <w:r>
              <w:rPr>
                <w:rFonts w:ascii="Arial" w:cs="Arial" w:eastAsia="Arial" w:hAnsi="Arial"/>
                <w:sz w:val="16"/>
                <w:szCs w:val="16"/>
                <w:color w:val="auto"/>
              </w:rPr>
              <w:t>8.3%</w:t>
            </w:r>
          </w:p>
        </w:tc>
      </w:tr>
      <w:tr>
        <w:trPr>
          <w:trHeight w:val="181"/>
        </w:trPr>
        <w:tc>
          <w:tcPr>
            <w:tcW w:w="4300" w:type="dxa"/>
            <w:vAlign w:val="bottom"/>
          </w:tcPr>
          <w:p>
            <w:pPr>
              <w:ind w:left="140"/>
              <w:spacing w:after="0" w:line="181" w:lineRule="exact"/>
              <w:rPr>
                <w:sz w:val="20"/>
                <w:szCs w:val="20"/>
                <w:color w:val="auto"/>
              </w:rPr>
            </w:pPr>
            <w:r>
              <w:rPr>
                <w:rFonts w:ascii="Arial" w:cs="Arial" w:eastAsia="Arial" w:hAnsi="Arial"/>
                <w:sz w:val="16"/>
                <w:szCs w:val="16"/>
                <w:color w:val="auto"/>
              </w:rPr>
              <w:t>JPMorgan Chase &amp; Co.(4)</w:t>
            </w:r>
          </w:p>
        </w:tc>
        <w:tc>
          <w:tcPr>
            <w:tcW w:w="3240" w:type="dxa"/>
            <w:vAlign w:val="bottom"/>
          </w:tcPr>
          <w:p>
            <w:pPr>
              <w:spacing w:after="0"/>
              <w:rPr>
                <w:sz w:val="15"/>
                <w:szCs w:val="15"/>
                <w:color w:val="auto"/>
              </w:rPr>
            </w:pPr>
          </w:p>
        </w:tc>
        <w:tc>
          <w:tcPr>
            <w:tcW w:w="2740" w:type="dxa"/>
            <w:vAlign w:val="bottom"/>
          </w:tcPr>
          <w:p>
            <w:pPr>
              <w:spacing w:after="0"/>
              <w:rPr>
                <w:sz w:val="15"/>
                <w:szCs w:val="15"/>
                <w:color w:val="auto"/>
              </w:rPr>
            </w:pPr>
          </w:p>
        </w:tc>
      </w:tr>
      <w:tr>
        <w:trPr>
          <w:trHeight w:val="195"/>
        </w:trPr>
        <w:tc>
          <w:tcPr>
            <w:tcW w:w="4300" w:type="dxa"/>
            <w:vAlign w:val="bottom"/>
          </w:tcPr>
          <w:p>
            <w:pPr>
              <w:ind w:left="140"/>
              <w:spacing w:after="0"/>
              <w:rPr>
                <w:sz w:val="20"/>
                <w:szCs w:val="20"/>
                <w:color w:val="auto"/>
              </w:rPr>
            </w:pPr>
            <w:r>
              <w:rPr>
                <w:rFonts w:ascii="Arial" w:cs="Arial" w:eastAsia="Arial" w:hAnsi="Arial"/>
                <w:sz w:val="16"/>
                <w:szCs w:val="16"/>
                <w:color w:val="auto"/>
              </w:rPr>
              <w:t>383 Madison Avenue</w:t>
            </w:r>
          </w:p>
        </w:tc>
        <w:tc>
          <w:tcPr>
            <w:tcW w:w="3240" w:type="dxa"/>
            <w:vAlign w:val="bottom"/>
          </w:tcPr>
          <w:p>
            <w:pPr>
              <w:spacing w:after="0"/>
              <w:rPr>
                <w:sz w:val="16"/>
                <w:szCs w:val="16"/>
                <w:color w:val="auto"/>
              </w:rPr>
            </w:pPr>
          </w:p>
        </w:tc>
        <w:tc>
          <w:tcPr>
            <w:tcW w:w="2740" w:type="dxa"/>
            <w:vAlign w:val="bottom"/>
          </w:tcPr>
          <w:p>
            <w:pPr>
              <w:spacing w:after="0"/>
              <w:rPr>
                <w:sz w:val="16"/>
                <w:szCs w:val="16"/>
                <w:color w:val="auto"/>
              </w:rPr>
            </w:pPr>
          </w:p>
        </w:tc>
      </w:tr>
      <w:tr>
        <w:trPr>
          <w:trHeight w:val="202"/>
        </w:trPr>
        <w:tc>
          <w:tcPr>
            <w:tcW w:w="43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New York, New York 10179</w:t>
            </w:r>
          </w:p>
        </w:tc>
        <w:tc>
          <w:tcPr>
            <w:tcW w:w="3240" w:type="dxa"/>
            <w:vAlign w:val="bottom"/>
            <w:tcBorders>
              <w:bottom w:val="single" w:sz="8" w:color="auto"/>
            </w:tcBorders>
          </w:tcPr>
          <w:p>
            <w:pPr>
              <w:jc w:val="right"/>
              <w:ind w:right="564"/>
              <w:spacing w:after="0"/>
              <w:rPr>
                <w:sz w:val="20"/>
                <w:szCs w:val="20"/>
                <w:color w:val="auto"/>
              </w:rPr>
            </w:pPr>
            <w:r>
              <w:rPr>
                <w:rFonts w:ascii="Arial" w:cs="Arial" w:eastAsia="Arial" w:hAnsi="Arial"/>
                <w:sz w:val="16"/>
                <w:szCs w:val="16"/>
                <w:color w:val="auto"/>
              </w:rPr>
              <w:t>27,687,671</w:t>
            </w:r>
          </w:p>
        </w:tc>
        <w:tc>
          <w:tcPr>
            <w:tcW w:w="2740" w:type="dxa"/>
            <w:vAlign w:val="bottom"/>
            <w:tcBorders>
              <w:bottom w:val="single" w:sz="8" w:color="auto"/>
            </w:tcBorders>
          </w:tcPr>
          <w:p>
            <w:pPr>
              <w:jc w:val="right"/>
              <w:ind w:right="285"/>
              <w:spacing w:after="0"/>
              <w:rPr>
                <w:sz w:val="20"/>
                <w:szCs w:val="20"/>
                <w:color w:val="auto"/>
              </w:rPr>
            </w:pPr>
            <w:r>
              <w:rPr>
                <w:rFonts w:ascii="Arial" w:cs="Arial" w:eastAsia="Arial" w:hAnsi="Arial"/>
                <w:sz w:val="16"/>
                <w:szCs w:val="16"/>
                <w:color w:val="auto"/>
              </w:rPr>
              <w:t>5.3%</w:t>
            </w:r>
          </w:p>
        </w:tc>
      </w:tr>
    </w:tbl>
    <w:p>
      <w:pPr>
        <w:spacing w:after="0" w:line="50" w:lineRule="exact"/>
        <w:rPr>
          <w:sz w:val="20"/>
          <w:szCs w:val="20"/>
          <w:color w:val="auto"/>
        </w:rPr>
      </w:pPr>
    </w:p>
    <w:p>
      <w:pPr>
        <w:ind w:left="680" w:right="620" w:hanging="205"/>
        <w:spacing w:after="0" w:line="262" w:lineRule="auto"/>
        <w:tabs>
          <w:tab w:leader="none" w:pos="680" w:val="left"/>
        </w:tabs>
        <w:numPr>
          <w:ilvl w:val="0"/>
          <w:numId w:val="106"/>
        </w:numPr>
        <w:rPr>
          <w:rFonts w:ascii="Arial" w:cs="Arial" w:eastAsia="Arial" w:hAnsi="Arial"/>
          <w:sz w:val="13"/>
          <w:szCs w:val="13"/>
          <w:i w:val="1"/>
          <w:iCs w:val="1"/>
          <w:color w:val="auto"/>
        </w:rPr>
      </w:pPr>
      <w:r>
        <w:rPr>
          <w:rFonts w:ascii="Arial" w:cs="Arial" w:eastAsia="Arial" w:hAnsi="Arial"/>
          <w:sz w:val="13"/>
          <w:szCs w:val="13"/>
          <w:i w:val="1"/>
          <w:iCs w:val="1"/>
          <w:color w:val="auto"/>
        </w:rPr>
        <w:t>The percent ownership for each shareholder on January 7, 2022 is calculated by dividing (1) the total number of shares beneficially owned by the shareholder by (2) the number of shares of our common stock outstanding on January 7, 2022 (525,775,253 shares).</w:t>
      </w:r>
    </w:p>
    <w:p>
      <w:pPr>
        <w:spacing w:after="0" w:line="24" w:lineRule="exact"/>
        <w:rPr>
          <w:rFonts w:ascii="Arial" w:cs="Arial" w:eastAsia="Arial" w:hAnsi="Arial"/>
          <w:sz w:val="13"/>
          <w:szCs w:val="13"/>
          <w:i w:val="1"/>
          <w:iCs w:val="1"/>
          <w:color w:val="auto"/>
        </w:rPr>
      </w:pPr>
    </w:p>
    <w:p>
      <w:pPr>
        <w:ind w:left="680" w:right="240" w:hanging="205"/>
        <w:spacing w:after="0" w:line="245" w:lineRule="auto"/>
        <w:tabs>
          <w:tab w:leader="none" w:pos="680" w:val="left"/>
        </w:tabs>
        <w:numPr>
          <w:ilvl w:val="0"/>
          <w:numId w:val="106"/>
        </w:numPr>
        <w:rPr>
          <w:rFonts w:ascii="Arial" w:cs="Arial" w:eastAsia="Arial" w:hAnsi="Arial"/>
          <w:sz w:val="13"/>
          <w:szCs w:val="13"/>
          <w:i w:val="1"/>
          <w:iCs w:val="1"/>
          <w:color w:val="auto"/>
        </w:rPr>
      </w:pPr>
      <w:r>
        <w:rPr>
          <w:rFonts w:ascii="Arial" w:cs="Arial" w:eastAsia="Arial" w:hAnsi="Arial"/>
          <w:sz w:val="13"/>
          <w:szCs w:val="13"/>
          <w:i w:val="1"/>
          <w:iCs w:val="1"/>
          <w:color w:val="auto"/>
        </w:rPr>
        <w:t>Based solely on a Form 13F-HR filed by Vanguard Group Inc. on November 12, 2021 reporting stock ownership as of September 30, 2021. Vanguard Group Inc. also reported that, as of September 30, 2021, it had sole investment power for 43,570,307 shares, shared voting power for 948,179 shares, shared investment power for 2,261,949 shares and no voting power with respect to 44,884,077 shares.</w:t>
      </w:r>
    </w:p>
    <w:p>
      <w:pPr>
        <w:spacing w:after="0" w:line="36" w:lineRule="exact"/>
        <w:rPr>
          <w:rFonts w:ascii="Arial" w:cs="Arial" w:eastAsia="Arial" w:hAnsi="Arial"/>
          <w:sz w:val="13"/>
          <w:szCs w:val="13"/>
          <w:i w:val="1"/>
          <w:iCs w:val="1"/>
          <w:color w:val="auto"/>
        </w:rPr>
      </w:pPr>
    </w:p>
    <w:p>
      <w:pPr>
        <w:ind w:left="680" w:right="400" w:hanging="205"/>
        <w:spacing w:after="0" w:line="262" w:lineRule="auto"/>
        <w:tabs>
          <w:tab w:leader="none" w:pos="680" w:val="left"/>
        </w:tabs>
        <w:numPr>
          <w:ilvl w:val="0"/>
          <w:numId w:val="106"/>
        </w:numPr>
        <w:rPr>
          <w:rFonts w:ascii="Arial" w:cs="Arial" w:eastAsia="Arial" w:hAnsi="Arial"/>
          <w:sz w:val="13"/>
          <w:szCs w:val="13"/>
          <w:i w:val="1"/>
          <w:iCs w:val="1"/>
          <w:color w:val="auto"/>
        </w:rPr>
      </w:pPr>
      <w:r>
        <w:rPr>
          <w:rFonts w:ascii="Arial" w:cs="Arial" w:eastAsia="Arial" w:hAnsi="Arial"/>
          <w:sz w:val="13"/>
          <w:szCs w:val="13"/>
          <w:i w:val="1"/>
          <w:iCs w:val="1"/>
          <w:color w:val="auto"/>
        </w:rPr>
        <w:t>Based solely on a Form 13F-HR filed by BlackRock Inc. on November 9, 2021 reporting stock ownership as of September 30, 2021. BlackRock Inc. also reported that, as of September 30, 2021, it had sole voting power for 37,829,194 shares and no voting power with respect to 5,864,101 shares.</w:t>
      </w:r>
    </w:p>
    <w:p>
      <w:pPr>
        <w:spacing w:after="0" w:line="24" w:lineRule="exact"/>
        <w:rPr>
          <w:rFonts w:ascii="Arial" w:cs="Arial" w:eastAsia="Arial" w:hAnsi="Arial"/>
          <w:sz w:val="13"/>
          <w:szCs w:val="13"/>
          <w:i w:val="1"/>
          <w:iCs w:val="1"/>
          <w:color w:val="auto"/>
        </w:rPr>
      </w:pPr>
    </w:p>
    <w:p>
      <w:pPr>
        <w:jc w:val="both"/>
        <w:ind w:left="680" w:right="400" w:hanging="205"/>
        <w:spacing w:after="0" w:line="245" w:lineRule="auto"/>
        <w:tabs>
          <w:tab w:leader="none" w:pos="680" w:val="left"/>
        </w:tabs>
        <w:numPr>
          <w:ilvl w:val="0"/>
          <w:numId w:val="106"/>
        </w:numPr>
        <w:rPr>
          <w:rFonts w:ascii="Arial" w:cs="Arial" w:eastAsia="Arial" w:hAnsi="Arial"/>
          <w:sz w:val="13"/>
          <w:szCs w:val="13"/>
          <w:i w:val="1"/>
          <w:iCs w:val="1"/>
          <w:color w:val="auto"/>
        </w:rPr>
      </w:pPr>
      <w:r>
        <w:rPr>
          <w:rFonts w:ascii="Arial" w:cs="Arial" w:eastAsia="Arial" w:hAnsi="Arial"/>
          <w:sz w:val="13"/>
          <w:szCs w:val="13"/>
          <w:i w:val="1"/>
          <w:iCs w:val="1"/>
          <w:color w:val="auto"/>
        </w:rPr>
        <w:t>Based solely on an Amendment No. 5 to Schedule 13G filed by JPMorgan Chase &amp; Co. on January 7, 2022 reporting stock ownership as of December 31, 2021. JPMorgan Chase &amp; Co. also reported that, as of December 31, 2021, it had sole voting power with respect to 25,953,864 shares, sole dispositive power for 27,470,842 shares, shared voting power for 153,010 shares and shared dispositive power with respect to 206,787 shares.</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0940"/>
          </w:cols>
          <w:pgMar w:left="320" w:top="447" w:right="63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33333"/>
        </w:rPr>
        <w:t>Security Ownership of Directors and Executive Officers</w:t>
      </w:r>
    </w:p>
    <w:p>
      <w:pPr>
        <w:spacing w:after="0" w:line="73" w:lineRule="exact"/>
        <w:rPr>
          <w:sz w:val="20"/>
          <w:szCs w:val="20"/>
          <w:color w:val="auto"/>
        </w:rPr>
      </w:pPr>
    </w:p>
    <w:p>
      <w:pPr>
        <w:ind w:left="480" w:right="120"/>
        <w:spacing w:after="0" w:line="270" w:lineRule="auto"/>
        <w:rPr>
          <w:sz w:val="20"/>
          <w:szCs w:val="20"/>
          <w:color w:val="auto"/>
        </w:rPr>
      </w:pPr>
      <w:r>
        <w:rPr>
          <w:rFonts w:ascii="Arial" w:cs="Arial" w:eastAsia="Arial" w:hAnsi="Arial"/>
          <w:sz w:val="17"/>
          <w:szCs w:val="17"/>
          <w:color w:val="auto"/>
        </w:rPr>
        <w:t>The following table lists information as of January 7, 2022, about the beneficial ownership of common stock by each director or director nominee, by each executive officer named in the Summary Compensation Table included in this proxy statement, and by all of the directors and executive officers of Analog Devices as a group.</w:t>
      </w:r>
    </w:p>
    <w:p>
      <w:pPr>
        <w:spacing w:after="0" w:line="211" w:lineRule="exact"/>
        <w:rPr>
          <w:sz w:val="20"/>
          <w:szCs w:val="20"/>
          <w:color w:val="auto"/>
        </w:rPr>
      </w:pPr>
    </w:p>
    <w:tbl>
      <w:tblPr>
        <w:tblLayout w:type="fixed"/>
        <w:tblInd w:w="480" w:type="dxa"/>
        <w:tblCellMar>
          <w:top w:w="0" w:type="dxa"/>
          <w:left w:w="0" w:type="dxa"/>
          <w:bottom w:w="0" w:type="dxa"/>
          <w:right w:w="0" w:type="dxa"/>
        </w:tblCellMar>
      </w:tblPr>
      <w:tr>
        <w:trPr>
          <w:trHeight w:val="171"/>
        </w:trPr>
        <w:tc>
          <w:tcPr>
            <w:tcW w:w="4860" w:type="dxa"/>
            <w:vAlign w:val="bottom"/>
            <w:shd w:val="clear" w:color="auto" w:fill="E5E5E5"/>
          </w:tcPr>
          <w:p>
            <w:pPr>
              <w:spacing w:after="0"/>
              <w:rPr>
                <w:sz w:val="14"/>
                <w:szCs w:val="14"/>
                <w:color w:val="auto"/>
              </w:rPr>
            </w:pPr>
          </w:p>
        </w:tc>
        <w:tc>
          <w:tcPr>
            <w:tcW w:w="1320" w:type="dxa"/>
            <w:vAlign w:val="bottom"/>
            <w:shd w:val="clear" w:color="auto" w:fill="E5E5E5"/>
          </w:tcPr>
          <w:p>
            <w:pPr>
              <w:spacing w:after="0"/>
              <w:rPr>
                <w:sz w:val="14"/>
                <w:szCs w:val="14"/>
                <w:color w:val="auto"/>
              </w:rPr>
            </w:pPr>
          </w:p>
        </w:tc>
        <w:tc>
          <w:tcPr>
            <w:tcW w:w="1260" w:type="dxa"/>
            <w:vAlign w:val="bottom"/>
            <w:shd w:val="clear" w:color="auto" w:fill="E5E5E5"/>
          </w:tcPr>
          <w:p>
            <w:pPr>
              <w:jc w:val="right"/>
              <w:ind w:right="103"/>
              <w:spacing w:after="0"/>
              <w:rPr>
                <w:sz w:val="20"/>
                <w:szCs w:val="20"/>
                <w:color w:val="auto"/>
              </w:rPr>
            </w:pPr>
            <w:r>
              <w:rPr>
                <w:rFonts w:ascii="Arial" w:cs="Arial" w:eastAsia="Arial" w:hAnsi="Arial"/>
                <w:sz w:val="14"/>
                <w:szCs w:val="14"/>
                <w:b w:val="1"/>
                <w:bCs w:val="1"/>
                <w:color w:val="auto"/>
              </w:rPr>
              <w:t>Shares</w:t>
            </w:r>
          </w:p>
        </w:tc>
        <w:tc>
          <w:tcPr>
            <w:tcW w:w="1260" w:type="dxa"/>
            <w:vAlign w:val="bottom"/>
            <w:shd w:val="clear" w:color="auto" w:fill="E5E5E5"/>
          </w:tcPr>
          <w:p>
            <w:pPr>
              <w:spacing w:after="0"/>
              <w:rPr>
                <w:sz w:val="14"/>
                <w:szCs w:val="14"/>
                <w:color w:val="auto"/>
              </w:rPr>
            </w:pPr>
          </w:p>
        </w:tc>
        <w:tc>
          <w:tcPr>
            <w:tcW w:w="1580" w:type="dxa"/>
            <w:vAlign w:val="bottom"/>
            <w:shd w:val="clear" w:color="auto" w:fill="E5E5E5"/>
          </w:tcPr>
          <w:p>
            <w:pPr>
              <w:jc w:val="right"/>
              <w:ind w:right="103"/>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56"/>
        </w:trPr>
        <w:tc>
          <w:tcPr>
            <w:tcW w:w="4860" w:type="dxa"/>
            <w:vAlign w:val="bottom"/>
            <w:vMerge w:val="restart"/>
            <w:shd w:val="clear" w:color="auto" w:fill="E5E5E5"/>
          </w:tcPr>
          <w:p>
            <w:pPr>
              <w:ind w:left="60"/>
              <w:spacing w:after="0"/>
              <w:rPr>
                <w:sz w:val="20"/>
                <w:szCs w:val="20"/>
                <w:color w:val="auto"/>
              </w:rPr>
            </w:pPr>
            <w:r>
              <w:rPr>
                <w:rFonts w:ascii="Arial" w:cs="Arial" w:eastAsia="Arial" w:hAnsi="Arial"/>
                <w:sz w:val="14"/>
                <w:szCs w:val="14"/>
                <w:b w:val="1"/>
                <w:bCs w:val="1"/>
                <w:color w:val="auto"/>
              </w:rPr>
              <w:t>Name and Address of</w:t>
            </w:r>
          </w:p>
        </w:tc>
        <w:tc>
          <w:tcPr>
            <w:tcW w:w="1320" w:type="dxa"/>
            <w:vAlign w:val="bottom"/>
            <w:shd w:val="clear" w:color="auto" w:fill="E5E5E5"/>
          </w:tcPr>
          <w:p>
            <w:pPr>
              <w:jc w:val="right"/>
              <w:ind w:right="103"/>
              <w:spacing w:after="0" w:line="156" w:lineRule="exact"/>
              <w:rPr>
                <w:sz w:val="20"/>
                <w:szCs w:val="20"/>
                <w:color w:val="auto"/>
              </w:rPr>
            </w:pPr>
            <w:r>
              <w:rPr>
                <w:rFonts w:ascii="Arial" w:cs="Arial" w:eastAsia="Arial" w:hAnsi="Arial"/>
                <w:sz w:val="14"/>
                <w:szCs w:val="14"/>
                <w:b w:val="1"/>
                <w:bCs w:val="1"/>
                <w:color w:val="auto"/>
              </w:rPr>
              <w:t>Shares</w:t>
            </w:r>
          </w:p>
        </w:tc>
        <w:tc>
          <w:tcPr>
            <w:tcW w:w="1260" w:type="dxa"/>
            <w:vAlign w:val="bottom"/>
            <w:shd w:val="clear" w:color="auto" w:fill="E5E5E5"/>
          </w:tcPr>
          <w:p>
            <w:pPr>
              <w:jc w:val="right"/>
              <w:ind w:right="103"/>
              <w:spacing w:after="0" w:line="156" w:lineRule="exact"/>
              <w:rPr>
                <w:sz w:val="20"/>
                <w:szCs w:val="20"/>
                <w:color w:val="auto"/>
              </w:rPr>
            </w:pPr>
            <w:r>
              <w:rPr>
                <w:rFonts w:ascii="Arial" w:cs="Arial" w:eastAsia="Arial" w:hAnsi="Arial"/>
                <w:sz w:val="14"/>
                <w:szCs w:val="14"/>
                <w:b w:val="1"/>
                <w:bCs w:val="1"/>
                <w:color w:val="auto"/>
              </w:rPr>
              <w:t>Acquirable</w:t>
            </w:r>
          </w:p>
        </w:tc>
        <w:tc>
          <w:tcPr>
            <w:tcW w:w="1260" w:type="dxa"/>
            <w:vAlign w:val="bottom"/>
            <w:shd w:val="clear" w:color="auto" w:fill="E5E5E5"/>
          </w:tcPr>
          <w:p>
            <w:pPr>
              <w:jc w:val="right"/>
              <w:ind w:right="83"/>
              <w:spacing w:after="0" w:line="156" w:lineRule="exact"/>
              <w:rPr>
                <w:sz w:val="20"/>
                <w:szCs w:val="20"/>
                <w:color w:val="auto"/>
              </w:rPr>
            </w:pPr>
            <w:r>
              <w:rPr>
                <w:rFonts w:ascii="Arial" w:cs="Arial" w:eastAsia="Arial" w:hAnsi="Arial"/>
                <w:sz w:val="14"/>
                <w:szCs w:val="14"/>
                <w:b w:val="1"/>
                <w:bCs w:val="1"/>
                <w:color w:val="auto"/>
              </w:rPr>
              <w:t>Total</w:t>
            </w:r>
          </w:p>
        </w:tc>
        <w:tc>
          <w:tcPr>
            <w:tcW w:w="1580" w:type="dxa"/>
            <w:vAlign w:val="bottom"/>
            <w:shd w:val="clear" w:color="auto" w:fill="E5E5E5"/>
          </w:tcPr>
          <w:p>
            <w:pPr>
              <w:jc w:val="right"/>
              <w:ind w:right="103"/>
              <w:spacing w:after="0" w:line="156" w:lineRule="exact"/>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143"/>
        </w:trPr>
        <w:tc>
          <w:tcPr>
            <w:tcW w:w="4860" w:type="dxa"/>
            <w:vAlign w:val="bottom"/>
            <w:vMerge w:val="continue"/>
            <w:shd w:val="clear" w:color="auto" w:fill="E5E5E5"/>
          </w:tcPr>
          <w:p>
            <w:pPr>
              <w:spacing w:after="0"/>
              <w:rPr>
                <w:sz w:val="12"/>
                <w:szCs w:val="12"/>
                <w:color w:val="auto"/>
              </w:rPr>
            </w:pPr>
          </w:p>
        </w:tc>
        <w:tc>
          <w:tcPr>
            <w:tcW w:w="1320" w:type="dxa"/>
            <w:vAlign w:val="bottom"/>
            <w:shd w:val="clear" w:color="auto" w:fill="E5E5E5"/>
          </w:tcPr>
          <w:p>
            <w:pPr>
              <w:jc w:val="right"/>
              <w:ind w:right="103"/>
              <w:spacing w:after="0" w:line="143" w:lineRule="exact"/>
              <w:rPr>
                <w:sz w:val="20"/>
                <w:szCs w:val="20"/>
                <w:color w:val="auto"/>
              </w:rPr>
            </w:pPr>
            <w:r>
              <w:rPr>
                <w:rFonts w:ascii="Arial" w:cs="Arial" w:eastAsia="Arial" w:hAnsi="Arial"/>
                <w:sz w:val="14"/>
                <w:szCs w:val="14"/>
                <w:b w:val="1"/>
                <w:bCs w:val="1"/>
                <w:color w:val="auto"/>
              </w:rPr>
              <w:t>Beneficially</w:t>
            </w:r>
          </w:p>
        </w:tc>
        <w:tc>
          <w:tcPr>
            <w:tcW w:w="1260" w:type="dxa"/>
            <w:vAlign w:val="bottom"/>
            <w:shd w:val="clear" w:color="auto" w:fill="E5E5E5"/>
          </w:tcPr>
          <w:p>
            <w:pPr>
              <w:jc w:val="right"/>
              <w:ind w:right="103"/>
              <w:spacing w:after="0" w:line="143" w:lineRule="exact"/>
              <w:rPr>
                <w:sz w:val="20"/>
                <w:szCs w:val="20"/>
                <w:color w:val="auto"/>
              </w:rPr>
            </w:pPr>
            <w:r>
              <w:rPr>
                <w:rFonts w:ascii="Arial" w:cs="Arial" w:eastAsia="Arial" w:hAnsi="Arial"/>
                <w:sz w:val="14"/>
                <w:szCs w:val="14"/>
                <w:b w:val="1"/>
                <w:bCs w:val="1"/>
                <w:color w:val="auto"/>
              </w:rPr>
              <w:t>Within 60</w:t>
            </w:r>
          </w:p>
        </w:tc>
        <w:tc>
          <w:tcPr>
            <w:tcW w:w="1260" w:type="dxa"/>
            <w:vAlign w:val="bottom"/>
            <w:shd w:val="clear" w:color="auto" w:fill="E5E5E5"/>
          </w:tcPr>
          <w:p>
            <w:pPr>
              <w:jc w:val="right"/>
              <w:ind w:right="83"/>
              <w:spacing w:after="0" w:line="143" w:lineRule="exact"/>
              <w:rPr>
                <w:sz w:val="20"/>
                <w:szCs w:val="20"/>
                <w:color w:val="auto"/>
              </w:rPr>
            </w:pPr>
            <w:r>
              <w:rPr>
                <w:rFonts w:ascii="Arial" w:cs="Arial" w:eastAsia="Arial" w:hAnsi="Arial"/>
                <w:sz w:val="14"/>
                <w:szCs w:val="14"/>
                <w:b w:val="1"/>
                <w:bCs w:val="1"/>
                <w:color w:val="auto"/>
              </w:rPr>
              <w:t>Beneficial</w:t>
            </w:r>
          </w:p>
        </w:tc>
        <w:tc>
          <w:tcPr>
            <w:tcW w:w="1580" w:type="dxa"/>
            <w:vAlign w:val="bottom"/>
            <w:shd w:val="clear" w:color="auto" w:fill="E5E5E5"/>
          </w:tcPr>
          <w:p>
            <w:pPr>
              <w:jc w:val="right"/>
              <w:ind w:right="103"/>
              <w:spacing w:after="0" w:line="143" w:lineRule="exact"/>
              <w:rPr>
                <w:sz w:val="20"/>
                <w:szCs w:val="20"/>
                <w:color w:val="auto"/>
              </w:rPr>
            </w:pPr>
            <w:r>
              <w:rPr>
                <w:rFonts w:ascii="Arial" w:cs="Arial" w:eastAsia="Arial" w:hAnsi="Arial"/>
                <w:sz w:val="14"/>
                <w:szCs w:val="14"/>
                <w:b w:val="1"/>
                <w:bCs w:val="1"/>
                <w:color w:val="auto"/>
              </w:rPr>
              <w:t>Beneficially</w:t>
            </w:r>
          </w:p>
        </w:tc>
        <w:tc>
          <w:tcPr>
            <w:tcW w:w="0" w:type="dxa"/>
            <w:vAlign w:val="bottom"/>
          </w:tcPr>
          <w:p>
            <w:pPr>
              <w:spacing w:after="0"/>
              <w:rPr>
                <w:sz w:val="1"/>
                <w:szCs w:val="1"/>
                <w:color w:val="auto"/>
              </w:rPr>
            </w:pPr>
          </w:p>
        </w:tc>
      </w:tr>
      <w:tr>
        <w:trPr>
          <w:trHeight w:val="181"/>
        </w:trPr>
        <w:tc>
          <w:tcPr>
            <w:tcW w:w="4860" w:type="dxa"/>
            <w:vAlign w:val="bottom"/>
            <w:shd w:val="clear" w:color="auto" w:fill="E5E5E5"/>
          </w:tcPr>
          <w:p>
            <w:pPr>
              <w:ind w:left="60"/>
              <w:spacing w:after="0"/>
              <w:rPr>
                <w:sz w:val="20"/>
                <w:szCs w:val="20"/>
                <w:color w:val="auto"/>
              </w:rPr>
            </w:pPr>
            <w:r>
              <w:rPr>
                <w:rFonts w:ascii="Arial" w:cs="Arial" w:eastAsia="Arial" w:hAnsi="Arial"/>
                <w:sz w:val="14"/>
                <w:szCs w:val="14"/>
                <w:b w:val="1"/>
                <w:bCs w:val="1"/>
                <w:color w:val="auto"/>
              </w:rPr>
              <w:t>Beneficial Owner (1)</w:t>
            </w:r>
          </w:p>
        </w:tc>
        <w:tc>
          <w:tcPr>
            <w:tcW w:w="1320" w:type="dxa"/>
            <w:vAlign w:val="bottom"/>
            <w:shd w:val="clear" w:color="auto" w:fill="E5E5E5"/>
          </w:tcPr>
          <w:p>
            <w:pPr>
              <w:jc w:val="right"/>
              <w:ind w:right="103"/>
              <w:spacing w:after="0"/>
              <w:rPr>
                <w:sz w:val="20"/>
                <w:szCs w:val="20"/>
                <w:color w:val="auto"/>
              </w:rPr>
            </w:pPr>
            <w:r>
              <w:rPr>
                <w:rFonts w:ascii="Arial" w:cs="Arial" w:eastAsia="Arial" w:hAnsi="Arial"/>
                <w:sz w:val="14"/>
                <w:szCs w:val="14"/>
                <w:b w:val="1"/>
                <w:bCs w:val="1"/>
                <w:color w:val="auto"/>
              </w:rPr>
              <w:t>Owned (2)</w:t>
            </w:r>
          </w:p>
        </w:tc>
        <w:tc>
          <w:tcPr>
            <w:tcW w:w="1260" w:type="dxa"/>
            <w:vAlign w:val="bottom"/>
            <w:shd w:val="clear" w:color="auto" w:fill="E5E5E5"/>
          </w:tcPr>
          <w:p>
            <w:pPr>
              <w:jc w:val="right"/>
              <w:ind w:right="103"/>
              <w:spacing w:after="0"/>
              <w:rPr>
                <w:sz w:val="20"/>
                <w:szCs w:val="20"/>
                <w:color w:val="auto"/>
              </w:rPr>
            </w:pPr>
            <w:r>
              <w:rPr>
                <w:rFonts w:ascii="Arial" w:cs="Arial" w:eastAsia="Arial" w:hAnsi="Arial"/>
                <w:sz w:val="14"/>
                <w:szCs w:val="14"/>
                <w:b w:val="1"/>
                <w:bCs w:val="1"/>
                <w:color w:val="auto"/>
              </w:rPr>
              <w:t>Days (3)</w:t>
            </w:r>
          </w:p>
        </w:tc>
        <w:tc>
          <w:tcPr>
            <w:tcW w:w="1260" w:type="dxa"/>
            <w:vAlign w:val="bottom"/>
            <w:shd w:val="clear" w:color="auto" w:fill="E5E5E5"/>
          </w:tcPr>
          <w:p>
            <w:pPr>
              <w:jc w:val="right"/>
              <w:ind w:right="83"/>
              <w:spacing w:after="0"/>
              <w:rPr>
                <w:sz w:val="20"/>
                <w:szCs w:val="20"/>
                <w:color w:val="auto"/>
              </w:rPr>
            </w:pPr>
            <w:r>
              <w:rPr>
                <w:rFonts w:ascii="Arial" w:cs="Arial" w:eastAsia="Arial" w:hAnsi="Arial"/>
                <w:sz w:val="14"/>
                <w:szCs w:val="14"/>
                <w:b w:val="1"/>
                <w:bCs w:val="1"/>
                <w:color w:val="auto"/>
              </w:rPr>
              <w:t>Ownership</w:t>
            </w:r>
          </w:p>
        </w:tc>
        <w:tc>
          <w:tcPr>
            <w:tcW w:w="1580" w:type="dxa"/>
            <w:vAlign w:val="bottom"/>
            <w:shd w:val="clear" w:color="auto" w:fill="E5E5E5"/>
          </w:tcPr>
          <w:p>
            <w:pPr>
              <w:jc w:val="right"/>
              <w:ind w:right="103"/>
              <w:spacing w:after="0"/>
              <w:rPr>
                <w:sz w:val="20"/>
                <w:szCs w:val="20"/>
                <w:color w:val="auto"/>
              </w:rPr>
            </w:pPr>
            <w:r>
              <w:rPr>
                <w:rFonts w:ascii="Arial" w:cs="Arial" w:eastAsia="Arial" w:hAnsi="Arial"/>
                <w:sz w:val="14"/>
                <w:szCs w:val="14"/>
                <w:b w:val="1"/>
                <w:bCs w:val="1"/>
                <w:color w:val="auto"/>
              </w:rPr>
              <w:t>Owned (4)</w:t>
            </w:r>
          </w:p>
        </w:tc>
        <w:tc>
          <w:tcPr>
            <w:tcW w:w="0" w:type="dxa"/>
            <w:vAlign w:val="bottom"/>
          </w:tcPr>
          <w:p>
            <w:pPr>
              <w:spacing w:after="0"/>
              <w:rPr>
                <w:sz w:val="1"/>
                <w:szCs w:val="1"/>
                <w:color w:val="auto"/>
              </w:rPr>
            </w:pPr>
          </w:p>
        </w:tc>
      </w:tr>
      <w:tr>
        <w:trPr>
          <w:trHeight w:val="195"/>
        </w:trPr>
        <w:tc>
          <w:tcPr>
            <w:tcW w:w="48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James A. Champy (5)</w:t>
            </w:r>
          </w:p>
        </w:tc>
        <w:tc>
          <w:tcPr>
            <w:tcW w:w="1320" w:type="dxa"/>
            <w:vAlign w:val="bottom"/>
            <w:tcBorders>
              <w:bottom w:val="single" w:sz="8" w:color="auto"/>
            </w:tcBorders>
            <w:shd w:val="clear" w:color="auto" w:fill="EAEAEA"/>
          </w:tcPr>
          <w:p>
            <w:pPr>
              <w:jc w:val="right"/>
              <w:ind w:right="103"/>
              <w:spacing w:after="0"/>
              <w:rPr>
                <w:sz w:val="20"/>
                <w:szCs w:val="20"/>
                <w:color w:val="auto"/>
              </w:rPr>
            </w:pPr>
            <w:r>
              <w:rPr>
                <w:rFonts w:ascii="Arial" w:cs="Arial" w:eastAsia="Arial" w:hAnsi="Arial"/>
                <w:sz w:val="16"/>
                <w:szCs w:val="16"/>
                <w:color w:val="auto"/>
              </w:rPr>
              <w:t>44,687</w:t>
            </w: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37,620</w:t>
            </w:r>
          </w:p>
        </w:tc>
        <w:tc>
          <w:tcPr>
            <w:tcW w:w="1260" w:type="dxa"/>
            <w:vAlign w:val="bottom"/>
            <w:tcBorders>
              <w:bottom w:val="single" w:sz="8" w:color="auto"/>
            </w:tcBorders>
            <w:shd w:val="clear" w:color="auto" w:fill="EAEAEA"/>
          </w:tcPr>
          <w:p>
            <w:pPr>
              <w:jc w:val="right"/>
              <w:ind w:right="83"/>
              <w:spacing w:after="0"/>
              <w:rPr>
                <w:sz w:val="20"/>
                <w:szCs w:val="20"/>
                <w:color w:val="auto"/>
              </w:rPr>
            </w:pPr>
            <w:r>
              <w:rPr>
                <w:rFonts w:ascii="Arial" w:cs="Arial" w:eastAsia="Arial" w:hAnsi="Arial"/>
                <w:sz w:val="16"/>
                <w:szCs w:val="16"/>
                <w:color w:val="auto"/>
              </w:rPr>
              <w:t>82,307</w:t>
            </w:r>
          </w:p>
        </w:tc>
        <w:tc>
          <w:tcPr>
            <w:tcW w:w="158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48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Anantha P. Chandrakasan</w:t>
            </w:r>
          </w:p>
        </w:tc>
        <w:tc>
          <w:tcPr>
            <w:tcW w:w="1320" w:type="dxa"/>
            <w:vAlign w:val="bottom"/>
            <w:tcBorders>
              <w:bottom w:val="single" w:sz="8" w:color="auto"/>
            </w:tcBorders>
            <w:shd w:val="clear" w:color="auto" w:fill="EAEAEA"/>
          </w:tcPr>
          <w:p>
            <w:pPr>
              <w:jc w:val="right"/>
              <w:ind w:right="103"/>
              <w:spacing w:after="0"/>
              <w:rPr>
                <w:sz w:val="20"/>
                <w:szCs w:val="20"/>
                <w:color w:val="auto"/>
              </w:rPr>
            </w:pPr>
            <w:r>
              <w:rPr>
                <w:rFonts w:ascii="Arial" w:cs="Arial" w:eastAsia="Arial" w:hAnsi="Arial"/>
                <w:sz w:val="16"/>
                <w:szCs w:val="16"/>
                <w:color w:val="auto"/>
              </w:rPr>
              <w:t>4,695</w:t>
            </w: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EAEAEA"/>
          </w:tcPr>
          <w:p>
            <w:pPr>
              <w:jc w:val="right"/>
              <w:ind w:right="83"/>
              <w:spacing w:after="0"/>
              <w:rPr>
                <w:sz w:val="20"/>
                <w:szCs w:val="20"/>
                <w:color w:val="auto"/>
              </w:rPr>
            </w:pPr>
            <w:r>
              <w:rPr>
                <w:rFonts w:ascii="Arial" w:cs="Arial" w:eastAsia="Arial" w:hAnsi="Arial"/>
                <w:sz w:val="16"/>
                <w:szCs w:val="16"/>
                <w:color w:val="auto"/>
              </w:rPr>
              <w:t>4,695</w:t>
            </w:r>
          </w:p>
        </w:tc>
        <w:tc>
          <w:tcPr>
            <w:tcW w:w="158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48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Martin Cotter</w:t>
            </w:r>
          </w:p>
        </w:tc>
        <w:tc>
          <w:tcPr>
            <w:tcW w:w="1320" w:type="dxa"/>
            <w:vAlign w:val="bottom"/>
            <w:tcBorders>
              <w:bottom w:val="single" w:sz="8" w:color="auto"/>
            </w:tcBorders>
            <w:shd w:val="clear" w:color="auto" w:fill="EAEAEA"/>
          </w:tcPr>
          <w:p>
            <w:pPr>
              <w:jc w:val="right"/>
              <w:ind w:right="123"/>
              <w:spacing w:after="0"/>
              <w:rPr>
                <w:sz w:val="20"/>
                <w:szCs w:val="20"/>
                <w:color w:val="auto"/>
              </w:rPr>
            </w:pPr>
            <w:r>
              <w:rPr>
                <w:rFonts w:ascii="Arial" w:cs="Arial" w:eastAsia="Arial" w:hAnsi="Arial"/>
                <w:sz w:val="16"/>
                <w:szCs w:val="16"/>
                <w:color w:val="auto"/>
              </w:rPr>
              <w:t>6,371</w:t>
            </w: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96,550</w:t>
            </w:r>
          </w:p>
        </w:tc>
        <w:tc>
          <w:tcPr>
            <w:tcW w:w="1260" w:type="dxa"/>
            <w:vAlign w:val="bottom"/>
            <w:tcBorders>
              <w:bottom w:val="single" w:sz="8" w:color="auto"/>
            </w:tcBorders>
            <w:shd w:val="clear" w:color="auto" w:fill="EAEAEA"/>
          </w:tcPr>
          <w:p>
            <w:pPr>
              <w:jc w:val="right"/>
              <w:ind w:right="103"/>
              <w:spacing w:after="0"/>
              <w:rPr>
                <w:sz w:val="20"/>
                <w:szCs w:val="20"/>
                <w:color w:val="auto"/>
              </w:rPr>
            </w:pPr>
            <w:r>
              <w:rPr>
                <w:rFonts w:ascii="Arial" w:cs="Arial" w:eastAsia="Arial" w:hAnsi="Arial"/>
                <w:sz w:val="16"/>
                <w:szCs w:val="16"/>
                <w:color w:val="auto"/>
              </w:rPr>
              <w:t>102,921</w:t>
            </w:r>
          </w:p>
        </w:tc>
        <w:tc>
          <w:tcPr>
            <w:tcW w:w="158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48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Tunç Doluca (6)</w:t>
            </w:r>
          </w:p>
        </w:tc>
        <w:tc>
          <w:tcPr>
            <w:tcW w:w="1320" w:type="dxa"/>
            <w:vAlign w:val="bottom"/>
            <w:tcBorders>
              <w:bottom w:val="single" w:sz="8" w:color="auto"/>
            </w:tcBorders>
            <w:shd w:val="clear" w:color="auto" w:fill="EAEAEA"/>
          </w:tcPr>
          <w:p>
            <w:pPr>
              <w:jc w:val="right"/>
              <w:ind w:right="123"/>
              <w:spacing w:after="0"/>
              <w:rPr>
                <w:sz w:val="20"/>
                <w:szCs w:val="20"/>
                <w:color w:val="auto"/>
              </w:rPr>
            </w:pPr>
            <w:r>
              <w:rPr>
                <w:rFonts w:ascii="Arial" w:cs="Arial" w:eastAsia="Arial" w:hAnsi="Arial"/>
                <w:sz w:val="16"/>
                <w:szCs w:val="16"/>
                <w:color w:val="auto"/>
              </w:rPr>
              <w:t>779,799</w:t>
            </w: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EAEAEA"/>
          </w:tcPr>
          <w:p>
            <w:pPr>
              <w:jc w:val="right"/>
              <w:ind w:right="103"/>
              <w:spacing w:after="0"/>
              <w:rPr>
                <w:sz w:val="20"/>
                <w:szCs w:val="20"/>
                <w:color w:val="auto"/>
              </w:rPr>
            </w:pPr>
            <w:r>
              <w:rPr>
                <w:rFonts w:ascii="Arial" w:cs="Arial" w:eastAsia="Arial" w:hAnsi="Arial"/>
                <w:sz w:val="16"/>
                <w:szCs w:val="16"/>
                <w:color w:val="auto"/>
              </w:rPr>
              <w:t>779,799</w:t>
            </w:r>
          </w:p>
        </w:tc>
        <w:tc>
          <w:tcPr>
            <w:tcW w:w="158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48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Bruce R. Evans (7)</w:t>
            </w:r>
          </w:p>
        </w:tc>
        <w:tc>
          <w:tcPr>
            <w:tcW w:w="1320" w:type="dxa"/>
            <w:vAlign w:val="bottom"/>
            <w:tcBorders>
              <w:bottom w:val="single" w:sz="8" w:color="auto"/>
            </w:tcBorders>
            <w:shd w:val="clear" w:color="auto" w:fill="EAEAEA"/>
          </w:tcPr>
          <w:p>
            <w:pPr>
              <w:jc w:val="right"/>
              <w:ind w:right="123"/>
              <w:spacing w:after="0"/>
              <w:rPr>
                <w:sz w:val="20"/>
                <w:szCs w:val="20"/>
                <w:color w:val="auto"/>
              </w:rPr>
            </w:pPr>
            <w:r>
              <w:rPr>
                <w:rFonts w:ascii="Arial" w:cs="Arial" w:eastAsia="Arial" w:hAnsi="Arial"/>
                <w:sz w:val="16"/>
                <w:szCs w:val="16"/>
                <w:color w:val="auto"/>
              </w:rPr>
              <w:t>100,464</w:t>
            </w: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EAEAEA"/>
          </w:tcPr>
          <w:p>
            <w:pPr>
              <w:jc w:val="right"/>
              <w:ind w:right="103"/>
              <w:spacing w:after="0"/>
              <w:rPr>
                <w:sz w:val="20"/>
                <w:szCs w:val="20"/>
                <w:color w:val="auto"/>
              </w:rPr>
            </w:pPr>
            <w:r>
              <w:rPr>
                <w:rFonts w:ascii="Arial" w:cs="Arial" w:eastAsia="Arial" w:hAnsi="Arial"/>
                <w:sz w:val="16"/>
                <w:szCs w:val="16"/>
                <w:color w:val="auto"/>
              </w:rPr>
              <w:t>100,464</w:t>
            </w:r>
          </w:p>
        </w:tc>
        <w:tc>
          <w:tcPr>
            <w:tcW w:w="158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48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Edward H. Frank (8)</w:t>
            </w:r>
          </w:p>
        </w:tc>
        <w:tc>
          <w:tcPr>
            <w:tcW w:w="1320" w:type="dxa"/>
            <w:vAlign w:val="bottom"/>
            <w:tcBorders>
              <w:bottom w:val="single" w:sz="8" w:color="auto"/>
            </w:tcBorders>
            <w:shd w:val="clear" w:color="auto" w:fill="EAEAEA"/>
          </w:tcPr>
          <w:p>
            <w:pPr>
              <w:jc w:val="right"/>
              <w:ind w:right="123"/>
              <w:spacing w:after="0"/>
              <w:rPr>
                <w:sz w:val="20"/>
                <w:szCs w:val="20"/>
                <w:color w:val="auto"/>
              </w:rPr>
            </w:pPr>
            <w:r>
              <w:rPr>
                <w:rFonts w:ascii="Arial" w:cs="Arial" w:eastAsia="Arial" w:hAnsi="Arial"/>
                <w:sz w:val="16"/>
                <w:szCs w:val="16"/>
                <w:color w:val="auto"/>
              </w:rPr>
              <w:t>13,525</w:t>
            </w: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EAEAEA"/>
          </w:tcPr>
          <w:p>
            <w:pPr>
              <w:jc w:val="right"/>
              <w:ind w:right="103"/>
              <w:spacing w:after="0"/>
              <w:rPr>
                <w:sz w:val="20"/>
                <w:szCs w:val="20"/>
                <w:color w:val="auto"/>
              </w:rPr>
            </w:pPr>
            <w:r>
              <w:rPr>
                <w:rFonts w:ascii="Arial" w:cs="Arial" w:eastAsia="Arial" w:hAnsi="Arial"/>
                <w:sz w:val="16"/>
                <w:szCs w:val="16"/>
                <w:color w:val="auto"/>
              </w:rPr>
              <w:t>13,525</w:t>
            </w:r>
          </w:p>
        </w:tc>
        <w:tc>
          <w:tcPr>
            <w:tcW w:w="158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48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Laurie H. Glimcher</w:t>
            </w:r>
          </w:p>
        </w:tc>
        <w:tc>
          <w:tcPr>
            <w:tcW w:w="1320" w:type="dxa"/>
            <w:vAlign w:val="bottom"/>
            <w:tcBorders>
              <w:bottom w:val="single" w:sz="8" w:color="auto"/>
            </w:tcBorders>
            <w:shd w:val="clear" w:color="auto" w:fill="EAEAEA"/>
          </w:tcPr>
          <w:p>
            <w:pPr>
              <w:jc w:val="right"/>
              <w:ind w:right="123"/>
              <w:spacing w:after="0"/>
              <w:rPr>
                <w:sz w:val="20"/>
                <w:szCs w:val="20"/>
                <w:color w:val="auto"/>
              </w:rPr>
            </w:pPr>
            <w:r>
              <w:rPr>
                <w:rFonts w:ascii="Arial" w:cs="Arial" w:eastAsia="Arial" w:hAnsi="Arial"/>
                <w:sz w:val="16"/>
                <w:szCs w:val="16"/>
                <w:color w:val="auto"/>
              </w:rPr>
              <w:t>600</w:t>
            </w: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EAEAEA"/>
          </w:tcPr>
          <w:p>
            <w:pPr>
              <w:jc w:val="right"/>
              <w:ind w:right="103"/>
              <w:spacing w:after="0"/>
              <w:rPr>
                <w:sz w:val="20"/>
                <w:szCs w:val="20"/>
                <w:color w:val="auto"/>
              </w:rPr>
            </w:pPr>
            <w:r>
              <w:rPr>
                <w:rFonts w:ascii="Arial" w:cs="Arial" w:eastAsia="Arial" w:hAnsi="Arial"/>
                <w:sz w:val="16"/>
                <w:szCs w:val="16"/>
                <w:color w:val="auto"/>
              </w:rPr>
              <w:t>600</w:t>
            </w:r>
          </w:p>
        </w:tc>
        <w:tc>
          <w:tcPr>
            <w:tcW w:w="158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48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Karen M. Golz</w:t>
            </w:r>
          </w:p>
        </w:tc>
        <w:tc>
          <w:tcPr>
            <w:tcW w:w="1320" w:type="dxa"/>
            <w:vAlign w:val="bottom"/>
            <w:tcBorders>
              <w:bottom w:val="single" w:sz="8" w:color="auto"/>
            </w:tcBorders>
            <w:shd w:val="clear" w:color="auto" w:fill="EAEAEA"/>
          </w:tcPr>
          <w:p>
            <w:pPr>
              <w:jc w:val="right"/>
              <w:ind w:right="123"/>
              <w:spacing w:after="0"/>
              <w:rPr>
                <w:sz w:val="20"/>
                <w:szCs w:val="20"/>
                <w:color w:val="auto"/>
              </w:rPr>
            </w:pPr>
            <w:r>
              <w:rPr>
                <w:rFonts w:ascii="Arial" w:cs="Arial" w:eastAsia="Arial" w:hAnsi="Arial"/>
                <w:sz w:val="16"/>
                <w:szCs w:val="16"/>
                <w:color w:val="auto"/>
              </w:rPr>
              <w:t>5,749</w:t>
            </w: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EAEAEA"/>
          </w:tcPr>
          <w:p>
            <w:pPr>
              <w:jc w:val="right"/>
              <w:ind w:right="103"/>
              <w:spacing w:after="0"/>
              <w:rPr>
                <w:sz w:val="20"/>
                <w:szCs w:val="20"/>
                <w:color w:val="auto"/>
              </w:rPr>
            </w:pPr>
            <w:r>
              <w:rPr>
                <w:rFonts w:ascii="Arial" w:cs="Arial" w:eastAsia="Arial" w:hAnsi="Arial"/>
                <w:sz w:val="16"/>
                <w:szCs w:val="16"/>
                <w:color w:val="auto"/>
              </w:rPr>
              <w:t>5,749</w:t>
            </w:r>
          </w:p>
        </w:tc>
        <w:tc>
          <w:tcPr>
            <w:tcW w:w="158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48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John Hassett</w:t>
            </w:r>
          </w:p>
        </w:tc>
        <w:tc>
          <w:tcPr>
            <w:tcW w:w="1320" w:type="dxa"/>
            <w:vAlign w:val="bottom"/>
            <w:tcBorders>
              <w:bottom w:val="single" w:sz="8" w:color="auto"/>
            </w:tcBorders>
            <w:shd w:val="clear" w:color="auto" w:fill="EAEAEA"/>
          </w:tcPr>
          <w:p>
            <w:pPr>
              <w:jc w:val="right"/>
              <w:ind w:right="123"/>
              <w:spacing w:after="0"/>
              <w:rPr>
                <w:sz w:val="20"/>
                <w:szCs w:val="20"/>
                <w:color w:val="auto"/>
              </w:rPr>
            </w:pPr>
            <w:r>
              <w:rPr>
                <w:rFonts w:ascii="Arial" w:cs="Arial" w:eastAsia="Arial" w:hAnsi="Arial"/>
                <w:sz w:val="16"/>
                <w:szCs w:val="16"/>
                <w:color w:val="auto"/>
              </w:rPr>
              <w:t>9,768</w:t>
            </w: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40,948</w:t>
            </w:r>
          </w:p>
        </w:tc>
        <w:tc>
          <w:tcPr>
            <w:tcW w:w="1260" w:type="dxa"/>
            <w:vAlign w:val="bottom"/>
            <w:tcBorders>
              <w:bottom w:val="single" w:sz="8" w:color="auto"/>
            </w:tcBorders>
            <w:shd w:val="clear" w:color="auto" w:fill="EAEAEA"/>
          </w:tcPr>
          <w:p>
            <w:pPr>
              <w:jc w:val="right"/>
              <w:ind w:right="103"/>
              <w:spacing w:after="0"/>
              <w:rPr>
                <w:sz w:val="20"/>
                <w:szCs w:val="20"/>
                <w:color w:val="auto"/>
              </w:rPr>
            </w:pPr>
            <w:r>
              <w:rPr>
                <w:rFonts w:ascii="Arial" w:cs="Arial" w:eastAsia="Arial" w:hAnsi="Arial"/>
                <w:sz w:val="16"/>
                <w:szCs w:val="16"/>
                <w:color w:val="auto"/>
              </w:rPr>
              <w:t>50,716</w:t>
            </w:r>
          </w:p>
        </w:tc>
        <w:tc>
          <w:tcPr>
            <w:tcW w:w="158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48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Greg Henderson</w:t>
            </w:r>
          </w:p>
        </w:tc>
        <w:tc>
          <w:tcPr>
            <w:tcW w:w="1320" w:type="dxa"/>
            <w:vAlign w:val="bottom"/>
            <w:tcBorders>
              <w:bottom w:val="single" w:sz="8" w:color="auto"/>
            </w:tcBorders>
            <w:shd w:val="clear" w:color="auto" w:fill="EAEAEA"/>
          </w:tcPr>
          <w:p>
            <w:pPr>
              <w:jc w:val="right"/>
              <w:ind w:right="123"/>
              <w:spacing w:after="0"/>
              <w:rPr>
                <w:sz w:val="20"/>
                <w:szCs w:val="20"/>
                <w:color w:val="auto"/>
              </w:rPr>
            </w:pPr>
            <w:r>
              <w:rPr>
                <w:rFonts w:ascii="Arial" w:cs="Arial" w:eastAsia="Arial" w:hAnsi="Arial"/>
                <w:sz w:val="16"/>
                <w:szCs w:val="16"/>
                <w:color w:val="auto"/>
              </w:rPr>
              <w:t>5,858</w:t>
            </w: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10,011</w:t>
            </w:r>
          </w:p>
        </w:tc>
        <w:tc>
          <w:tcPr>
            <w:tcW w:w="1260" w:type="dxa"/>
            <w:vAlign w:val="bottom"/>
            <w:tcBorders>
              <w:bottom w:val="single" w:sz="8" w:color="auto"/>
            </w:tcBorders>
            <w:shd w:val="clear" w:color="auto" w:fill="EAEAEA"/>
          </w:tcPr>
          <w:p>
            <w:pPr>
              <w:jc w:val="right"/>
              <w:ind w:right="103"/>
              <w:spacing w:after="0"/>
              <w:rPr>
                <w:sz w:val="20"/>
                <w:szCs w:val="20"/>
                <w:color w:val="auto"/>
              </w:rPr>
            </w:pPr>
            <w:r>
              <w:rPr>
                <w:rFonts w:ascii="Arial" w:cs="Arial" w:eastAsia="Arial" w:hAnsi="Arial"/>
                <w:sz w:val="16"/>
                <w:szCs w:val="16"/>
                <w:color w:val="auto"/>
              </w:rPr>
              <w:t>15,869</w:t>
            </w:r>
          </w:p>
        </w:tc>
        <w:tc>
          <w:tcPr>
            <w:tcW w:w="158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48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Mercedes Johnson</w:t>
            </w:r>
          </w:p>
        </w:tc>
        <w:tc>
          <w:tcPr>
            <w:tcW w:w="1320" w:type="dxa"/>
            <w:vAlign w:val="bottom"/>
            <w:tcBorders>
              <w:bottom w:val="single" w:sz="8" w:color="auto"/>
            </w:tcBorders>
            <w:shd w:val="clear" w:color="auto" w:fill="EAEAEA"/>
          </w:tcPr>
          <w:p>
            <w:pPr>
              <w:jc w:val="right"/>
              <w:ind w:right="123"/>
              <w:spacing w:after="0"/>
              <w:rPr>
                <w:sz w:val="20"/>
                <w:szCs w:val="20"/>
                <w:color w:val="auto"/>
              </w:rPr>
            </w:pPr>
            <w:r>
              <w:rPr>
                <w:rFonts w:ascii="Arial" w:cs="Arial" w:eastAsia="Arial" w:hAnsi="Arial"/>
                <w:sz w:val="16"/>
                <w:szCs w:val="16"/>
                <w:color w:val="auto"/>
              </w:rPr>
              <w:t>4,428</w:t>
            </w: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EAEAEA"/>
          </w:tcPr>
          <w:p>
            <w:pPr>
              <w:jc w:val="right"/>
              <w:ind w:right="103"/>
              <w:spacing w:after="0"/>
              <w:rPr>
                <w:sz w:val="20"/>
                <w:szCs w:val="20"/>
                <w:color w:val="auto"/>
              </w:rPr>
            </w:pPr>
            <w:r>
              <w:rPr>
                <w:rFonts w:ascii="Arial" w:cs="Arial" w:eastAsia="Arial" w:hAnsi="Arial"/>
                <w:sz w:val="16"/>
                <w:szCs w:val="16"/>
                <w:color w:val="auto"/>
              </w:rPr>
              <w:t>4,428</w:t>
            </w:r>
          </w:p>
        </w:tc>
        <w:tc>
          <w:tcPr>
            <w:tcW w:w="158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48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Mark M. Little</w:t>
            </w:r>
          </w:p>
        </w:tc>
        <w:tc>
          <w:tcPr>
            <w:tcW w:w="1320" w:type="dxa"/>
            <w:vAlign w:val="bottom"/>
            <w:tcBorders>
              <w:bottom w:val="single" w:sz="8" w:color="auto"/>
            </w:tcBorders>
            <w:shd w:val="clear" w:color="auto" w:fill="EAEAEA"/>
          </w:tcPr>
          <w:p>
            <w:pPr>
              <w:jc w:val="right"/>
              <w:ind w:right="123"/>
              <w:spacing w:after="0"/>
              <w:rPr>
                <w:sz w:val="20"/>
                <w:szCs w:val="20"/>
                <w:color w:val="auto"/>
              </w:rPr>
            </w:pPr>
            <w:r>
              <w:rPr>
                <w:rFonts w:ascii="Arial" w:cs="Arial" w:eastAsia="Arial" w:hAnsi="Arial"/>
                <w:sz w:val="16"/>
                <w:szCs w:val="16"/>
                <w:color w:val="auto"/>
              </w:rPr>
              <w:t>9,063</w:t>
            </w: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1,040</w:t>
            </w:r>
          </w:p>
        </w:tc>
        <w:tc>
          <w:tcPr>
            <w:tcW w:w="1260" w:type="dxa"/>
            <w:vAlign w:val="bottom"/>
            <w:tcBorders>
              <w:bottom w:val="single" w:sz="8" w:color="auto"/>
            </w:tcBorders>
            <w:shd w:val="clear" w:color="auto" w:fill="EAEAEA"/>
          </w:tcPr>
          <w:p>
            <w:pPr>
              <w:jc w:val="right"/>
              <w:ind w:right="103"/>
              <w:spacing w:after="0"/>
              <w:rPr>
                <w:sz w:val="20"/>
                <w:szCs w:val="20"/>
                <w:color w:val="auto"/>
              </w:rPr>
            </w:pPr>
            <w:r>
              <w:rPr>
                <w:rFonts w:ascii="Arial" w:cs="Arial" w:eastAsia="Arial" w:hAnsi="Arial"/>
                <w:sz w:val="16"/>
                <w:szCs w:val="16"/>
                <w:color w:val="auto"/>
              </w:rPr>
              <w:t>10,103</w:t>
            </w:r>
          </w:p>
        </w:tc>
        <w:tc>
          <w:tcPr>
            <w:tcW w:w="158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48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Prashanth Mahendra-Rajah</w:t>
            </w:r>
          </w:p>
        </w:tc>
        <w:tc>
          <w:tcPr>
            <w:tcW w:w="1320" w:type="dxa"/>
            <w:vAlign w:val="bottom"/>
            <w:tcBorders>
              <w:bottom w:val="single" w:sz="8" w:color="auto"/>
            </w:tcBorders>
            <w:shd w:val="clear" w:color="auto" w:fill="EAEAEA"/>
          </w:tcPr>
          <w:p>
            <w:pPr>
              <w:jc w:val="right"/>
              <w:ind w:right="123"/>
              <w:spacing w:after="0"/>
              <w:rPr>
                <w:sz w:val="20"/>
                <w:szCs w:val="20"/>
                <w:color w:val="auto"/>
              </w:rPr>
            </w:pPr>
            <w:r>
              <w:rPr>
                <w:rFonts w:ascii="Arial" w:cs="Arial" w:eastAsia="Arial" w:hAnsi="Arial"/>
                <w:sz w:val="16"/>
                <w:szCs w:val="16"/>
                <w:color w:val="auto"/>
              </w:rPr>
              <w:t>15,163</w:t>
            </w: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26,140</w:t>
            </w:r>
          </w:p>
        </w:tc>
        <w:tc>
          <w:tcPr>
            <w:tcW w:w="1260" w:type="dxa"/>
            <w:vAlign w:val="bottom"/>
            <w:tcBorders>
              <w:bottom w:val="single" w:sz="8" w:color="auto"/>
            </w:tcBorders>
            <w:shd w:val="clear" w:color="auto" w:fill="EAEAEA"/>
          </w:tcPr>
          <w:p>
            <w:pPr>
              <w:jc w:val="right"/>
              <w:ind w:right="103"/>
              <w:spacing w:after="0"/>
              <w:rPr>
                <w:sz w:val="20"/>
                <w:szCs w:val="20"/>
                <w:color w:val="auto"/>
              </w:rPr>
            </w:pPr>
            <w:r>
              <w:rPr>
                <w:rFonts w:ascii="Arial" w:cs="Arial" w:eastAsia="Arial" w:hAnsi="Arial"/>
                <w:sz w:val="16"/>
                <w:szCs w:val="16"/>
                <w:color w:val="auto"/>
              </w:rPr>
              <w:t>41,303</w:t>
            </w:r>
          </w:p>
        </w:tc>
        <w:tc>
          <w:tcPr>
            <w:tcW w:w="158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48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Vincent Roche (9)</w:t>
            </w:r>
          </w:p>
        </w:tc>
        <w:tc>
          <w:tcPr>
            <w:tcW w:w="1320" w:type="dxa"/>
            <w:vAlign w:val="bottom"/>
            <w:tcBorders>
              <w:bottom w:val="single" w:sz="8" w:color="auto"/>
            </w:tcBorders>
            <w:shd w:val="clear" w:color="auto" w:fill="EAEAEA"/>
          </w:tcPr>
          <w:p>
            <w:pPr>
              <w:jc w:val="right"/>
              <w:ind w:right="123"/>
              <w:spacing w:after="0"/>
              <w:rPr>
                <w:sz w:val="20"/>
                <w:szCs w:val="20"/>
                <w:color w:val="auto"/>
              </w:rPr>
            </w:pPr>
            <w:r>
              <w:rPr>
                <w:rFonts w:ascii="Arial" w:cs="Arial" w:eastAsia="Arial" w:hAnsi="Arial"/>
                <w:sz w:val="16"/>
                <w:szCs w:val="16"/>
                <w:color w:val="auto"/>
              </w:rPr>
              <w:t>10,641</w:t>
            </w: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323,117</w:t>
            </w:r>
          </w:p>
        </w:tc>
        <w:tc>
          <w:tcPr>
            <w:tcW w:w="1260" w:type="dxa"/>
            <w:vAlign w:val="bottom"/>
            <w:tcBorders>
              <w:bottom w:val="single" w:sz="8" w:color="auto"/>
            </w:tcBorders>
            <w:shd w:val="clear" w:color="auto" w:fill="EAEAEA"/>
          </w:tcPr>
          <w:p>
            <w:pPr>
              <w:jc w:val="right"/>
              <w:ind w:right="103"/>
              <w:spacing w:after="0"/>
              <w:rPr>
                <w:sz w:val="20"/>
                <w:szCs w:val="20"/>
                <w:color w:val="auto"/>
              </w:rPr>
            </w:pPr>
            <w:r>
              <w:rPr>
                <w:rFonts w:ascii="Arial" w:cs="Arial" w:eastAsia="Arial" w:hAnsi="Arial"/>
                <w:sz w:val="16"/>
                <w:szCs w:val="16"/>
                <w:color w:val="auto"/>
              </w:rPr>
              <w:t>333,758</w:t>
            </w:r>
          </w:p>
        </w:tc>
        <w:tc>
          <w:tcPr>
            <w:tcW w:w="158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48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Anelise Sacks</w:t>
            </w:r>
          </w:p>
        </w:tc>
        <w:tc>
          <w:tcPr>
            <w:tcW w:w="1320" w:type="dxa"/>
            <w:vAlign w:val="bottom"/>
            <w:tcBorders>
              <w:bottom w:val="single" w:sz="8" w:color="auto"/>
            </w:tcBorders>
            <w:shd w:val="clear" w:color="auto" w:fill="EAEAEA"/>
          </w:tcPr>
          <w:p>
            <w:pPr>
              <w:jc w:val="right"/>
              <w:ind w:right="123"/>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EAEAEA"/>
          </w:tcPr>
          <w:p>
            <w:pPr>
              <w:jc w:val="right"/>
              <w:ind w:right="103"/>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48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Kenton J. Sicchitano</w:t>
            </w:r>
          </w:p>
        </w:tc>
        <w:tc>
          <w:tcPr>
            <w:tcW w:w="1320" w:type="dxa"/>
            <w:vAlign w:val="bottom"/>
            <w:tcBorders>
              <w:bottom w:val="single" w:sz="8" w:color="auto"/>
            </w:tcBorders>
            <w:shd w:val="clear" w:color="auto" w:fill="EAEAEA"/>
          </w:tcPr>
          <w:p>
            <w:pPr>
              <w:jc w:val="right"/>
              <w:ind w:right="123"/>
              <w:spacing w:after="0"/>
              <w:rPr>
                <w:sz w:val="20"/>
                <w:szCs w:val="20"/>
                <w:color w:val="auto"/>
              </w:rPr>
            </w:pPr>
            <w:r>
              <w:rPr>
                <w:rFonts w:ascii="Arial" w:cs="Arial" w:eastAsia="Arial" w:hAnsi="Arial"/>
                <w:sz w:val="16"/>
                <w:szCs w:val="16"/>
                <w:color w:val="auto"/>
              </w:rPr>
              <w:t>26,640</w:t>
            </w: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16,100</w:t>
            </w:r>
          </w:p>
        </w:tc>
        <w:tc>
          <w:tcPr>
            <w:tcW w:w="1260" w:type="dxa"/>
            <w:vAlign w:val="bottom"/>
            <w:tcBorders>
              <w:bottom w:val="single" w:sz="8" w:color="auto"/>
            </w:tcBorders>
            <w:shd w:val="clear" w:color="auto" w:fill="EAEAEA"/>
          </w:tcPr>
          <w:p>
            <w:pPr>
              <w:jc w:val="right"/>
              <w:ind w:right="103"/>
              <w:spacing w:after="0"/>
              <w:rPr>
                <w:sz w:val="20"/>
                <w:szCs w:val="20"/>
                <w:color w:val="auto"/>
              </w:rPr>
            </w:pPr>
            <w:r>
              <w:rPr>
                <w:rFonts w:ascii="Arial" w:cs="Arial" w:eastAsia="Arial" w:hAnsi="Arial"/>
                <w:sz w:val="16"/>
                <w:szCs w:val="16"/>
                <w:color w:val="auto"/>
              </w:rPr>
              <w:t>42,740</w:t>
            </w:r>
          </w:p>
        </w:tc>
        <w:tc>
          <w:tcPr>
            <w:tcW w:w="158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48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Ray Stata (10)</w:t>
            </w:r>
          </w:p>
        </w:tc>
        <w:tc>
          <w:tcPr>
            <w:tcW w:w="1320" w:type="dxa"/>
            <w:vAlign w:val="bottom"/>
            <w:tcBorders>
              <w:bottom w:val="single" w:sz="8" w:color="auto"/>
            </w:tcBorders>
            <w:shd w:val="clear" w:color="auto" w:fill="EAEAEA"/>
          </w:tcPr>
          <w:p>
            <w:pPr>
              <w:jc w:val="right"/>
              <w:ind w:right="123"/>
              <w:spacing w:after="0"/>
              <w:rPr>
                <w:sz w:val="20"/>
                <w:szCs w:val="20"/>
                <w:color w:val="auto"/>
              </w:rPr>
            </w:pPr>
            <w:r>
              <w:rPr>
                <w:rFonts w:ascii="Arial" w:cs="Arial" w:eastAsia="Arial" w:hAnsi="Arial"/>
                <w:sz w:val="16"/>
                <w:szCs w:val="16"/>
                <w:color w:val="auto"/>
              </w:rPr>
              <w:t>818,795</w:t>
            </w: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37,620</w:t>
            </w:r>
          </w:p>
        </w:tc>
        <w:tc>
          <w:tcPr>
            <w:tcW w:w="1260" w:type="dxa"/>
            <w:vAlign w:val="bottom"/>
            <w:tcBorders>
              <w:bottom w:val="single" w:sz="8" w:color="auto"/>
            </w:tcBorders>
            <w:shd w:val="clear" w:color="auto" w:fill="EAEAEA"/>
          </w:tcPr>
          <w:p>
            <w:pPr>
              <w:jc w:val="right"/>
              <w:ind w:right="103"/>
              <w:spacing w:after="0"/>
              <w:rPr>
                <w:sz w:val="20"/>
                <w:szCs w:val="20"/>
                <w:color w:val="auto"/>
              </w:rPr>
            </w:pPr>
            <w:r>
              <w:rPr>
                <w:rFonts w:ascii="Arial" w:cs="Arial" w:eastAsia="Arial" w:hAnsi="Arial"/>
                <w:sz w:val="16"/>
                <w:szCs w:val="16"/>
                <w:color w:val="auto"/>
              </w:rPr>
              <w:t>856,415</w:t>
            </w:r>
          </w:p>
        </w:tc>
        <w:tc>
          <w:tcPr>
            <w:tcW w:w="158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48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Susie Wee</w:t>
            </w:r>
          </w:p>
        </w:tc>
        <w:tc>
          <w:tcPr>
            <w:tcW w:w="1320" w:type="dxa"/>
            <w:vAlign w:val="bottom"/>
            <w:tcBorders>
              <w:bottom w:val="single" w:sz="8" w:color="auto"/>
            </w:tcBorders>
            <w:shd w:val="clear" w:color="auto" w:fill="EAEAEA"/>
          </w:tcPr>
          <w:p>
            <w:pPr>
              <w:jc w:val="right"/>
              <w:ind w:right="123"/>
              <w:spacing w:after="0"/>
              <w:rPr>
                <w:sz w:val="20"/>
                <w:szCs w:val="20"/>
                <w:color w:val="auto"/>
              </w:rPr>
            </w:pPr>
            <w:r>
              <w:rPr>
                <w:rFonts w:ascii="Arial" w:cs="Arial" w:eastAsia="Arial" w:hAnsi="Arial"/>
                <w:sz w:val="16"/>
                <w:szCs w:val="16"/>
                <w:color w:val="auto"/>
              </w:rPr>
              <w:t>2,820.804</w:t>
            </w: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EAEAEA"/>
          </w:tcPr>
          <w:p>
            <w:pPr>
              <w:jc w:val="right"/>
              <w:ind w:right="103"/>
              <w:spacing w:after="0"/>
              <w:rPr>
                <w:sz w:val="20"/>
                <w:szCs w:val="20"/>
                <w:color w:val="auto"/>
              </w:rPr>
            </w:pPr>
            <w:r>
              <w:rPr>
                <w:rFonts w:ascii="Arial" w:cs="Arial" w:eastAsia="Arial" w:hAnsi="Arial"/>
                <w:sz w:val="16"/>
                <w:szCs w:val="16"/>
                <w:color w:val="auto"/>
              </w:rPr>
              <w:t>2,820</w:t>
            </w:r>
          </w:p>
        </w:tc>
        <w:tc>
          <w:tcPr>
            <w:tcW w:w="158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8"/>
        </w:trPr>
        <w:tc>
          <w:tcPr>
            <w:tcW w:w="4860" w:type="dxa"/>
            <w:vAlign w:val="bottom"/>
          </w:tcPr>
          <w:p>
            <w:pPr>
              <w:ind w:left="60"/>
              <w:spacing w:after="0" w:line="178" w:lineRule="exact"/>
              <w:rPr>
                <w:sz w:val="20"/>
                <w:szCs w:val="20"/>
                <w:color w:val="auto"/>
              </w:rPr>
            </w:pPr>
            <w:r>
              <w:rPr>
                <w:rFonts w:ascii="Arial" w:cs="Arial" w:eastAsia="Arial" w:hAnsi="Arial"/>
                <w:sz w:val="16"/>
                <w:szCs w:val="16"/>
                <w:color w:val="auto"/>
                <w:w w:val="91"/>
              </w:rPr>
              <w:t>All directors and executive officers as a group (18 persons, consisting of 6</w:t>
            </w:r>
          </w:p>
        </w:tc>
        <w:tc>
          <w:tcPr>
            <w:tcW w:w="1320" w:type="dxa"/>
            <w:vAlign w:val="bottom"/>
            <w:shd w:val="clear" w:color="auto" w:fill="EAEAEA"/>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shd w:val="clear" w:color="auto" w:fill="EAEAEA"/>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8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executive officers and 12 non-employee directors) (11)</w:t>
            </w:r>
          </w:p>
        </w:tc>
        <w:tc>
          <w:tcPr>
            <w:tcW w:w="1320" w:type="dxa"/>
            <w:vAlign w:val="bottom"/>
            <w:tcBorders>
              <w:bottom w:val="single" w:sz="8" w:color="auto"/>
            </w:tcBorders>
            <w:shd w:val="clear" w:color="auto" w:fill="EAEAEA"/>
          </w:tcPr>
          <w:p>
            <w:pPr>
              <w:jc w:val="right"/>
              <w:ind w:right="123"/>
              <w:spacing w:after="0"/>
              <w:rPr>
                <w:sz w:val="20"/>
                <w:szCs w:val="20"/>
                <w:color w:val="auto"/>
              </w:rPr>
            </w:pPr>
            <w:r>
              <w:rPr>
                <w:rFonts w:ascii="Arial" w:cs="Arial" w:eastAsia="Arial" w:hAnsi="Arial"/>
                <w:sz w:val="16"/>
                <w:szCs w:val="16"/>
                <w:color w:val="auto"/>
              </w:rPr>
              <w:t>1,859,066.80</w:t>
            </w:r>
          </w:p>
        </w:tc>
        <w:tc>
          <w:tcPr>
            <w:tcW w:w="126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589,146</w:t>
            </w:r>
          </w:p>
        </w:tc>
        <w:tc>
          <w:tcPr>
            <w:tcW w:w="1260" w:type="dxa"/>
            <w:vAlign w:val="bottom"/>
            <w:tcBorders>
              <w:bottom w:val="single" w:sz="8" w:color="auto"/>
            </w:tcBorders>
            <w:shd w:val="clear" w:color="auto" w:fill="EAEAEA"/>
          </w:tcPr>
          <w:p>
            <w:pPr>
              <w:jc w:val="right"/>
              <w:ind w:right="103"/>
              <w:spacing w:after="0"/>
              <w:rPr>
                <w:sz w:val="20"/>
                <w:szCs w:val="20"/>
                <w:color w:val="auto"/>
              </w:rPr>
            </w:pPr>
            <w:r>
              <w:rPr>
                <w:rFonts w:ascii="Arial" w:cs="Arial" w:eastAsia="Arial" w:hAnsi="Arial"/>
                <w:sz w:val="16"/>
                <w:szCs w:val="16"/>
                <w:color w:val="auto"/>
              </w:rPr>
              <w:t>2,448,213</w:t>
            </w:r>
          </w:p>
        </w:tc>
        <w:tc>
          <w:tcPr>
            <w:tcW w:w="158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780" w:hanging="305"/>
        <w:spacing w:after="0"/>
        <w:tabs>
          <w:tab w:leader="none" w:pos="780" w:val="left"/>
        </w:tabs>
        <w:numPr>
          <w:ilvl w:val="0"/>
          <w:numId w:val="107"/>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less than 1% of the outstanding shares of our common stock.</w:t>
      </w:r>
    </w:p>
    <w:p>
      <w:pPr>
        <w:spacing w:after="0" w:line="59" w:lineRule="exact"/>
        <w:rPr>
          <w:sz w:val="20"/>
          <w:szCs w:val="20"/>
          <w:color w:val="auto"/>
        </w:rPr>
      </w:pPr>
    </w:p>
    <w:p>
      <w:pPr>
        <w:ind w:left="780" w:hanging="305"/>
        <w:spacing w:after="0"/>
        <w:tabs>
          <w:tab w:leader="none" w:pos="780" w:val="left"/>
        </w:tabs>
        <w:numPr>
          <w:ilvl w:val="0"/>
          <w:numId w:val="108"/>
        </w:numPr>
        <w:rPr>
          <w:rFonts w:ascii="Arial" w:cs="Arial" w:eastAsia="Arial" w:hAnsi="Arial"/>
          <w:sz w:val="13"/>
          <w:szCs w:val="13"/>
          <w:i w:val="1"/>
          <w:iCs w:val="1"/>
          <w:color w:val="auto"/>
        </w:rPr>
      </w:pPr>
      <w:r>
        <w:rPr>
          <w:rFonts w:ascii="Arial" w:cs="Arial" w:eastAsia="Arial" w:hAnsi="Arial"/>
          <w:sz w:val="13"/>
          <w:szCs w:val="13"/>
          <w:i w:val="1"/>
          <w:iCs w:val="1"/>
          <w:color w:val="auto"/>
        </w:rPr>
        <w:t>Unless otherwise indicated, the address of each beneficial owner listed is c/o Analog Devices, Inc., One Analog Way, Wilmington, Massachusetts 01887.</w:t>
      </w:r>
    </w:p>
    <w:p>
      <w:pPr>
        <w:spacing w:after="0" w:line="58" w:lineRule="exact"/>
        <w:rPr>
          <w:rFonts w:ascii="Arial" w:cs="Arial" w:eastAsia="Arial" w:hAnsi="Arial"/>
          <w:sz w:val="13"/>
          <w:szCs w:val="13"/>
          <w:i w:val="1"/>
          <w:iCs w:val="1"/>
          <w:color w:val="auto"/>
        </w:rPr>
      </w:pPr>
    </w:p>
    <w:p>
      <w:pPr>
        <w:ind w:left="780" w:right="140" w:hanging="305"/>
        <w:spacing w:after="0" w:line="245" w:lineRule="auto"/>
        <w:tabs>
          <w:tab w:leader="none" w:pos="780" w:val="left"/>
        </w:tabs>
        <w:numPr>
          <w:ilvl w:val="0"/>
          <w:numId w:val="108"/>
        </w:numPr>
        <w:rPr>
          <w:rFonts w:ascii="Arial" w:cs="Arial" w:eastAsia="Arial" w:hAnsi="Arial"/>
          <w:sz w:val="13"/>
          <w:szCs w:val="13"/>
          <w:i w:val="1"/>
          <w:iCs w:val="1"/>
          <w:color w:val="auto"/>
        </w:rPr>
      </w:pPr>
      <w:r>
        <w:rPr>
          <w:rFonts w:ascii="Arial" w:cs="Arial" w:eastAsia="Arial" w:hAnsi="Arial"/>
          <w:sz w:val="13"/>
          <w:szCs w:val="13"/>
          <w:i w:val="1"/>
          <w:iCs w:val="1"/>
          <w:color w:val="auto"/>
        </w:rPr>
        <w:t>For each person, the “Shares Beneficially Owned” column may include shares of common stock attributable to the person because of that person’s voting or investment power. Unless otherwise indicated, each person in the table has sole voting and investment power over the shares listed. The inclusion in the table of any shares, however, does not constitute an admission of beneficial ownership of those shares by the named shareholder.</w:t>
      </w:r>
    </w:p>
    <w:p>
      <w:pPr>
        <w:spacing w:after="0" w:line="36" w:lineRule="exact"/>
        <w:rPr>
          <w:rFonts w:ascii="Arial" w:cs="Arial" w:eastAsia="Arial" w:hAnsi="Arial"/>
          <w:sz w:val="13"/>
          <w:szCs w:val="13"/>
          <w:i w:val="1"/>
          <w:iCs w:val="1"/>
          <w:color w:val="auto"/>
        </w:rPr>
      </w:pPr>
    </w:p>
    <w:p>
      <w:pPr>
        <w:ind w:left="780" w:hanging="305"/>
        <w:spacing w:after="0"/>
        <w:tabs>
          <w:tab w:leader="none" w:pos="780" w:val="left"/>
        </w:tabs>
        <w:numPr>
          <w:ilvl w:val="0"/>
          <w:numId w:val="108"/>
        </w:numPr>
        <w:rPr>
          <w:rFonts w:ascii="Arial" w:cs="Arial" w:eastAsia="Arial" w:hAnsi="Arial"/>
          <w:sz w:val="13"/>
          <w:szCs w:val="13"/>
          <w:i w:val="1"/>
          <w:iCs w:val="1"/>
          <w:color w:val="auto"/>
        </w:rPr>
      </w:pPr>
      <w:r>
        <w:rPr>
          <w:rFonts w:ascii="Arial" w:cs="Arial" w:eastAsia="Arial" w:hAnsi="Arial"/>
          <w:sz w:val="13"/>
          <w:szCs w:val="13"/>
          <w:i w:val="1"/>
          <w:iCs w:val="1"/>
          <w:color w:val="auto"/>
        </w:rPr>
        <w:t>The number of shares of common stock beneficially owned by each person is determined under applicable SEC rules. Under these rules, a person is deemed to have “beneficial ownership” of any shares over which that person has or shares voting or investment power, plus any shares that the person has the right to acquire within 60 days, including through the exercise of stock options. Unless otherwise indicated, for each person named in the table, the number in the “Shares Acquirable within 60 Days” column consists of shares covered by stock options that may be exercised and restricted stock units, or RSUs, that vest within 60 days after January 7, 2022.</w:t>
      </w:r>
    </w:p>
    <w:p>
      <w:pPr>
        <w:spacing w:after="0" w:line="39" w:lineRule="exact"/>
        <w:rPr>
          <w:rFonts w:ascii="Arial" w:cs="Arial" w:eastAsia="Arial" w:hAnsi="Arial"/>
          <w:sz w:val="13"/>
          <w:szCs w:val="13"/>
          <w:i w:val="1"/>
          <w:iCs w:val="1"/>
          <w:color w:val="auto"/>
        </w:rPr>
      </w:pPr>
    </w:p>
    <w:p>
      <w:pPr>
        <w:ind w:left="780" w:right="340" w:hanging="305"/>
        <w:spacing w:after="0" w:line="245" w:lineRule="auto"/>
        <w:tabs>
          <w:tab w:leader="none" w:pos="780" w:val="left"/>
        </w:tabs>
        <w:numPr>
          <w:ilvl w:val="0"/>
          <w:numId w:val="108"/>
        </w:numPr>
        <w:rPr>
          <w:rFonts w:ascii="Arial" w:cs="Arial" w:eastAsia="Arial" w:hAnsi="Arial"/>
          <w:sz w:val="13"/>
          <w:szCs w:val="13"/>
          <w:i w:val="1"/>
          <w:iCs w:val="1"/>
          <w:color w:val="auto"/>
        </w:rPr>
      </w:pPr>
      <w:r>
        <w:rPr>
          <w:rFonts w:ascii="Arial" w:cs="Arial" w:eastAsia="Arial" w:hAnsi="Arial"/>
          <w:sz w:val="13"/>
          <w:szCs w:val="13"/>
          <w:i w:val="1"/>
          <w:iCs w:val="1"/>
          <w:color w:val="auto"/>
        </w:rPr>
        <w:t>The percent ownership for each shareholder on January 7, 2022 is calculated by dividing (1) the total number of shares beneficially owned by the shareholder by (2) the number of shares of our common stock outstanding on January 7, 2022 (525,775,253 shares) plus any shares acquirable (including exercisable stock options) by the shareholder in question within 60 days after January 7, 2022.</w:t>
      </w:r>
    </w:p>
    <w:p>
      <w:pPr>
        <w:spacing w:after="0" w:line="36" w:lineRule="exact"/>
        <w:rPr>
          <w:rFonts w:ascii="Arial" w:cs="Arial" w:eastAsia="Arial" w:hAnsi="Arial"/>
          <w:sz w:val="13"/>
          <w:szCs w:val="13"/>
          <w:i w:val="1"/>
          <w:iCs w:val="1"/>
          <w:color w:val="auto"/>
        </w:rPr>
      </w:pPr>
    </w:p>
    <w:p>
      <w:pPr>
        <w:ind w:left="780" w:hanging="305"/>
        <w:spacing w:after="0"/>
        <w:tabs>
          <w:tab w:leader="none" w:pos="780" w:val="left"/>
        </w:tabs>
        <w:numPr>
          <w:ilvl w:val="0"/>
          <w:numId w:val="108"/>
        </w:numPr>
        <w:rPr>
          <w:rFonts w:ascii="Arial" w:cs="Arial" w:eastAsia="Arial" w:hAnsi="Arial"/>
          <w:sz w:val="13"/>
          <w:szCs w:val="13"/>
          <w:i w:val="1"/>
          <w:iCs w:val="1"/>
          <w:color w:val="auto"/>
        </w:rPr>
      </w:pPr>
      <w:r>
        <w:rPr>
          <w:rFonts w:ascii="Arial" w:cs="Arial" w:eastAsia="Arial" w:hAnsi="Arial"/>
          <w:sz w:val="13"/>
          <w:szCs w:val="13"/>
          <w:i w:val="1"/>
          <w:iCs w:val="1"/>
          <w:color w:val="auto"/>
        </w:rPr>
        <w:t>Includes 38,316 shares held in trust for the benefit of Mr. Champy’s spouse and son, as to which Mr. Champy disclaims beneficial ownership.</w:t>
      </w:r>
    </w:p>
    <w:p>
      <w:pPr>
        <w:spacing w:after="0" w:line="58" w:lineRule="exact"/>
        <w:rPr>
          <w:rFonts w:ascii="Arial" w:cs="Arial" w:eastAsia="Arial" w:hAnsi="Arial"/>
          <w:sz w:val="13"/>
          <w:szCs w:val="13"/>
          <w:i w:val="1"/>
          <w:iCs w:val="1"/>
          <w:color w:val="auto"/>
        </w:rPr>
      </w:pPr>
    </w:p>
    <w:p>
      <w:pPr>
        <w:ind w:left="780" w:hanging="305"/>
        <w:spacing w:after="0"/>
        <w:tabs>
          <w:tab w:leader="none" w:pos="780" w:val="left"/>
        </w:tabs>
        <w:numPr>
          <w:ilvl w:val="0"/>
          <w:numId w:val="108"/>
        </w:numPr>
        <w:rPr>
          <w:rFonts w:ascii="Arial" w:cs="Arial" w:eastAsia="Arial" w:hAnsi="Arial"/>
          <w:sz w:val="13"/>
          <w:szCs w:val="13"/>
          <w:i w:val="1"/>
          <w:iCs w:val="1"/>
          <w:color w:val="auto"/>
        </w:rPr>
      </w:pPr>
      <w:r>
        <w:rPr>
          <w:rFonts w:ascii="Arial" w:cs="Arial" w:eastAsia="Arial" w:hAnsi="Arial"/>
          <w:sz w:val="13"/>
          <w:szCs w:val="13"/>
          <w:i w:val="1"/>
          <w:iCs w:val="1"/>
          <w:color w:val="auto"/>
        </w:rPr>
        <w:t>Includes 605,472 shares held by a living trust and 99,357 shares held by an irrevocable trust.</w:t>
      </w:r>
    </w:p>
    <w:p>
      <w:pPr>
        <w:spacing w:after="0" w:line="58" w:lineRule="exact"/>
        <w:rPr>
          <w:rFonts w:ascii="Arial" w:cs="Arial" w:eastAsia="Arial" w:hAnsi="Arial"/>
          <w:sz w:val="13"/>
          <w:szCs w:val="13"/>
          <w:i w:val="1"/>
          <w:iCs w:val="1"/>
          <w:color w:val="auto"/>
        </w:rPr>
      </w:pPr>
    </w:p>
    <w:p>
      <w:pPr>
        <w:ind w:left="780" w:right="300" w:hanging="305"/>
        <w:spacing w:after="0" w:line="262" w:lineRule="auto"/>
        <w:tabs>
          <w:tab w:leader="none" w:pos="780" w:val="left"/>
        </w:tabs>
        <w:numPr>
          <w:ilvl w:val="0"/>
          <w:numId w:val="108"/>
        </w:numPr>
        <w:rPr>
          <w:rFonts w:ascii="Arial" w:cs="Arial" w:eastAsia="Arial" w:hAnsi="Arial"/>
          <w:sz w:val="13"/>
          <w:szCs w:val="13"/>
          <w:i w:val="1"/>
          <w:iCs w:val="1"/>
          <w:color w:val="auto"/>
        </w:rPr>
      </w:pPr>
      <w:r>
        <w:rPr>
          <w:rFonts w:ascii="Arial" w:cs="Arial" w:eastAsia="Arial" w:hAnsi="Arial"/>
          <w:sz w:val="13"/>
          <w:szCs w:val="13"/>
          <w:i w:val="1"/>
          <w:iCs w:val="1"/>
          <w:color w:val="auto"/>
        </w:rPr>
        <w:t>Includes 100,358 shares held by Evans Capital Management LLC and 106 shares held by Evans Investment Management, LLC. Mr. Evans is managing member of both entities.</w:t>
      </w:r>
    </w:p>
    <w:p>
      <w:pPr>
        <w:spacing w:after="0" w:line="24" w:lineRule="exact"/>
        <w:rPr>
          <w:rFonts w:ascii="Arial" w:cs="Arial" w:eastAsia="Arial" w:hAnsi="Arial"/>
          <w:sz w:val="13"/>
          <w:szCs w:val="13"/>
          <w:i w:val="1"/>
          <w:iCs w:val="1"/>
          <w:color w:val="auto"/>
        </w:rPr>
      </w:pPr>
    </w:p>
    <w:p>
      <w:pPr>
        <w:ind w:left="780" w:hanging="305"/>
        <w:spacing w:after="0"/>
        <w:tabs>
          <w:tab w:leader="none" w:pos="780" w:val="left"/>
        </w:tabs>
        <w:numPr>
          <w:ilvl w:val="0"/>
          <w:numId w:val="108"/>
        </w:numPr>
        <w:rPr>
          <w:rFonts w:ascii="Arial" w:cs="Arial" w:eastAsia="Arial" w:hAnsi="Arial"/>
          <w:sz w:val="13"/>
          <w:szCs w:val="13"/>
          <w:i w:val="1"/>
          <w:iCs w:val="1"/>
          <w:color w:val="auto"/>
        </w:rPr>
      </w:pPr>
      <w:r>
        <w:rPr>
          <w:rFonts w:ascii="Arial" w:cs="Arial" w:eastAsia="Arial" w:hAnsi="Arial"/>
          <w:sz w:val="13"/>
          <w:szCs w:val="13"/>
          <w:i w:val="1"/>
          <w:iCs w:val="1"/>
          <w:color w:val="auto"/>
        </w:rPr>
        <w:t>Includes 11,000 shares held by irrevocable trusts for the benefit of Mr. Frank’s daughters, of which Mr. Frank is a trustee.</w:t>
      </w:r>
    </w:p>
    <w:p>
      <w:pPr>
        <w:spacing w:after="0" w:line="58" w:lineRule="exact"/>
        <w:rPr>
          <w:rFonts w:ascii="Arial" w:cs="Arial" w:eastAsia="Arial" w:hAnsi="Arial"/>
          <w:sz w:val="13"/>
          <w:szCs w:val="13"/>
          <w:i w:val="1"/>
          <w:iCs w:val="1"/>
          <w:color w:val="auto"/>
        </w:rPr>
      </w:pPr>
    </w:p>
    <w:p>
      <w:pPr>
        <w:ind w:left="780" w:right="40" w:hanging="305"/>
        <w:spacing w:after="0" w:line="262" w:lineRule="auto"/>
        <w:tabs>
          <w:tab w:leader="none" w:pos="780" w:val="left"/>
        </w:tabs>
        <w:numPr>
          <w:ilvl w:val="0"/>
          <w:numId w:val="108"/>
        </w:numPr>
        <w:rPr>
          <w:rFonts w:ascii="Arial" w:cs="Arial" w:eastAsia="Arial" w:hAnsi="Arial"/>
          <w:sz w:val="13"/>
          <w:szCs w:val="13"/>
          <w:i w:val="1"/>
          <w:iCs w:val="1"/>
          <w:color w:val="auto"/>
        </w:rPr>
      </w:pPr>
      <w:r>
        <w:rPr>
          <w:rFonts w:ascii="Arial" w:cs="Arial" w:eastAsia="Arial" w:hAnsi="Arial"/>
          <w:sz w:val="13"/>
          <w:szCs w:val="13"/>
          <w:i w:val="1"/>
          <w:iCs w:val="1"/>
          <w:color w:val="auto"/>
        </w:rPr>
        <w:t>Includes 10,641 shares held by an irrevocable trust established for the benefit of Mr. Roche’s descendants and of which an independent financial institution is the trustee and of which Mr. Roche has the power to remove and replace the trustees.</w:t>
      </w:r>
    </w:p>
    <w:p>
      <w:pPr>
        <w:spacing w:after="0" w:line="24" w:lineRule="exact"/>
        <w:rPr>
          <w:rFonts w:ascii="Arial" w:cs="Arial" w:eastAsia="Arial" w:hAnsi="Arial"/>
          <w:sz w:val="13"/>
          <w:szCs w:val="13"/>
          <w:i w:val="1"/>
          <w:iCs w:val="1"/>
          <w:color w:val="auto"/>
        </w:rPr>
      </w:pPr>
    </w:p>
    <w:p>
      <w:pPr>
        <w:ind w:left="780" w:right="120" w:hanging="305"/>
        <w:spacing w:after="0" w:line="245" w:lineRule="auto"/>
        <w:tabs>
          <w:tab w:leader="none" w:pos="780" w:val="left"/>
        </w:tabs>
        <w:numPr>
          <w:ilvl w:val="0"/>
          <w:numId w:val="108"/>
        </w:numPr>
        <w:rPr>
          <w:rFonts w:ascii="Arial" w:cs="Arial" w:eastAsia="Arial" w:hAnsi="Arial"/>
          <w:sz w:val="13"/>
          <w:szCs w:val="13"/>
          <w:i w:val="1"/>
          <w:iCs w:val="1"/>
          <w:color w:val="auto"/>
        </w:rPr>
      </w:pPr>
      <w:r>
        <w:rPr>
          <w:rFonts w:ascii="Arial" w:cs="Arial" w:eastAsia="Arial" w:hAnsi="Arial"/>
          <w:sz w:val="13"/>
          <w:szCs w:val="13"/>
          <w:i w:val="1"/>
          <w:iCs w:val="1"/>
          <w:color w:val="auto"/>
        </w:rPr>
        <w:t>Includes 660,459 shares held by Mr. Stata’s spouse, as to which Mr. Stata disclaims beneficial ownership. Includes 648,709 shares held by Mr. Stata’s spouse and 133,138 shares held directly by Mr. Stata that are pledged as collateral for a line of credit from a bank. Since January 2013, we have prohibited our directors and executive officers from future pledging of their Company securities as collateral for a loan.</w:t>
      </w:r>
    </w:p>
    <w:p>
      <w:pPr>
        <w:spacing w:after="0" w:line="36" w:lineRule="exact"/>
        <w:rPr>
          <w:rFonts w:ascii="Arial" w:cs="Arial" w:eastAsia="Arial" w:hAnsi="Arial"/>
          <w:sz w:val="13"/>
          <w:szCs w:val="13"/>
          <w:i w:val="1"/>
          <w:iCs w:val="1"/>
          <w:color w:val="auto"/>
        </w:rPr>
      </w:pPr>
    </w:p>
    <w:p>
      <w:pPr>
        <w:ind w:left="780" w:hanging="305"/>
        <w:spacing w:after="0"/>
        <w:tabs>
          <w:tab w:leader="none" w:pos="780" w:val="left"/>
        </w:tabs>
        <w:numPr>
          <w:ilvl w:val="0"/>
          <w:numId w:val="108"/>
        </w:numPr>
        <w:rPr>
          <w:rFonts w:ascii="Arial" w:cs="Arial" w:eastAsia="Arial" w:hAnsi="Arial"/>
          <w:sz w:val="13"/>
          <w:szCs w:val="13"/>
          <w:i w:val="1"/>
          <w:iCs w:val="1"/>
          <w:color w:val="auto"/>
        </w:rPr>
      </w:pPr>
      <w:r>
        <w:rPr>
          <w:rFonts w:ascii="Arial" w:cs="Arial" w:eastAsia="Arial" w:hAnsi="Arial"/>
          <w:sz w:val="13"/>
          <w:szCs w:val="13"/>
          <w:i w:val="1"/>
          <w:iCs w:val="1"/>
          <w:color w:val="auto"/>
        </w:rPr>
        <w:t>All directors and executive officers as a group disclaim beneficial ownership of a total of 698,775 shares.</w:t>
      </w:r>
    </w:p>
    <w:p>
      <w:pPr>
        <w:spacing w:after="0" w:line="200" w:lineRule="exact"/>
        <w:rPr>
          <w:sz w:val="20"/>
          <w:szCs w:val="20"/>
          <w:color w:val="auto"/>
        </w:rPr>
      </w:pPr>
    </w:p>
    <w:p>
      <w:pPr>
        <w:spacing w:after="0" w:line="26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0760"/>
          </w:cols>
          <w:pgMar w:left="320" w:top="447" w:right="81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left="480"/>
        <w:spacing w:after="0"/>
        <w:rPr>
          <w:sz w:val="20"/>
          <w:szCs w:val="20"/>
          <w:color w:val="auto"/>
        </w:rPr>
      </w:pPr>
      <w:r>
        <w:rPr>
          <w:rFonts w:ascii="Arial" w:cs="Arial" w:eastAsia="Arial" w:hAnsi="Arial"/>
          <w:sz w:val="26"/>
          <w:szCs w:val="26"/>
          <w:b w:val="1"/>
          <w:bCs w:val="1"/>
          <w:color w:val="333333"/>
        </w:rPr>
        <w:t>Delinquent Section 16(a) Reports</w:t>
      </w:r>
    </w:p>
    <w:p>
      <w:pPr>
        <w:spacing w:after="0" w:line="73" w:lineRule="exact"/>
        <w:rPr>
          <w:sz w:val="20"/>
          <w:szCs w:val="20"/>
          <w:color w:val="auto"/>
        </w:rPr>
      </w:pPr>
    </w:p>
    <w:p>
      <w:pPr>
        <w:ind w:left="480" w:right="260"/>
        <w:spacing w:after="0" w:line="298" w:lineRule="auto"/>
        <w:rPr>
          <w:sz w:val="20"/>
          <w:szCs w:val="20"/>
          <w:color w:val="auto"/>
        </w:rPr>
      </w:pPr>
      <w:r>
        <w:rPr>
          <w:rFonts w:ascii="Arial" w:cs="Arial" w:eastAsia="Arial" w:hAnsi="Arial"/>
          <w:sz w:val="15"/>
          <w:szCs w:val="15"/>
          <w:color w:val="auto"/>
        </w:rPr>
        <w:t>Section 16(a) of the Exchange Act requires our executive officers, directors and the holders of more than 10% of our common stock to file with the SEC initial reports of ownership of our common stock and other equity securities on a Form 3 and reports of changes in such ownership on a Form</w:t>
      </w:r>
    </w:p>
    <w:p>
      <w:pPr>
        <w:ind w:left="480" w:right="180"/>
        <w:spacing w:after="0" w:line="258" w:lineRule="auto"/>
        <w:rPr>
          <w:sz w:val="20"/>
          <w:szCs w:val="20"/>
          <w:color w:val="auto"/>
        </w:rPr>
      </w:pPr>
      <w:r>
        <w:rPr>
          <w:rFonts w:ascii="Arial" w:cs="Arial" w:eastAsia="Arial" w:hAnsi="Arial"/>
          <w:sz w:val="17"/>
          <w:szCs w:val="17"/>
          <w:color w:val="auto"/>
        </w:rPr>
        <w:t>4 or Form 5. Officers, directors and 10% shareholders are required by SEC regulations to furnish us with copies of all Section 16(a) forms they file. To our knowledge, based solely on a review of our records and written representations by the persons required to file these reports, all filing requirements of Section 16(a) were satisfied on a timely basis with respect to fiscal 2021, with the exception of the following: (1) the late filing, due to administrative error, of one Form 4 by Mercedes Johnson reporting her initial RSU grant as compensation for her service on the Company’s Board of Directors, (2) the late filing, due to administrative error, of one Form 4 by Tunç Doluca reporting his initial RSU grant as compensation for his service on the Company’s Board of Directors, and (3) the late filing of two Form 4s, due to administrative error, by Greg Henderson reporting separate purchases of 2 and 19 shares of Company common stock.</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0940"/>
          </w:cols>
          <w:pgMar w:left="320" w:top="447" w:right="63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52" w:lineRule="exact"/>
        <w:rPr>
          <w:sz w:val="20"/>
          <w:szCs w:val="20"/>
          <w:color w:val="auto"/>
        </w:rPr>
      </w:pPr>
    </w:p>
    <w:p>
      <w:pPr>
        <w:ind w:left="480" w:right="600"/>
        <w:spacing w:after="0" w:line="271" w:lineRule="auto"/>
        <w:rPr>
          <w:sz w:val="20"/>
          <w:szCs w:val="20"/>
          <w:color w:val="auto"/>
        </w:rPr>
      </w:pPr>
      <w:r>
        <w:rPr>
          <w:rFonts w:ascii="Arial" w:cs="Arial" w:eastAsia="Arial" w:hAnsi="Arial"/>
          <w:sz w:val="55"/>
          <w:szCs w:val="55"/>
          <w:b w:val="1"/>
          <w:bCs w:val="1"/>
          <w:color w:val="333333"/>
        </w:rPr>
        <w:t>Appendix A: Reconciliation of GAAP Measures to Non-GAAP Measures</w:t>
      </w:r>
    </w:p>
    <w:p>
      <w:pPr>
        <w:spacing w:after="0" w:line="3" w:lineRule="exact"/>
        <w:rPr>
          <w:sz w:val="20"/>
          <w:szCs w:val="20"/>
          <w:color w:val="auto"/>
        </w:rPr>
      </w:pPr>
    </w:p>
    <w:p>
      <w:pPr>
        <w:ind w:left="480" w:right="20"/>
        <w:spacing w:after="0" w:line="270" w:lineRule="auto"/>
        <w:rPr>
          <w:sz w:val="20"/>
          <w:szCs w:val="20"/>
          <w:color w:val="auto"/>
        </w:rPr>
      </w:pPr>
      <w:r>
        <w:rPr>
          <w:rFonts w:ascii="Arial" w:cs="Arial" w:eastAsia="Arial" w:hAnsi="Arial"/>
          <w:sz w:val="17"/>
          <w:szCs w:val="17"/>
          <w:color w:val="auto"/>
        </w:rPr>
        <w:t>Non-GAAP financial measures included in the Proxy Statement are financial measures that are not in accordance with, nor an alternative to, generally accepted accounting principles (GAAP) and may be different from non-GAAP measures presented by other companies. In addition, these non-GAAP measures are not based on any comprehensive set of accounting rules or principles.</w:t>
      </w:r>
    </w:p>
    <w:p>
      <w:pPr>
        <w:spacing w:after="0" w:line="69" w:lineRule="exact"/>
        <w:rPr>
          <w:sz w:val="20"/>
          <w:szCs w:val="20"/>
          <w:color w:val="auto"/>
        </w:rPr>
      </w:pPr>
    </w:p>
    <w:p>
      <w:pPr>
        <w:ind w:left="480" w:right="140"/>
        <w:spacing w:after="0" w:line="259" w:lineRule="auto"/>
        <w:rPr>
          <w:sz w:val="20"/>
          <w:szCs w:val="20"/>
          <w:color w:val="auto"/>
        </w:rPr>
      </w:pPr>
      <w:r>
        <w:rPr>
          <w:rFonts w:ascii="Arial" w:cs="Arial" w:eastAsia="Arial" w:hAnsi="Arial"/>
          <w:sz w:val="17"/>
          <w:szCs w:val="17"/>
          <w:color w:val="auto"/>
        </w:rPr>
        <w:t>Management uses non-GAAP measures internally to evaluate the Company’s operating performance from continuing operations against past periods and to budget and allocate resources in future periods. These non-GAAP measures also assist management in evaluating the Company’s core business and trends across different reporting periods on a consistent basis. Management also uses these non-GAAP measures as the primary performance measurement when communicating with analysts and investors regarding the Company’s earnings results and outlook and believes that the presentation of these non-GAAP measures is useful to investors because it provides investors with the operating results that management uses to manage the Company and enables investors and analysts to evaluate the Company’s core business. Management also believes that the non-GAAP liquidity measure free cash flow is useful both internally and to investors because it provides information about the amount of cash generated after capital expenditures that is then available to repay debt obligations, make investments and fund acquisitions, and for certain other activities.</w:t>
      </w:r>
    </w:p>
    <w:p>
      <w:pPr>
        <w:spacing w:after="0" w:line="79" w:lineRule="exact"/>
        <w:rPr>
          <w:sz w:val="20"/>
          <w:szCs w:val="20"/>
          <w:color w:val="auto"/>
        </w:rPr>
      </w:pPr>
    </w:p>
    <w:p>
      <w:pPr>
        <w:ind w:left="480" w:right="20"/>
        <w:spacing w:after="0" w:line="261" w:lineRule="auto"/>
        <w:rPr>
          <w:sz w:val="20"/>
          <w:szCs w:val="20"/>
          <w:color w:val="auto"/>
        </w:rPr>
      </w:pPr>
      <w:r>
        <w:rPr>
          <w:rFonts w:ascii="Arial" w:cs="Arial" w:eastAsia="Arial" w:hAnsi="Arial"/>
          <w:sz w:val="17"/>
          <w:szCs w:val="17"/>
          <w:color w:val="auto"/>
        </w:rPr>
        <w:t>The Company believes that non-GAAP measures have material limitations in that they do not reflect all of the amounts associated with the Company’s results of operations as determined in accordance with GAAP and should not be considered in isolation from, or as a substitute for, the Company’s financial results presented in accordance with GAAP. The Company’s use of non-GAAP measures, and the underlying methodology when including or excluding certain items, is not necessarily an indication of the results of operations that may be expected in the future, or that the Company will not, in fact, record such items in future periods. Investors should consider the Company’s non-GAAP financial measures in conjunction with the corresponding GAAP measures.</w:t>
      </w:r>
    </w:p>
    <w:p>
      <w:pPr>
        <w:spacing w:after="0" w:line="77" w:lineRule="exact"/>
        <w:rPr>
          <w:sz w:val="20"/>
          <w:szCs w:val="20"/>
          <w:color w:val="auto"/>
        </w:rPr>
      </w:pPr>
    </w:p>
    <w:p>
      <w:pPr>
        <w:ind w:left="480"/>
        <w:spacing w:after="0" w:line="261" w:lineRule="auto"/>
        <w:rPr>
          <w:sz w:val="20"/>
          <w:szCs w:val="20"/>
          <w:color w:val="auto"/>
        </w:rPr>
      </w:pPr>
      <w:r>
        <w:rPr>
          <w:rFonts w:ascii="Arial" w:cs="Arial" w:eastAsia="Arial" w:hAnsi="Arial"/>
          <w:sz w:val="17"/>
          <w:szCs w:val="17"/>
          <w:color w:val="0066BA"/>
        </w:rPr>
        <w:t xml:space="preserve">Acquisition Related Expenses: </w:t>
      </w:r>
      <w:r>
        <w:rPr>
          <w:rFonts w:ascii="Arial" w:cs="Arial" w:eastAsia="Arial" w:hAnsi="Arial"/>
          <w:sz w:val="17"/>
          <w:szCs w:val="17"/>
          <w:color w:val="000000"/>
        </w:rPr>
        <w:t>Expenses incurred as a result of current and prior period acquisitions and primarily include expenses associated with</w:t>
      </w:r>
      <w:r>
        <w:rPr>
          <w:rFonts w:ascii="Arial" w:cs="Arial" w:eastAsia="Arial" w:hAnsi="Arial"/>
          <w:sz w:val="17"/>
          <w:szCs w:val="17"/>
          <w:color w:val="0066BA"/>
        </w:rPr>
        <w:t xml:space="preserve"> </w:t>
      </w:r>
      <w:r>
        <w:rPr>
          <w:rFonts w:ascii="Arial" w:cs="Arial" w:eastAsia="Arial" w:hAnsi="Arial"/>
          <w:sz w:val="17"/>
          <w:szCs w:val="17"/>
          <w:color w:val="000000"/>
        </w:rPr>
        <w:t>the fair value adjustments to debt, inventory, property, plant and equipment and amortization of acquisition related intangibles, which include acquired intangibles such as purchased technology and customer relationships. Expenses also include fair value adjustments associated with the replacement of share-based awards related to the Maxim Integrated Products, Inc. (Maxim) and Linear Technology Corporation (Linear) acquisitions. We excluded these costs from our non-GAAP measures because they relate to specific transactions and are not reflective of our ongoing financial performance.</w:t>
      </w:r>
    </w:p>
    <w:p>
      <w:pPr>
        <w:spacing w:after="0" w:line="77" w:lineRule="exact"/>
        <w:rPr>
          <w:sz w:val="20"/>
          <w:szCs w:val="20"/>
          <w:color w:val="auto"/>
        </w:rPr>
      </w:pPr>
    </w:p>
    <w:p>
      <w:pPr>
        <w:ind w:left="480" w:right="60"/>
        <w:spacing w:after="0" w:line="270" w:lineRule="auto"/>
        <w:rPr>
          <w:sz w:val="20"/>
          <w:szCs w:val="20"/>
          <w:color w:val="auto"/>
        </w:rPr>
      </w:pPr>
      <w:r>
        <w:rPr>
          <w:rFonts w:ascii="Arial" w:cs="Arial" w:eastAsia="Arial" w:hAnsi="Arial"/>
          <w:sz w:val="17"/>
          <w:szCs w:val="17"/>
          <w:color w:val="0066BA"/>
        </w:rPr>
        <w:t xml:space="preserve">Acquisition Related Transaction Costs: </w:t>
      </w:r>
      <w:r>
        <w:rPr>
          <w:rFonts w:ascii="Arial" w:cs="Arial" w:eastAsia="Arial" w:hAnsi="Arial"/>
          <w:sz w:val="17"/>
          <w:szCs w:val="17"/>
          <w:color w:val="000000"/>
        </w:rPr>
        <w:t>Costs directly related to the Maxim Integrated Products, Inc. acquisition, including legal, accounting and</w:t>
      </w:r>
      <w:r>
        <w:rPr>
          <w:rFonts w:ascii="Arial" w:cs="Arial" w:eastAsia="Arial" w:hAnsi="Arial"/>
          <w:sz w:val="17"/>
          <w:szCs w:val="17"/>
          <w:color w:val="0066BA"/>
        </w:rPr>
        <w:t xml:space="preserve"> </w:t>
      </w:r>
      <w:r>
        <w:rPr>
          <w:rFonts w:ascii="Arial" w:cs="Arial" w:eastAsia="Arial" w:hAnsi="Arial"/>
          <w:sz w:val="17"/>
          <w:szCs w:val="17"/>
          <w:color w:val="000000"/>
        </w:rPr>
        <w:t>other professional fees as well as integration-related costs. We excluded these costs from our non-GAAP measures because they relate to a specific transaction and are not reflective of our ongoing financial performance.</w:t>
      </w:r>
    </w:p>
    <w:p>
      <w:pPr>
        <w:spacing w:after="0" w:line="69" w:lineRule="exact"/>
        <w:rPr>
          <w:sz w:val="20"/>
          <w:szCs w:val="20"/>
          <w:color w:val="auto"/>
        </w:rPr>
      </w:pPr>
    </w:p>
    <w:p>
      <w:pPr>
        <w:ind w:left="480"/>
        <w:spacing w:after="0" w:line="265" w:lineRule="auto"/>
        <w:rPr>
          <w:sz w:val="20"/>
          <w:szCs w:val="20"/>
          <w:color w:val="auto"/>
        </w:rPr>
      </w:pPr>
      <w:r>
        <w:rPr>
          <w:rFonts w:ascii="Arial" w:cs="Arial" w:eastAsia="Arial" w:hAnsi="Arial"/>
          <w:sz w:val="17"/>
          <w:szCs w:val="17"/>
          <w:color w:val="0066BA"/>
        </w:rPr>
        <w:t xml:space="preserve">Special Charges, net: </w:t>
      </w:r>
      <w:r>
        <w:rPr>
          <w:rFonts w:ascii="Arial" w:cs="Arial" w:eastAsia="Arial" w:hAnsi="Arial"/>
          <w:sz w:val="17"/>
          <w:szCs w:val="17"/>
          <w:color w:val="000000"/>
        </w:rPr>
        <w:t>Expenses, net, incurred in connection with facility closures, consolidation of manufacturing facilities, severance, other</w:t>
      </w:r>
      <w:r>
        <w:rPr>
          <w:rFonts w:ascii="Arial" w:cs="Arial" w:eastAsia="Arial" w:hAnsi="Arial"/>
          <w:sz w:val="17"/>
          <w:szCs w:val="17"/>
          <w:color w:val="0066BA"/>
        </w:rPr>
        <w:t xml:space="preserve"> </w:t>
      </w:r>
      <w:r>
        <w:rPr>
          <w:rFonts w:ascii="Arial" w:cs="Arial" w:eastAsia="Arial" w:hAnsi="Arial"/>
          <w:sz w:val="17"/>
          <w:szCs w:val="17"/>
          <w:color w:val="000000"/>
        </w:rPr>
        <w:t>accelerated stock-based compensation expense and other cost reduction efforts or reorganizational initiatives. We excluded these expenses from our non-GAAP measures because apart from ongoing expense savings as a result of such items, these expenses have no direct correlation to the operation of our business in the future.</w:t>
      </w:r>
    </w:p>
    <w:p>
      <w:pPr>
        <w:spacing w:after="0" w:line="73" w:lineRule="exact"/>
        <w:rPr>
          <w:sz w:val="20"/>
          <w:szCs w:val="20"/>
          <w:color w:val="auto"/>
        </w:rPr>
      </w:pPr>
    </w:p>
    <w:p>
      <w:pPr>
        <w:ind w:left="480"/>
        <w:spacing w:after="0" w:line="270" w:lineRule="auto"/>
        <w:rPr>
          <w:sz w:val="20"/>
          <w:szCs w:val="20"/>
          <w:color w:val="auto"/>
        </w:rPr>
      </w:pPr>
      <w:r>
        <w:rPr>
          <w:rFonts w:ascii="Arial" w:cs="Arial" w:eastAsia="Arial" w:hAnsi="Arial"/>
          <w:sz w:val="17"/>
          <w:szCs w:val="17"/>
          <w:color w:val="0066BA"/>
        </w:rPr>
        <w:t xml:space="preserve">Loss on Extinguishment of Debt: </w:t>
      </w:r>
      <w:r>
        <w:rPr>
          <w:rFonts w:ascii="Arial" w:cs="Arial" w:eastAsia="Arial" w:hAnsi="Arial"/>
          <w:sz w:val="17"/>
          <w:szCs w:val="17"/>
          <w:color w:val="000000"/>
        </w:rPr>
        <w:t>Expenses incurred related to the extinguishment of debt including make-whole premiums and other related fees,</w:t>
      </w:r>
      <w:r>
        <w:rPr>
          <w:rFonts w:ascii="Arial" w:cs="Arial" w:eastAsia="Arial" w:hAnsi="Arial"/>
          <w:sz w:val="17"/>
          <w:szCs w:val="17"/>
          <w:color w:val="0066BA"/>
        </w:rPr>
        <w:t xml:space="preserve"> </w:t>
      </w:r>
      <w:r>
        <w:rPr>
          <w:rFonts w:ascii="Arial" w:cs="Arial" w:eastAsia="Arial" w:hAnsi="Arial"/>
          <w:sz w:val="17"/>
          <w:szCs w:val="17"/>
          <w:color w:val="000000"/>
        </w:rPr>
        <w:t>as well as the acceleration of unamortized debt costs and previously deferred derivative hedge losses. We excluded these costs from our non-GAAP measures because they are not reflective of our ongoing financial performance.</w:t>
      </w:r>
    </w:p>
    <w:p>
      <w:pPr>
        <w:spacing w:after="0" w:line="69" w:lineRule="exact"/>
        <w:rPr>
          <w:sz w:val="20"/>
          <w:szCs w:val="20"/>
          <w:color w:val="auto"/>
        </w:rPr>
      </w:pPr>
    </w:p>
    <w:p>
      <w:pPr>
        <w:ind w:left="480" w:right="80"/>
        <w:spacing w:after="0" w:line="270" w:lineRule="auto"/>
        <w:rPr>
          <w:sz w:val="20"/>
          <w:szCs w:val="20"/>
          <w:color w:val="auto"/>
        </w:rPr>
      </w:pPr>
      <w:r>
        <w:rPr>
          <w:rFonts w:ascii="Arial" w:cs="Arial" w:eastAsia="Arial" w:hAnsi="Arial"/>
          <w:sz w:val="17"/>
          <w:szCs w:val="17"/>
          <w:color w:val="0066BA"/>
        </w:rPr>
        <w:t xml:space="preserve">Tax Related Items: </w:t>
      </w:r>
      <w:r>
        <w:rPr>
          <w:rFonts w:ascii="Arial" w:cs="Arial" w:eastAsia="Arial" w:hAnsi="Arial"/>
          <w:sz w:val="17"/>
          <w:szCs w:val="17"/>
          <w:color w:val="000000"/>
        </w:rPr>
        <w:t>Income tax effect of the non-GAAP items discussed above and income tax from certain discrete tax items related to an intra-entity transfer of intangible assets. We excluded these tax related items from our non-GAAP measures because they are not associated with the tax expense on our current operating results.</w:t>
      </w:r>
    </w:p>
    <w:p>
      <w:pPr>
        <w:spacing w:after="0" w:line="200" w:lineRule="exact"/>
        <w:rPr>
          <w:sz w:val="20"/>
          <w:szCs w:val="20"/>
          <w:color w:val="auto"/>
        </w:rPr>
      </w:pPr>
    </w:p>
    <w:p>
      <w:pPr>
        <w:spacing w:after="0" w:line="23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0720"/>
          </w:cols>
          <w:pgMar w:left="320" w:top="447" w:right="85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93"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333333"/>
        </w:rPr>
        <w:t>Reconciliation of GAAP Measures to Non-GAAP Results (Unaudited)</w:t>
      </w:r>
    </w:p>
    <w:p>
      <w:pPr>
        <w:spacing w:after="0" w:line="68"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333333"/>
        </w:rPr>
        <w:t>(In thousands, except per-share amounts)</w:t>
      </w:r>
    </w:p>
    <w:p>
      <w:pPr>
        <w:spacing w:after="0" w:line="131" w:lineRule="exact"/>
        <w:rPr>
          <w:sz w:val="20"/>
          <w:szCs w:val="20"/>
          <w:color w:val="auto"/>
        </w:rPr>
      </w:pPr>
    </w:p>
    <w:tbl>
      <w:tblPr>
        <w:tblLayout w:type="fixed"/>
        <w:tblInd w:w="480" w:type="dxa"/>
        <w:tblCellMar>
          <w:top w:w="0" w:type="dxa"/>
          <w:left w:w="0" w:type="dxa"/>
          <w:bottom w:w="0" w:type="dxa"/>
          <w:right w:w="0" w:type="dxa"/>
        </w:tblCellMar>
      </w:tblPr>
      <w:tr>
        <w:trPr>
          <w:trHeight w:val="182"/>
        </w:trPr>
        <w:tc>
          <w:tcPr>
            <w:tcW w:w="6880" w:type="dxa"/>
            <w:vAlign w:val="bottom"/>
            <w:shd w:val="clear" w:color="auto" w:fill="EAEAEA"/>
          </w:tcPr>
          <w:p>
            <w:pPr>
              <w:spacing w:after="0"/>
              <w:rPr>
                <w:sz w:val="15"/>
                <w:szCs w:val="15"/>
                <w:color w:val="auto"/>
              </w:rPr>
            </w:pPr>
          </w:p>
        </w:tc>
        <w:tc>
          <w:tcPr>
            <w:tcW w:w="3400" w:type="dxa"/>
            <w:vAlign w:val="bottom"/>
            <w:gridSpan w:val="2"/>
            <w:shd w:val="clear" w:color="auto" w:fill="EAEAEA"/>
          </w:tcPr>
          <w:p>
            <w:pPr>
              <w:jc w:val="right"/>
              <w:ind w:right="2"/>
              <w:spacing w:after="0"/>
              <w:rPr>
                <w:sz w:val="20"/>
                <w:szCs w:val="20"/>
                <w:color w:val="auto"/>
              </w:rPr>
            </w:pPr>
            <w:r>
              <w:rPr>
                <w:rFonts w:ascii="Arial" w:cs="Arial" w:eastAsia="Arial" w:hAnsi="Arial"/>
                <w:sz w:val="14"/>
                <w:szCs w:val="14"/>
                <w:b w:val="1"/>
                <w:bCs w:val="1"/>
                <w:color w:val="auto"/>
              </w:rPr>
              <w:t>Twelve months ended Oct 30, 2021</w:t>
            </w:r>
          </w:p>
        </w:tc>
      </w:tr>
      <w:tr>
        <w:trPr>
          <w:trHeight w:val="195"/>
        </w:trPr>
        <w:tc>
          <w:tcPr>
            <w:tcW w:w="68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Gross margin</w:t>
            </w:r>
          </w:p>
        </w:tc>
        <w:tc>
          <w:tcPr>
            <w:tcW w:w="34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color w:val="auto"/>
              </w:rPr>
              <w:t>$4,525,012</w:t>
            </w:r>
          </w:p>
        </w:tc>
      </w:tr>
      <w:tr>
        <w:trPr>
          <w:trHeight w:val="188"/>
        </w:trPr>
        <w:tc>
          <w:tcPr>
            <w:tcW w:w="688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Gross margin percentage .</w:t>
            </w:r>
          </w:p>
        </w:tc>
        <w:tc>
          <w:tcPr>
            <w:tcW w:w="34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color w:val="auto"/>
              </w:rPr>
              <w:t>61.8%</w:t>
            </w:r>
          </w:p>
        </w:tc>
      </w:tr>
      <w:tr>
        <w:trPr>
          <w:trHeight w:val="188"/>
        </w:trPr>
        <w:tc>
          <w:tcPr>
            <w:tcW w:w="68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Acquisition related expenses</w:t>
            </w:r>
          </w:p>
        </w:tc>
        <w:tc>
          <w:tcPr>
            <w:tcW w:w="34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color w:val="auto"/>
              </w:rPr>
              <w:t>661,438</w:t>
            </w:r>
          </w:p>
        </w:tc>
      </w:tr>
      <w:tr>
        <w:trPr>
          <w:trHeight w:val="188"/>
        </w:trPr>
        <w:tc>
          <w:tcPr>
            <w:tcW w:w="6880" w:type="dxa"/>
            <w:vAlign w:val="bottom"/>
            <w:tcBorders>
              <w:bottom w:val="single" w:sz="8" w:color="7F7F7F"/>
            </w:tcBorders>
          </w:tcPr>
          <w:p>
            <w:pPr>
              <w:ind w:left="60"/>
              <w:spacing w:after="0"/>
              <w:rPr>
                <w:sz w:val="20"/>
                <w:szCs w:val="20"/>
                <w:color w:val="auto"/>
              </w:rPr>
            </w:pPr>
            <w:r>
              <w:rPr>
                <w:rFonts w:ascii="Arial" w:cs="Arial" w:eastAsia="Arial" w:hAnsi="Arial"/>
                <w:sz w:val="16"/>
                <w:szCs w:val="16"/>
                <w:b w:val="1"/>
                <w:bCs w:val="1"/>
                <w:color w:val="auto"/>
              </w:rPr>
              <w:t>Adjusted gross margin</w:t>
            </w:r>
          </w:p>
        </w:tc>
        <w:tc>
          <w:tcPr>
            <w:tcW w:w="2200" w:type="dxa"/>
            <w:vAlign w:val="bottom"/>
            <w:tcBorders>
              <w:bottom w:val="single" w:sz="8" w:color="7F7F7F"/>
            </w:tcBorders>
          </w:tcPr>
          <w:p>
            <w:pPr>
              <w:spacing w:after="0"/>
              <w:rPr>
                <w:sz w:val="16"/>
                <w:szCs w:val="16"/>
                <w:color w:val="auto"/>
              </w:rPr>
            </w:pPr>
          </w:p>
        </w:tc>
        <w:tc>
          <w:tcPr>
            <w:tcW w:w="1200" w:type="dxa"/>
            <w:vAlign w:val="bottom"/>
            <w:tcBorders>
              <w:bottom w:val="single" w:sz="8" w:color="7F7F7F"/>
            </w:tcBorders>
            <w:shd w:val="clear" w:color="auto" w:fill="EAEAEA"/>
          </w:tcPr>
          <w:p>
            <w:pPr>
              <w:jc w:val="right"/>
              <w:ind w:right="2"/>
              <w:spacing w:after="0"/>
              <w:rPr>
                <w:sz w:val="20"/>
                <w:szCs w:val="20"/>
                <w:color w:val="auto"/>
              </w:rPr>
            </w:pPr>
            <w:r>
              <w:rPr>
                <w:rFonts w:ascii="Arial" w:cs="Arial" w:eastAsia="Arial" w:hAnsi="Arial"/>
                <w:sz w:val="16"/>
                <w:szCs w:val="16"/>
                <w:b w:val="1"/>
                <w:bCs w:val="1"/>
                <w:color w:val="auto"/>
              </w:rPr>
              <w:t>$5,186,450</w:t>
            </w:r>
          </w:p>
        </w:tc>
      </w:tr>
      <w:tr>
        <w:trPr>
          <w:trHeight w:val="188"/>
        </w:trPr>
        <w:tc>
          <w:tcPr>
            <w:tcW w:w="688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Adjusted gross margin percentage</w:t>
            </w:r>
          </w:p>
        </w:tc>
        <w:tc>
          <w:tcPr>
            <w:tcW w:w="34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color w:val="auto"/>
              </w:rPr>
              <w:t>70.9%</w:t>
            </w:r>
          </w:p>
        </w:tc>
      </w:tr>
      <w:tr>
        <w:trPr>
          <w:trHeight w:val="188"/>
        </w:trPr>
        <w:tc>
          <w:tcPr>
            <w:tcW w:w="68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Operating income</w:t>
            </w:r>
          </w:p>
        </w:tc>
        <w:tc>
          <w:tcPr>
            <w:tcW w:w="34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color w:val="auto"/>
              </w:rPr>
              <w:t>$1,692,201</w:t>
            </w:r>
          </w:p>
        </w:tc>
      </w:tr>
      <w:tr>
        <w:trPr>
          <w:trHeight w:val="188"/>
        </w:trPr>
        <w:tc>
          <w:tcPr>
            <w:tcW w:w="688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Operating margin</w:t>
            </w:r>
          </w:p>
        </w:tc>
        <w:tc>
          <w:tcPr>
            <w:tcW w:w="34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color w:val="auto"/>
              </w:rPr>
              <w:t>23.1%</w:t>
            </w:r>
          </w:p>
        </w:tc>
      </w:tr>
      <w:tr>
        <w:trPr>
          <w:trHeight w:val="188"/>
        </w:trPr>
        <w:tc>
          <w:tcPr>
            <w:tcW w:w="68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Acquisition related expenses</w:t>
            </w:r>
          </w:p>
        </w:tc>
        <w:tc>
          <w:tcPr>
            <w:tcW w:w="34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color w:val="auto"/>
              </w:rPr>
              <w:t>1,214,227</w:t>
            </w:r>
          </w:p>
        </w:tc>
      </w:tr>
      <w:tr>
        <w:trPr>
          <w:trHeight w:val="188"/>
        </w:trPr>
        <w:tc>
          <w:tcPr>
            <w:tcW w:w="68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Acquisition related transaction costs</w:t>
            </w:r>
          </w:p>
        </w:tc>
        <w:tc>
          <w:tcPr>
            <w:tcW w:w="34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color w:val="auto"/>
              </w:rPr>
              <w:t>112,859</w:t>
            </w:r>
          </w:p>
        </w:tc>
      </w:tr>
      <w:tr>
        <w:trPr>
          <w:trHeight w:val="188"/>
        </w:trPr>
        <w:tc>
          <w:tcPr>
            <w:tcW w:w="68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Special charges, net</w:t>
            </w:r>
          </w:p>
        </w:tc>
        <w:tc>
          <w:tcPr>
            <w:tcW w:w="34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color w:val="auto"/>
              </w:rPr>
              <w:t>84,458</w:t>
            </w:r>
          </w:p>
        </w:tc>
      </w:tr>
      <w:tr>
        <w:trPr>
          <w:trHeight w:val="188"/>
        </w:trPr>
        <w:tc>
          <w:tcPr>
            <w:tcW w:w="6880" w:type="dxa"/>
            <w:vAlign w:val="bottom"/>
            <w:tcBorders>
              <w:bottom w:val="single" w:sz="8" w:color="7F7F7F"/>
            </w:tcBorders>
          </w:tcPr>
          <w:p>
            <w:pPr>
              <w:ind w:left="60"/>
              <w:spacing w:after="0"/>
              <w:rPr>
                <w:sz w:val="20"/>
                <w:szCs w:val="20"/>
                <w:color w:val="auto"/>
              </w:rPr>
            </w:pPr>
            <w:r>
              <w:rPr>
                <w:rFonts w:ascii="Arial" w:cs="Arial" w:eastAsia="Arial" w:hAnsi="Arial"/>
                <w:sz w:val="16"/>
                <w:szCs w:val="16"/>
                <w:b w:val="1"/>
                <w:bCs w:val="1"/>
                <w:color w:val="auto"/>
              </w:rPr>
              <w:t>Adjusted operating income</w:t>
            </w:r>
          </w:p>
        </w:tc>
        <w:tc>
          <w:tcPr>
            <w:tcW w:w="2200" w:type="dxa"/>
            <w:vAlign w:val="bottom"/>
            <w:tcBorders>
              <w:bottom w:val="single" w:sz="8" w:color="7F7F7F"/>
            </w:tcBorders>
          </w:tcPr>
          <w:p>
            <w:pPr>
              <w:spacing w:after="0"/>
              <w:rPr>
                <w:sz w:val="16"/>
                <w:szCs w:val="16"/>
                <w:color w:val="auto"/>
              </w:rPr>
            </w:pPr>
          </w:p>
        </w:tc>
        <w:tc>
          <w:tcPr>
            <w:tcW w:w="1200" w:type="dxa"/>
            <w:vAlign w:val="bottom"/>
            <w:tcBorders>
              <w:bottom w:val="single" w:sz="8" w:color="7F7F7F"/>
            </w:tcBorders>
            <w:shd w:val="clear" w:color="auto" w:fill="EAEAEA"/>
          </w:tcPr>
          <w:p>
            <w:pPr>
              <w:jc w:val="right"/>
              <w:ind w:right="2"/>
              <w:spacing w:after="0"/>
              <w:rPr>
                <w:sz w:val="20"/>
                <w:szCs w:val="20"/>
                <w:color w:val="auto"/>
              </w:rPr>
            </w:pPr>
            <w:r>
              <w:rPr>
                <w:rFonts w:ascii="Arial" w:cs="Arial" w:eastAsia="Arial" w:hAnsi="Arial"/>
                <w:sz w:val="16"/>
                <w:szCs w:val="16"/>
                <w:b w:val="1"/>
                <w:bCs w:val="1"/>
                <w:color w:val="auto"/>
              </w:rPr>
              <w:t>$3,103,745</w:t>
            </w:r>
          </w:p>
        </w:tc>
      </w:tr>
      <w:tr>
        <w:trPr>
          <w:trHeight w:val="188"/>
        </w:trPr>
        <w:tc>
          <w:tcPr>
            <w:tcW w:w="688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Adjusted operating margin</w:t>
            </w:r>
          </w:p>
        </w:tc>
        <w:tc>
          <w:tcPr>
            <w:tcW w:w="34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color w:val="auto"/>
              </w:rPr>
              <w:t>42.4%</w:t>
            </w:r>
          </w:p>
        </w:tc>
      </w:tr>
      <w:tr>
        <w:trPr>
          <w:trHeight w:val="188"/>
        </w:trPr>
        <w:tc>
          <w:tcPr>
            <w:tcW w:w="68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Diluted EPS</w:t>
            </w:r>
          </w:p>
        </w:tc>
        <w:tc>
          <w:tcPr>
            <w:tcW w:w="34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color w:val="auto"/>
              </w:rPr>
              <w:t>$ 3.46</w:t>
            </w:r>
          </w:p>
        </w:tc>
      </w:tr>
      <w:tr>
        <w:trPr>
          <w:trHeight w:val="188"/>
        </w:trPr>
        <w:tc>
          <w:tcPr>
            <w:tcW w:w="68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Acquisition related expenses</w:t>
            </w:r>
          </w:p>
        </w:tc>
        <w:tc>
          <w:tcPr>
            <w:tcW w:w="34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color w:val="auto"/>
              </w:rPr>
              <w:t>3.02</w:t>
            </w:r>
          </w:p>
        </w:tc>
      </w:tr>
      <w:tr>
        <w:trPr>
          <w:trHeight w:val="188"/>
        </w:trPr>
        <w:tc>
          <w:tcPr>
            <w:tcW w:w="68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Acquisition related transaction costs</w:t>
            </w:r>
          </w:p>
        </w:tc>
        <w:tc>
          <w:tcPr>
            <w:tcW w:w="34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color w:val="auto"/>
              </w:rPr>
              <w:t>0.28</w:t>
            </w:r>
          </w:p>
        </w:tc>
      </w:tr>
      <w:tr>
        <w:trPr>
          <w:trHeight w:val="188"/>
        </w:trPr>
        <w:tc>
          <w:tcPr>
            <w:tcW w:w="68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Special charges, net</w:t>
            </w:r>
          </w:p>
        </w:tc>
        <w:tc>
          <w:tcPr>
            <w:tcW w:w="34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color w:val="auto"/>
              </w:rPr>
              <w:t>0.21</w:t>
            </w:r>
          </w:p>
        </w:tc>
      </w:tr>
      <w:tr>
        <w:trPr>
          <w:trHeight w:val="188"/>
        </w:trPr>
        <w:tc>
          <w:tcPr>
            <w:tcW w:w="68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Loss on extinguishment of debt</w:t>
            </w:r>
          </w:p>
        </w:tc>
        <w:tc>
          <w:tcPr>
            <w:tcW w:w="34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color w:val="auto"/>
              </w:rPr>
              <w:t>0.54</w:t>
            </w:r>
          </w:p>
        </w:tc>
      </w:tr>
      <w:tr>
        <w:trPr>
          <w:trHeight w:val="188"/>
        </w:trPr>
        <w:tc>
          <w:tcPr>
            <w:tcW w:w="68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Income tax effect of adjustments above</w:t>
            </w:r>
          </w:p>
        </w:tc>
        <w:tc>
          <w:tcPr>
            <w:tcW w:w="34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color w:val="auto"/>
              </w:rPr>
              <w:t>(0.58)</w:t>
            </w:r>
          </w:p>
        </w:tc>
      </w:tr>
      <w:tr>
        <w:trPr>
          <w:trHeight w:val="188"/>
        </w:trPr>
        <w:tc>
          <w:tcPr>
            <w:tcW w:w="68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Income tax from certain discrete tax items</w:t>
            </w:r>
          </w:p>
        </w:tc>
        <w:tc>
          <w:tcPr>
            <w:tcW w:w="34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color w:val="auto"/>
              </w:rPr>
              <w:t>(0.47)</w:t>
            </w:r>
          </w:p>
        </w:tc>
      </w:tr>
      <w:tr>
        <w:trPr>
          <w:trHeight w:val="188"/>
        </w:trPr>
        <w:tc>
          <w:tcPr>
            <w:tcW w:w="6880" w:type="dxa"/>
            <w:vAlign w:val="bottom"/>
            <w:tcBorders>
              <w:bottom w:val="single" w:sz="8" w:color="7F7F7F"/>
            </w:tcBorders>
          </w:tcPr>
          <w:p>
            <w:pPr>
              <w:ind w:left="60"/>
              <w:spacing w:after="0"/>
              <w:rPr>
                <w:sz w:val="20"/>
                <w:szCs w:val="20"/>
                <w:color w:val="auto"/>
              </w:rPr>
            </w:pPr>
            <w:r>
              <w:rPr>
                <w:rFonts w:ascii="Arial" w:cs="Arial" w:eastAsia="Arial" w:hAnsi="Arial"/>
                <w:sz w:val="16"/>
                <w:szCs w:val="16"/>
                <w:b w:val="1"/>
                <w:bCs w:val="1"/>
                <w:color w:val="auto"/>
              </w:rPr>
              <w:t>Adjusted diluted EPS</w:t>
            </w:r>
          </w:p>
        </w:tc>
        <w:tc>
          <w:tcPr>
            <w:tcW w:w="2200" w:type="dxa"/>
            <w:vAlign w:val="bottom"/>
            <w:tcBorders>
              <w:bottom w:val="single" w:sz="8" w:color="7F7F7F"/>
            </w:tcBorders>
          </w:tcPr>
          <w:p>
            <w:pPr>
              <w:spacing w:after="0"/>
              <w:rPr>
                <w:sz w:val="16"/>
                <w:szCs w:val="16"/>
                <w:color w:val="auto"/>
              </w:rPr>
            </w:pPr>
          </w:p>
        </w:tc>
        <w:tc>
          <w:tcPr>
            <w:tcW w:w="1200" w:type="dxa"/>
            <w:vAlign w:val="bottom"/>
            <w:tcBorders>
              <w:bottom w:val="single" w:sz="8" w:color="7F7F7F"/>
            </w:tcBorders>
            <w:shd w:val="clear" w:color="auto" w:fill="EAEAEA"/>
          </w:tcPr>
          <w:p>
            <w:pPr>
              <w:jc w:val="right"/>
              <w:ind w:right="2"/>
              <w:spacing w:after="0"/>
              <w:rPr>
                <w:sz w:val="20"/>
                <w:szCs w:val="20"/>
                <w:color w:val="auto"/>
              </w:rPr>
            </w:pPr>
            <w:r>
              <w:rPr>
                <w:rFonts w:ascii="Arial" w:cs="Arial" w:eastAsia="Arial" w:hAnsi="Arial"/>
                <w:sz w:val="16"/>
                <w:szCs w:val="16"/>
                <w:b w:val="1"/>
                <w:bCs w:val="1"/>
                <w:color w:val="auto"/>
              </w:rPr>
              <w:t>$ 6.46</w:t>
            </w:r>
          </w:p>
        </w:tc>
      </w:tr>
    </w:tbl>
    <w:p>
      <w:pPr>
        <w:spacing w:after="0" w:line="184" w:lineRule="exact"/>
        <w:rPr>
          <w:sz w:val="20"/>
          <w:szCs w:val="20"/>
          <w:color w:val="auto"/>
        </w:rPr>
      </w:pPr>
    </w:p>
    <w:p>
      <w:pPr>
        <w:ind w:left="480"/>
        <w:spacing w:after="0"/>
        <w:rPr>
          <w:sz w:val="20"/>
          <w:szCs w:val="20"/>
          <w:color w:val="auto"/>
        </w:rPr>
      </w:pPr>
      <w:r>
        <w:rPr>
          <w:rFonts w:ascii="Arial" w:cs="Arial" w:eastAsia="Arial" w:hAnsi="Arial"/>
          <w:sz w:val="23"/>
          <w:szCs w:val="23"/>
          <w:b w:val="1"/>
          <w:bCs w:val="1"/>
          <w:color w:val="333333"/>
        </w:rPr>
        <w:t>Reconciliation of Net Cash Provided by Operating Activities to Free Cash Flow (Unaudited)</w:t>
      </w:r>
    </w:p>
    <w:p>
      <w:pPr>
        <w:spacing w:after="0" w:line="68"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333333"/>
        </w:rPr>
        <w:t>(In thousands)</w:t>
      </w:r>
    </w:p>
    <w:p>
      <w:pPr>
        <w:spacing w:after="0" w:line="131" w:lineRule="exact"/>
        <w:rPr>
          <w:sz w:val="20"/>
          <w:szCs w:val="20"/>
          <w:color w:val="auto"/>
        </w:rPr>
      </w:pPr>
    </w:p>
    <w:tbl>
      <w:tblPr>
        <w:tblLayout w:type="fixed"/>
        <w:tblInd w:w="480" w:type="dxa"/>
        <w:tblCellMar>
          <w:top w:w="0" w:type="dxa"/>
          <w:left w:w="0" w:type="dxa"/>
          <w:bottom w:w="0" w:type="dxa"/>
          <w:right w:w="0" w:type="dxa"/>
        </w:tblCellMar>
      </w:tblPr>
      <w:tr>
        <w:trPr>
          <w:trHeight w:val="182"/>
        </w:trPr>
        <w:tc>
          <w:tcPr>
            <w:tcW w:w="6880" w:type="dxa"/>
            <w:vAlign w:val="bottom"/>
            <w:shd w:val="clear" w:color="auto" w:fill="EAEAEA"/>
          </w:tcPr>
          <w:p>
            <w:pPr>
              <w:spacing w:after="0"/>
              <w:rPr>
                <w:sz w:val="15"/>
                <w:szCs w:val="15"/>
                <w:color w:val="auto"/>
              </w:rPr>
            </w:pPr>
          </w:p>
        </w:tc>
        <w:tc>
          <w:tcPr>
            <w:tcW w:w="3400" w:type="dxa"/>
            <w:vAlign w:val="bottom"/>
            <w:gridSpan w:val="2"/>
            <w:shd w:val="clear" w:color="auto" w:fill="EAEAEA"/>
          </w:tcPr>
          <w:p>
            <w:pPr>
              <w:jc w:val="right"/>
              <w:ind w:right="2"/>
              <w:spacing w:after="0"/>
              <w:rPr>
                <w:sz w:val="20"/>
                <w:szCs w:val="20"/>
                <w:color w:val="auto"/>
              </w:rPr>
            </w:pPr>
            <w:r>
              <w:rPr>
                <w:rFonts w:ascii="Arial" w:cs="Arial" w:eastAsia="Arial" w:hAnsi="Arial"/>
                <w:sz w:val="14"/>
                <w:szCs w:val="14"/>
                <w:b w:val="1"/>
                <w:bCs w:val="1"/>
                <w:color w:val="auto"/>
              </w:rPr>
              <w:t>Twelve months ended Oct 30, 2021</w:t>
            </w:r>
          </w:p>
        </w:tc>
      </w:tr>
      <w:tr>
        <w:trPr>
          <w:trHeight w:val="195"/>
        </w:trPr>
        <w:tc>
          <w:tcPr>
            <w:tcW w:w="68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Revenue</w:t>
            </w:r>
          </w:p>
        </w:tc>
        <w:tc>
          <w:tcPr>
            <w:tcW w:w="34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color w:val="auto"/>
              </w:rPr>
              <w:t>$7,318,286</w:t>
            </w:r>
          </w:p>
        </w:tc>
      </w:tr>
      <w:tr>
        <w:trPr>
          <w:trHeight w:val="188"/>
        </w:trPr>
        <w:tc>
          <w:tcPr>
            <w:tcW w:w="68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Net cash provided by operating activities</w:t>
            </w:r>
          </w:p>
        </w:tc>
        <w:tc>
          <w:tcPr>
            <w:tcW w:w="34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color w:val="auto"/>
              </w:rPr>
              <w:t>$2,735,069</w:t>
            </w:r>
          </w:p>
        </w:tc>
      </w:tr>
      <w:tr>
        <w:trPr>
          <w:trHeight w:val="188"/>
        </w:trPr>
        <w:tc>
          <w:tcPr>
            <w:tcW w:w="68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 of revenue</w:t>
            </w:r>
          </w:p>
        </w:tc>
        <w:tc>
          <w:tcPr>
            <w:tcW w:w="34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6"/>
                <w:szCs w:val="16"/>
                <w:color w:val="auto"/>
              </w:rPr>
              <w:t>37%</w:t>
            </w:r>
          </w:p>
        </w:tc>
      </w:tr>
      <w:tr>
        <w:trPr>
          <w:trHeight w:val="188"/>
        </w:trPr>
        <w:tc>
          <w:tcPr>
            <w:tcW w:w="68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Capital expenditures</w:t>
            </w:r>
          </w:p>
        </w:tc>
        <w:tc>
          <w:tcPr>
            <w:tcW w:w="2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shd w:val="clear" w:color="auto" w:fill="EAEAEA"/>
          </w:tcPr>
          <w:p>
            <w:pPr>
              <w:jc w:val="right"/>
              <w:ind w:right="2"/>
              <w:spacing w:after="0"/>
              <w:rPr>
                <w:sz w:val="20"/>
                <w:szCs w:val="20"/>
                <w:color w:val="auto"/>
              </w:rPr>
            </w:pPr>
            <w:r>
              <w:rPr>
                <w:rFonts w:ascii="Arial" w:cs="Arial" w:eastAsia="Arial" w:hAnsi="Arial"/>
                <w:sz w:val="16"/>
                <w:szCs w:val="16"/>
                <w:color w:val="auto"/>
              </w:rPr>
              <w:t>$(343,676)</w:t>
            </w:r>
          </w:p>
        </w:tc>
      </w:tr>
      <w:tr>
        <w:trPr>
          <w:trHeight w:val="188"/>
        </w:trPr>
        <w:tc>
          <w:tcPr>
            <w:tcW w:w="6880" w:type="dxa"/>
            <w:vAlign w:val="bottom"/>
            <w:tcBorders>
              <w:bottom w:val="single" w:sz="8" w:color="7F7F7F"/>
            </w:tcBorders>
          </w:tcPr>
          <w:p>
            <w:pPr>
              <w:ind w:left="60"/>
              <w:spacing w:after="0"/>
              <w:rPr>
                <w:sz w:val="20"/>
                <w:szCs w:val="20"/>
                <w:color w:val="auto"/>
              </w:rPr>
            </w:pPr>
            <w:r>
              <w:rPr>
                <w:rFonts w:ascii="Arial" w:cs="Arial" w:eastAsia="Arial" w:hAnsi="Arial"/>
                <w:sz w:val="16"/>
                <w:szCs w:val="16"/>
                <w:b w:val="1"/>
                <w:bCs w:val="1"/>
                <w:color w:val="auto"/>
              </w:rPr>
              <w:t>Free cash flow (1)</w:t>
            </w:r>
          </w:p>
        </w:tc>
        <w:tc>
          <w:tcPr>
            <w:tcW w:w="2200" w:type="dxa"/>
            <w:vAlign w:val="bottom"/>
            <w:tcBorders>
              <w:bottom w:val="single" w:sz="8" w:color="7F7F7F"/>
            </w:tcBorders>
          </w:tcPr>
          <w:p>
            <w:pPr>
              <w:spacing w:after="0"/>
              <w:rPr>
                <w:sz w:val="16"/>
                <w:szCs w:val="16"/>
                <w:color w:val="auto"/>
              </w:rPr>
            </w:pPr>
          </w:p>
        </w:tc>
        <w:tc>
          <w:tcPr>
            <w:tcW w:w="1200" w:type="dxa"/>
            <w:vAlign w:val="bottom"/>
            <w:tcBorders>
              <w:bottom w:val="single" w:sz="8" w:color="7F7F7F"/>
            </w:tcBorders>
            <w:shd w:val="clear" w:color="auto" w:fill="EAEAEA"/>
          </w:tcPr>
          <w:p>
            <w:pPr>
              <w:jc w:val="right"/>
              <w:ind w:right="2"/>
              <w:spacing w:after="0"/>
              <w:rPr>
                <w:sz w:val="20"/>
                <w:szCs w:val="20"/>
                <w:color w:val="auto"/>
              </w:rPr>
            </w:pPr>
            <w:r>
              <w:rPr>
                <w:rFonts w:ascii="Arial" w:cs="Arial" w:eastAsia="Arial" w:hAnsi="Arial"/>
                <w:sz w:val="16"/>
                <w:szCs w:val="16"/>
                <w:b w:val="1"/>
                <w:bCs w:val="1"/>
                <w:color w:val="auto"/>
              </w:rPr>
              <w:t>$2,391,393</w:t>
            </w:r>
          </w:p>
        </w:tc>
      </w:tr>
      <w:tr>
        <w:trPr>
          <w:trHeight w:val="188"/>
        </w:trPr>
        <w:tc>
          <w:tcPr>
            <w:tcW w:w="6880" w:type="dxa"/>
            <w:vAlign w:val="bottom"/>
            <w:tcBorders>
              <w:bottom w:val="single" w:sz="8" w:color="7F7F7F"/>
            </w:tcBorders>
          </w:tcPr>
          <w:p>
            <w:pPr>
              <w:ind w:left="60"/>
              <w:spacing w:after="0"/>
              <w:rPr>
                <w:sz w:val="20"/>
                <w:szCs w:val="20"/>
                <w:color w:val="auto"/>
              </w:rPr>
            </w:pPr>
            <w:r>
              <w:rPr>
                <w:rFonts w:ascii="Arial" w:cs="Arial" w:eastAsia="Arial" w:hAnsi="Arial"/>
                <w:sz w:val="16"/>
                <w:szCs w:val="16"/>
                <w:color w:val="auto"/>
              </w:rPr>
              <w:t>% of revenue</w:t>
            </w:r>
          </w:p>
        </w:tc>
        <w:tc>
          <w:tcPr>
            <w:tcW w:w="3400" w:type="dxa"/>
            <w:vAlign w:val="bottom"/>
            <w:tcBorders>
              <w:bottom w:val="single" w:sz="8" w:color="7F7F7F"/>
            </w:tcBorders>
            <w:gridSpan w:val="2"/>
          </w:tcPr>
          <w:p>
            <w:pPr>
              <w:jc w:val="right"/>
              <w:ind w:right="2"/>
              <w:spacing w:after="0"/>
              <w:rPr>
                <w:sz w:val="20"/>
                <w:szCs w:val="20"/>
                <w:color w:val="auto"/>
              </w:rPr>
            </w:pPr>
            <w:r>
              <w:rPr>
                <w:rFonts w:ascii="Arial" w:cs="Arial" w:eastAsia="Arial" w:hAnsi="Arial"/>
                <w:sz w:val="16"/>
                <w:szCs w:val="16"/>
                <w:color w:val="auto"/>
              </w:rPr>
              <w:t>33%</w:t>
            </w:r>
          </w:p>
        </w:tc>
      </w:tr>
    </w:tbl>
    <w:p>
      <w:pPr>
        <w:spacing w:after="0" w:line="50" w:lineRule="exact"/>
        <w:rPr>
          <w:sz w:val="20"/>
          <w:szCs w:val="20"/>
          <w:color w:val="auto"/>
        </w:rPr>
      </w:pPr>
    </w:p>
    <w:p>
      <w:pPr>
        <w:ind w:left="780" w:hanging="305"/>
        <w:spacing w:after="0"/>
        <w:tabs>
          <w:tab w:leader="none" w:pos="780" w:val="left"/>
        </w:tabs>
        <w:numPr>
          <w:ilvl w:val="0"/>
          <w:numId w:val="109"/>
        </w:numPr>
        <w:rPr>
          <w:rFonts w:ascii="Arial" w:cs="Arial" w:eastAsia="Arial" w:hAnsi="Arial"/>
          <w:sz w:val="13"/>
          <w:szCs w:val="13"/>
          <w:i w:val="1"/>
          <w:iCs w:val="1"/>
          <w:color w:val="auto"/>
        </w:rPr>
      </w:pPr>
      <w:r>
        <w:rPr>
          <w:rFonts w:ascii="Arial" w:cs="Arial" w:eastAsia="Arial" w:hAnsi="Arial"/>
          <w:sz w:val="13"/>
          <w:szCs w:val="13"/>
          <w:i w:val="1"/>
          <w:iCs w:val="1"/>
          <w:color w:val="auto"/>
        </w:rPr>
        <w:t>Free cash flow is defined as net cash provided by operating activities, less capital expenditures.</w:t>
      </w: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0940"/>
          </w:cols>
          <w:pgMar w:left="320" w:top="447" w:right="63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52" w:lineRule="exact"/>
        <w:rPr>
          <w:sz w:val="20"/>
          <w:szCs w:val="20"/>
          <w:color w:val="auto"/>
        </w:rPr>
      </w:pPr>
    </w:p>
    <w:p>
      <w:pPr>
        <w:ind w:left="480" w:right="1180"/>
        <w:spacing w:after="0" w:line="282" w:lineRule="auto"/>
        <w:rPr>
          <w:sz w:val="20"/>
          <w:szCs w:val="20"/>
          <w:color w:val="auto"/>
        </w:rPr>
      </w:pPr>
      <w:r>
        <w:rPr>
          <w:rFonts w:ascii="Arial" w:cs="Arial" w:eastAsia="Arial" w:hAnsi="Arial"/>
          <w:sz w:val="55"/>
          <w:szCs w:val="55"/>
          <w:b w:val="1"/>
          <w:bCs w:val="1"/>
          <w:color w:val="333333"/>
        </w:rPr>
        <w:t>Appendix B: 2022 Employee Stock Purchase Plan</w:t>
      </w:r>
    </w:p>
    <w:p>
      <w:pPr>
        <w:spacing w:after="0" w:line="43" w:lineRule="exact"/>
        <w:rPr>
          <w:sz w:val="20"/>
          <w:szCs w:val="20"/>
          <w:color w:val="auto"/>
        </w:rPr>
      </w:pPr>
    </w:p>
    <w:p>
      <w:pPr>
        <w:ind w:left="480" w:right="20"/>
        <w:spacing w:after="0" w:line="259" w:lineRule="auto"/>
        <w:rPr>
          <w:sz w:val="20"/>
          <w:szCs w:val="20"/>
          <w:color w:val="auto"/>
        </w:rPr>
      </w:pPr>
      <w:r>
        <w:rPr>
          <w:rFonts w:ascii="Arial" w:cs="Arial" w:eastAsia="Arial" w:hAnsi="Arial"/>
          <w:sz w:val="17"/>
          <w:szCs w:val="17"/>
          <w:color w:val="auto"/>
        </w:rPr>
        <w:t>The purpose of this 2022 Employee Stock Purchase Plan (this “</w:t>
      </w:r>
      <w:r>
        <w:rPr>
          <w:rFonts w:ascii="Arial" w:cs="Arial" w:eastAsia="Arial" w:hAnsi="Arial"/>
          <w:sz w:val="17"/>
          <w:szCs w:val="17"/>
          <w:b w:val="1"/>
          <w:bCs w:val="1"/>
          <w:color w:val="auto"/>
        </w:rPr>
        <w:t>Plan</w:t>
      </w:r>
      <w:r>
        <w:rPr>
          <w:rFonts w:ascii="Arial" w:cs="Arial" w:eastAsia="Arial" w:hAnsi="Arial"/>
          <w:sz w:val="17"/>
          <w:szCs w:val="17"/>
          <w:color w:val="auto"/>
        </w:rPr>
        <w:t>”) is to provide eligible employees of Analog Devices, Inc. (the “</w:t>
      </w:r>
      <w:r>
        <w:rPr>
          <w:rFonts w:ascii="Arial" w:cs="Arial" w:eastAsia="Arial" w:hAnsi="Arial"/>
          <w:sz w:val="17"/>
          <w:szCs w:val="17"/>
          <w:b w:val="1"/>
          <w:bCs w:val="1"/>
          <w:color w:val="auto"/>
        </w:rPr>
        <w:t>Company</w:t>
      </w:r>
      <w:r>
        <w:rPr>
          <w:rFonts w:ascii="Arial" w:cs="Arial" w:eastAsia="Arial" w:hAnsi="Arial"/>
          <w:sz w:val="17"/>
          <w:szCs w:val="17"/>
          <w:color w:val="auto"/>
        </w:rPr>
        <w:t>”) and certain of its subsidiaries with opportunities to purchase shares of the Company’s common stock, $.16 2/3 par value per share (the “</w:t>
      </w:r>
      <w:r>
        <w:rPr>
          <w:rFonts w:ascii="Arial" w:cs="Arial" w:eastAsia="Arial" w:hAnsi="Arial"/>
          <w:sz w:val="17"/>
          <w:szCs w:val="17"/>
          <w:b w:val="1"/>
          <w:bCs w:val="1"/>
          <w:color w:val="auto"/>
        </w:rPr>
        <w:t>Common</w:t>
      </w:r>
      <w:r>
        <w:rPr>
          <w:rFonts w:ascii="Arial" w:cs="Arial" w:eastAsia="Arial" w:hAnsi="Arial"/>
          <w:sz w:val="17"/>
          <w:szCs w:val="17"/>
          <w:color w:val="auto"/>
        </w:rPr>
        <w:t xml:space="preserve"> </w:t>
      </w:r>
      <w:r>
        <w:rPr>
          <w:rFonts w:ascii="Arial" w:cs="Arial" w:eastAsia="Arial" w:hAnsi="Arial"/>
          <w:sz w:val="17"/>
          <w:szCs w:val="17"/>
          <w:b w:val="1"/>
          <w:bCs w:val="1"/>
          <w:color w:val="auto"/>
        </w:rPr>
        <w:t>Stock</w:t>
      </w:r>
      <w:r>
        <w:rPr>
          <w:rFonts w:ascii="Arial" w:cs="Arial" w:eastAsia="Arial" w:hAnsi="Arial"/>
          <w:sz w:val="17"/>
          <w:szCs w:val="17"/>
          <w:color w:val="auto"/>
        </w:rPr>
        <w:t>”), commencing at such time and on such dates as the Board of Directors of the Company (the “</w:t>
      </w:r>
      <w:r>
        <w:rPr>
          <w:rFonts w:ascii="Arial" w:cs="Arial" w:eastAsia="Arial" w:hAnsi="Arial"/>
          <w:sz w:val="17"/>
          <w:szCs w:val="17"/>
          <w:b w:val="1"/>
          <w:bCs w:val="1"/>
          <w:color w:val="auto"/>
        </w:rPr>
        <w:t>Board</w:t>
      </w:r>
      <w:r>
        <w:rPr>
          <w:rFonts w:ascii="Arial" w:cs="Arial" w:eastAsia="Arial" w:hAnsi="Arial"/>
          <w:sz w:val="17"/>
          <w:szCs w:val="17"/>
          <w:color w:val="auto"/>
        </w:rPr>
        <w:t>”) shall determine.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intends for the Plan and Offerings (as defined below) thereunder to qualify as an “employee stock purchase plan” as defined in Section 423 of the U.S.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and the regulations issued thereunder (each such Offering, a “</w:t>
      </w:r>
      <w:r>
        <w:rPr>
          <w:rFonts w:ascii="Arial" w:cs="Arial" w:eastAsia="Arial" w:hAnsi="Arial"/>
          <w:sz w:val="17"/>
          <w:szCs w:val="17"/>
          <w:b w:val="1"/>
          <w:bCs w:val="1"/>
          <w:color w:val="auto"/>
        </w:rPr>
        <w:t>Section 423</w:t>
      </w:r>
      <w:r>
        <w:rPr>
          <w:rFonts w:ascii="Arial" w:cs="Arial" w:eastAsia="Arial" w:hAnsi="Arial"/>
          <w:sz w:val="17"/>
          <w:szCs w:val="17"/>
          <w:color w:val="auto"/>
        </w:rPr>
        <w:t xml:space="preserve"> </w:t>
      </w:r>
      <w:r>
        <w:rPr>
          <w:rFonts w:ascii="Arial" w:cs="Arial" w:eastAsia="Arial" w:hAnsi="Arial"/>
          <w:sz w:val="17"/>
          <w:szCs w:val="17"/>
          <w:b w:val="1"/>
          <w:bCs w:val="1"/>
          <w:color w:val="auto"/>
        </w:rPr>
        <w:t>Offering</w:t>
      </w:r>
      <w:r>
        <w:rPr>
          <w:rFonts w:ascii="Arial" w:cs="Arial" w:eastAsia="Arial" w:hAnsi="Arial"/>
          <w:sz w:val="17"/>
          <w:szCs w:val="17"/>
          <w:color w:val="auto"/>
        </w:rPr>
        <w:t>”), and Section 423 Offerings shall be interpreted consistently therewith. However, the Administrator also may authorize the grant of</w:t>
      </w:r>
      <w:r>
        <w:rPr>
          <w:rFonts w:ascii="Arial" w:cs="Arial" w:eastAsia="Arial" w:hAnsi="Arial"/>
          <w:sz w:val="17"/>
          <w:szCs w:val="17"/>
          <w:b w:val="1"/>
          <w:bCs w:val="1"/>
          <w:color w:val="auto"/>
        </w:rPr>
        <w:t xml:space="preserve"> </w:t>
      </w:r>
      <w:r>
        <w:rPr>
          <w:rFonts w:ascii="Arial" w:cs="Arial" w:eastAsia="Arial" w:hAnsi="Arial"/>
          <w:sz w:val="17"/>
          <w:szCs w:val="17"/>
          <w:color w:val="auto"/>
        </w:rPr>
        <w:t>Options (as defined below) under Offerings that are not intended to comply with the requirements of Section 423 of the Code, pursuant to any rules, procedures, agreements, appendices, or sub-plans (collectively, “</w:t>
      </w:r>
      <w:r>
        <w:rPr>
          <w:rFonts w:ascii="Arial" w:cs="Arial" w:eastAsia="Arial" w:hAnsi="Arial"/>
          <w:sz w:val="17"/>
          <w:szCs w:val="17"/>
          <w:b w:val="1"/>
          <w:bCs w:val="1"/>
          <w:color w:val="auto"/>
        </w:rPr>
        <w:t>Sub-Plans</w:t>
      </w:r>
      <w:r>
        <w:rPr>
          <w:rFonts w:ascii="Arial" w:cs="Arial" w:eastAsia="Arial" w:hAnsi="Arial"/>
          <w:sz w:val="17"/>
          <w:szCs w:val="17"/>
          <w:color w:val="auto"/>
        </w:rPr>
        <w:t>”) as may be adopted by the Administrator for such purpose and/or to achieve tax, securities law or other compliance or policy objectives in jurisdictions outside the United States (each such Offering, a “</w:t>
      </w:r>
      <w:r>
        <w:rPr>
          <w:rFonts w:ascii="Arial" w:cs="Arial" w:eastAsia="Arial" w:hAnsi="Arial"/>
          <w:sz w:val="17"/>
          <w:szCs w:val="17"/>
          <w:b w:val="1"/>
          <w:bCs w:val="1"/>
          <w:color w:val="auto"/>
        </w:rPr>
        <w:t>Non-423</w:t>
      </w:r>
      <w:r>
        <w:rPr>
          <w:rFonts w:ascii="Arial" w:cs="Arial" w:eastAsia="Arial" w:hAnsi="Arial"/>
          <w:sz w:val="17"/>
          <w:szCs w:val="17"/>
          <w:color w:val="auto"/>
        </w:rPr>
        <w:t xml:space="preserve"> </w:t>
      </w:r>
      <w:r>
        <w:rPr>
          <w:rFonts w:ascii="Arial" w:cs="Arial" w:eastAsia="Arial" w:hAnsi="Arial"/>
          <w:sz w:val="17"/>
          <w:szCs w:val="17"/>
          <w:b w:val="1"/>
          <w:bCs w:val="1"/>
          <w:color w:val="auto"/>
        </w:rPr>
        <w:t>Offering</w:t>
      </w:r>
      <w:r>
        <w:rPr>
          <w:rFonts w:ascii="Arial" w:cs="Arial" w:eastAsia="Arial" w:hAnsi="Arial"/>
          <w:sz w:val="17"/>
          <w:szCs w:val="17"/>
          <w:color w:val="auto"/>
        </w:rPr>
        <w:t>”).</w:t>
      </w:r>
    </w:p>
    <w:p>
      <w:pPr>
        <w:spacing w:after="0" w:line="82" w:lineRule="exact"/>
        <w:rPr>
          <w:sz w:val="20"/>
          <w:szCs w:val="20"/>
          <w:color w:val="auto"/>
        </w:rPr>
      </w:pPr>
    </w:p>
    <w:p>
      <w:pPr>
        <w:ind w:left="480" w:right="120"/>
        <w:spacing w:after="0" w:line="287" w:lineRule="auto"/>
        <w:rPr>
          <w:sz w:val="20"/>
          <w:szCs w:val="20"/>
          <w:color w:val="auto"/>
        </w:rPr>
      </w:pPr>
      <w:r>
        <w:rPr>
          <w:rFonts w:ascii="Arial" w:cs="Arial" w:eastAsia="Arial" w:hAnsi="Arial"/>
          <w:sz w:val="16"/>
          <w:szCs w:val="16"/>
          <w:color w:val="auto"/>
        </w:rPr>
        <w:t>Subject to adjustment under Section 15 hereof, the number of whole and fractional shares of Common Stock that have been approved for purchase under the Plan is 5,000,000 shares of Common Stock. For avoidance of doubt, up to the maximum number of shares of Common Stock reserved under this Plan may be used to satisfy purchases of Common Stock under Section 423 Offerings and any remaining portion of such maximum number of shares of Common Stock may be used to satisfy purchases of Common Stock under Non-423 Offerings.</w:t>
      </w:r>
    </w:p>
    <w:p>
      <w:pPr>
        <w:spacing w:after="0" w:line="12" w:lineRule="exact"/>
        <w:rPr>
          <w:sz w:val="20"/>
          <w:szCs w:val="20"/>
          <w:color w:val="auto"/>
        </w:rPr>
      </w:pPr>
    </w:p>
    <w:p>
      <w:pPr>
        <w:ind w:left="880" w:hanging="405"/>
        <w:spacing w:after="0" w:line="278" w:lineRule="auto"/>
        <w:tabs>
          <w:tab w:leader="none" w:pos="880" w:val="left"/>
        </w:tabs>
        <w:numPr>
          <w:ilvl w:val="0"/>
          <w:numId w:val="110"/>
        </w:numPr>
        <w:rPr>
          <w:rFonts w:ascii="Arial" w:cs="Arial" w:eastAsia="Arial" w:hAnsi="Arial"/>
          <w:sz w:val="16"/>
          <w:szCs w:val="16"/>
          <w:color w:val="auto"/>
        </w:rPr>
      </w:pPr>
      <w:r>
        <w:rPr>
          <w:rFonts w:ascii="Arial" w:cs="Arial" w:eastAsia="Arial" w:hAnsi="Arial"/>
          <w:sz w:val="16"/>
          <w:szCs w:val="16"/>
          <w:b w:val="1"/>
          <w:bCs w:val="1"/>
          <w:color w:val="auto"/>
        </w:rPr>
        <w:t xml:space="preserve">Administration. </w:t>
      </w:r>
      <w:r>
        <w:rPr>
          <w:rFonts w:ascii="Arial" w:cs="Arial" w:eastAsia="Arial" w:hAnsi="Arial"/>
          <w:sz w:val="16"/>
          <w:szCs w:val="16"/>
          <w:color w:val="auto"/>
        </w:rPr>
        <w:t>The Plan will be administered by the Board or by a committee appointed by the Board (the “</w:t>
      </w:r>
      <w:r>
        <w:rPr>
          <w:rFonts w:ascii="Arial" w:cs="Arial" w:eastAsia="Arial" w:hAnsi="Arial"/>
          <w:sz w:val="16"/>
          <w:szCs w:val="16"/>
          <w:b w:val="1"/>
          <w:bCs w:val="1"/>
          <w:color w:val="auto"/>
        </w:rPr>
        <w:t>Administrator</w:t>
      </w:r>
      <w:r>
        <w:rPr>
          <w:rFonts w:ascii="Arial" w:cs="Arial" w:eastAsia="Arial" w:hAnsi="Arial"/>
          <w:sz w:val="16"/>
          <w:szCs w:val="16"/>
          <w:color w:val="auto"/>
        </w:rPr>
        <w:t>”). The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 has authority to (a) make rules and regulations for the administration of the Plan; (b) interpret the terms and provisions of the Plan; (c) make all determinations it deems advisable for the administration of the Plan; (d) determine which Designated Companies (as defined in Section 2) will participate in the Plan, including whether a Designated Company will participate in a Section 423 Offering or a Non-423 Offering, provided that in no event may a Designated Company participate in a Section 423 Offering and a Non-423 Offering at the same time; (e) decide all disputes arising in connection with the Plan; and (f) otherwise supervise the administration of the Plan, and its interpretation and decisions with regard thereto shall be final and conclusive. To the extent not prohibited by applicable law, the Administrator may delegate administrative tasks under the Plan to the services of an agent or an officer of the Company, including without limitation, determining the Designated Companies eligible to participate in the Plan or in an Offering thereunder.</w:t>
      </w:r>
    </w:p>
    <w:p>
      <w:pPr>
        <w:spacing w:after="0" w:line="20" w:lineRule="exact"/>
        <w:rPr>
          <w:rFonts w:ascii="Arial" w:cs="Arial" w:eastAsia="Arial" w:hAnsi="Arial"/>
          <w:sz w:val="16"/>
          <w:szCs w:val="16"/>
          <w:color w:val="auto"/>
        </w:rPr>
      </w:pPr>
    </w:p>
    <w:p>
      <w:pPr>
        <w:ind w:left="880" w:hanging="405"/>
        <w:spacing w:after="0"/>
        <w:tabs>
          <w:tab w:leader="none" w:pos="880" w:val="left"/>
        </w:tabs>
        <w:numPr>
          <w:ilvl w:val="0"/>
          <w:numId w:val="110"/>
        </w:numPr>
        <w:rPr>
          <w:rFonts w:ascii="Arial" w:cs="Arial" w:eastAsia="Arial" w:hAnsi="Arial"/>
          <w:sz w:val="17"/>
          <w:szCs w:val="17"/>
          <w:color w:val="auto"/>
        </w:rPr>
      </w:pPr>
      <w:r>
        <w:rPr>
          <w:rFonts w:ascii="Arial" w:cs="Arial" w:eastAsia="Arial" w:hAnsi="Arial"/>
          <w:sz w:val="17"/>
          <w:szCs w:val="17"/>
          <w:b w:val="1"/>
          <w:bCs w:val="1"/>
          <w:color w:val="auto"/>
        </w:rPr>
        <w:t>Eligibility</w:t>
      </w:r>
      <w:r>
        <w:rPr>
          <w:rFonts w:ascii="Arial" w:cs="Arial" w:eastAsia="Arial" w:hAnsi="Arial"/>
          <w:sz w:val="17"/>
          <w:szCs w:val="17"/>
          <w:color w:val="auto"/>
        </w:rPr>
        <w:t>. All employees of (a) the Company and (b) any subsidiary of the Company (as defined in Section 424(f) of the Code) and</w:t>
      </w:r>
    </w:p>
    <w:p>
      <w:pPr>
        <w:spacing w:after="0" w:line="31" w:lineRule="exact"/>
        <w:rPr>
          <w:rFonts w:ascii="Arial" w:cs="Arial" w:eastAsia="Arial" w:hAnsi="Arial"/>
          <w:sz w:val="17"/>
          <w:szCs w:val="17"/>
          <w:color w:val="auto"/>
        </w:rPr>
      </w:pPr>
    </w:p>
    <w:p>
      <w:pPr>
        <w:ind w:left="880" w:right="280"/>
        <w:spacing w:after="0" w:line="259" w:lineRule="auto"/>
        <w:rPr>
          <w:rFonts w:ascii="Arial" w:cs="Arial" w:eastAsia="Arial" w:hAnsi="Arial"/>
          <w:sz w:val="17"/>
          <w:szCs w:val="17"/>
          <w:color w:val="auto"/>
        </w:rPr>
      </w:pPr>
      <w:r>
        <w:rPr>
          <w:rFonts w:ascii="Arial" w:cs="Arial" w:eastAsia="Arial" w:hAnsi="Arial"/>
          <w:sz w:val="17"/>
          <w:szCs w:val="17"/>
          <w:color w:val="auto"/>
        </w:rPr>
        <w:t>(c) solely for purposes of any Non-423 Offering, any other entity in which the Company has a greater than a fifty percent (50%) equity interest, and in the case of (b) and (c) which has been designated by the Administrator or its delegate from time to time (the Company, and any subsidiary or other such entity so designated are each referred to as a “</w:t>
      </w:r>
      <w:r>
        <w:rPr>
          <w:rFonts w:ascii="Arial" w:cs="Arial" w:eastAsia="Arial" w:hAnsi="Arial"/>
          <w:sz w:val="17"/>
          <w:szCs w:val="17"/>
          <w:b w:val="1"/>
          <w:bCs w:val="1"/>
          <w:color w:val="auto"/>
        </w:rPr>
        <w:t>Designated Company</w:t>
      </w:r>
      <w:r>
        <w:rPr>
          <w:rFonts w:ascii="Arial" w:cs="Arial" w:eastAsia="Arial" w:hAnsi="Arial"/>
          <w:sz w:val="17"/>
          <w:szCs w:val="17"/>
          <w:color w:val="auto"/>
        </w:rPr>
        <w:t>” and are collectively referred to as the “</w:t>
      </w:r>
      <w:r>
        <w:rPr>
          <w:rFonts w:ascii="Arial" w:cs="Arial" w:eastAsia="Arial" w:hAnsi="Arial"/>
          <w:sz w:val="17"/>
          <w:szCs w:val="17"/>
          <w:b w:val="1"/>
          <w:bCs w:val="1"/>
          <w:color w:val="auto"/>
        </w:rPr>
        <w:t>Designated Companies</w:t>
      </w:r>
      <w:r>
        <w:rPr>
          <w:rFonts w:ascii="Arial" w:cs="Arial" w:eastAsia="Arial" w:hAnsi="Arial"/>
          <w:sz w:val="17"/>
          <w:szCs w:val="17"/>
          <w:color w:val="auto"/>
        </w:rPr>
        <w:t>”), are eligible to participate in any one or more of the Offerings of Options (as defined in Section 9) to purchase Common Stock under the Plan provided that:</w:t>
      </w:r>
    </w:p>
    <w:p>
      <w:pPr>
        <w:spacing w:after="0" w:line="39" w:lineRule="exact"/>
        <w:rPr>
          <w:sz w:val="20"/>
          <w:szCs w:val="20"/>
          <w:color w:val="auto"/>
        </w:rPr>
      </w:pPr>
    </w:p>
    <w:p>
      <w:pPr>
        <w:ind w:left="1380" w:right="120" w:hanging="501"/>
        <w:spacing w:after="0" w:line="286" w:lineRule="auto"/>
        <w:tabs>
          <w:tab w:leader="none" w:pos="13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they are customarily employed by a Designated Company for more than 20 hours a week and for more than five months in a calendar year;</w:t>
      </w:r>
    </w:p>
    <w:p>
      <w:pPr>
        <w:spacing w:after="0" w:line="15" w:lineRule="exact"/>
        <w:rPr>
          <w:rFonts w:ascii="Arial" w:cs="Arial" w:eastAsia="Arial" w:hAnsi="Arial"/>
          <w:sz w:val="17"/>
          <w:szCs w:val="17"/>
          <w:color w:val="auto"/>
        </w:rPr>
      </w:pPr>
    </w:p>
    <w:p>
      <w:pPr>
        <w:ind w:left="1380" w:hanging="501"/>
        <w:spacing w:after="0"/>
        <w:tabs>
          <w:tab w:leader="none" w:pos="13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they have been employed by a Designated Company for at least two months prior to enrolling in the Plan; and</w:t>
      </w:r>
    </w:p>
    <w:p>
      <w:pPr>
        <w:spacing w:after="0" w:line="77" w:lineRule="exact"/>
        <w:rPr>
          <w:rFonts w:ascii="Arial" w:cs="Arial" w:eastAsia="Arial" w:hAnsi="Arial"/>
          <w:sz w:val="17"/>
          <w:szCs w:val="17"/>
          <w:color w:val="auto"/>
        </w:rPr>
      </w:pPr>
    </w:p>
    <w:p>
      <w:pPr>
        <w:ind w:left="1380" w:hanging="501"/>
        <w:spacing w:after="0"/>
        <w:tabs>
          <w:tab w:leader="none" w:pos="13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they are employees of a Designated Company on the first day of the applicable Plan Period (as defined below).</w:t>
      </w:r>
    </w:p>
    <w:p>
      <w:pPr>
        <w:spacing w:after="0" w:line="117" w:lineRule="exact"/>
        <w:rPr>
          <w:sz w:val="20"/>
          <w:szCs w:val="20"/>
          <w:color w:val="auto"/>
        </w:rPr>
      </w:pPr>
    </w:p>
    <w:p>
      <w:pPr>
        <w:ind w:left="480"/>
        <w:spacing w:after="0" w:line="265" w:lineRule="auto"/>
        <w:rPr>
          <w:sz w:val="20"/>
          <w:szCs w:val="20"/>
          <w:color w:val="auto"/>
        </w:rPr>
      </w:pPr>
      <w:r>
        <w:rPr>
          <w:rFonts w:ascii="Arial" w:cs="Arial" w:eastAsia="Arial" w:hAnsi="Arial"/>
          <w:sz w:val="17"/>
          <w:szCs w:val="17"/>
          <w:color w:val="auto"/>
        </w:rPr>
        <w:t>No employee may be granted an Option hereunder if such employee, immediately after the Option is granted, owns 5% or more of the total combined voting power or value of the stock of the Company or any subsidiary. For purposes of the preceding sentence, the attribution rules of Section 424(d) of the Code shall apply in determining the stock ownership of an employee, and all stock that the employee has a contractual right to purchase shall be treated as stock owned by the employee.</w:t>
      </w:r>
    </w:p>
    <w:p>
      <w:pPr>
        <w:spacing w:after="0" w:line="73" w:lineRule="exact"/>
        <w:rPr>
          <w:sz w:val="20"/>
          <w:szCs w:val="20"/>
          <w:color w:val="auto"/>
        </w:rPr>
      </w:pPr>
    </w:p>
    <w:p>
      <w:pPr>
        <w:ind w:left="480" w:right="20"/>
        <w:spacing w:after="0" w:line="265" w:lineRule="auto"/>
        <w:rPr>
          <w:sz w:val="20"/>
          <w:szCs w:val="20"/>
          <w:color w:val="auto"/>
        </w:rPr>
      </w:pPr>
      <w:r>
        <w:rPr>
          <w:rFonts w:ascii="Arial" w:cs="Arial" w:eastAsia="Arial" w:hAnsi="Arial"/>
          <w:sz w:val="17"/>
          <w:szCs w:val="17"/>
          <w:color w:val="auto"/>
        </w:rPr>
        <w:t>The Administrator retains the discretion to determine which eligible employees may participate in a Section 423 Offering pursuant to and consistent with Treasury Regulation Sections 1.423-2(e) and (f). In the case of a Non-423 Offering, an eligible employee (or group of eligible employees) may be excluded from participation in the Plan or an Offering if the Administrator has determined, in its sole discretion, that participation of such eligible employee(s) is not advisable or practicable for any reason.</w:t>
      </w:r>
    </w:p>
    <w:p>
      <w:pPr>
        <w:spacing w:after="0" w:line="80" w:lineRule="exact"/>
        <w:rPr>
          <w:sz w:val="20"/>
          <w:szCs w:val="20"/>
          <w:color w:val="auto"/>
        </w:rPr>
      </w:pPr>
    </w:p>
    <w:p>
      <w:pPr>
        <w:ind w:left="880" w:right="40" w:hanging="405"/>
        <w:spacing w:after="0" w:line="261" w:lineRule="auto"/>
        <w:tabs>
          <w:tab w:leader="none" w:pos="880" w:val="left"/>
        </w:tabs>
        <w:numPr>
          <w:ilvl w:val="0"/>
          <w:numId w:val="112"/>
        </w:numPr>
        <w:rPr>
          <w:rFonts w:ascii="Arial" w:cs="Arial" w:eastAsia="Arial" w:hAnsi="Arial"/>
          <w:sz w:val="17"/>
          <w:szCs w:val="17"/>
          <w:color w:val="auto"/>
        </w:rPr>
      </w:pPr>
      <w:r>
        <w:rPr>
          <w:rFonts w:ascii="Arial" w:cs="Arial" w:eastAsia="Arial" w:hAnsi="Arial"/>
          <w:sz w:val="17"/>
          <w:szCs w:val="17"/>
          <w:b w:val="1"/>
          <w:bCs w:val="1"/>
          <w:color w:val="auto"/>
        </w:rPr>
        <w:t xml:space="preserve">Offerings. </w:t>
      </w:r>
      <w:r>
        <w:rPr>
          <w:rFonts w:ascii="Arial" w:cs="Arial" w:eastAsia="Arial" w:hAnsi="Arial"/>
          <w:sz w:val="17"/>
          <w:szCs w:val="17"/>
          <w:color w:val="auto"/>
        </w:rPr>
        <w:t>The Company will make one or more Section 423 Offerings or Non-423 Offerings (collectively, “</w:t>
      </w:r>
      <w:r>
        <w:rPr>
          <w:rFonts w:ascii="Arial" w:cs="Arial" w:eastAsia="Arial" w:hAnsi="Arial"/>
          <w:sz w:val="17"/>
          <w:szCs w:val="17"/>
          <w:b w:val="1"/>
          <w:bCs w:val="1"/>
          <w:color w:val="auto"/>
        </w:rPr>
        <w:t>Offerings</w:t>
      </w:r>
      <w:r>
        <w:rPr>
          <w:rFonts w:ascii="Arial" w:cs="Arial" w:eastAsia="Arial" w:hAnsi="Arial"/>
          <w:sz w:val="17"/>
          <w:szCs w:val="17"/>
          <w:color w:val="auto"/>
        </w:rPr>
        <w:t>”) to employees to</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 Common Stock under this Plan. Offerings will begin at such time and on such dates as the Administrator shall determine, or the first business day thereafter (such dates, the “</w:t>
      </w:r>
      <w:r>
        <w:rPr>
          <w:rFonts w:ascii="Arial" w:cs="Arial" w:eastAsia="Arial" w:hAnsi="Arial"/>
          <w:sz w:val="17"/>
          <w:szCs w:val="17"/>
          <w:b w:val="1"/>
          <w:bCs w:val="1"/>
          <w:color w:val="auto"/>
        </w:rPr>
        <w:t>Offering Commencement Dates</w:t>
      </w:r>
      <w:r>
        <w:rPr>
          <w:rFonts w:ascii="Arial" w:cs="Arial" w:eastAsia="Arial" w:hAnsi="Arial"/>
          <w:sz w:val="17"/>
          <w:szCs w:val="17"/>
          <w:color w:val="auto"/>
        </w:rPr>
        <w:t>”). Each Offering Commencement Date will begin a six-month period (a “</w:t>
      </w:r>
      <w:r>
        <w:rPr>
          <w:rFonts w:ascii="Arial" w:cs="Arial" w:eastAsia="Arial" w:hAnsi="Arial"/>
          <w:sz w:val="17"/>
          <w:szCs w:val="17"/>
          <w:b w:val="1"/>
          <w:bCs w:val="1"/>
          <w:color w:val="auto"/>
        </w:rPr>
        <w:t>Plan Period</w:t>
      </w:r>
      <w:r>
        <w:rPr>
          <w:rFonts w:ascii="Arial" w:cs="Arial" w:eastAsia="Arial" w:hAnsi="Arial"/>
          <w:sz w:val="17"/>
          <w:szCs w:val="17"/>
          <w:color w:val="auto"/>
        </w:rPr>
        <w:t>”) during which payroll deductions will be made and held for the purchase of Common Stock at the end of the Plan Period. However, the Administrator may, at its discretion, choose a different Plan Period of not more than twelve (12) months for Offerings. Unless otherwise determined by the Administrator, each Offering under the Plan in which eligible employees of the Company or one or more Designated Companies may participate will be deemed a separate offering for purposes of Section 423 of the Code, even if the dates of the applicable Plan Periods of</w:t>
      </w:r>
    </w:p>
    <w:p>
      <w:pPr>
        <w:sectPr>
          <w:pgSz w:w="11900" w:h="16838" w:orient="portrait"/>
          <w:cols w:equalWidth="0" w:num="1">
            <w:col w:w="10760"/>
          </w:cols>
          <w:pgMar w:left="320" w:top="447" w:right="81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0760"/>
          </w:cols>
          <w:pgMar w:left="320" w:top="447" w:right="819" w:bottom="1440" w:gutter="0" w:footer="0" w:header="0"/>
          <w:type w:val="continuous"/>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880" w:right="280"/>
        <w:spacing w:after="0" w:line="265" w:lineRule="auto"/>
        <w:rPr>
          <w:sz w:val="20"/>
          <w:szCs w:val="20"/>
          <w:color w:val="auto"/>
        </w:rPr>
      </w:pPr>
      <w:r>
        <w:rPr>
          <w:rFonts w:ascii="Arial" w:cs="Arial" w:eastAsia="Arial" w:hAnsi="Arial"/>
          <w:sz w:val="17"/>
          <w:szCs w:val="17"/>
          <w:color w:val="auto"/>
        </w:rPr>
        <w:t>each such Offering are identical, and the provisions of the Plan will separately apply to each Offering. With respect to Section 423 Offerings, the terms of separate Offerings need not be identical provided that all eligible employees granted Options in a particular Offering will have equal rights and privileges, except as otherwise may be permitted by Section 423 of the Code; a Non-423 Offering need not satisfy such requirements.</w:t>
      </w:r>
    </w:p>
    <w:p>
      <w:pPr>
        <w:spacing w:after="0" w:line="28" w:lineRule="exact"/>
        <w:rPr>
          <w:sz w:val="20"/>
          <w:szCs w:val="20"/>
          <w:color w:val="auto"/>
        </w:rPr>
      </w:pPr>
    </w:p>
    <w:p>
      <w:pPr>
        <w:ind w:left="880" w:right="180" w:hanging="405"/>
        <w:spacing w:after="0" w:line="275" w:lineRule="auto"/>
        <w:tabs>
          <w:tab w:leader="none" w:pos="880" w:val="left"/>
        </w:tabs>
        <w:numPr>
          <w:ilvl w:val="0"/>
          <w:numId w:val="113"/>
        </w:numPr>
        <w:rPr>
          <w:rFonts w:ascii="Arial" w:cs="Arial" w:eastAsia="Arial" w:hAnsi="Arial"/>
          <w:sz w:val="16"/>
          <w:szCs w:val="16"/>
          <w:color w:val="auto"/>
        </w:rPr>
      </w:pPr>
      <w:r>
        <w:rPr>
          <w:rFonts w:ascii="Arial" w:cs="Arial" w:eastAsia="Arial" w:hAnsi="Arial"/>
          <w:sz w:val="16"/>
          <w:szCs w:val="16"/>
          <w:b w:val="1"/>
          <w:bCs w:val="1"/>
          <w:color w:val="auto"/>
        </w:rPr>
        <w:t xml:space="preserve">Participation. </w:t>
      </w:r>
      <w:r>
        <w:rPr>
          <w:rFonts w:ascii="Arial" w:cs="Arial" w:eastAsia="Arial" w:hAnsi="Arial"/>
          <w:sz w:val="16"/>
          <w:szCs w:val="16"/>
          <w:color w:val="auto"/>
        </w:rPr>
        <w:t>An employee eligible on the Offering Commencement Date of any Offering may participate in such Offering by completing</w:t>
      </w:r>
      <w:r>
        <w:rPr>
          <w:rFonts w:ascii="Arial" w:cs="Arial" w:eastAsia="Arial" w:hAnsi="Arial"/>
          <w:sz w:val="16"/>
          <w:szCs w:val="16"/>
          <w:b w:val="1"/>
          <w:bCs w:val="1"/>
          <w:color w:val="auto"/>
        </w:rPr>
        <w:t xml:space="preserve"> </w:t>
      </w:r>
      <w:r>
        <w:rPr>
          <w:rFonts w:ascii="Arial" w:cs="Arial" w:eastAsia="Arial" w:hAnsi="Arial"/>
          <w:sz w:val="16"/>
          <w:szCs w:val="16"/>
          <w:color w:val="auto"/>
        </w:rPr>
        <w:t>and forwarding either a written or electronic payroll deduction authorization form to the employee’s appropriate payroll office or an agent designated by the Company at least 15 days (or such other number of days as is determined by the Company) prior to the applicable Offering Commencement Date. The form will authorize a regular payroll deduction from the Compensation received by the employee during the Plan Period. Unless an employee files a new form or withdraws from the Plan, his or her deductions and purchases will continue at the same rate for future Offerings under the Plan as long as the Plan remains in effect. Furthermore, with respect to a Designated Company that is incorporated or formed in a non-U.S. jurisdiction where participation in the Plan through payroll deductions is prohibited or otherwise problematic under local laws (as determined by the Administrator in its sole discretion), the Administrator may permit eligible employees to elect to participate through other contributions in a form acceptable to the Administrator in lieu of payroll deductions. The Administrator shall determine what constitutes “Compensation” for purpose of the Plan. In the absence of a determination by the Administrator, the term “</w:t>
      </w:r>
      <w:r>
        <w:rPr>
          <w:rFonts w:ascii="Arial" w:cs="Arial" w:eastAsia="Arial" w:hAnsi="Arial"/>
          <w:sz w:val="16"/>
          <w:szCs w:val="16"/>
          <w:b w:val="1"/>
          <w:bCs w:val="1"/>
          <w:color w:val="auto"/>
        </w:rPr>
        <w:t>Compensation</w:t>
      </w:r>
      <w:r>
        <w:rPr>
          <w:rFonts w:ascii="Arial" w:cs="Arial" w:eastAsia="Arial" w:hAnsi="Arial"/>
          <w:sz w:val="16"/>
          <w:szCs w:val="16"/>
          <w:color w:val="auto"/>
        </w:rPr>
        <w:t>” shall mean the amount reportable on the employee’s U.S. Federal Income Tax Withholding Statement (or analogous non-U.S. statement), excluding overtime, shift premium, incentive or bonus awards, sales incentives, allowances and reimbursements for expenses such as relocation allowances for travel expenses, income or gains associated with the grant or vesting of restricted stock or restricted stock units, income or gains on the exercise of Company stock options or stock appreciation rights, and similar items, whether or not shown or separately identified on the employee’s U.S. Federal Income Tax Withholding Statement (or analogous non-U.S. statement). The Administrator will have discretion to determine the application of this definition to eligible employees outside the United States.</w:t>
      </w:r>
    </w:p>
    <w:p>
      <w:pPr>
        <w:spacing w:after="0" w:line="22" w:lineRule="exact"/>
        <w:rPr>
          <w:rFonts w:ascii="Arial" w:cs="Arial" w:eastAsia="Arial" w:hAnsi="Arial"/>
          <w:sz w:val="16"/>
          <w:szCs w:val="16"/>
          <w:color w:val="auto"/>
        </w:rPr>
      </w:pPr>
    </w:p>
    <w:p>
      <w:pPr>
        <w:ind w:left="880" w:right="200" w:hanging="405"/>
        <w:spacing w:after="0" w:line="265" w:lineRule="auto"/>
        <w:tabs>
          <w:tab w:leader="none" w:pos="880" w:val="left"/>
        </w:tabs>
        <w:numPr>
          <w:ilvl w:val="0"/>
          <w:numId w:val="113"/>
        </w:numPr>
        <w:rPr>
          <w:rFonts w:ascii="Arial" w:cs="Arial" w:eastAsia="Arial" w:hAnsi="Arial"/>
          <w:sz w:val="17"/>
          <w:szCs w:val="17"/>
          <w:color w:val="auto"/>
        </w:rPr>
      </w:pPr>
      <w:r>
        <w:rPr>
          <w:rFonts w:ascii="Arial" w:cs="Arial" w:eastAsia="Arial" w:hAnsi="Arial"/>
          <w:sz w:val="17"/>
          <w:szCs w:val="17"/>
          <w:b w:val="1"/>
          <w:bCs w:val="1"/>
          <w:color w:val="auto"/>
        </w:rPr>
        <w:t xml:space="preserve">Deductions. </w:t>
      </w:r>
      <w:r>
        <w:rPr>
          <w:rFonts w:ascii="Arial" w:cs="Arial" w:eastAsia="Arial" w:hAnsi="Arial"/>
          <w:sz w:val="17"/>
          <w:szCs w:val="17"/>
          <w:color w:val="auto"/>
        </w:rPr>
        <w:t>The Company will maintain payroll deduction or other contribution accounts for all participating employees. With respect to any</w:t>
      </w:r>
      <w:r>
        <w:rPr>
          <w:rFonts w:ascii="Arial" w:cs="Arial" w:eastAsia="Arial" w:hAnsi="Arial"/>
          <w:sz w:val="17"/>
          <w:szCs w:val="17"/>
          <w:b w:val="1"/>
          <w:bCs w:val="1"/>
          <w:color w:val="auto"/>
        </w:rPr>
        <w:t xml:space="preserve"> </w:t>
      </w:r>
      <w:r>
        <w:rPr>
          <w:rFonts w:ascii="Arial" w:cs="Arial" w:eastAsia="Arial" w:hAnsi="Arial"/>
          <w:sz w:val="17"/>
          <w:szCs w:val="17"/>
          <w:color w:val="auto"/>
        </w:rPr>
        <w:t>Offering made under this Plan, an employee may authorize a payroll deduction or other contribution in any percentage amount (in whole percentages) at a minimum of 1% up to a maximum of 20% of the Compensation the employee receives during the Plan Period or such shorter period during which deductions from payroll or other contributions are made. The Administrator may, at its discretion, designate a higher minimum, and/or a lower maximum, contribution rate.</w:t>
      </w:r>
    </w:p>
    <w:p>
      <w:pPr>
        <w:spacing w:after="0" w:line="26" w:lineRule="exact"/>
        <w:rPr>
          <w:rFonts w:ascii="Arial" w:cs="Arial" w:eastAsia="Arial" w:hAnsi="Arial"/>
          <w:sz w:val="17"/>
          <w:szCs w:val="17"/>
          <w:color w:val="auto"/>
        </w:rPr>
      </w:pPr>
    </w:p>
    <w:p>
      <w:pPr>
        <w:ind w:left="880" w:right="300" w:hanging="405"/>
        <w:spacing w:after="0" w:line="274" w:lineRule="auto"/>
        <w:tabs>
          <w:tab w:leader="none" w:pos="880" w:val="left"/>
        </w:tabs>
        <w:numPr>
          <w:ilvl w:val="0"/>
          <w:numId w:val="113"/>
        </w:numPr>
        <w:rPr>
          <w:rFonts w:ascii="Arial" w:cs="Arial" w:eastAsia="Arial" w:hAnsi="Arial"/>
          <w:sz w:val="17"/>
          <w:szCs w:val="17"/>
          <w:color w:val="auto"/>
        </w:rPr>
      </w:pPr>
      <w:r>
        <w:rPr>
          <w:rFonts w:ascii="Arial" w:cs="Arial" w:eastAsia="Arial" w:hAnsi="Arial"/>
          <w:sz w:val="17"/>
          <w:szCs w:val="17"/>
          <w:b w:val="1"/>
          <w:bCs w:val="1"/>
          <w:color w:val="auto"/>
        </w:rPr>
        <w:t xml:space="preserve">Deduction Changes. </w:t>
      </w:r>
      <w:r>
        <w:rPr>
          <w:rFonts w:ascii="Arial" w:cs="Arial" w:eastAsia="Arial" w:hAnsi="Arial"/>
          <w:sz w:val="17"/>
          <w:szCs w:val="17"/>
          <w:color w:val="auto"/>
        </w:rPr>
        <w:t>The Administrator will determine in advance of each Offering Commencement Date whether participants in the</w:t>
      </w:r>
      <w:r>
        <w:rPr>
          <w:rFonts w:ascii="Arial" w:cs="Arial" w:eastAsia="Arial" w:hAnsi="Arial"/>
          <w:sz w:val="17"/>
          <w:szCs w:val="17"/>
          <w:b w:val="1"/>
          <w:bCs w:val="1"/>
          <w:color w:val="auto"/>
        </w:rPr>
        <w:t xml:space="preserve"> </w:t>
      </w:r>
      <w:r>
        <w:rPr>
          <w:rFonts w:ascii="Arial" w:cs="Arial" w:eastAsia="Arial" w:hAnsi="Arial"/>
          <w:sz w:val="17"/>
          <w:szCs w:val="17"/>
          <w:color w:val="auto"/>
        </w:rPr>
        <w:t>Offering are eligible to increase, decrease or discontinue payroll deductions or other contributions during the Plan Period (and, if so, on what terms) and will provide notice of such determination to all employees eligible to enroll in such Plan Period.</w:t>
      </w:r>
    </w:p>
    <w:p>
      <w:pPr>
        <w:spacing w:after="0" w:line="19" w:lineRule="exact"/>
        <w:rPr>
          <w:rFonts w:ascii="Arial" w:cs="Arial" w:eastAsia="Arial" w:hAnsi="Arial"/>
          <w:sz w:val="17"/>
          <w:szCs w:val="17"/>
          <w:color w:val="auto"/>
        </w:rPr>
      </w:pPr>
    </w:p>
    <w:p>
      <w:pPr>
        <w:ind w:left="880" w:right="180" w:hanging="405"/>
        <w:spacing w:after="0" w:line="313" w:lineRule="auto"/>
        <w:tabs>
          <w:tab w:leader="none" w:pos="880" w:val="left"/>
        </w:tabs>
        <w:numPr>
          <w:ilvl w:val="0"/>
          <w:numId w:val="113"/>
        </w:numPr>
        <w:rPr>
          <w:rFonts w:ascii="Arial" w:cs="Arial" w:eastAsia="Arial" w:hAnsi="Arial"/>
          <w:sz w:val="16"/>
          <w:szCs w:val="16"/>
          <w:color w:val="auto"/>
        </w:rPr>
      </w:pPr>
      <w:r>
        <w:rPr>
          <w:rFonts w:ascii="Arial" w:cs="Arial" w:eastAsia="Arial" w:hAnsi="Arial"/>
          <w:sz w:val="16"/>
          <w:szCs w:val="16"/>
          <w:b w:val="1"/>
          <w:bCs w:val="1"/>
          <w:color w:val="auto"/>
        </w:rPr>
        <w:t xml:space="preserve">Interest. </w:t>
      </w:r>
      <w:r>
        <w:rPr>
          <w:rFonts w:ascii="Arial" w:cs="Arial" w:eastAsia="Arial" w:hAnsi="Arial"/>
          <w:sz w:val="16"/>
          <w:szCs w:val="16"/>
          <w:color w:val="auto"/>
        </w:rPr>
        <w:t>Interest will not be paid on any employee accounts, except as required by applicable law or to the extent that the Administrator, in its</w:t>
      </w:r>
      <w:r>
        <w:rPr>
          <w:rFonts w:ascii="Arial" w:cs="Arial" w:eastAsia="Arial" w:hAnsi="Arial"/>
          <w:sz w:val="16"/>
          <w:szCs w:val="16"/>
          <w:b w:val="1"/>
          <w:bCs w:val="1"/>
          <w:color w:val="auto"/>
        </w:rPr>
        <w:t xml:space="preserve"> </w:t>
      </w:r>
      <w:r>
        <w:rPr>
          <w:rFonts w:ascii="Arial" w:cs="Arial" w:eastAsia="Arial" w:hAnsi="Arial"/>
          <w:sz w:val="16"/>
          <w:szCs w:val="16"/>
          <w:color w:val="auto"/>
        </w:rPr>
        <w:t>sole discretion, elects to credit employee accounts with interest at such rate as it may from time to time determine.</w:t>
      </w:r>
    </w:p>
    <w:p>
      <w:pPr>
        <w:spacing w:after="0" w:line="1" w:lineRule="exact"/>
        <w:rPr>
          <w:rFonts w:ascii="Arial" w:cs="Arial" w:eastAsia="Arial" w:hAnsi="Arial"/>
          <w:sz w:val="16"/>
          <w:szCs w:val="16"/>
          <w:color w:val="auto"/>
        </w:rPr>
      </w:pPr>
    </w:p>
    <w:p>
      <w:pPr>
        <w:jc w:val="both"/>
        <w:ind w:left="880" w:right="260" w:hanging="405"/>
        <w:spacing w:after="0" w:line="290" w:lineRule="auto"/>
        <w:tabs>
          <w:tab w:leader="none" w:pos="880" w:val="left"/>
        </w:tabs>
        <w:numPr>
          <w:ilvl w:val="0"/>
          <w:numId w:val="113"/>
        </w:numPr>
        <w:rPr>
          <w:rFonts w:ascii="Arial" w:cs="Arial" w:eastAsia="Arial" w:hAnsi="Arial"/>
          <w:sz w:val="16"/>
          <w:szCs w:val="16"/>
          <w:color w:val="auto"/>
        </w:rPr>
      </w:pPr>
      <w:r>
        <w:rPr>
          <w:rFonts w:ascii="Arial" w:cs="Arial" w:eastAsia="Arial" w:hAnsi="Arial"/>
          <w:sz w:val="16"/>
          <w:szCs w:val="16"/>
          <w:b w:val="1"/>
          <w:bCs w:val="1"/>
          <w:color w:val="auto"/>
        </w:rPr>
        <w:t xml:space="preserve">Withdrawal of Funds. </w:t>
      </w:r>
      <w:r>
        <w:rPr>
          <w:rFonts w:ascii="Arial" w:cs="Arial" w:eastAsia="Arial" w:hAnsi="Arial"/>
          <w:sz w:val="16"/>
          <w:szCs w:val="16"/>
          <w:color w:val="auto"/>
        </w:rPr>
        <w:t>To the extent the Administrator permits withdrawals during a Plan Period, the Administrator will specify whether the</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must draw out the balance accumulated in the employee’s account or whether a partial withdrawal is permitted. The employee may not begin participation again during the remainder of the Plan Period during which the employee withdrew. The employee may participate in any subsequent Plan Period in accordance with terms and conditions established by the Administrator.</w:t>
      </w:r>
    </w:p>
    <w:p>
      <w:pPr>
        <w:spacing w:after="0" w:line="8" w:lineRule="exact"/>
        <w:rPr>
          <w:rFonts w:ascii="Arial" w:cs="Arial" w:eastAsia="Arial" w:hAnsi="Arial"/>
          <w:sz w:val="16"/>
          <w:szCs w:val="16"/>
          <w:color w:val="auto"/>
        </w:rPr>
      </w:pPr>
    </w:p>
    <w:p>
      <w:pPr>
        <w:ind w:left="880" w:hanging="405"/>
        <w:spacing w:after="0"/>
        <w:tabs>
          <w:tab w:leader="none" w:pos="880" w:val="left"/>
        </w:tabs>
        <w:numPr>
          <w:ilvl w:val="0"/>
          <w:numId w:val="113"/>
        </w:numPr>
        <w:rPr>
          <w:rFonts w:ascii="Arial" w:cs="Arial" w:eastAsia="Arial" w:hAnsi="Arial"/>
          <w:sz w:val="17"/>
          <w:szCs w:val="17"/>
          <w:color w:val="auto"/>
        </w:rPr>
      </w:pPr>
      <w:r>
        <w:rPr>
          <w:rFonts w:ascii="Arial" w:cs="Arial" w:eastAsia="Arial" w:hAnsi="Arial"/>
          <w:sz w:val="17"/>
          <w:szCs w:val="17"/>
          <w:b w:val="1"/>
          <w:bCs w:val="1"/>
          <w:color w:val="auto"/>
        </w:rPr>
        <w:t>Purchase of Shares.</w:t>
      </w:r>
    </w:p>
    <w:p>
      <w:pPr>
        <w:spacing w:after="0" w:line="77" w:lineRule="exact"/>
        <w:rPr>
          <w:rFonts w:ascii="Arial" w:cs="Arial" w:eastAsia="Arial" w:hAnsi="Arial"/>
          <w:sz w:val="17"/>
          <w:szCs w:val="17"/>
          <w:color w:val="auto"/>
        </w:rPr>
      </w:pPr>
    </w:p>
    <w:p>
      <w:pPr>
        <w:ind w:left="1380" w:right="240" w:hanging="501"/>
        <w:spacing w:after="0" w:line="276" w:lineRule="auto"/>
        <w:tabs>
          <w:tab w:leader="none" w:pos="1380" w:val="left"/>
        </w:tabs>
        <w:numPr>
          <w:ilvl w:val="1"/>
          <w:numId w:val="113"/>
        </w:numPr>
        <w:rPr>
          <w:rFonts w:ascii="Arial" w:cs="Arial" w:eastAsia="Arial" w:hAnsi="Arial"/>
          <w:sz w:val="16"/>
          <w:szCs w:val="16"/>
          <w:color w:val="auto"/>
        </w:rPr>
      </w:pPr>
      <w:r>
        <w:rPr>
          <w:rFonts w:ascii="Arial" w:cs="Arial" w:eastAsia="Arial" w:hAnsi="Arial"/>
          <w:sz w:val="16"/>
          <w:szCs w:val="16"/>
          <w:b w:val="1"/>
          <w:bCs w:val="1"/>
          <w:color w:val="auto"/>
        </w:rPr>
        <w:t xml:space="preserve">Number of Shares. </w:t>
      </w:r>
      <w:r>
        <w:rPr>
          <w:rFonts w:ascii="Arial" w:cs="Arial" w:eastAsia="Arial" w:hAnsi="Arial"/>
          <w:sz w:val="16"/>
          <w:szCs w:val="16"/>
          <w:color w:val="auto"/>
        </w:rPr>
        <w:t>On the Offering Commencement Date for the applicable Plan Period, the Company will grant to each eligible</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who is then a participant in the Plan an option (an “</w:t>
      </w:r>
      <w:r>
        <w:rPr>
          <w:rFonts w:ascii="Arial" w:cs="Arial" w:eastAsia="Arial" w:hAnsi="Arial"/>
          <w:sz w:val="16"/>
          <w:szCs w:val="16"/>
          <w:b w:val="1"/>
          <w:bCs w:val="1"/>
          <w:color w:val="auto"/>
        </w:rPr>
        <w:t>Option</w:t>
      </w:r>
      <w:r>
        <w:rPr>
          <w:rFonts w:ascii="Arial" w:cs="Arial" w:eastAsia="Arial" w:hAnsi="Arial"/>
          <w:sz w:val="16"/>
          <w:szCs w:val="16"/>
          <w:color w:val="auto"/>
        </w:rPr>
        <w:t>”) to purchase on the last business day of such Plan Period (the “</w:t>
      </w:r>
      <w:r>
        <w:rPr>
          <w:rFonts w:ascii="Arial" w:cs="Arial" w:eastAsia="Arial" w:hAnsi="Arial"/>
          <w:sz w:val="16"/>
          <w:szCs w:val="16"/>
          <w:b w:val="1"/>
          <w:bCs w:val="1"/>
          <w:color w:val="auto"/>
        </w:rPr>
        <w:t>Exercise Date</w:t>
      </w:r>
      <w:r>
        <w:rPr>
          <w:rFonts w:ascii="Arial" w:cs="Arial" w:eastAsia="Arial" w:hAnsi="Arial"/>
          <w:sz w:val="16"/>
          <w:szCs w:val="16"/>
          <w:color w:val="auto"/>
        </w:rPr>
        <w:t>”) at the applicable purchase price (the “</w:t>
      </w:r>
      <w:r>
        <w:rPr>
          <w:rFonts w:ascii="Arial" w:cs="Arial" w:eastAsia="Arial" w:hAnsi="Arial"/>
          <w:sz w:val="16"/>
          <w:szCs w:val="16"/>
          <w:b w:val="1"/>
          <w:bCs w:val="1"/>
          <w:color w:val="auto"/>
        </w:rPr>
        <w:t>Option Price</w:t>
      </w:r>
      <w:r>
        <w:rPr>
          <w:rFonts w:ascii="Arial" w:cs="Arial" w:eastAsia="Arial" w:hAnsi="Arial"/>
          <w:sz w:val="16"/>
          <w:szCs w:val="16"/>
          <w:color w:val="auto"/>
        </w:rPr>
        <w:t>”) up to the number of shares of Common Stock, including fractional shares, determined by multiplying $2,083 by the number of full months in the Plan Period and dividing the result by the closing price of the Common Stock (as determined below) on the Offering Commencement Date; provided that no employee may be granted an Option which permits the employee’s rights to purchase Common Stock under this Plan and any other employee stock purchase plan (as defined in Section 423 of the Code) of the Company and its subsidiaries, to accrue at a rate which exceeds $25,000 of the fair market value of such Common Stock (determined at the date such Option is granted) for each calendar year in which the Option is outstanding at any time; and, provided further, however, that the Administrator may, in its discretion, set a different formula or a fixed number of shares of Common Stock (including fractional shares) that each eligible employee may purchase per Plan Period which number shall not be greater than the number of shares of Common Stock determined using the formula in the first clause of this Section 9(a), and which shall be subject to the second clause of this Section 9(a).</w:t>
      </w:r>
    </w:p>
    <w:p>
      <w:pPr>
        <w:spacing w:after="0" w:line="23" w:lineRule="exact"/>
        <w:rPr>
          <w:rFonts w:ascii="Arial" w:cs="Arial" w:eastAsia="Arial" w:hAnsi="Arial"/>
          <w:sz w:val="16"/>
          <w:szCs w:val="16"/>
          <w:color w:val="auto"/>
        </w:rPr>
      </w:pPr>
    </w:p>
    <w:p>
      <w:pPr>
        <w:ind w:left="1380" w:right="200" w:hanging="501"/>
        <w:spacing w:after="0" w:line="261" w:lineRule="auto"/>
        <w:tabs>
          <w:tab w:leader="none" w:pos="1380" w:val="left"/>
        </w:tabs>
        <w:numPr>
          <w:ilvl w:val="1"/>
          <w:numId w:val="113"/>
        </w:numPr>
        <w:rPr>
          <w:rFonts w:ascii="Arial" w:cs="Arial" w:eastAsia="Arial" w:hAnsi="Arial"/>
          <w:sz w:val="17"/>
          <w:szCs w:val="17"/>
          <w:color w:val="auto"/>
        </w:rPr>
      </w:pPr>
      <w:r>
        <w:rPr>
          <w:rFonts w:ascii="Arial" w:cs="Arial" w:eastAsia="Arial" w:hAnsi="Arial"/>
          <w:sz w:val="17"/>
          <w:szCs w:val="17"/>
          <w:b w:val="1"/>
          <w:bCs w:val="1"/>
          <w:color w:val="auto"/>
        </w:rPr>
        <w:t xml:space="preserve">Option Price. </w:t>
      </w:r>
      <w:r>
        <w:rPr>
          <w:rFonts w:ascii="Arial" w:cs="Arial" w:eastAsia="Arial" w:hAnsi="Arial"/>
          <w:sz w:val="17"/>
          <w:szCs w:val="17"/>
          <w:color w:val="auto"/>
        </w:rPr>
        <w:t>The Administrator shall determine the Option Price for each Plan Period, including whether such Option Price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based on the lesser of the closing price of the Common Stock on (i) the first business day of the Plan Period or (ii) the Exercise Date, or shall be based solely on the closing price of the Common Stock on the Exercise Date; provided, however, that for any Section 423 Offering, such Option Price shall be at least 85% of the applicable closing price in either case, and for any Non-423 Offering, such Option Price shall be at least 80% of the applicable closing price in either case. In the absence of a determination by the Administrator, the Option Price for all Offerings will be 85% of the lesser of the closing price of the Common Stock on (A) the first business day of the Plan Period or (B) the Exercise Date. The closing price shall be (1) the closing price (for the primary trading session) on any national securities exchange</w:t>
      </w:r>
    </w:p>
    <w:p>
      <w:pPr>
        <w:sectPr>
          <w:pgSz w:w="11900" w:h="16838" w:orient="portrait"/>
          <w:cols w:equalWidth="0" w:num="1">
            <w:col w:w="10940"/>
          </w:cols>
          <w:pgMar w:left="320" w:top="447" w:right="6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ind w:left="10760"/>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0940"/>
          </w:cols>
          <w:pgMar w:left="320" w:top="447" w:right="639" w:bottom="1440" w:gutter="0" w:footer="0" w:header="0"/>
          <w:type w:val="continuous"/>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1400" w:right="60"/>
        <w:spacing w:after="0" w:line="265" w:lineRule="auto"/>
        <w:rPr>
          <w:sz w:val="20"/>
          <w:szCs w:val="20"/>
          <w:color w:val="auto"/>
        </w:rPr>
      </w:pPr>
      <w:r>
        <w:rPr>
          <w:rFonts w:ascii="Arial" w:cs="Arial" w:eastAsia="Arial" w:hAnsi="Arial"/>
          <w:sz w:val="17"/>
          <w:szCs w:val="17"/>
          <w:color w:val="auto"/>
        </w:rPr>
        <w:t>on which the Common Stock is listed or (2) the average of the closing bid and asked prices in the over-the-counter-market, whichever is applicable, as published in The Wall Street Journal or another source selected by the Administrator. If no sales of Common Stock were made on such a day, the price of the Common Stock shall be the reported price for the last preceding day on which sales were made.</w:t>
      </w:r>
    </w:p>
    <w:p>
      <w:pPr>
        <w:spacing w:after="0" w:line="28" w:lineRule="exact"/>
        <w:rPr>
          <w:sz w:val="20"/>
          <w:szCs w:val="20"/>
          <w:color w:val="auto"/>
        </w:rPr>
      </w:pPr>
    </w:p>
    <w:p>
      <w:pPr>
        <w:ind w:left="1380" w:right="100" w:hanging="501"/>
        <w:spacing w:after="0" w:line="265" w:lineRule="auto"/>
        <w:tabs>
          <w:tab w:leader="none" w:pos="1380" w:val="left"/>
        </w:tabs>
        <w:numPr>
          <w:ilvl w:val="1"/>
          <w:numId w:val="114"/>
        </w:numPr>
        <w:rPr>
          <w:rFonts w:ascii="Arial" w:cs="Arial" w:eastAsia="Arial" w:hAnsi="Arial"/>
          <w:sz w:val="17"/>
          <w:szCs w:val="17"/>
          <w:color w:val="auto"/>
        </w:rPr>
      </w:pPr>
      <w:r>
        <w:rPr>
          <w:rFonts w:ascii="Arial" w:cs="Arial" w:eastAsia="Arial" w:hAnsi="Arial"/>
          <w:sz w:val="17"/>
          <w:szCs w:val="17"/>
          <w:b w:val="1"/>
          <w:bCs w:val="1"/>
          <w:color w:val="auto"/>
        </w:rPr>
        <w:t xml:space="preserve">Exercise of Option. </w:t>
      </w:r>
      <w:r>
        <w:rPr>
          <w:rFonts w:ascii="Arial" w:cs="Arial" w:eastAsia="Arial" w:hAnsi="Arial"/>
          <w:sz w:val="17"/>
          <w:szCs w:val="17"/>
          <w:color w:val="auto"/>
        </w:rPr>
        <w:t>Each employee who continues to be a participant in the Plan on the Exercise Date shall be deemed to have</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exercised his or her Option at the Option Price on such date and shall be deemed to have purchased from the Company the number of shares of Common Stock, including fractional shares (unless otherwise determined by the Administrator), reserved for the purpose of the Plan that his or her accumulated payroll deductions on such date will pay for, but not in excess of the maximum numbers determined in the manner set forth above.</w:t>
      </w:r>
    </w:p>
    <w:p>
      <w:pPr>
        <w:spacing w:after="0" w:line="26" w:lineRule="exact"/>
        <w:rPr>
          <w:rFonts w:ascii="Arial" w:cs="Arial" w:eastAsia="Arial" w:hAnsi="Arial"/>
          <w:sz w:val="17"/>
          <w:szCs w:val="17"/>
          <w:color w:val="auto"/>
        </w:rPr>
      </w:pPr>
    </w:p>
    <w:p>
      <w:pPr>
        <w:ind w:left="1380" w:right="160" w:hanging="501"/>
        <w:spacing w:after="0" w:line="293" w:lineRule="auto"/>
        <w:tabs>
          <w:tab w:leader="none" w:pos="1380" w:val="left"/>
        </w:tabs>
        <w:numPr>
          <w:ilvl w:val="1"/>
          <w:numId w:val="114"/>
        </w:numPr>
        <w:rPr>
          <w:rFonts w:ascii="Arial" w:cs="Arial" w:eastAsia="Arial" w:hAnsi="Arial"/>
          <w:sz w:val="17"/>
          <w:szCs w:val="17"/>
          <w:color w:val="auto"/>
        </w:rPr>
      </w:pPr>
      <w:r>
        <w:rPr>
          <w:rFonts w:ascii="Arial" w:cs="Arial" w:eastAsia="Arial" w:hAnsi="Arial"/>
          <w:sz w:val="17"/>
          <w:szCs w:val="17"/>
          <w:b w:val="1"/>
          <w:bCs w:val="1"/>
          <w:color w:val="auto"/>
        </w:rPr>
        <w:t xml:space="preserve">Return of Unused Payroll Deductions. </w:t>
      </w:r>
      <w:r>
        <w:rPr>
          <w:rFonts w:ascii="Arial" w:cs="Arial" w:eastAsia="Arial" w:hAnsi="Arial"/>
          <w:sz w:val="17"/>
          <w:szCs w:val="17"/>
          <w:color w:val="auto"/>
        </w:rPr>
        <w:t>Any balance remaining in an employee’s payroll deduction or other contribution account at</w:t>
      </w:r>
      <w:r>
        <w:rPr>
          <w:rFonts w:ascii="Arial" w:cs="Arial" w:eastAsia="Arial" w:hAnsi="Arial"/>
          <w:sz w:val="17"/>
          <w:szCs w:val="17"/>
          <w:b w:val="1"/>
          <w:bCs w:val="1"/>
          <w:color w:val="auto"/>
        </w:rPr>
        <w:t xml:space="preserve"> </w:t>
      </w:r>
      <w:r>
        <w:rPr>
          <w:rFonts w:ascii="Arial" w:cs="Arial" w:eastAsia="Arial" w:hAnsi="Arial"/>
          <w:sz w:val="17"/>
          <w:szCs w:val="17"/>
          <w:color w:val="auto"/>
        </w:rPr>
        <w:t>the end of a Plan Period will be automatically refunded to the employee.</w:t>
      </w:r>
    </w:p>
    <w:p>
      <w:pPr>
        <w:spacing w:after="0" w:line="4" w:lineRule="exact"/>
        <w:rPr>
          <w:rFonts w:ascii="Arial" w:cs="Arial" w:eastAsia="Arial" w:hAnsi="Arial"/>
          <w:sz w:val="17"/>
          <w:szCs w:val="17"/>
          <w:color w:val="auto"/>
        </w:rPr>
      </w:pPr>
    </w:p>
    <w:p>
      <w:pPr>
        <w:ind w:left="880" w:hanging="405"/>
        <w:spacing w:after="0" w:line="285" w:lineRule="auto"/>
        <w:tabs>
          <w:tab w:leader="none" w:pos="880" w:val="left"/>
        </w:tabs>
        <w:numPr>
          <w:ilvl w:val="0"/>
          <w:numId w:val="115"/>
        </w:numPr>
        <w:rPr>
          <w:rFonts w:ascii="Arial" w:cs="Arial" w:eastAsia="Arial" w:hAnsi="Arial"/>
          <w:sz w:val="16"/>
          <w:szCs w:val="16"/>
          <w:color w:val="auto"/>
        </w:rPr>
      </w:pPr>
      <w:r>
        <w:rPr>
          <w:rFonts w:ascii="Arial" w:cs="Arial" w:eastAsia="Arial" w:hAnsi="Arial"/>
          <w:sz w:val="16"/>
          <w:szCs w:val="16"/>
          <w:b w:val="1"/>
          <w:bCs w:val="1"/>
          <w:color w:val="auto"/>
        </w:rPr>
        <w:t xml:space="preserve">Issuance of Certificates. </w:t>
      </w:r>
      <w:r>
        <w:rPr>
          <w:rFonts w:ascii="Arial" w:cs="Arial" w:eastAsia="Arial" w:hAnsi="Arial"/>
          <w:sz w:val="16"/>
          <w:szCs w:val="16"/>
          <w:color w:val="auto"/>
        </w:rPr>
        <w:t>Certificates representing shares of Common Stock, including any and all fractional shares, purchased under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may be issued only in the name of the employee, or, for U.S. employees only, in the name of the employee and another person of legal age as joint tenants with rights of survivorship, or (in the Company’s sole discretion) in the name of a brokerage firm, bank, or other nominee holder designated by the employee. The Company may, in its sole discretion and in compliance with applicable laws, authorize the use of book entry registration of shares in lieu of issuing stock certificates. Fractional shares shall be determined to 4 decimal places.</w:t>
      </w:r>
    </w:p>
    <w:p>
      <w:pPr>
        <w:spacing w:after="0" w:line="13" w:lineRule="exact"/>
        <w:rPr>
          <w:rFonts w:ascii="Arial" w:cs="Arial" w:eastAsia="Arial" w:hAnsi="Arial"/>
          <w:sz w:val="16"/>
          <w:szCs w:val="16"/>
          <w:color w:val="auto"/>
        </w:rPr>
      </w:pPr>
    </w:p>
    <w:p>
      <w:pPr>
        <w:ind w:left="880" w:right="20" w:hanging="405"/>
        <w:spacing w:after="0" w:line="260" w:lineRule="auto"/>
        <w:tabs>
          <w:tab w:leader="none" w:pos="880" w:val="left"/>
        </w:tabs>
        <w:numPr>
          <w:ilvl w:val="0"/>
          <w:numId w:val="115"/>
        </w:numPr>
        <w:rPr>
          <w:rFonts w:ascii="Arial" w:cs="Arial" w:eastAsia="Arial" w:hAnsi="Arial"/>
          <w:sz w:val="17"/>
          <w:szCs w:val="17"/>
          <w:color w:val="auto"/>
        </w:rPr>
      </w:pPr>
      <w:r>
        <w:rPr>
          <w:rFonts w:ascii="Arial" w:cs="Arial" w:eastAsia="Arial" w:hAnsi="Arial"/>
          <w:sz w:val="17"/>
          <w:szCs w:val="17"/>
          <w:b w:val="1"/>
          <w:bCs w:val="1"/>
          <w:color w:val="auto"/>
        </w:rPr>
        <w:t xml:space="preserve">Rights on Retirement, Death or Termination of Employment. </w:t>
      </w:r>
      <w:r>
        <w:rPr>
          <w:rFonts w:ascii="Arial" w:cs="Arial" w:eastAsia="Arial" w:hAnsi="Arial"/>
          <w:sz w:val="17"/>
          <w:szCs w:val="17"/>
          <w:color w:val="auto"/>
        </w:rPr>
        <w:t>If a participating employee’s employment with a Designated Company ends</w:t>
      </w:r>
      <w:r>
        <w:rPr>
          <w:rFonts w:ascii="Arial" w:cs="Arial" w:eastAsia="Arial" w:hAnsi="Arial"/>
          <w:sz w:val="17"/>
          <w:szCs w:val="17"/>
          <w:b w:val="1"/>
          <w:bCs w:val="1"/>
          <w:color w:val="auto"/>
        </w:rPr>
        <w:t xml:space="preserve"> </w:t>
      </w:r>
      <w:r>
        <w:rPr>
          <w:rFonts w:ascii="Arial" w:cs="Arial" w:eastAsia="Arial" w:hAnsi="Arial"/>
          <w:sz w:val="17"/>
          <w:szCs w:val="17"/>
          <w:color w:val="auto"/>
        </w:rPr>
        <w:t>before any Exercise Date, no payroll deduction or other contributions shall be taken from any Compensation then due and owing to the employee and the balance in the employee’s account shall be paid to the employee. In the event of the employee’s death before any Exercise Date, the Company shall, upon notification of such death, pay the balance of the employee’s account (a) to the executor or administrator of the employee’s estate or (b) if no such executor or administrator has been appointed to the knowledge of the Company, to the person or persons entitled thereto pursuant to applicable law. If, before the last business day of the Plan Period, the Designated Company by which an employee is employed ceases to be a subsidiary or eligible affiliate of the Company, or if the employee is transferred to a subsidiary or affiliate of the Company that is not a Designated Company, the employee shall be deemed to have terminated employment for the purposes of this Plan.</w:t>
      </w:r>
    </w:p>
    <w:p>
      <w:pPr>
        <w:spacing w:after="0" w:line="32" w:lineRule="exact"/>
        <w:rPr>
          <w:rFonts w:ascii="Arial" w:cs="Arial" w:eastAsia="Arial" w:hAnsi="Arial"/>
          <w:sz w:val="17"/>
          <w:szCs w:val="17"/>
          <w:color w:val="auto"/>
        </w:rPr>
      </w:pPr>
    </w:p>
    <w:p>
      <w:pPr>
        <w:ind w:left="880" w:right="60" w:hanging="405"/>
        <w:spacing w:after="0" w:line="274" w:lineRule="auto"/>
        <w:tabs>
          <w:tab w:leader="none" w:pos="880" w:val="left"/>
        </w:tabs>
        <w:numPr>
          <w:ilvl w:val="0"/>
          <w:numId w:val="115"/>
        </w:numPr>
        <w:rPr>
          <w:rFonts w:ascii="Arial" w:cs="Arial" w:eastAsia="Arial" w:hAnsi="Arial"/>
          <w:sz w:val="17"/>
          <w:szCs w:val="17"/>
          <w:color w:val="auto"/>
        </w:rPr>
      </w:pPr>
      <w:r>
        <w:rPr>
          <w:rFonts w:ascii="Arial" w:cs="Arial" w:eastAsia="Arial" w:hAnsi="Arial"/>
          <w:sz w:val="17"/>
          <w:szCs w:val="17"/>
          <w:b w:val="1"/>
          <w:bCs w:val="1"/>
          <w:color w:val="auto"/>
        </w:rPr>
        <w:t xml:space="preserve">Optionees Not Stockholders. </w:t>
      </w:r>
      <w:r>
        <w:rPr>
          <w:rFonts w:ascii="Arial" w:cs="Arial" w:eastAsia="Arial" w:hAnsi="Arial"/>
          <w:sz w:val="17"/>
          <w:szCs w:val="17"/>
          <w:color w:val="auto"/>
        </w:rPr>
        <w:t>Neither the granting of an Option to an employee nor the deductions from his or her Compensation shall make</w:t>
      </w:r>
      <w:r>
        <w:rPr>
          <w:rFonts w:ascii="Arial" w:cs="Arial" w:eastAsia="Arial" w:hAnsi="Arial"/>
          <w:sz w:val="17"/>
          <w:szCs w:val="17"/>
          <w:b w:val="1"/>
          <w:bCs w:val="1"/>
          <w:color w:val="auto"/>
        </w:rPr>
        <w:t xml:space="preserve"> </w:t>
      </w:r>
      <w:r>
        <w:rPr>
          <w:rFonts w:ascii="Arial" w:cs="Arial" w:eastAsia="Arial" w:hAnsi="Arial"/>
          <w:sz w:val="17"/>
          <w:szCs w:val="17"/>
          <w:color w:val="auto"/>
        </w:rPr>
        <w:t>such employee a stockholder of the shares of Common Stock covered by an Option under this Plan and such employee shall not become a stockholder until he or she has purchased and received such shares.</w:t>
      </w:r>
    </w:p>
    <w:p>
      <w:pPr>
        <w:spacing w:after="0" w:line="19" w:lineRule="exact"/>
        <w:rPr>
          <w:rFonts w:ascii="Arial" w:cs="Arial" w:eastAsia="Arial" w:hAnsi="Arial"/>
          <w:sz w:val="17"/>
          <w:szCs w:val="17"/>
          <w:color w:val="auto"/>
        </w:rPr>
      </w:pPr>
    </w:p>
    <w:p>
      <w:pPr>
        <w:ind w:left="880" w:right="60" w:hanging="405"/>
        <w:spacing w:after="0" w:line="293" w:lineRule="auto"/>
        <w:tabs>
          <w:tab w:leader="none" w:pos="880" w:val="left"/>
        </w:tabs>
        <w:numPr>
          <w:ilvl w:val="0"/>
          <w:numId w:val="115"/>
        </w:numPr>
        <w:rPr>
          <w:rFonts w:ascii="Arial" w:cs="Arial" w:eastAsia="Arial" w:hAnsi="Arial"/>
          <w:sz w:val="17"/>
          <w:szCs w:val="17"/>
          <w:color w:val="auto"/>
        </w:rPr>
      </w:pPr>
      <w:r>
        <w:rPr>
          <w:rFonts w:ascii="Arial" w:cs="Arial" w:eastAsia="Arial" w:hAnsi="Arial"/>
          <w:sz w:val="17"/>
          <w:szCs w:val="17"/>
          <w:b w:val="1"/>
          <w:bCs w:val="1"/>
          <w:color w:val="auto"/>
        </w:rPr>
        <w:t xml:space="preserve">Options Not Transferable. </w:t>
      </w:r>
      <w:r>
        <w:rPr>
          <w:rFonts w:ascii="Arial" w:cs="Arial" w:eastAsia="Arial" w:hAnsi="Arial"/>
          <w:sz w:val="17"/>
          <w:szCs w:val="17"/>
          <w:color w:val="auto"/>
        </w:rPr>
        <w:t>Options under this Plan are not transferable by a participating employee other than by will or the laws of descent</w:t>
      </w:r>
      <w:r>
        <w:rPr>
          <w:rFonts w:ascii="Arial" w:cs="Arial" w:eastAsia="Arial" w:hAnsi="Arial"/>
          <w:sz w:val="17"/>
          <w:szCs w:val="17"/>
          <w:b w:val="1"/>
          <w:bCs w:val="1"/>
          <w:color w:val="auto"/>
        </w:rPr>
        <w:t xml:space="preserve"> </w:t>
      </w:r>
      <w:r>
        <w:rPr>
          <w:rFonts w:ascii="Arial" w:cs="Arial" w:eastAsia="Arial" w:hAnsi="Arial"/>
          <w:sz w:val="17"/>
          <w:szCs w:val="17"/>
          <w:color w:val="auto"/>
        </w:rPr>
        <w:t>and distribution, and are exercisable during the employee’s lifetime only by the employee.</w:t>
      </w:r>
    </w:p>
    <w:p>
      <w:pPr>
        <w:spacing w:after="0" w:line="4" w:lineRule="exact"/>
        <w:rPr>
          <w:rFonts w:ascii="Arial" w:cs="Arial" w:eastAsia="Arial" w:hAnsi="Arial"/>
          <w:sz w:val="17"/>
          <w:szCs w:val="17"/>
          <w:color w:val="auto"/>
        </w:rPr>
      </w:pPr>
    </w:p>
    <w:p>
      <w:pPr>
        <w:ind w:left="880" w:right="140" w:hanging="405"/>
        <w:spacing w:after="0" w:line="293" w:lineRule="auto"/>
        <w:tabs>
          <w:tab w:leader="none" w:pos="880" w:val="left"/>
        </w:tabs>
        <w:numPr>
          <w:ilvl w:val="0"/>
          <w:numId w:val="115"/>
        </w:numPr>
        <w:rPr>
          <w:rFonts w:ascii="Arial" w:cs="Arial" w:eastAsia="Arial" w:hAnsi="Arial"/>
          <w:sz w:val="17"/>
          <w:szCs w:val="17"/>
          <w:color w:val="auto"/>
        </w:rPr>
      </w:pPr>
      <w:r>
        <w:rPr>
          <w:rFonts w:ascii="Arial" w:cs="Arial" w:eastAsia="Arial" w:hAnsi="Arial"/>
          <w:sz w:val="17"/>
          <w:szCs w:val="17"/>
          <w:b w:val="1"/>
          <w:bCs w:val="1"/>
          <w:color w:val="auto"/>
        </w:rPr>
        <w:t xml:space="preserve">Application of Funds. </w:t>
      </w:r>
      <w:r>
        <w:rPr>
          <w:rFonts w:ascii="Arial" w:cs="Arial" w:eastAsia="Arial" w:hAnsi="Arial"/>
          <w:sz w:val="17"/>
          <w:szCs w:val="17"/>
          <w:color w:val="auto"/>
        </w:rPr>
        <w:t>All funds received or held by the Company under this Plan may be combined with other corporate funds and may be</w:t>
      </w:r>
      <w:r>
        <w:rPr>
          <w:rFonts w:ascii="Arial" w:cs="Arial" w:eastAsia="Arial" w:hAnsi="Arial"/>
          <w:sz w:val="17"/>
          <w:szCs w:val="17"/>
          <w:b w:val="1"/>
          <w:bCs w:val="1"/>
          <w:color w:val="auto"/>
        </w:rPr>
        <w:t xml:space="preserve"> </w:t>
      </w:r>
      <w:r>
        <w:rPr>
          <w:rFonts w:ascii="Arial" w:cs="Arial" w:eastAsia="Arial" w:hAnsi="Arial"/>
          <w:sz w:val="17"/>
          <w:szCs w:val="17"/>
          <w:color w:val="auto"/>
        </w:rPr>
        <w:t>used for any corporate purpose (unless otherwise required by applicable laws).</w:t>
      </w:r>
    </w:p>
    <w:p>
      <w:pPr>
        <w:spacing w:after="0" w:line="4" w:lineRule="exact"/>
        <w:rPr>
          <w:rFonts w:ascii="Arial" w:cs="Arial" w:eastAsia="Arial" w:hAnsi="Arial"/>
          <w:sz w:val="17"/>
          <w:szCs w:val="17"/>
          <w:color w:val="auto"/>
        </w:rPr>
      </w:pPr>
    </w:p>
    <w:p>
      <w:pPr>
        <w:ind w:left="880" w:hanging="405"/>
        <w:spacing w:after="0"/>
        <w:tabs>
          <w:tab w:leader="none" w:pos="880" w:val="left"/>
        </w:tabs>
        <w:numPr>
          <w:ilvl w:val="0"/>
          <w:numId w:val="115"/>
        </w:numPr>
        <w:rPr>
          <w:rFonts w:ascii="Arial" w:cs="Arial" w:eastAsia="Arial" w:hAnsi="Arial"/>
          <w:sz w:val="17"/>
          <w:szCs w:val="17"/>
          <w:color w:val="auto"/>
        </w:rPr>
      </w:pPr>
      <w:r>
        <w:rPr>
          <w:rFonts w:ascii="Arial" w:cs="Arial" w:eastAsia="Arial" w:hAnsi="Arial"/>
          <w:sz w:val="17"/>
          <w:szCs w:val="17"/>
          <w:b w:val="1"/>
          <w:bCs w:val="1"/>
          <w:color w:val="auto"/>
        </w:rPr>
        <w:t>Adjustment for Changes in Common Stock and Certain Other Events.</w:t>
      </w:r>
    </w:p>
    <w:p>
      <w:pPr>
        <w:spacing w:after="0" w:line="77" w:lineRule="exact"/>
        <w:rPr>
          <w:rFonts w:ascii="Arial" w:cs="Arial" w:eastAsia="Arial" w:hAnsi="Arial"/>
          <w:sz w:val="17"/>
          <w:szCs w:val="17"/>
          <w:color w:val="auto"/>
        </w:rPr>
      </w:pPr>
    </w:p>
    <w:p>
      <w:pPr>
        <w:ind w:left="1380" w:right="40" w:hanging="501"/>
        <w:spacing w:after="0" w:line="312" w:lineRule="auto"/>
        <w:tabs>
          <w:tab w:leader="none" w:pos="1380" w:val="left"/>
        </w:tabs>
        <w:numPr>
          <w:ilvl w:val="1"/>
          <w:numId w:val="115"/>
        </w:numPr>
        <w:rPr>
          <w:rFonts w:ascii="Arial" w:cs="Arial" w:eastAsia="Arial" w:hAnsi="Arial"/>
          <w:sz w:val="15"/>
          <w:szCs w:val="15"/>
          <w:color w:val="auto"/>
        </w:rPr>
      </w:pPr>
      <w:r>
        <w:rPr>
          <w:rFonts w:ascii="Arial" w:cs="Arial" w:eastAsia="Arial" w:hAnsi="Arial"/>
          <w:sz w:val="15"/>
          <w:szCs w:val="15"/>
          <w:b w:val="1"/>
          <w:bCs w:val="1"/>
          <w:color w:val="auto"/>
        </w:rPr>
        <w:t xml:space="preserve">Changes in Capitalization. </w:t>
      </w:r>
      <w:r>
        <w:rPr>
          <w:rFonts w:ascii="Arial" w:cs="Arial" w:eastAsia="Arial" w:hAnsi="Arial"/>
          <w:sz w:val="15"/>
          <w:szCs w:val="15"/>
          <w:color w:val="auto"/>
        </w:rPr>
        <w:t>In the event of any stock split, reverse stock split, stock dividend, recapitalization, combination of shares,</w:t>
      </w:r>
      <w:r>
        <w:rPr>
          <w:rFonts w:ascii="Arial" w:cs="Arial" w:eastAsia="Arial" w:hAnsi="Arial"/>
          <w:sz w:val="15"/>
          <w:szCs w:val="15"/>
          <w:b w:val="1"/>
          <w:bCs w:val="1"/>
          <w:color w:val="auto"/>
        </w:rPr>
        <w:t xml:space="preserve"> </w:t>
      </w:r>
      <w:r>
        <w:rPr>
          <w:rFonts w:ascii="Arial" w:cs="Arial" w:eastAsia="Arial" w:hAnsi="Arial"/>
          <w:sz w:val="15"/>
          <w:szCs w:val="15"/>
          <w:color w:val="auto"/>
        </w:rPr>
        <w:t>reclassification of shares, spin-off or other similar change in capitalization or event, or any dividend or distribution to holders of Common Stock other than an ordinary cash dividend, (i) the number and class of securities available under this Plan, (ii) the share limitations set forth in Section 9, and (iii) the Option Price shall be equitably adjusted to the extent determined by the Administrator.</w:t>
      </w:r>
    </w:p>
    <w:p>
      <w:pPr>
        <w:ind w:left="1380" w:hanging="501"/>
        <w:spacing w:after="0"/>
        <w:tabs>
          <w:tab w:leader="none" w:pos="1380" w:val="left"/>
        </w:tabs>
        <w:numPr>
          <w:ilvl w:val="1"/>
          <w:numId w:val="115"/>
        </w:numPr>
        <w:rPr>
          <w:rFonts w:ascii="Arial" w:cs="Arial" w:eastAsia="Arial" w:hAnsi="Arial"/>
          <w:sz w:val="17"/>
          <w:szCs w:val="17"/>
          <w:color w:val="auto"/>
        </w:rPr>
      </w:pPr>
      <w:r>
        <w:rPr>
          <w:rFonts w:ascii="Arial" w:cs="Arial" w:eastAsia="Arial" w:hAnsi="Arial"/>
          <w:sz w:val="17"/>
          <w:szCs w:val="17"/>
          <w:b w:val="1"/>
          <w:bCs w:val="1"/>
          <w:color w:val="auto"/>
        </w:rPr>
        <w:t>Reorganization Events.</w:t>
      </w:r>
    </w:p>
    <w:p>
      <w:pPr>
        <w:spacing w:after="0" w:line="77" w:lineRule="exact"/>
        <w:rPr>
          <w:rFonts w:ascii="Arial" w:cs="Arial" w:eastAsia="Arial" w:hAnsi="Arial"/>
          <w:sz w:val="17"/>
          <w:szCs w:val="17"/>
          <w:color w:val="auto"/>
        </w:rPr>
      </w:pPr>
    </w:p>
    <w:p>
      <w:pPr>
        <w:ind w:left="1800" w:right="20" w:hanging="401"/>
        <w:spacing w:after="0" w:line="290" w:lineRule="auto"/>
        <w:tabs>
          <w:tab w:leader="none" w:pos="1800" w:val="left"/>
        </w:tabs>
        <w:numPr>
          <w:ilvl w:val="2"/>
          <w:numId w:val="115"/>
        </w:numPr>
        <w:rPr>
          <w:rFonts w:ascii="Arial" w:cs="Arial" w:eastAsia="Arial" w:hAnsi="Arial"/>
          <w:sz w:val="16"/>
          <w:szCs w:val="16"/>
          <w:color w:val="auto"/>
        </w:rPr>
      </w:pPr>
      <w:r>
        <w:rPr>
          <w:rFonts w:ascii="Arial" w:cs="Arial" w:eastAsia="Arial" w:hAnsi="Arial"/>
          <w:sz w:val="16"/>
          <w:szCs w:val="16"/>
          <w:b w:val="1"/>
          <w:bCs w:val="1"/>
          <w:color w:val="auto"/>
        </w:rPr>
        <w:t xml:space="preserve">Definition. </w:t>
      </w:r>
      <w:r>
        <w:rPr>
          <w:rFonts w:ascii="Arial" w:cs="Arial" w:eastAsia="Arial" w:hAnsi="Arial"/>
          <w:sz w:val="16"/>
          <w:szCs w:val="16"/>
          <w:color w:val="auto"/>
        </w:rPr>
        <w:t>A</w:t>
      </w:r>
      <w:r>
        <w:rPr>
          <w:rFonts w:ascii="Arial" w:cs="Arial" w:eastAsia="Arial" w:hAnsi="Arial"/>
          <w:sz w:val="16"/>
          <w:szCs w:val="16"/>
          <w:b w:val="1"/>
          <w:bCs w:val="1"/>
          <w:color w:val="auto"/>
        </w:rPr>
        <w:t xml:space="preserve"> “Reorganization Event” </w:t>
      </w:r>
      <w:r>
        <w:rPr>
          <w:rFonts w:ascii="Arial" w:cs="Arial" w:eastAsia="Arial" w:hAnsi="Arial"/>
          <w:sz w:val="16"/>
          <w:szCs w:val="16"/>
          <w:color w:val="auto"/>
        </w:rPr>
        <w:t>shall mean: (A) any merger or consolidation of the Company with or into another entity</w:t>
      </w:r>
      <w:r>
        <w:rPr>
          <w:rFonts w:ascii="Arial" w:cs="Arial" w:eastAsia="Arial" w:hAnsi="Arial"/>
          <w:sz w:val="16"/>
          <w:szCs w:val="16"/>
          <w:b w:val="1"/>
          <w:bCs w:val="1"/>
          <w:color w:val="auto"/>
        </w:rPr>
        <w:t xml:space="preserve"> </w:t>
      </w:r>
      <w:r>
        <w:rPr>
          <w:rFonts w:ascii="Arial" w:cs="Arial" w:eastAsia="Arial" w:hAnsi="Arial"/>
          <w:sz w:val="16"/>
          <w:szCs w:val="16"/>
          <w:color w:val="auto"/>
        </w:rPr>
        <w:t>as a result of which all of the Common Stock is converted into or exchanged for the right to receive cash, securities or other property or is cancelled, (B) any transfer or disposition of all of the Common Stock for cash, securities or other property pursuant to a share exchange or other transaction or (C) any liquidation or dissolution of the Company.</w:t>
      </w:r>
    </w:p>
    <w:p>
      <w:pPr>
        <w:spacing w:after="0" w:line="8" w:lineRule="exact"/>
        <w:rPr>
          <w:rFonts w:ascii="Arial" w:cs="Arial" w:eastAsia="Arial" w:hAnsi="Arial"/>
          <w:sz w:val="16"/>
          <w:szCs w:val="16"/>
          <w:color w:val="auto"/>
        </w:rPr>
      </w:pPr>
    </w:p>
    <w:p>
      <w:pPr>
        <w:ind w:left="1800" w:right="20" w:hanging="401"/>
        <w:spacing w:after="0" w:line="276" w:lineRule="auto"/>
        <w:tabs>
          <w:tab w:leader="none" w:pos="1800" w:val="left"/>
        </w:tabs>
        <w:numPr>
          <w:ilvl w:val="2"/>
          <w:numId w:val="115"/>
        </w:numPr>
        <w:rPr>
          <w:rFonts w:ascii="Arial" w:cs="Arial" w:eastAsia="Arial" w:hAnsi="Arial"/>
          <w:sz w:val="16"/>
          <w:szCs w:val="16"/>
          <w:color w:val="auto"/>
        </w:rPr>
      </w:pPr>
      <w:r>
        <w:rPr>
          <w:rFonts w:ascii="Arial" w:cs="Arial" w:eastAsia="Arial" w:hAnsi="Arial"/>
          <w:sz w:val="16"/>
          <w:szCs w:val="16"/>
          <w:b w:val="1"/>
          <w:bCs w:val="1"/>
          <w:color w:val="auto"/>
        </w:rPr>
        <w:t xml:space="preserve">Consequences of a Reorganization Event on Options. </w:t>
      </w:r>
      <w:r>
        <w:rPr>
          <w:rFonts w:ascii="Arial" w:cs="Arial" w:eastAsia="Arial" w:hAnsi="Arial"/>
          <w:sz w:val="16"/>
          <w:szCs w:val="16"/>
          <w:color w:val="auto"/>
        </w:rPr>
        <w:t>In connection with a Reorganization Event, the Administrator may take</w:t>
      </w:r>
      <w:r>
        <w:rPr>
          <w:rFonts w:ascii="Arial" w:cs="Arial" w:eastAsia="Arial" w:hAnsi="Arial"/>
          <w:sz w:val="16"/>
          <w:szCs w:val="16"/>
          <w:b w:val="1"/>
          <w:bCs w:val="1"/>
          <w:color w:val="auto"/>
        </w:rPr>
        <w:t xml:space="preserve"> </w:t>
      </w:r>
      <w:r>
        <w:rPr>
          <w:rFonts w:ascii="Arial" w:cs="Arial" w:eastAsia="Arial" w:hAnsi="Arial"/>
          <w:sz w:val="16"/>
          <w:szCs w:val="16"/>
          <w:color w:val="auto"/>
        </w:rPr>
        <w:t>any one or more of the following actions as to outstanding Options on such terms as the Administrator determines: (A) provide that Options shall be assumed, or substantially equivalent Options shall be substituted, by the acquiring or succeeding corporation (or an affiliate thereof), (B) upon written notice to employees, provide that all outstanding Options will be terminated immediately prior to the consummation of such Reorganization Event and that all such outstanding Options will become exercisable to the extent of accumulated payroll deductions or other contributions as of a date specified by the Administrator in such notice, which date shall be ten (10) days preceding the effective date of the Reorganization Event (or such other number of days as is determined by the Administrator), (C) upon written notice to employees, provide that all outstanding Options will be cancelled as of a date prior to the effective date of the Reorganization Event and that all accumulated payroll deductions or other contributions will be returned to participating employees on such date, (D) in the event of a Reorganization Event under the terms of which holders of Common Stock will receive upon consummation thereof a cash payment for each share surrendered in the Reorganization Event (the “</w:t>
      </w:r>
      <w:r>
        <w:rPr>
          <w:rFonts w:ascii="Arial" w:cs="Arial" w:eastAsia="Arial" w:hAnsi="Arial"/>
          <w:sz w:val="16"/>
          <w:szCs w:val="16"/>
          <w:b w:val="1"/>
          <w:bCs w:val="1"/>
          <w:color w:val="auto"/>
        </w:rPr>
        <w:t>Acquisition Price</w:t>
      </w:r>
      <w:r>
        <w:rPr>
          <w:rFonts w:ascii="Arial" w:cs="Arial" w:eastAsia="Arial" w:hAnsi="Arial"/>
          <w:sz w:val="16"/>
          <w:szCs w:val="16"/>
          <w:color w:val="auto"/>
        </w:rPr>
        <w:t>”), change the last day of the Plan Period to be the date of the consummation of the Reorganization Event and make or provide</w:t>
      </w:r>
    </w:p>
    <w:p>
      <w:pPr>
        <w:sectPr>
          <w:pgSz w:w="11900" w:h="16838" w:orient="portrait"/>
          <w:cols w:equalWidth="0" w:num="1">
            <w:col w:w="10740"/>
          </w:cols>
          <w:pgMar w:left="320" w:top="447" w:right="8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0740"/>
          </w:cols>
          <w:pgMar w:left="320" w:top="447" w:right="839" w:bottom="1440" w:gutter="0" w:footer="0" w:header="0"/>
          <w:type w:val="continuous"/>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304" w:lineRule="exact"/>
        <w:rPr>
          <w:sz w:val="20"/>
          <w:szCs w:val="20"/>
          <w:color w:val="auto"/>
        </w:rPr>
      </w:pPr>
    </w:p>
    <w:p>
      <w:pPr>
        <w:ind w:left="1800" w:right="180"/>
        <w:spacing w:after="0" w:line="259" w:lineRule="auto"/>
        <w:rPr>
          <w:sz w:val="20"/>
          <w:szCs w:val="20"/>
          <w:color w:val="auto"/>
        </w:rPr>
      </w:pPr>
      <w:r>
        <w:rPr>
          <w:rFonts w:ascii="Arial" w:cs="Arial" w:eastAsia="Arial" w:hAnsi="Arial"/>
          <w:sz w:val="17"/>
          <w:szCs w:val="17"/>
          <w:color w:val="auto"/>
        </w:rPr>
        <w:t>for a cash payment to each employee equal to (x) (1) the Acquisition Price times (2) the number of shares of Common Stock that the employee’s accumulated payroll deductions or other contributions as of immediately prior to the Reorganization Event could purchase at the Option Price, where the Acquisition Price is treated as the fair market value of the Common Stock on the last day of the applicable Plan Period for purposes of determining the Option Price under Section 9(b) hereof, and where the number of shares that could be purchased is subject to the limitations set forth in Section 9(a), minus (y) the result of multiplying such number of shares by such Option Price, (E) provide that, in connection with a liquidation or dissolution of the Company, Options shall convert into the right to receive liquidation proceeds (net of the Option Price thereof) and (F) any combination of the foregoing.</w:t>
      </w:r>
    </w:p>
    <w:p>
      <w:pPr>
        <w:spacing w:after="0" w:line="30" w:lineRule="exact"/>
        <w:rPr>
          <w:sz w:val="20"/>
          <w:szCs w:val="20"/>
          <w:color w:val="auto"/>
        </w:rPr>
      </w:pPr>
    </w:p>
    <w:p>
      <w:pPr>
        <w:ind w:left="1820" w:right="180"/>
        <w:spacing w:after="0" w:line="275" w:lineRule="auto"/>
        <w:rPr>
          <w:sz w:val="20"/>
          <w:szCs w:val="20"/>
          <w:color w:val="auto"/>
        </w:rPr>
      </w:pPr>
      <w:r>
        <w:rPr>
          <w:rFonts w:ascii="Arial" w:cs="Arial" w:eastAsia="Arial" w:hAnsi="Arial"/>
          <w:sz w:val="16"/>
          <w:szCs w:val="16"/>
          <w:color w:val="auto"/>
        </w:rPr>
        <w:t>For purposes of clause (A) above, an Option shall be considered assumed if, following consummation of the Reorganization Event, the Option confers the right to purchase, for each share of Common Stock subject to the Option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provided,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 solely of such number of shares of common stock of the acquiring or succeeding corporation (or an affiliate thereof) that the Board determines to be equivalent in value (as of the date of such determination or another date specified by the Board) to the per share consideration received by holders of outstanding shares of Common Stock as a result of the Reorganization Event.</w:t>
      </w:r>
    </w:p>
    <w:p>
      <w:pPr>
        <w:spacing w:after="0" w:line="27" w:lineRule="exact"/>
        <w:rPr>
          <w:sz w:val="20"/>
          <w:szCs w:val="20"/>
          <w:color w:val="auto"/>
        </w:rPr>
      </w:pPr>
    </w:p>
    <w:p>
      <w:pPr>
        <w:ind w:left="880" w:right="200" w:hanging="405"/>
        <w:spacing w:after="0" w:line="293" w:lineRule="auto"/>
        <w:tabs>
          <w:tab w:leader="none" w:pos="880" w:val="left"/>
        </w:tabs>
        <w:numPr>
          <w:ilvl w:val="0"/>
          <w:numId w:val="116"/>
        </w:numPr>
        <w:rPr>
          <w:rFonts w:ascii="Arial" w:cs="Arial" w:eastAsia="Arial" w:hAnsi="Arial"/>
          <w:sz w:val="15"/>
          <w:szCs w:val="15"/>
          <w:color w:val="auto"/>
        </w:rPr>
      </w:pPr>
      <w:r>
        <w:rPr>
          <w:rFonts w:ascii="Arial" w:cs="Arial" w:eastAsia="Arial" w:hAnsi="Arial"/>
          <w:sz w:val="15"/>
          <w:szCs w:val="15"/>
          <w:b w:val="1"/>
          <w:bCs w:val="1"/>
          <w:color w:val="auto"/>
        </w:rPr>
        <w:t xml:space="preserve">Amendment of the Plan. </w:t>
      </w:r>
      <w:r>
        <w:rPr>
          <w:rFonts w:ascii="Arial" w:cs="Arial" w:eastAsia="Arial" w:hAnsi="Arial"/>
          <w:sz w:val="15"/>
          <w:szCs w:val="15"/>
          <w:color w:val="auto"/>
        </w:rPr>
        <w:t>The Board may at any time, and from time to time, amend or suspend this Plan or any portion thereof, except that if</w:t>
      </w:r>
      <w:r>
        <w:rPr>
          <w:rFonts w:ascii="Arial" w:cs="Arial" w:eastAsia="Arial" w:hAnsi="Arial"/>
          <w:sz w:val="15"/>
          <w:szCs w:val="15"/>
          <w:b w:val="1"/>
          <w:bCs w:val="1"/>
          <w:color w:val="auto"/>
        </w:rPr>
        <w:t xml:space="preserve"> </w:t>
      </w:r>
      <w:r>
        <w:rPr>
          <w:rFonts w:ascii="Arial" w:cs="Arial" w:eastAsia="Arial" w:hAnsi="Arial"/>
          <w:sz w:val="15"/>
          <w:szCs w:val="15"/>
          <w:color w:val="auto"/>
        </w:rPr>
        <w:t>the approval of any such amendment by the stockholders of the Company is required by law, by Section 423 of the Code or the applicable listing rules of the exchange on which the Common Stock is traded, such amendment shall not be effected without such approval. Notwithstanding the foregoing, the following amendments shall require the approval of the Company’s stockholders: (a) any increase in the number of shares of Common Stock that may be purchased under the Plan, except as provided in Section 15; (b) any ability to issue shares of Common Stock before payment therefor in full; (c) any reduction in the price per share at which Common Stock may be purchased; and</w:t>
      </w:r>
    </w:p>
    <w:p>
      <w:pPr>
        <w:spacing w:after="0" w:line="3" w:lineRule="exact"/>
        <w:rPr>
          <w:rFonts w:ascii="Arial" w:cs="Arial" w:eastAsia="Arial" w:hAnsi="Arial"/>
          <w:sz w:val="15"/>
          <w:szCs w:val="15"/>
          <w:color w:val="auto"/>
        </w:rPr>
      </w:pPr>
    </w:p>
    <w:p>
      <w:pPr>
        <w:ind w:left="880" w:right="380"/>
        <w:spacing w:after="0" w:line="271" w:lineRule="auto"/>
        <w:rPr>
          <w:rFonts w:ascii="Arial" w:cs="Arial" w:eastAsia="Arial" w:hAnsi="Arial"/>
          <w:sz w:val="15"/>
          <w:szCs w:val="15"/>
          <w:color w:val="auto"/>
        </w:rPr>
      </w:pPr>
      <w:r>
        <w:rPr>
          <w:rFonts w:ascii="Arial" w:cs="Arial" w:eastAsia="Arial" w:hAnsi="Arial"/>
          <w:sz w:val="17"/>
          <w:szCs w:val="17"/>
          <w:color w:val="auto"/>
        </w:rPr>
        <w:t>(d) any change in the definition of subsidiaries or other entities eligible to participate in the Plan. In no event shall any amendment be made that would cause the Plan to fail to comply with Section 423 of the Code.</w:t>
      </w:r>
    </w:p>
    <w:p>
      <w:pPr>
        <w:spacing w:after="0" w:line="21" w:lineRule="exact"/>
        <w:rPr>
          <w:rFonts w:ascii="Arial" w:cs="Arial" w:eastAsia="Arial" w:hAnsi="Arial"/>
          <w:sz w:val="15"/>
          <w:szCs w:val="15"/>
          <w:color w:val="auto"/>
        </w:rPr>
      </w:pPr>
    </w:p>
    <w:p>
      <w:pPr>
        <w:ind w:left="880" w:right="440" w:hanging="405"/>
        <w:spacing w:after="0" w:line="299" w:lineRule="auto"/>
        <w:tabs>
          <w:tab w:leader="none" w:pos="880" w:val="left"/>
        </w:tabs>
        <w:numPr>
          <w:ilvl w:val="0"/>
          <w:numId w:val="116"/>
        </w:numPr>
        <w:rPr>
          <w:rFonts w:ascii="Arial" w:cs="Arial" w:eastAsia="Arial" w:hAnsi="Arial"/>
          <w:sz w:val="16"/>
          <w:szCs w:val="16"/>
          <w:color w:val="auto"/>
        </w:rPr>
      </w:pPr>
      <w:r>
        <w:rPr>
          <w:rFonts w:ascii="Arial" w:cs="Arial" w:eastAsia="Arial" w:hAnsi="Arial"/>
          <w:sz w:val="16"/>
          <w:szCs w:val="16"/>
          <w:b w:val="1"/>
          <w:bCs w:val="1"/>
          <w:color w:val="auto"/>
        </w:rPr>
        <w:t xml:space="preserve">Insufficient Shares. </w:t>
      </w:r>
      <w:r>
        <w:rPr>
          <w:rFonts w:ascii="Arial" w:cs="Arial" w:eastAsia="Arial" w:hAnsi="Arial"/>
          <w:sz w:val="16"/>
          <w:szCs w:val="16"/>
          <w:color w:val="auto"/>
        </w:rPr>
        <w:t>If the total number of shares of Common Stock specified in elections to be purchased under any Offering plus the</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shares purchased under previous Offerings under this Plan exceeds the maximum number of shares issuable under this Plan, the Administrator will allot the shares then available on a pro-rata basis and shall allow for the allotment of fractional shares.</w:t>
      </w:r>
    </w:p>
    <w:p>
      <w:pPr>
        <w:spacing w:after="0" w:line="1" w:lineRule="exact"/>
        <w:rPr>
          <w:rFonts w:ascii="Arial" w:cs="Arial" w:eastAsia="Arial" w:hAnsi="Arial"/>
          <w:sz w:val="16"/>
          <w:szCs w:val="16"/>
          <w:color w:val="auto"/>
        </w:rPr>
      </w:pPr>
    </w:p>
    <w:p>
      <w:pPr>
        <w:ind w:left="880" w:right="200" w:hanging="405"/>
        <w:spacing w:after="0" w:line="293" w:lineRule="auto"/>
        <w:tabs>
          <w:tab w:leader="none" w:pos="880" w:val="left"/>
        </w:tabs>
        <w:numPr>
          <w:ilvl w:val="0"/>
          <w:numId w:val="116"/>
        </w:numPr>
        <w:rPr>
          <w:rFonts w:ascii="Arial" w:cs="Arial" w:eastAsia="Arial" w:hAnsi="Arial"/>
          <w:sz w:val="17"/>
          <w:szCs w:val="17"/>
          <w:color w:val="auto"/>
        </w:rPr>
      </w:pPr>
      <w:r>
        <w:rPr>
          <w:rFonts w:ascii="Arial" w:cs="Arial" w:eastAsia="Arial" w:hAnsi="Arial"/>
          <w:sz w:val="17"/>
          <w:szCs w:val="17"/>
          <w:b w:val="1"/>
          <w:bCs w:val="1"/>
          <w:color w:val="auto"/>
        </w:rPr>
        <w:t xml:space="preserve">Termination of the Plan. </w:t>
      </w:r>
      <w:r>
        <w:rPr>
          <w:rFonts w:ascii="Arial" w:cs="Arial" w:eastAsia="Arial" w:hAnsi="Arial"/>
          <w:sz w:val="17"/>
          <w:szCs w:val="17"/>
          <w:color w:val="auto"/>
        </w:rPr>
        <w:t>This Plan may be terminated at any time by the Board. Upon termination of this Plan all amounts in the accounts of</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participating employees shall be promptly refunded without interest (unless otherwise required by applicable laws).</w:t>
      </w:r>
    </w:p>
    <w:p>
      <w:pPr>
        <w:spacing w:after="0" w:line="4" w:lineRule="exact"/>
        <w:rPr>
          <w:rFonts w:ascii="Arial" w:cs="Arial" w:eastAsia="Arial" w:hAnsi="Arial"/>
          <w:sz w:val="17"/>
          <w:szCs w:val="17"/>
          <w:color w:val="auto"/>
        </w:rPr>
      </w:pPr>
    </w:p>
    <w:p>
      <w:pPr>
        <w:ind w:left="880" w:right="360" w:hanging="405"/>
        <w:spacing w:after="0" w:line="263" w:lineRule="auto"/>
        <w:tabs>
          <w:tab w:leader="none" w:pos="880" w:val="left"/>
        </w:tabs>
        <w:numPr>
          <w:ilvl w:val="0"/>
          <w:numId w:val="116"/>
        </w:numPr>
        <w:rPr>
          <w:rFonts w:ascii="Arial" w:cs="Arial" w:eastAsia="Arial" w:hAnsi="Arial"/>
          <w:sz w:val="17"/>
          <w:szCs w:val="17"/>
          <w:color w:val="auto"/>
        </w:rPr>
      </w:pPr>
      <w:r>
        <w:rPr>
          <w:rFonts w:ascii="Arial" w:cs="Arial" w:eastAsia="Arial" w:hAnsi="Arial"/>
          <w:sz w:val="17"/>
          <w:szCs w:val="17"/>
          <w:b w:val="1"/>
          <w:bCs w:val="1"/>
          <w:color w:val="auto"/>
        </w:rPr>
        <w:t xml:space="preserve">Governmental Regulations. </w:t>
      </w:r>
      <w:r>
        <w:rPr>
          <w:rFonts w:ascii="Arial" w:cs="Arial" w:eastAsia="Arial" w:hAnsi="Arial"/>
          <w:sz w:val="17"/>
          <w:szCs w:val="17"/>
          <w:color w:val="auto"/>
        </w:rPr>
        <w:t>The Company’s obligation to sell and deliver shares of Common Stock, including fractional shares,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Plan is subject to listing on a national stock exchange (to the extent the Common Stock is then so listed or quoted) and the approval of all governmental authorities required in connection with the authorization, issuance or sale of such stock. If, pursuant to this Section 19, the Administrator determines that shares of Common Stock will not be issued to any employee, the Company is relieved from liability to any employee except to refund to the employee the amount in such employee’s payroll deduction or other contribution account, without interest thereon (except as may be required by applicable laws).</w:t>
      </w:r>
    </w:p>
    <w:p>
      <w:pPr>
        <w:spacing w:after="0" w:line="28" w:lineRule="exact"/>
        <w:rPr>
          <w:rFonts w:ascii="Arial" w:cs="Arial" w:eastAsia="Arial" w:hAnsi="Arial"/>
          <w:sz w:val="17"/>
          <w:szCs w:val="17"/>
          <w:color w:val="auto"/>
        </w:rPr>
      </w:pPr>
    </w:p>
    <w:p>
      <w:pPr>
        <w:ind w:left="880" w:right="220" w:hanging="405"/>
        <w:spacing w:after="0" w:line="274" w:lineRule="auto"/>
        <w:tabs>
          <w:tab w:leader="none" w:pos="880" w:val="left"/>
        </w:tabs>
        <w:numPr>
          <w:ilvl w:val="0"/>
          <w:numId w:val="116"/>
        </w:numPr>
        <w:rPr>
          <w:rFonts w:ascii="Arial" w:cs="Arial" w:eastAsia="Arial" w:hAnsi="Arial"/>
          <w:sz w:val="17"/>
          <w:szCs w:val="17"/>
          <w:color w:val="auto"/>
        </w:rPr>
      </w:pPr>
      <w:r>
        <w:rPr>
          <w:rFonts w:ascii="Arial" w:cs="Arial" w:eastAsia="Arial" w:hAnsi="Arial"/>
          <w:sz w:val="17"/>
          <w:szCs w:val="17"/>
          <w:b w:val="1"/>
          <w:bCs w:val="1"/>
          <w:color w:val="auto"/>
        </w:rPr>
        <w:t xml:space="preserve">Governing Law. </w:t>
      </w:r>
      <w:r>
        <w:rPr>
          <w:rFonts w:ascii="Arial" w:cs="Arial" w:eastAsia="Arial" w:hAnsi="Arial"/>
          <w:sz w:val="17"/>
          <w:szCs w:val="17"/>
          <w:color w:val="auto"/>
        </w:rPr>
        <w:t>The provisions of the Plan and all Awards made hereunder shall be governed by and interpreted in accordance with the laws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Commonwealth of Massachusetts, excluding choice-of-law principles of the law of such state that would require the application of the laws of a jurisdiction other than the Commonwealth of Massachusetts.</w:t>
      </w:r>
    </w:p>
    <w:p>
      <w:pPr>
        <w:spacing w:after="0" w:line="19" w:lineRule="exact"/>
        <w:rPr>
          <w:rFonts w:ascii="Arial" w:cs="Arial" w:eastAsia="Arial" w:hAnsi="Arial"/>
          <w:sz w:val="17"/>
          <w:szCs w:val="17"/>
          <w:color w:val="auto"/>
        </w:rPr>
      </w:pPr>
    </w:p>
    <w:p>
      <w:pPr>
        <w:ind w:left="880" w:right="320" w:hanging="405"/>
        <w:spacing w:after="0" w:line="293" w:lineRule="auto"/>
        <w:tabs>
          <w:tab w:leader="none" w:pos="880" w:val="left"/>
        </w:tabs>
        <w:numPr>
          <w:ilvl w:val="0"/>
          <w:numId w:val="116"/>
        </w:numPr>
        <w:rPr>
          <w:rFonts w:ascii="Arial" w:cs="Arial" w:eastAsia="Arial" w:hAnsi="Arial"/>
          <w:sz w:val="17"/>
          <w:szCs w:val="17"/>
          <w:color w:val="auto"/>
        </w:rPr>
      </w:pPr>
      <w:r>
        <w:rPr>
          <w:rFonts w:ascii="Arial" w:cs="Arial" w:eastAsia="Arial" w:hAnsi="Arial"/>
          <w:sz w:val="17"/>
          <w:szCs w:val="17"/>
          <w:b w:val="1"/>
          <w:bCs w:val="1"/>
          <w:color w:val="auto"/>
        </w:rPr>
        <w:t xml:space="preserve">Issuance of Shares. </w:t>
      </w:r>
      <w:r>
        <w:rPr>
          <w:rFonts w:ascii="Arial" w:cs="Arial" w:eastAsia="Arial" w:hAnsi="Arial"/>
          <w:sz w:val="17"/>
          <w:szCs w:val="17"/>
          <w:color w:val="auto"/>
        </w:rPr>
        <w:t>Shares may be issued upon exercise of an Option from authorized but unissued Common Stock, from shares held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treasury of the Company, or from any other proper source.</w:t>
      </w:r>
    </w:p>
    <w:p>
      <w:pPr>
        <w:spacing w:after="0" w:line="4" w:lineRule="exact"/>
        <w:rPr>
          <w:rFonts w:ascii="Arial" w:cs="Arial" w:eastAsia="Arial" w:hAnsi="Arial"/>
          <w:sz w:val="17"/>
          <w:szCs w:val="17"/>
          <w:color w:val="auto"/>
        </w:rPr>
      </w:pPr>
    </w:p>
    <w:p>
      <w:pPr>
        <w:ind w:left="880" w:right="220" w:hanging="405"/>
        <w:spacing w:after="0" w:line="293" w:lineRule="auto"/>
        <w:tabs>
          <w:tab w:leader="none" w:pos="880" w:val="left"/>
        </w:tabs>
        <w:numPr>
          <w:ilvl w:val="0"/>
          <w:numId w:val="116"/>
        </w:numPr>
        <w:rPr>
          <w:rFonts w:ascii="Arial" w:cs="Arial" w:eastAsia="Arial" w:hAnsi="Arial"/>
          <w:sz w:val="15"/>
          <w:szCs w:val="15"/>
          <w:color w:val="auto"/>
        </w:rPr>
      </w:pPr>
      <w:r>
        <w:rPr>
          <w:rFonts w:ascii="Arial" w:cs="Arial" w:eastAsia="Arial" w:hAnsi="Arial"/>
          <w:sz w:val="15"/>
          <w:szCs w:val="15"/>
          <w:b w:val="1"/>
          <w:bCs w:val="1"/>
          <w:color w:val="auto"/>
        </w:rPr>
        <w:t xml:space="preserve">Grants to Employees in Non-U.S. Jurisdictions. </w:t>
      </w:r>
      <w:r>
        <w:rPr>
          <w:rFonts w:ascii="Arial" w:cs="Arial" w:eastAsia="Arial" w:hAnsi="Arial"/>
          <w:sz w:val="15"/>
          <w:szCs w:val="15"/>
          <w:color w:val="auto"/>
        </w:rPr>
        <w:t>The Company may, to comply with the laws of a non-U.S. jurisdiction, grant Options</w:t>
      </w:r>
      <w:r>
        <w:rPr>
          <w:rFonts w:ascii="Arial" w:cs="Arial" w:eastAsia="Arial" w:hAnsi="Arial"/>
          <w:sz w:val="15"/>
          <w:szCs w:val="15"/>
          <w:b w:val="1"/>
          <w:bCs w:val="1"/>
          <w:color w:val="auto"/>
        </w:rPr>
        <w:t xml:space="preserve"> </w:t>
      </w:r>
      <w:r>
        <w:rPr>
          <w:rFonts w:ascii="Arial" w:cs="Arial" w:eastAsia="Arial" w:hAnsi="Arial"/>
          <w:sz w:val="15"/>
          <w:szCs w:val="15"/>
          <w:color w:val="auto"/>
        </w:rPr>
        <w:t>under a Section 423 Offering to employees of a Designated Company who are citizens or residents of a non-U.S. jurisdiction (without regard to whether they are also citizens of the United States or resident aliens (within the meaning of Section 7701(b)(1)(A) of the Code)) with terms that are specified and communicated to the employees in such jurisdiction and that are less favorable (but not more favorable) than the terms of the Options granted under the Section 423 Offering to employees of the Designated Company who are resident in the United States. Notwithstanding the preceding provisions of this Plan, employees of a Designated Company who are citizens or residents of a non-U.S. jurisdiction (without regard to whether they are also citizens of the United States or resident aliens (within the meaning of Section 7701(b)(1)</w:t>
      </w:r>
    </w:p>
    <w:p>
      <w:pPr>
        <w:spacing w:after="0" w:line="1" w:lineRule="exact"/>
        <w:rPr>
          <w:rFonts w:ascii="Arial" w:cs="Arial" w:eastAsia="Arial" w:hAnsi="Arial"/>
          <w:sz w:val="15"/>
          <w:szCs w:val="15"/>
          <w:color w:val="auto"/>
        </w:rPr>
      </w:pPr>
    </w:p>
    <w:p>
      <w:pPr>
        <w:ind w:left="880" w:right="420"/>
        <w:spacing w:after="0" w:line="263" w:lineRule="auto"/>
        <w:rPr>
          <w:rFonts w:ascii="Arial" w:cs="Arial" w:eastAsia="Arial" w:hAnsi="Arial"/>
          <w:sz w:val="15"/>
          <w:szCs w:val="15"/>
          <w:color w:val="auto"/>
        </w:rPr>
      </w:pPr>
      <w:r>
        <w:rPr>
          <w:rFonts w:ascii="Arial" w:cs="Arial" w:eastAsia="Arial" w:hAnsi="Arial"/>
          <w:sz w:val="17"/>
          <w:szCs w:val="17"/>
          <w:color w:val="auto"/>
        </w:rPr>
        <w:t>(A) of the Code)) may be excluded from eligibility to participate in a Section 423 Offering if (a) the grant of an Option under the Plan to a citizen or resident of the foreign jurisdiction is prohibited under the laws of such jurisdiction or (b) compliance with the laws of the foreign jurisdiction would cause the Offering to violate the requirements of Section 423 of the Code.</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0940"/>
          </w:cols>
          <w:pgMar w:left="320" w:top="447" w:right="63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98" w:lineRule="exact"/>
        <w:rPr>
          <w:sz w:val="20"/>
          <w:szCs w:val="20"/>
          <w:color w:val="auto"/>
        </w:rPr>
      </w:pPr>
    </w:p>
    <w:p>
      <w:pPr>
        <w:ind w:left="880" w:right="200" w:hanging="405"/>
        <w:spacing w:after="0" w:line="302" w:lineRule="auto"/>
        <w:tabs>
          <w:tab w:leader="none" w:pos="880" w:val="left"/>
        </w:tabs>
        <w:numPr>
          <w:ilvl w:val="0"/>
          <w:numId w:val="117"/>
        </w:numPr>
        <w:rPr>
          <w:rFonts w:ascii="Arial" w:cs="Arial" w:eastAsia="Arial" w:hAnsi="Arial"/>
          <w:sz w:val="15"/>
          <w:szCs w:val="15"/>
          <w:color w:val="auto"/>
        </w:rPr>
      </w:pPr>
      <w:r>
        <w:rPr>
          <w:rFonts w:ascii="Arial" w:cs="Arial" w:eastAsia="Arial" w:hAnsi="Arial"/>
          <w:sz w:val="15"/>
          <w:szCs w:val="15"/>
          <w:b w:val="1"/>
          <w:bCs w:val="1"/>
          <w:color w:val="auto"/>
        </w:rPr>
        <w:t xml:space="preserve">Authorization of Sub-Plans. </w:t>
      </w:r>
      <w:r>
        <w:rPr>
          <w:rFonts w:ascii="Arial" w:cs="Arial" w:eastAsia="Arial" w:hAnsi="Arial"/>
          <w:sz w:val="15"/>
          <w:szCs w:val="15"/>
          <w:color w:val="auto"/>
        </w:rPr>
        <w:t>The Administrator may from time to time establish one or more Sub-Plans under the Plan to accommodate</w:t>
      </w:r>
      <w:r>
        <w:rPr>
          <w:rFonts w:ascii="Arial" w:cs="Arial" w:eastAsia="Arial" w:hAnsi="Arial"/>
          <w:sz w:val="15"/>
          <w:szCs w:val="15"/>
          <w:b w:val="1"/>
          <w:bCs w:val="1"/>
          <w:color w:val="auto"/>
        </w:rPr>
        <w:t xml:space="preserve"> </w:t>
      </w:r>
      <w:r>
        <w:rPr>
          <w:rFonts w:ascii="Arial" w:cs="Arial" w:eastAsia="Arial" w:hAnsi="Arial"/>
          <w:sz w:val="15"/>
          <w:szCs w:val="15"/>
          <w:color w:val="auto"/>
        </w:rPr>
        <w:t>requirements of local law and procedures outside the United States, facilitate the administration of the Plan or accomplish other Company objectives in offering the Plan in jurisdictions outside the United States, or to qualify for particular tax treatment under laws of jurisdictions other than the United States. Subject to Section 16 of the Plan, such Sub-Plans may take precedence over the provisions of this Plan, but unless otherwise amended or superseded by the terms of any such Sub-Plan, the provisions of this Plan will govern the operation of Sub-Plans. To the extent inconsistent with the requirements of Section 423 of the Code, any such Sub-Plan will be operated under a Non-423 Offering, and rights granted thereunder will not be required by the terms of the Plan to comply with Section 423 of the Code.</w:t>
      </w:r>
    </w:p>
    <w:p>
      <w:pPr>
        <w:spacing w:after="0" w:line="2" w:lineRule="exact"/>
        <w:rPr>
          <w:rFonts w:ascii="Arial" w:cs="Arial" w:eastAsia="Arial" w:hAnsi="Arial"/>
          <w:sz w:val="15"/>
          <w:szCs w:val="15"/>
          <w:color w:val="auto"/>
        </w:rPr>
      </w:pPr>
    </w:p>
    <w:p>
      <w:pPr>
        <w:ind w:left="880" w:hanging="405"/>
        <w:spacing w:after="0"/>
        <w:tabs>
          <w:tab w:leader="none" w:pos="880" w:val="left"/>
        </w:tabs>
        <w:numPr>
          <w:ilvl w:val="0"/>
          <w:numId w:val="117"/>
        </w:numPr>
        <w:rPr>
          <w:rFonts w:ascii="Arial" w:cs="Arial" w:eastAsia="Arial" w:hAnsi="Arial"/>
          <w:sz w:val="17"/>
          <w:szCs w:val="17"/>
          <w:color w:val="auto"/>
        </w:rPr>
      </w:pPr>
      <w:r>
        <w:rPr>
          <w:rFonts w:ascii="Arial" w:cs="Arial" w:eastAsia="Arial" w:hAnsi="Arial"/>
          <w:sz w:val="17"/>
          <w:szCs w:val="17"/>
          <w:b w:val="1"/>
          <w:bCs w:val="1"/>
          <w:color w:val="auto"/>
        </w:rPr>
        <w:t>Taxes.</w:t>
      </w:r>
    </w:p>
    <w:p>
      <w:pPr>
        <w:spacing w:after="0" w:line="77" w:lineRule="exact"/>
        <w:rPr>
          <w:rFonts w:ascii="Arial" w:cs="Arial" w:eastAsia="Arial" w:hAnsi="Arial"/>
          <w:sz w:val="17"/>
          <w:szCs w:val="17"/>
          <w:color w:val="auto"/>
        </w:rPr>
      </w:pPr>
    </w:p>
    <w:p>
      <w:pPr>
        <w:ind w:left="1380" w:right="80" w:hanging="501"/>
        <w:spacing w:after="0" w:line="292" w:lineRule="auto"/>
        <w:tabs>
          <w:tab w:leader="none" w:pos="1380" w:val="left"/>
        </w:tabs>
        <w:numPr>
          <w:ilvl w:val="1"/>
          <w:numId w:val="117"/>
        </w:numPr>
        <w:rPr>
          <w:rFonts w:ascii="Arial" w:cs="Arial" w:eastAsia="Arial" w:hAnsi="Arial"/>
          <w:sz w:val="15"/>
          <w:szCs w:val="15"/>
          <w:color w:val="auto"/>
        </w:rPr>
      </w:pPr>
      <w:r>
        <w:rPr>
          <w:rFonts w:ascii="Arial" w:cs="Arial" w:eastAsia="Arial" w:hAnsi="Arial"/>
          <w:sz w:val="15"/>
          <w:szCs w:val="15"/>
          <w:b w:val="1"/>
          <w:bCs w:val="1"/>
          <w:color w:val="auto"/>
        </w:rPr>
        <w:t xml:space="preserve">Withholding. </w:t>
      </w:r>
      <w:r>
        <w:rPr>
          <w:rFonts w:ascii="Arial" w:cs="Arial" w:eastAsia="Arial" w:hAnsi="Arial"/>
          <w:sz w:val="15"/>
          <w:szCs w:val="15"/>
          <w:color w:val="auto"/>
        </w:rPr>
        <w:t>At the time of any taxable event that creates an obligation for any Designated Company to withhold U.S. or non-U.S.</w:t>
      </w:r>
      <w:r>
        <w:rPr>
          <w:rFonts w:ascii="Arial" w:cs="Arial" w:eastAsia="Arial" w:hAnsi="Arial"/>
          <w:sz w:val="15"/>
          <w:szCs w:val="15"/>
          <w:b w:val="1"/>
          <w:bCs w:val="1"/>
          <w:color w:val="auto"/>
        </w:rPr>
        <w:t xml:space="preserve"> </w:t>
      </w:r>
      <w:r>
        <w:rPr>
          <w:rFonts w:ascii="Arial" w:cs="Arial" w:eastAsia="Arial" w:hAnsi="Arial"/>
          <w:sz w:val="15"/>
          <w:szCs w:val="15"/>
          <w:color w:val="auto"/>
        </w:rPr>
        <w:t>federal, state and/or local taxes (including, without limitation, income tax, social insurance contributions, fringe benefit tax, employment tax, stamp tax and any employer tax liability which has been transferred to an employee) for which an employee is liable in connection with his or her participation in the Plan (“</w:t>
      </w:r>
      <w:r>
        <w:rPr>
          <w:rFonts w:ascii="Arial" w:cs="Arial" w:eastAsia="Arial" w:hAnsi="Arial"/>
          <w:sz w:val="15"/>
          <w:szCs w:val="15"/>
          <w:b w:val="1"/>
          <w:bCs w:val="1"/>
          <w:color w:val="auto"/>
        </w:rPr>
        <w:t>Tax-Related Items</w:t>
      </w:r>
      <w:r>
        <w:rPr>
          <w:rFonts w:ascii="Arial" w:cs="Arial" w:eastAsia="Arial" w:hAnsi="Arial"/>
          <w:sz w:val="15"/>
          <w:szCs w:val="15"/>
          <w:color w:val="auto"/>
        </w:rPr>
        <w:t>”), each affected employee shall, no later than the date of the event creating the withholding obligation for Tax-Related Items, make provision satisfactory to the Administrator for payment of any Tax-Related Items required by law to be withheld in connection with any transaction related to Options granted to or shares acquired by such employee pursuant to the Plan. The Company may, to the extent permitted by law, withhold any such Tax-Related Items from any payment of any kind otherwise due to an employee, including one or a combination of the following methods:</w:t>
      </w:r>
    </w:p>
    <w:p>
      <w:pPr>
        <w:spacing w:after="0" w:line="4" w:lineRule="exact"/>
        <w:rPr>
          <w:rFonts w:ascii="Arial" w:cs="Arial" w:eastAsia="Arial" w:hAnsi="Arial"/>
          <w:sz w:val="15"/>
          <w:szCs w:val="15"/>
          <w:color w:val="auto"/>
        </w:rPr>
      </w:pPr>
    </w:p>
    <w:p>
      <w:pPr>
        <w:jc w:val="both"/>
        <w:ind w:left="1380" w:firstLine="6"/>
        <w:spacing w:after="0" w:line="289" w:lineRule="auto"/>
        <w:tabs>
          <w:tab w:leader="none" w:pos="1587" w:val="left"/>
        </w:tabs>
        <w:numPr>
          <w:ilvl w:val="2"/>
          <w:numId w:val="117"/>
        </w:numPr>
        <w:rPr>
          <w:rFonts w:ascii="Arial" w:cs="Arial" w:eastAsia="Arial" w:hAnsi="Arial"/>
          <w:sz w:val="15"/>
          <w:szCs w:val="15"/>
          <w:color w:val="auto"/>
        </w:rPr>
      </w:pPr>
      <w:r>
        <w:rPr>
          <w:rFonts w:ascii="Arial" w:cs="Arial" w:eastAsia="Arial" w:hAnsi="Arial"/>
          <w:sz w:val="15"/>
          <w:szCs w:val="15"/>
          <w:color w:val="auto"/>
        </w:rPr>
        <w:t>retaining, from the shares of Common Stock otherwise issuable on the last day of the Plan Period, a number of shares having a fair market value sufficient to cover the withholding obligation for the applicable Tax-Related Items (provided, however, that the amount withheld does not exceed the maximum statutory tax rate or such lesser amount as is necessary to avoid liability accounting treatment);</w:t>
      </w:r>
    </w:p>
    <w:p>
      <w:pPr>
        <w:spacing w:after="0" w:line="1" w:lineRule="exact"/>
        <w:rPr>
          <w:rFonts w:ascii="Arial" w:cs="Arial" w:eastAsia="Arial" w:hAnsi="Arial"/>
          <w:sz w:val="15"/>
          <w:szCs w:val="15"/>
          <w:color w:val="auto"/>
        </w:rPr>
      </w:pPr>
    </w:p>
    <w:p>
      <w:pPr>
        <w:ind w:left="1380" w:right="120" w:firstLine="6"/>
        <w:spacing w:after="0" w:line="322" w:lineRule="auto"/>
        <w:tabs>
          <w:tab w:leader="none" w:pos="1635" w:val="left"/>
        </w:tabs>
        <w:numPr>
          <w:ilvl w:val="2"/>
          <w:numId w:val="117"/>
        </w:numPr>
        <w:rPr>
          <w:rFonts w:ascii="Arial" w:cs="Arial" w:eastAsia="Arial" w:hAnsi="Arial"/>
          <w:sz w:val="15"/>
          <w:szCs w:val="15"/>
          <w:color w:val="auto"/>
        </w:rPr>
      </w:pPr>
      <w:r>
        <w:rPr>
          <w:rFonts w:ascii="Arial" w:cs="Arial" w:eastAsia="Arial" w:hAnsi="Arial"/>
          <w:sz w:val="15"/>
          <w:szCs w:val="15"/>
          <w:color w:val="auto"/>
        </w:rPr>
        <w:t>withholding from proceeds from the sale of shares of Common Stock issued upon exercise of the Option, either through a voluntary sale or an automatic sale arranged by the Company; or (iii) withholding from the employee’s wages or other compensation.</w:t>
      </w:r>
    </w:p>
    <w:p>
      <w:pPr>
        <w:ind w:left="1380" w:right="40" w:hanging="501"/>
        <w:spacing w:after="0" w:line="268" w:lineRule="auto"/>
        <w:tabs>
          <w:tab w:leader="none" w:pos="1380" w:val="left"/>
        </w:tabs>
        <w:numPr>
          <w:ilvl w:val="1"/>
          <w:numId w:val="117"/>
        </w:numPr>
        <w:rPr>
          <w:rFonts w:ascii="Arial" w:cs="Arial" w:eastAsia="Arial" w:hAnsi="Arial"/>
          <w:sz w:val="17"/>
          <w:szCs w:val="17"/>
          <w:color w:val="auto"/>
        </w:rPr>
      </w:pPr>
      <w:r>
        <w:rPr>
          <w:rFonts w:ascii="Arial" w:cs="Arial" w:eastAsia="Arial" w:hAnsi="Arial"/>
          <w:sz w:val="17"/>
          <w:szCs w:val="17"/>
          <w:b w:val="1"/>
          <w:bCs w:val="1"/>
          <w:color w:val="auto"/>
        </w:rPr>
        <w:t xml:space="preserve">Notification upon Sale of Shares. </w:t>
      </w:r>
      <w:r>
        <w:rPr>
          <w:rFonts w:ascii="Arial" w:cs="Arial" w:eastAsia="Arial" w:hAnsi="Arial"/>
          <w:sz w:val="17"/>
          <w:szCs w:val="17"/>
          <w:color w:val="auto"/>
        </w:rPr>
        <w:t>To the extent required by the Administrator, each employee participating in a Section 423 Offering</w:t>
      </w:r>
      <w:r>
        <w:rPr>
          <w:rFonts w:ascii="Arial" w:cs="Arial" w:eastAsia="Arial" w:hAnsi="Arial"/>
          <w:sz w:val="17"/>
          <w:szCs w:val="17"/>
          <w:b w:val="1"/>
          <w:bCs w:val="1"/>
          <w:color w:val="auto"/>
        </w:rPr>
        <w:t xml:space="preserve"> </w:t>
      </w:r>
      <w:r>
        <w:rPr>
          <w:rFonts w:ascii="Arial" w:cs="Arial" w:eastAsia="Arial" w:hAnsi="Arial"/>
          <w:sz w:val="17"/>
          <w:szCs w:val="17"/>
          <w:color w:val="auto"/>
        </w:rPr>
        <w:t>agrees, by participating in the Section 423 Offering, to promptly give the Company notice of any disposition of Common Stock purchased under the Plan where disposition occurs within two years after the date of grant of the Option pursuant to which such shares of Common Stock were purchased.</w:t>
      </w:r>
    </w:p>
    <w:p>
      <w:pPr>
        <w:spacing w:after="0" w:line="24" w:lineRule="exact"/>
        <w:rPr>
          <w:rFonts w:ascii="Arial" w:cs="Arial" w:eastAsia="Arial" w:hAnsi="Arial"/>
          <w:sz w:val="17"/>
          <w:szCs w:val="17"/>
          <w:color w:val="auto"/>
        </w:rPr>
      </w:pPr>
    </w:p>
    <w:p>
      <w:pPr>
        <w:ind w:left="880" w:right="100" w:hanging="405"/>
        <w:spacing w:after="0" w:line="282" w:lineRule="auto"/>
        <w:tabs>
          <w:tab w:leader="none" w:pos="880" w:val="left"/>
        </w:tabs>
        <w:numPr>
          <w:ilvl w:val="0"/>
          <w:numId w:val="117"/>
        </w:numPr>
        <w:rPr>
          <w:rFonts w:ascii="Arial" w:cs="Arial" w:eastAsia="Arial" w:hAnsi="Arial"/>
          <w:sz w:val="16"/>
          <w:szCs w:val="16"/>
          <w:color w:val="auto"/>
        </w:rPr>
      </w:pPr>
      <w:r>
        <w:rPr>
          <w:rFonts w:ascii="Arial" w:cs="Arial" w:eastAsia="Arial" w:hAnsi="Arial"/>
          <w:sz w:val="16"/>
          <w:szCs w:val="16"/>
          <w:b w:val="1"/>
          <w:bCs w:val="1"/>
          <w:color w:val="auto"/>
        </w:rPr>
        <w:t xml:space="preserve">Transfer of Employment. </w:t>
      </w:r>
      <w:r>
        <w:rPr>
          <w:rFonts w:ascii="Arial" w:cs="Arial" w:eastAsia="Arial" w:hAnsi="Arial"/>
          <w:sz w:val="16"/>
          <w:szCs w:val="16"/>
          <w:color w:val="auto"/>
        </w:rPr>
        <w:t>Unless otherwise determined by the Administrator, a participant whose employment transfers or whose</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terminates with an immediate rehire (with no break in service) by or between Designated Companies will not be treated as having terminated employment for purposes of participating in the Plan or an Offering; however, if a participant transfers from a Section 423 Offering to a Non-423 Offering, the exercise of the participant’s Option will be qualified under the Section 423 Offering only to the extent that such exercise complies with Section 423 of the Code. If a participant transfers from a Non-423 Offering to a Section 423 Offering, the exercise of the participant’s Option will remain non-qualified under the Non-423 Offering.</w:t>
      </w:r>
    </w:p>
    <w:p>
      <w:pPr>
        <w:spacing w:after="0" w:line="16" w:lineRule="exact"/>
        <w:rPr>
          <w:rFonts w:ascii="Arial" w:cs="Arial" w:eastAsia="Arial" w:hAnsi="Arial"/>
          <w:sz w:val="16"/>
          <w:szCs w:val="16"/>
          <w:color w:val="auto"/>
        </w:rPr>
      </w:pPr>
    </w:p>
    <w:p>
      <w:pPr>
        <w:ind w:left="880" w:right="60" w:hanging="405"/>
        <w:spacing w:after="0" w:line="282" w:lineRule="auto"/>
        <w:tabs>
          <w:tab w:leader="none" w:pos="880" w:val="left"/>
        </w:tabs>
        <w:numPr>
          <w:ilvl w:val="0"/>
          <w:numId w:val="117"/>
        </w:numPr>
        <w:rPr>
          <w:rFonts w:ascii="Arial" w:cs="Arial" w:eastAsia="Arial" w:hAnsi="Arial"/>
          <w:sz w:val="16"/>
          <w:szCs w:val="16"/>
          <w:color w:val="auto"/>
        </w:rPr>
      </w:pPr>
      <w:r>
        <w:rPr>
          <w:rFonts w:ascii="Arial" w:cs="Arial" w:eastAsia="Arial" w:hAnsi="Arial"/>
          <w:sz w:val="16"/>
          <w:szCs w:val="16"/>
          <w:b w:val="1"/>
          <w:bCs w:val="1"/>
          <w:color w:val="auto"/>
        </w:rPr>
        <w:t xml:space="preserve">Section 409A of the Code. </w:t>
      </w:r>
      <w:r>
        <w:rPr>
          <w:rFonts w:ascii="Arial" w:cs="Arial" w:eastAsia="Arial" w:hAnsi="Arial"/>
          <w:sz w:val="16"/>
          <w:szCs w:val="16"/>
          <w:color w:val="auto"/>
        </w:rPr>
        <w:t>Options granted under a Section 423 Offering are exempt from the application of Section 409A of the Code.</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granted under a Non-423 Offering are intended to be exempt from, or to comply with Section 409A of the Code, and as such, the Exercise Date for each Plan Period shall be fixed prior to the Offering Commencement Date and may not be accelerated or deferred unless permitted or required by Section 409A of the Code. Notwithstanding the foregoing, the Company makes no representation in this regard and will have no liability to a participant or any other party if an Option that is intended to be exempt from or compliant with Section 409A of the Code is not so exempt or compliant or for any action taken by the Administrator with respect thereto.</w:t>
      </w:r>
    </w:p>
    <w:p>
      <w:pPr>
        <w:spacing w:after="0" w:line="16" w:lineRule="exact"/>
        <w:rPr>
          <w:rFonts w:ascii="Arial" w:cs="Arial" w:eastAsia="Arial" w:hAnsi="Arial"/>
          <w:sz w:val="16"/>
          <w:szCs w:val="16"/>
          <w:color w:val="auto"/>
        </w:rPr>
      </w:pPr>
    </w:p>
    <w:p>
      <w:pPr>
        <w:ind w:left="880" w:right="260" w:hanging="405"/>
        <w:spacing w:after="0" w:line="274" w:lineRule="auto"/>
        <w:tabs>
          <w:tab w:leader="none" w:pos="880" w:val="left"/>
        </w:tabs>
        <w:numPr>
          <w:ilvl w:val="0"/>
          <w:numId w:val="117"/>
        </w:numPr>
        <w:rPr>
          <w:rFonts w:ascii="Arial" w:cs="Arial" w:eastAsia="Arial" w:hAnsi="Arial"/>
          <w:sz w:val="17"/>
          <w:szCs w:val="17"/>
          <w:color w:val="auto"/>
        </w:rPr>
      </w:pPr>
      <w:r>
        <w:rPr>
          <w:rFonts w:ascii="Arial" w:cs="Arial" w:eastAsia="Arial" w:hAnsi="Arial"/>
          <w:sz w:val="17"/>
          <w:szCs w:val="17"/>
          <w:b w:val="1"/>
          <w:bCs w:val="1"/>
          <w:color w:val="auto"/>
        </w:rPr>
        <w:t xml:space="preserve">Effective Date and Approval of Stockholders. </w:t>
      </w:r>
      <w:r>
        <w:rPr>
          <w:rFonts w:ascii="Arial" w:cs="Arial" w:eastAsia="Arial" w:hAnsi="Arial"/>
          <w:sz w:val="17"/>
          <w:szCs w:val="17"/>
          <w:color w:val="auto"/>
        </w:rPr>
        <w:t>The Plan shall take effect on the date the Plan is approved by the stockholders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as required by Section 423 of the Code, which approval must occur within twelve (12) months of the adoption of the Plan by the Board.</w:t>
      </w:r>
    </w:p>
    <w:p>
      <w:pPr>
        <w:spacing w:after="0" w:line="59"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Adopted by the Board of Directors on December 8, 2021</w:t>
      </w:r>
    </w:p>
    <w:p>
      <w:pPr>
        <w:spacing w:after="0" w:line="65" w:lineRule="exact"/>
        <w:rPr>
          <w:sz w:val="20"/>
          <w:szCs w:val="20"/>
          <w:color w:val="auto"/>
        </w:rPr>
      </w:pPr>
    </w:p>
    <w:tbl>
      <w:tblPr>
        <w:tblLayout w:type="fixed"/>
        <w:tblInd w:w="480" w:type="dxa"/>
        <w:tblCellMar>
          <w:top w:w="0" w:type="dxa"/>
          <w:left w:w="0" w:type="dxa"/>
          <w:bottom w:w="0" w:type="dxa"/>
          <w:right w:w="0" w:type="dxa"/>
        </w:tblCellMar>
      </w:tblPr>
      <w:tr>
        <w:trPr>
          <w:trHeight w:val="227"/>
        </w:trPr>
        <w:tc>
          <w:tcPr>
            <w:tcW w:w="3000" w:type="dxa"/>
            <w:vAlign w:val="bottom"/>
          </w:tcPr>
          <w:p>
            <w:pPr>
              <w:spacing w:after="0"/>
              <w:rPr>
                <w:sz w:val="20"/>
                <w:szCs w:val="20"/>
                <w:color w:val="auto"/>
              </w:rPr>
            </w:pPr>
            <w:r>
              <w:rPr>
                <w:rFonts w:ascii="Arial" w:cs="Arial" w:eastAsia="Arial" w:hAnsi="Arial"/>
                <w:sz w:val="17"/>
                <w:szCs w:val="17"/>
                <w:b w:val="1"/>
                <w:bCs w:val="1"/>
                <w:color w:val="auto"/>
              </w:rPr>
              <w:t>Approved by the stockholders on [</w:t>
            </w:r>
          </w:p>
        </w:tc>
        <w:tc>
          <w:tcPr>
            <w:tcW w:w="1200" w:type="dxa"/>
            <w:vAlign w:val="bottom"/>
          </w:tcPr>
          <w:p>
            <w:pPr>
              <w:ind w:left="460"/>
              <w:spacing w:after="0"/>
              <w:rPr>
                <w:sz w:val="20"/>
                <w:szCs w:val="20"/>
                <w:color w:val="auto"/>
              </w:rPr>
            </w:pPr>
            <w:r>
              <w:rPr>
                <w:rFonts w:ascii="Arial" w:cs="Arial" w:eastAsia="Arial" w:hAnsi="Arial"/>
                <w:sz w:val="17"/>
                <w:szCs w:val="17"/>
                <w:b w:val="1"/>
                <w:bCs w:val="1"/>
                <w:color w:val="auto"/>
                <w:w w:val="95"/>
              </w:rPr>
              <w:t>XX, 2022]</w:t>
            </w:r>
          </w:p>
        </w:tc>
      </w:tr>
    </w:tbl>
    <w:p>
      <w:pPr>
        <w:spacing w:after="0" w:line="200" w:lineRule="exact"/>
        <w:rPr>
          <w:sz w:val="20"/>
          <w:szCs w:val="20"/>
          <w:color w:val="auto"/>
        </w:rPr>
      </w:pPr>
    </w:p>
    <w:p>
      <w:pPr>
        <w:spacing w:after="0" w:line="25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0760"/>
          </w:cols>
          <w:pgMar w:left="320" w:top="447" w:right="81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0940"/>
          </w:cols>
          <w:pgMar w:left="320" w:top="447" w:right="63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3257550</wp:posOffset>
            </wp:positionV>
            <wp:extent cx="1825625" cy="73533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825625" cy="735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120" w:type="dxa"/>
        <w:tblCellMar>
          <w:top w:w="0" w:type="dxa"/>
          <w:left w:w="0" w:type="dxa"/>
          <w:bottom w:w="0" w:type="dxa"/>
          <w:right w:w="0" w:type="dxa"/>
        </w:tblCellMar>
      </w:tblPr>
      <w:tr>
        <w:trPr>
          <w:trHeight w:val="184"/>
        </w:trPr>
        <w:tc>
          <w:tcPr>
            <w:tcW w:w="2180" w:type="dxa"/>
            <w:vAlign w:val="bottom"/>
          </w:tcPr>
          <w:p>
            <w:pPr>
              <w:spacing w:after="0"/>
              <w:rPr>
                <w:sz w:val="20"/>
                <w:szCs w:val="20"/>
                <w:color w:val="auto"/>
              </w:rPr>
            </w:pPr>
            <w:r>
              <w:rPr>
                <w:rFonts w:ascii="Arial" w:cs="Arial" w:eastAsia="Arial" w:hAnsi="Arial"/>
                <w:sz w:val="16"/>
                <w:szCs w:val="16"/>
                <w:color w:val="auto"/>
              </w:rPr>
              <w:t>One Analog Way</w:t>
            </w:r>
          </w:p>
        </w:tc>
        <w:tc>
          <w:tcPr>
            <w:tcW w:w="252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87"/>
        </w:trPr>
        <w:tc>
          <w:tcPr>
            <w:tcW w:w="2180" w:type="dxa"/>
            <w:vAlign w:val="bottom"/>
          </w:tcPr>
          <w:p>
            <w:pPr>
              <w:spacing w:after="0"/>
              <w:rPr>
                <w:sz w:val="20"/>
                <w:szCs w:val="20"/>
                <w:color w:val="auto"/>
              </w:rPr>
            </w:pPr>
            <w:r>
              <w:rPr>
                <w:rFonts w:ascii="Arial" w:cs="Arial" w:eastAsia="Arial" w:hAnsi="Arial"/>
                <w:sz w:val="16"/>
                <w:szCs w:val="16"/>
                <w:color w:val="auto"/>
              </w:rPr>
              <w:t>Wilmington, MA 01887</w:t>
            </w:r>
          </w:p>
        </w:tc>
        <w:tc>
          <w:tcPr>
            <w:tcW w:w="2520" w:type="dxa"/>
            <w:vAlign w:val="bottom"/>
          </w:tcPr>
          <w:p>
            <w:pPr>
              <w:jc w:val="right"/>
              <w:ind w:right="702"/>
              <w:spacing w:after="0"/>
              <w:rPr>
                <w:sz w:val="20"/>
                <w:szCs w:val="20"/>
                <w:color w:val="auto"/>
              </w:rPr>
            </w:pPr>
            <w:r>
              <w:rPr>
                <w:rFonts w:ascii="Arial" w:cs="Arial" w:eastAsia="Arial" w:hAnsi="Arial"/>
                <w:sz w:val="16"/>
                <w:szCs w:val="16"/>
                <w:color w:val="auto"/>
              </w:rPr>
              <w:t>1-800-262-5643</w:t>
            </w:r>
          </w:p>
        </w:tc>
        <w:tc>
          <w:tcPr>
            <w:tcW w:w="1940" w:type="dxa"/>
            <w:vAlign w:val="bottom"/>
          </w:tcPr>
          <w:p>
            <w:pPr>
              <w:ind w:left="760"/>
              <w:spacing w:after="0"/>
              <w:rPr>
                <w:sz w:val="20"/>
                <w:szCs w:val="20"/>
                <w:color w:val="auto"/>
              </w:rPr>
            </w:pPr>
            <w:r>
              <w:rPr>
                <w:rFonts w:ascii="Arial" w:cs="Arial" w:eastAsia="Arial" w:hAnsi="Arial"/>
                <w:sz w:val="16"/>
                <w:szCs w:val="16"/>
                <w:color w:val="auto"/>
                <w:w w:val="95"/>
              </w:rPr>
              <w:t>www.analog.com</w:t>
            </w:r>
          </w:p>
        </w:tc>
      </w:tr>
    </w:tbl>
    <w:p>
      <w:pPr>
        <w:sectPr>
          <w:pgSz w:w="11900" w:h="16838" w:orient="portrait"/>
          <w:cols w:equalWidth="0" w:num="1">
            <w:col w:w="10760"/>
          </w:cols>
          <w:pgMar w:left="320" w:top="447" w:right="81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234315</wp:posOffset>
            </wp:positionV>
            <wp:extent cx="1337945" cy="37973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337945" cy="37973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234315</wp:posOffset>
            </wp:positionV>
            <wp:extent cx="1866900" cy="4375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86690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720" w:type="dxa"/>
            <w:vAlign w:val="bottom"/>
          </w:tcPr>
          <w:p>
            <w:pPr>
              <w:spacing w:after="0"/>
              <w:rPr>
                <w:sz w:val="20"/>
                <w:szCs w:val="20"/>
                <w:color w:val="auto"/>
              </w:rPr>
            </w:pPr>
            <w:r>
              <w:rPr>
                <w:rFonts w:ascii="Arial" w:cs="Arial" w:eastAsia="Arial" w:hAnsi="Arial"/>
                <w:sz w:val="14"/>
                <w:szCs w:val="14"/>
                <w:i w:val="1"/>
                <w:iCs w:val="1"/>
                <w:color w:val="auto"/>
              </w:rPr>
              <w:t>ANALOG DEVICES, INC.</w:t>
            </w:r>
          </w:p>
        </w:tc>
        <w:tc>
          <w:tcPr>
            <w:tcW w:w="6600" w:type="dxa"/>
            <w:vAlign w:val="bottom"/>
            <w:gridSpan w:val="3"/>
            <w:vMerge w:val="restart"/>
          </w:tcPr>
          <w:p>
            <w:pPr>
              <w:ind w:left="1520"/>
              <w:spacing w:after="0"/>
              <w:rPr>
                <w:sz w:val="20"/>
                <w:szCs w:val="20"/>
                <w:color w:val="auto"/>
              </w:rPr>
            </w:pPr>
            <w:r>
              <w:rPr>
                <w:rFonts w:ascii="Arial" w:cs="Arial" w:eastAsia="Arial" w:hAnsi="Arial"/>
                <w:sz w:val="14"/>
                <w:szCs w:val="14"/>
                <w:b w:val="1"/>
                <w:bCs w:val="1"/>
                <w:color w:val="auto"/>
              </w:rPr>
              <w:t>VOTE BY INTERNET - www.proxyvote.com or scan the QR Barcode above</w:t>
            </w:r>
          </w:p>
        </w:tc>
        <w:tc>
          <w:tcPr>
            <w:tcW w:w="0" w:type="dxa"/>
            <w:vAlign w:val="bottom"/>
          </w:tcPr>
          <w:p>
            <w:pPr>
              <w:spacing w:after="0"/>
              <w:rPr>
                <w:sz w:val="1"/>
                <w:szCs w:val="1"/>
                <w:color w:val="auto"/>
              </w:rPr>
            </w:pPr>
          </w:p>
        </w:tc>
      </w:tr>
      <w:tr>
        <w:trPr>
          <w:trHeight w:val="136"/>
        </w:trPr>
        <w:tc>
          <w:tcPr>
            <w:tcW w:w="3720" w:type="dxa"/>
            <w:vAlign w:val="bottom"/>
          </w:tcPr>
          <w:p>
            <w:pPr>
              <w:spacing w:after="0" w:line="116" w:lineRule="exact"/>
              <w:rPr>
                <w:sz w:val="20"/>
                <w:szCs w:val="20"/>
                <w:color w:val="auto"/>
              </w:rPr>
            </w:pPr>
            <w:r>
              <w:rPr>
                <w:rFonts w:ascii="Arial" w:cs="Arial" w:eastAsia="Arial" w:hAnsi="Arial"/>
                <w:sz w:val="13"/>
                <w:szCs w:val="13"/>
                <w:i w:val="1"/>
                <w:iCs w:val="1"/>
                <w:color w:val="auto"/>
              </w:rPr>
              <w:t>ATTN: INVESTOR RELATIONS DEPT.</w:t>
            </w:r>
          </w:p>
        </w:tc>
        <w:tc>
          <w:tcPr>
            <w:tcW w:w="6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line="143" w:lineRule="exact"/>
              <w:rPr>
                <w:sz w:val="20"/>
                <w:szCs w:val="20"/>
                <w:color w:val="auto"/>
              </w:rPr>
            </w:pPr>
            <w:r>
              <w:rPr>
                <w:rFonts w:ascii="Arial" w:cs="Arial" w:eastAsia="Arial" w:hAnsi="Arial"/>
                <w:sz w:val="14"/>
                <w:szCs w:val="14"/>
                <w:i w:val="1"/>
                <w:iCs w:val="1"/>
                <w:color w:val="auto"/>
              </w:rPr>
              <w:t>ONE ANALOG WAY</w:t>
            </w:r>
          </w:p>
        </w:tc>
        <w:tc>
          <w:tcPr>
            <w:tcW w:w="3000" w:type="dxa"/>
            <w:vAlign w:val="bottom"/>
            <w:vMerge w:val="restart"/>
          </w:tcPr>
          <w:p>
            <w:pPr>
              <w:ind w:left="1520"/>
              <w:spacing w:after="0" w:line="143" w:lineRule="exact"/>
              <w:rPr>
                <w:sz w:val="20"/>
                <w:szCs w:val="20"/>
                <w:color w:val="auto"/>
              </w:rPr>
            </w:pPr>
            <w:r>
              <w:rPr>
                <w:rFonts w:ascii="Arial" w:cs="Arial" w:eastAsia="Arial" w:hAnsi="Arial"/>
                <w:sz w:val="14"/>
                <w:szCs w:val="14"/>
                <w:color w:val="auto"/>
                <w:w w:val="86"/>
              </w:rPr>
              <w:t>Use the Internet to transmit</w:t>
            </w:r>
          </w:p>
        </w:tc>
        <w:tc>
          <w:tcPr>
            <w:tcW w:w="120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720" w:type="dxa"/>
            <w:vAlign w:val="bottom"/>
            <w:vMerge w:val="continue"/>
          </w:tcPr>
          <w:p>
            <w:pPr>
              <w:spacing w:after="0"/>
              <w:rPr>
                <w:sz w:val="10"/>
                <w:szCs w:val="10"/>
                <w:color w:val="auto"/>
              </w:rPr>
            </w:pPr>
          </w:p>
        </w:tc>
        <w:tc>
          <w:tcPr>
            <w:tcW w:w="3000" w:type="dxa"/>
            <w:vAlign w:val="bottom"/>
            <w:vMerge w:val="continue"/>
          </w:tcPr>
          <w:p>
            <w:pPr>
              <w:spacing w:after="0"/>
              <w:rPr>
                <w:sz w:val="10"/>
                <w:szCs w:val="10"/>
                <w:color w:val="auto"/>
              </w:rPr>
            </w:pPr>
          </w:p>
        </w:tc>
        <w:tc>
          <w:tcPr>
            <w:tcW w:w="3600" w:type="dxa"/>
            <w:vAlign w:val="bottom"/>
            <w:gridSpan w:val="2"/>
          </w:tcPr>
          <w:p>
            <w:pPr>
              <w:ind w:left="60"/>
              <w:spacing w:after="0" w:line="123" w:lineRule="exact"/>
              <w:rPr>
                <w:sz w:val="20"/>
                <w:szCs w:val="20"/>
                <w:color w:val="auto"/>
              </w:rPr>
            </w:pPr>
            <w:r>
              <w:rPr>
                <w:rFonts w:ascii="Arial" w:cs="Arial" w:eastAsia="Arial" w:hAnsi="Arial"/>
                <w:sz w:val="14"/>
                <w:szCs w:val="14"/>
                <w:color w:val="auto"/>
              </w:rPr>
              <w:t>your voting instructions and for electronic delivery of</w:t>
            </w:r>
          </w:p>
        </w:tc>
        <w:tc>
          <w:tcPr>
            <w:tcW w:w="0" w:type="dxa"/>
            <w:vAlign w:val="bottom"/>
          </w:tcPr>
          <w:p>
            <w:pPr>
              <w:spacing w:after="0"/>
              <w:rPr>
                <w:sz w:val="1"/>
                <w:szCs w:val="1"/>
                <w:color w:val="auto"/>
              </w:rPr>
            </w:pPr>
          </w:p>
        </w:tc>
      </w:tr>
      <w:tr>
        <w:trPr>
          <w:trHeight w:val="143"/>
        </w:trPr>
        <w:tc>
          <w:tcPr>
            <w:tcW w:w="3720" w:type="dxa"/>
            <w:vAlign w:val="bottom"/>
          </w:tcPr>
          <w:p>
            <w:pPr>
              <w:spacing w:after="0" w:line="143" w:lineRule="exact"/>
              <w:rPr>
                <w:sz w:val="20"/>
                <w:szCs w:val="20"/>
                <w:color w:val="auto"/>
              </w:rPr>
            </w:pPr>
            <w:r>
              <w:rPr>
                <w:rFonts w:ascii="Arial" w:cs="Arial" w:eastAsia="Arial" w:hAnsi="Arial"/>
                <w:sz w:val="14"/>
                <w:szCs w:val="14"/>
                <w:i w:val="1"/>
                <w:iCs w:val="1"/>
                <w:color w:val="auto"/>
              </w:rPr>
              <w:t>WILMINGTON, MA 01887</w:t>
            </w:r>
          </w:p>
        </w:tc>
        <w:tc>
          <w:tcPr>
            <w:tcW w:w="6600" w:type="dxa"/>
            <w:vAlign w:val="bottom"/>
            <w:gridSpan w:val="3"/>
          </w:tcPr>
          <w:p>
            <w:pPr>
              <w:ind w:left="1520"/>
              <w:spacing w:after="0" w:line="143" w:lineRule="exact"/>
              <w:rPr>
                <w:sz w:val="20"/>
                <w:szCs w:val="20"/>
                <w:color w:val="auto"/>
              </w:rPr>
            </w:pPr>
            <w:r>
              <w:rPr>
                <w:rFonts w:ascii="Arial" w:cs="Arial" w:eastAsia="Arial" w:hAnsi="Arial"/>
                <w:sz w:val="14"/>
                <w:szCs w:val="14"/>
                <w:color w:val="auto"/>
                <w:w w:val="92"/>
              </w:rPr>
              <w:t>information up until 11:59 P.M. Eastern Time on March 8, 2022. Have your proxy card in</w:t>
            </w:r>
          </w:p>
        </w:tc>
        <w:tc>
          <w:tcPr>
            <w:tcW w:w="0" w:type="dxa"/>
            <w:vAlign w:val="bottom"/>
          </w:tcPr>
          <w:p>
            <w:pPr>
              <w:spacing w:after="0"/>
              <w:rPr>
                <w:sz w:val="1"/>
                <w:szCs w:val="1"/>
                <w:color w:val="auto"/>
              </w:rPr>
            </w:pPr>
          </w:p>
        </w:tc>
      </w:tr>
      <w:tr>
        <w:trPr>
          <w:trHeight w:val="138"/>
        </w:trPr>
        <w:tc>
          <w:tcPr>
            <w:tcW w:w="3720" w:type="dxa"/>
            <w:vAlign w:val="bottom"/>
          </w:tcPr>
          <w:p>
            <w:pPr>
              <w:spacing w:after="0"/>
              <w:rPr>
                <w:sz w:val="11"/>
                <w:szCs w:val="11"/>
                <w:color w:val="auto"/>
              </w:rPr>
            </w:pPr>
          </w:p>
        </w:tc>
        <w:tc>
          <w:tcPr>
            <w:tcW w:w="6600" w:type="dxa"/>
            <w:vAlign w:val="bottom"/>
            <w:gridSpan w:val="3"/>
          </w:tcPr>
          <w:p>
            <w:pPr>
              <w:ind w:left="1520"/>
              <w:spacing w:after="0" w:line="138" w:lineRule="exact"/>
              <w:rPr>
                <w:sz w:val="20"/>
                <w:szCs w:val="20"/>
                <w:color w:val="auto"/>
              </w:rPr>
            </w:pPr>
            <w:r>
              <w:rPr>
                <w:rFonts w:ascii="Arial" w:cs="Arial" w:eastAsia="Arial" w:hAnsi="Arial"/>
                <w:sz w:val="14"/>
                <w:szCs w:val="14"/>
                <w:color w:val="auto"/>
                <w:w w:val="89"/>
              </w:rPr>
              <w:t>hand when you access the web site and follow the instructions to obtain your records and to</w:t>
            </w:r>
          </w:p>
        </w:tc>
        <w:tc>
          <w:tcPr>
            <w:tcW w:w="0" w:type="dxa"/>
            <w:vAlign w:val="bottom"/>
          </w:tcPr>
          <w:p>
            <w:pPr>
              <w:spacing w:after="0"/>
              <w:rPr>
                <w:sz w:val="1"/>
                <w:szCs w:val="1"/>
                <w:color w:val="auto"/>
              </w:rPr>
            </w:pPr>
          </w:p>
        </w:tc>
      </w:tr>
      <w:tr>
        <w:trPr>
          <w:trHeight w:val="176"/>
        </w:trPr>
        <w:tc>
          <w:tcPr>
            <w:tcW w:w="3720" w:type="dxa"/>
            <w:vAlign w:val="bottom"/>
          </w:tcPr>
          <w:p>
            <w:pPr>
              <w:spacing w:after="0"/>
              <w:rPr>
                <w:sz w:val="15"/>
                <w:szCs w:val="15"/>
                <w:color w:val="auto"/>
              </w:rPr>
            </w:pPr>
          </w:p>
        </w:tc>
        <w:tc>
          <w:tcPr>
            <w:tcW w:w="6600" w:type="dxa"/>
            <w:vAlign w:val="bottom"/>
            <w:gridSpan w:val="3"/>
          </w:tcPr>
          <w:p>
            <w:pPr>
              <w:ind w:left="1520"/>
              <w:spacing w:after="0"/>
              <w:rPr>
                <w:sz w:val="20"/>
                <w:szCs w:val="20"/>
                <w:color w:val="auto"/>
              </w:rPr>
            </w:pPr>
            <w:r>
              <w:rPr>
                <w:rFonts w:ascii="Arial" w:cs="Arial" w:eastAsia="Arial" w:hAnsi="Arial"/>
                <w:sz w:val="14"/>
                <w:szCs w:val="14"/>
                <w:color w:val="auto"/>
              </w:rPr>
              <w:t>create an electronic voting instruction form.</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ELECTRONIC DELIVERY OF FUTURE PROXY MATERIALS</w:t>
      </w:r>
    </w:p>
    <w:p>
      <w:pPr>
        <w:ind w:left="5740"/>
        <w:spacing w:after="0" w:line="229" w:lineRule="auto"/>
        <w:rPr>
          <w:sz w:val="20"/>
          <w:szCs w:val="20"/>
          <w:color w:val="auto"/>
        </w:rPr>
      </w:pPr>
      <w:r>
        <w:rPr>
          <w:rFonts w:ascii="Arial" w:cs="Arial" w:eastAsia="Arial" w:hAnsi="Arial"/>
          <w:sz w:val="13"/>
          <w:szCs w:val="13"/>
          <w:color w:val="auto"/>
        </w:rPr>
        <w:t>If you would like to reduce the costs incurred by our company in mailing proxy materials,</w:t>
      </w:r>
    </w:p>
    <w:p>
      <w:pPr>
        <w:ind w:left="5740"/>
        <w:spacing w:after="0" w:line="230" w:lineRule="auto"/>
        <w:rPr>
          <w:sz w:val="20"/>
          <w:szCs w:val="20"/>
          <w:color w:val="auto"/>
        </w:rPr>
      </w:pPr>
      <w:r>
        <w:rPr>
          <w:rFonts w:ascii="Arial" w:cs="Arial" w:eastAsia="Arial" w:hAnsi="Arial"/>
          <w:sz w:val="13"/>
          <w:szCs w:val="13"/>
          <w:color w:val="auto"/>
        </w:rPr>
        <w:t>you can consent to receiving all future proxy statements, proxy cards and annual reports</w:t>
      </w:r>
    </w:p>
    <w:p>
      <w:pPr>
        <w:ind w:left="5740"/>
        <w:spacing w:after="0" w:line="230" w:lineRule="auto"/>
        <w:rPr>
          <w:sz w:val="20"/>
          <w:szCs w:val="20"/>
          <w:color w:val="auto"/>
        </w:rPr>
      </w:pPr>
      <w:r>
        <w:rPr>
          <w:rFonts w:ascii="Arial" w:cs="Arial" w:eastAsia="Arial" w:hAnsi="Arial"/>
          <w:sz w:val="13"/>
          <w:szCs w:val="13"/>
          <w:color w:val="auto"/>
        </w:rPr>
        <w:t xml:space="preserve">electronically via e-mail or the Internet. </w:t>
      </w:r>
      <w:r>
        <w:rPr>
          <w:rFonts w:ascii="Arial" w:cs="Arial" w:eastAsia="Arial" w:hAnsi="Arial"/>
          <w:sz w:val="13"/>
          <w:szCs w:val="13"/>
          <w:b w:val="1"/>
          <w:bCs w:val="1"/>
          <w:color w:val="auto"/>
        </w:rPr>
        <w:t>To sign up for electronic delivery, please follow</w:t>
      </w:r>
    </w:p>
    <w:p>
      <w:pPr>
        <w:ind w:left="5740"/>
        <w:spacing w:after="0"/>
        <w:rPr>
          <w:sz w:val="20"/>
          <w:szCs w:val="20"/>
          <w:color w:val="auto"/>
        </w:rPr>
      </w:pPr>
      <w:r>
        <w:rPr>
          <w:rFonts w:ascii="Arial" w:cs="Arial" w:eastAsia="Arial" w:hAnsi="Arial"/>
          <w:sz w:val="12"/>
          <w:szCs w:val="12"/>
          <w:b w:val="1"/>
          <w:bCs w:val="1"/>
          <w:color w:val="auto"/>
        </w:rPr>
        <w:t>the instructions below to vote using the Internet and, when prompted, indicate that you</w:t>
      </w:r>
    </w:p>
    <w:p>
      <w:pPr>
        <w:spacing w:after="0" w:line="5"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agree to receive or access proxy materials electronically in future years.</w:t>
      </w:r>
    </w:p>
    <w:p>
      <w:pPr>
        <w:spacing w:after="0" w:line="29"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VOTE BY PHONE - 1-800-690-6903</w:t>
      </w:r>
    </w:p>
    <w:p>
      <w:pPr>
        <w:ind w:left="5740"/>
        <w:spacing w:after="0"/>
        <w:rPr>
          <w:sz w:val="20"/>
          <w:szCs w:val="20"/>
          <w:color w:val="auto"/>
        </w:rPr>
      </w:pPr>
      <w:r>
        <w:rPr>
          <w:rFonts w:ascii="Arial" w:cs="Arial" w:eastAsia="Arial" w:hAnsi="Arial"/>
          <w:sz w:val="12"/>
          <w:szCs w:val="12"/>
          <w:color w:val="auto"/>
        </w:rPr>
        <w:t>Use any touch-tone telephone to transmit your voting instructions up until 11:59 P.M. Eastern</w:t>
      </w:r>
    </w:p>
    <w:p>
      <w:pPr>
        <w:ind w:left="5740"/>
        <w:spacing w:after="0" w:line="237" w:lineRule="auto"/>
        <w:rPr>
          <w:sz w:val="20"/>
          <w:szCs w:val="20"/>
          <w:color w:val="auto"/>
        </w:rPr>
      </w:pPr>
      <w:r>
        <w:rPr>
          <w:rFonts w:ascii="Arial" w:cs="Arial" w:eastAsia="Arial" w:hAnsi="Arial"/>
          <w:sz w:val="13"/>
          <w:szCs w:val="13"/>
          <w:color w:val="auto"/>
        </w:rPr>
        <w:t>Time on March 8, 2022. Have your proxy card in hand when you call and then follow the</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instructions.</w:t>
      </w:r>
    </w:p>
    <w:p>
      <w:pPr>
        <w:spacing w:after="0" w:line="42"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VOTE BY MAIL</w:t>
      </w:r>
    </w:p>
    <w:p>
      <w:pPr>
        <w:ind w:left="5740"/>
        <w:spacing w:after="0" w:line="229" w:lineRule="auto"/>
        <w:rPr>
          <w:sz w:val="20"/>
          <w:szCs w:val="20"/>
          <w:color w:val="auto"/>
        </w:rPr>
      </w:pPr>
      <w:r>
        <w:rPr>
          <w:rFonts w:ascii="Arial" w:cs="Arial" w:eastAsia="Arial" w:hAnsi="Arial"/>
          <w:sz w:val="13"/>
          <w:szCs w:val="13"/>
          <w:color w:val="auto"/>
        </w:rPr>
        <w:t>Mark, sign and date your proxy card and return it in the postage-paid envelope we have</w:t>
      </w:r>
    </w:p>
    <w:p>
      <w:pPr>
        <w:ind w:left="5740"/>
        <w:spacing w:after="0"/>
        <w:rPr>
          <w:sz w:val="20"/>
          <w:szCs w:val="20"/>
          <w:color w:val="auto"/>
        </w:rPr>
      </w:pPr>
      <w:r>
        <w:rPr>
          <w:rFonts w:ascii="Arial" w:cs="Arial" w:eastAsia="Arial" w:hAnsi="Arial"/>
          <w:sz w:val="12"/>
          <w:szCs w:val="12"/>
          <w:color w:val="auto"/>
        </w:rPr>
        <w:t>provided or return it to Vote Processing, c/o Broadridge, 51 Mercedes Way, Edgewood, NY</w:t>
      </w:r>
    </w:p>
    <w:p>
      <w:pPr>
        <w:spacing w:after="0" w:line="5"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TO VOTE, MARK BLOCKS BELOW IN BLUE OR BLACK INK AS FOLLOWS:</w:t>
      </w:r>
    </w:p>
    <w:p>
      <w:pPr>
        <w:ind w:left="6600"/>
        <w:spacing w:after="0" w:line="229" w:lineRule="auto"/>
        <w:tabs>
          <w:tab w:leader="none" w:pos="8180" w:val="left"/>
        </w:tabs>
        <w:rPr>
          <w:sz w:val="20"/>
          <w:szCs w:val="20"/>
          <w:color w:val="auto"/>
        </w:rPr>
      </w:pPr>
      <w:r>
        <w:rPr>
          <w:rFonts w:ascii="Arial" w:cs="Arial" w:eastAsia="Arial" w:hAnsi="Arial"/>
          <w:sz w:val="14"/>
          <w:szCs w:val="14"/>
          <w:color w:val="auto"/>
        </w:rPr>
        <w:t>D64557-P64572</w:t>
      </w:r>
      <w:r>
        <w:rPr>
          <w:sz w:val="20"/>
          <w:szCs w:val="20"/>
          <w:color w:val="auto"/>
        </w:rPr>
        <w:tab/>
      </w:r>
      <w:r>
        <w:rPr>
          <w:rFonts w:ascii="Arial" w:cs="Arial" w:eastAsia="Arial" w:hAnsi="Arial"/>
          <w:sz w:val="13"/>
          <w:szCs w:val="13"/>
          <w:color w:val="auto"/>
        </w:rPr>
        <w:t>KEEP THIS PORTION FOR YOUR RECORDS</w:t>
      </w:r>
    </w:p>
    <w:p>
      <w:pPr>
        <w:jc w:val="right"/>
        <w:ind w:right="40"/>
        <w:spacing w:after="0" w:line="213" w:lineRule="auto"/>
        <w:rPr>
          <w:sz w:val="20"/>
          <w:szCs w:val="20"/>
          <w:color w:val="auto"/>
        </w:rPr>
      </w:pPr>
      <w:r>
        <w:rPr>
          <w:rFonts w:ascii="Arial" w:cs="Arial" w:eastAsia="Arial" w:hAnsi="Arial"/>
          <w:sz w:val="14"/>
          <w:szCs w:val="14"/>
          <w:color w:val="auto"/>
        </w:rPr>
        <w:t>— — — — — — — — — — — — — — — — — — — — — — — — — — — — — — — — — — — — — — — — — — — — — — — — — — — —</w:t>
      </w:r>
    </w:p>
    <w:p>
      <w:pPr>
        <w:jc w:val="right"/>
        <w:ind w:right="40"/>
        <w:spacing w:after="0" w:line="213" w:lineRule="auto"/>
        <w:rPr>
          <w:sz w:val="20"/>
          <w:szCs w:val="20"/>
          <w:color w:val="auto"/>
        </w:rPr>
      </w:pPr>
      <w:r>
        <w:rPr>
          <w:rFonts w:ascii="Arial" w:cs="Arial" w:eastAsia="Arial" w:hAnsi="Arial"/>
          <w:sz w:val="14"/>
          <w:szCs w:val="14"/>
          <w:color w:val="auto"/>
        </w:rPr>
        <w:t>— — — — — — — — —</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DETACH AND RETURN THIS PORTION ONLY</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23495</wp:posOffset>
            </wp:positionV>
            <wp:extent cx="6749415" cy="401510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749415" cy="4015105"/>
                    </a:xfrm>
                    <a:prstGeom prst="rect">
                      <a:avLst/>
                    </a:prstGeom>
                    <a:noFill/>
                  </pic:spPr>
                </pic:pic>
              </a:graphicData>
            </a:graphic>
          </wp:anchor>
        </w:drawing>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ANALOG DEVICES, INC.</w:t>
      </w:r>
    </w:p>
    <w:p>
      <w:pPr>
        <w:ind w:left="740" w:right="2660"/>
        <w:spacing w:after="0" w:line="268" w:lineRule="auto"/>
        <w:rPr>
          <w:sz w:val="20"/>
          <w:szCs w:val="20"/>
          <w:color w:val="auto"/>
        </w:rPr>
      </w:pPr>
      <w:r>
        <w:rPr>
          <w:rFonts w:ascii="Arial" w:cs="Arial" w:eastAsia="Arial" w:hAnsi="Arial"/>
          <w:sz w:val="12"/>
          <w:szCs w:val="12"/>
          <w:color w:val="auto"/>
        </w:rPr>
        <w:t xml:space="preserve">The shares represented by this proxy when properly executed will be voted in the manner directed by the undersigned shareholder. </w:t>
      </w:r>
      <w:r>
        <w:rPr>
          <w:rFonts w:ascii="Arial" w:cs="Arial" w:eastAsia="Arial" w:hAnsi="Arial"/>
          <w:sz w:val="12"/>
          <w:szCs w:val="12"/>
          <w:b w:val="1"/>
          <w:bCs w:val="1"/>
          <w:color w:val="auto"/>
        </w:rPr>
        <w:t>If no</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direction is made, this proxy will be voted </w:t>
      </w:r>
      <w:r>
        <w:rPr>
          <w:rFonts w:ascii="Arial" w:cs="Arial" w:eastAsia="Arial" w:hAnsi="Arial"/>
          <w:sz w:val="12"/>
          <w:szCs w:val="12"/>
          <w:b w:val="1"/>
          <w:bCs w:val="1"/>
          <w:u w:val="single" w:color="auto"/>
          <w:color w:val="auto"/>
        </w:rPr>
        <w:t>FOR</w:t>
      </w:r>
      <w:r>
        <w:rPr>
          <w:rFonts w:ascii="Arial" w:cs="Arial" w:eastAsia="Arial" w:hAnsi="Arial"/>
          <w:sz w:val="12"/>
          <w:szCs w:val="12"/>
          <w:b w:val="1"/>
          <w:bCs w:val="1"/>
          <w:color w:val="auto"/>
        </w:rPr>
        <w:t xml:space="preserve"> the election of each Director Nominee and </w:t>
      </w:r>
      <w:r>
        <w:rPr>
          <w:rFonts w:ascii="Arial" w:cs="Arial" w:eastAsia="Arial" w:hAnsi="Arial"/>
          <w:sz w:val="12"/>
          <w:szCs w:val="12"/>
          <w:b w:val="1"/>
          <w:bCs w:val="1"/>
          <w:u w:val="single" w:color="auto"/>
          <w:color w:val="auto"/>
        </w:rPr>
        <w:t>FOR</w:t>
      </w:r>
      <w:r>
        <w:rPr>
          <w:rFonts w:ascii="Arial" w:cs="Arial" w:eastAsia="Arial" w:hAnsi="Arial"/>
          <w:sz w:val="12"/>
          <w:szCs w:val="12"/>
          <w:b w:val="1"/>
          <w:bCs w:val="1"/>
          <w:color w:val="auto"/>
        </w:rPr>
        <w:t xml:space="preserve"> Proposals 2, 3 and 4.</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auto"/>
        </w:rPr>
        <w:t xml:space="preserve">The Board of Directors recommends you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each of the Director Nominees:</w:t>
      </w:r>
    </w:p>
    <w:p>
      <w:pPr>
        <w:spacing w:after="0" w:line="285" w:lineRule="exact"/>
        <w:rPr>
          <w:sz w:val="20"/>
          <w:szCs w:val="20"/>
          <w:color w:val="auto"/>
        </w:rPr>
      </w:pPr>
    </w:p>
    <w:p>
      <w:pPr>
        <w:ind w:left="980" w:right="5760" w:hanging="225"/>
        <w:spacing w:after="0" w:line="237" w:lineRule="auto"/>
        <w:tabs>
          <w:tab w:leader="none" w:pos="98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The election to Analog Devices’ Board of Directors of the twelve nominees named in our Proxy Statement.</w:t>
      </w:r>
    </w:p>
    <w:p>
      <w:pPr>
        <w:sectPr>
          <w:pgSz w:w="11900" w:h="16838" w:orient="portrait"/>
          <w:cols w:equalWidth="0" w:num="1">
            <w:col w:w="10940"/>
          </w:cols>
          <w:pgMar w:left="320" w:top="447" w:right="639" w:bottom="1440" w:gutter="0" w:footer="0" w:header="0"/>
        </w:sectPr>
      </w:pPr>
    </w:p>
    <w:p>
      <w:pPr>
        <w:spacing w:after="0" w:line="94" w:lineRule="exact"/>
        <w:rPr>
          <w:sz w:val="20"/>
          <w:szCs w:val="20"/>
          <w:color w:val="auto"/>
        </w:rPr>
      </w:pPr>
    </w:p>
    <w:tbl>
      <w:tblPr>
        <w:tblLayout w:type="fixed"/>
        <w:tblInd w:w="980" w:type="dxa"/>
        <w:tblCellMar>
          <w:top w:w="0" w:type="dxa"/>
          <w:left w:w="0" w:type="dxa"/>
          <w:bottom w:w="0" w:type="dxa"/>
          <w:right w:w="0" w:type="dxa"/>
        </w:tblCellMar>
      </w:tblPr>
      <w:tr>
        <w:trPr>
          <w:trHeight w:val="180"/>
        </w:trPr>
        <w:tc>
          <w:tcPr>
            <w:tcW w:w="2400" w:type="dxa"/>
            <w:vAlign w:val="bottom"/>
            <w:gridSpan w:val="2"/>
          </w:tcPr>
          <w:p>
            <w:pPr>
              <w:spacing w:after="0"/>
              <w:rPr>
                <w:sz w:val="20"/>
                <w:szCs w:val="20"/>
                <w:color w:val="auto"/>
              </w:rPr>
            </w:pPr>
            <w:r>
              <w:rPr>
                <w:rFonts w:ascii="Arial" w:cs="Arial" w:eastAsia="Arial" w:hAnsi="Arial"/>
                <w:sz w:val="14"/>
                <w:szCs w:val="14"/>
                <w:b w:val="1"/>
                <w:bCs w:val="1"/>
                <w:color w:val="auto"/>
              </w:rPr>
              <w:t>Nominees:</w:t>
            </w:r>
          </w:p>
        </w:tc>
        <w:tc>
          <w:tcPr>
            <w:tcW w:w="960" w:type="dxa"/>
            <w:vAlign w:val="bottom"/>
          </w:tcPr>
          <w:p>
            <w:pPr>
              <w:ind w:left="640"/>
              <w:spacing w:after="0"/>
              <w:rPr>
                <w:sz w:val="20"/>
                <w:szCs w:val="20"/>
                <w:color w:val="auto"/>
              </w:rPr>
            </w:pPr>
            <w:r>
              <w:rPr>
                <w:rFonts w:ascii="Arial" w:cs="Arial" w:eastAsia="Arial" w:hAnsi="Arial"/>
                <w:sz w:val="14"/>
                <w:szCs w:val="14"/>
                <w:b w:val="1"/>
                <w:bCs w:val="1"/>
                <w:color w:val="auto"/>
              </w:rPr>
              <w:t>For</w:t>
            </w: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w w:val="88"/>
              </w:rPr>
              <w:t>Against Abstain</w:t>
            </w:r>
          </w:p>
        </w:tc>
      </w:tr>
      <w:tr>
        <w:trPr>
          <w:trHeight w:val="342"/>
        </w:trPr>
        <w:tc>
          <w:tcPr>
            <w:tcW w:w="260" w:type="dxa"/>
            <w:vAlign w:val="bottom"/>
          </w:tcPr>
          <w:p>
            <w:pPr>
              <w:spacing w:after="0"/>
              <w:rPr>
                <w:sz w:val="20"/>
                <w:szCs w:val="20"/>
                <w:color w:val="auto"/>
              </w:rPr>
            </w:pPr>
            <w:r>
              <w:rPr>
                <w:rFonts w:ascii="Arial" w:cs="Arial" w:eastAsia="Arial" w:hAnsi="Arial"/>
                <w:sz w:val="14"/>
                <w:szCs w:val="14"/>
                <w:color w:val="auto"/>
              </w:rPr>
              <w:t>1a.</w:t>
            </w:r>
          </w:p>
        </w:tc>
        <w:tc>
          <w:tcPr>
            <w:tcW w:w="2140" w:type="dxa"/>
            <w:vAlign w:val="bottom"/>
          </w:tcPr>
          <w:p>
            <w:pPr>
              <w:ind w:left="80"/>
              <w:spacing w:after="0"/>
              <w:rPr>
                <w:sz w:val="20"/>
                <w:szCs w:val="20"/>
                <w:color w:val="auto"/>
              </w:rPr>
            </w:pPr>
            <w:r>
              <w:rPr>
                <w:rFonts w:ascii="Arial" w:cs="Arial" w:eastAsia="Arial" w:hAnsi="Arial"/>
                <w:sz w:val="14"/>
                <w:szCs w:val="14"/>
                <w:color w:val="auto"/>
              </w:rPr>
              <w:t>Ray Stata</w:t>
            </w:r>
          </w:p>
        </w:tc>
        <w:tc>
          <w:tcPr>
            <w:tcW w:w="960" w:type="dxa"/>
            <w:vAlign w:val="bottom"/>
          </w:tcPr>
          <w:p>
            <w:pPr>
              <w:ind w:left="680"/>
              <w:spacing w:after="0" w:line="171" w:lineRule="exact"/>
              <w:rPr>
                <w:sz w:val="20"/>
                <w:szCs w:val="20"/>
                <w:color w:val="auto"/>
              </w:rPr>
            </w:pPr>
            <w:r>
              <w:rPr>
                <w:rFonts w:ascii="MS PGothic" w:cs="MS PGothic" w:eastAsia="MS PGothic" w:hAnsi="MS PGothic"/>
                <w:sz w:val="17"/>
                <w:szCs w:val="17"/>
                <w:color w:val="auto"/>
              </w:rPr>
              <w:t>☐</w:t>
            </w:r>
          </w:p>
        </w:tc>
        <w:tc>
          <w:tcPr>
            <w:tcW w:w="580" w:type="dxa"/>
            <w:vAlign w:val="bottom"/>
          </w:tcPr>
          <w:p>
            <w:pPr>
              <w:ind w:left="240"/>
              <w:spacing w:after="0" w:line="171" w:lineRule="exact"/>
              <w:rPr>
                <w:sz w:val="20"/>
                <w:szCs w:val="20"/>
                <w:color w:val="auto"/>
              </w:rPr>
            </w:pPr>
            <w:r>
              <w:rPr>
                <w:rFonts w:ascii="MS PGothic" w:cs="MS PGothic" w:eastAsia="MS PGothic" w:hAnsi="MS PGothic"/>
                <w:sz w:val="17"/>
                <w:szCs w:val="17"/>
                <w:color w:val="auto"/>
              </w:rPr>
              <w:t>☐</w:t>
            </w:r>
          </w:p>
        </w:tc>
        <w:tc>
          <w:tcPr>
            <w:tcW w:w="48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r>
      <w:tr>
        <w:trPr>
          <w:trHeight w:val="338"/>
        </w:trPr>
        <w:tc>
          <w:tcPr>
            <w:tcW w:w="260" w:type="dxa"/>
            <w:vAlign w:val="bottom"/>
          </w:tcPr>
          <w:p>
            <w:pPr>
              <w:spacing w:after="0"/>
              <w:rPr>
                <w:sz w:val="20"/>
                <w:szCs w:val="20"/>
                <w:color w:val="auto"/>
              </w:rPr>
            </w:pPr>
            <w:r>
              <w:rPr>
                <w:rFonts w:ascii="Arial" w:cs="Arial" w:eastAsia="Arial" w:hAnsi="Arial"/>
                <w:sz w:val="14"/>
                <w:szCs w:val="14"/>
                <w:color w:val="auto"/>
              </w:rPr>
              <w:t>1b.</w:t>
            </w:r>
          </w:p>
        </w:tc>
        <w:tc>
          <w:tcPr>
            <w:tcW w:w="2140" w:type="dxa"/>
            <w:vAlign w:val="bottom"/>
          </w:tcPr>
          <w:p>
            <w:pPr>
              <w:ind w:left="80"/>
              <w:spacing w:after="0"/>
              <w:rPr>
                <w:sz w:val="20"/>
                <w:szCs w:val="20"/>
                <w:color w:val="auto"/>
              </w:rPr>
            </w:pPr>
            <w:r>
              <w:rPr>
                <w:rFonts w:ascii="Arial" w:cs="Arial" w:eastAsia="Arial" w:hAnsi="Arial"/>
                <w:sz w:val="14"/>
                <w:szCs w:val="14"/>
                <w:color w:val="auto"/>
              </w:rPr>
              <w:t>Vincent Roche</w:t>
            </w:r>
          </w:p>
        </w:tc>
        <w:tc>
          <w:tcPr>
            <w:tcW w:w="960" w:type="dxa"/>
            <w:vAlign w:val="bottom"/>
          </w:tcPr>
          <w:p>
            <w:pPr>
              <w:ind w:left="680"/>
              <w:spacing w:after="0" w:line="171" w:lineRule="exact"/>
              <w:rPr>
                <w:sz w:val="20"/>
                <w:szCs w:val="20"/>
                <w:color w:val="auto"/>
              </w:rPr>
            </w:pPr>
            <w:r>
              <w:rPr>
                <w:rFonts w:ascii="MS PGothic" w:cs="MS PGothic" w:eastAsia="MS PGothic" w:hAnsi="MS PGothic"/>
                <w:sz w:val="17"/>
                <w:szCs w:val="17"/>
                <w:color w:val="auto"/>
              </w:rPr>
              <w:t>☐</w:t>
            </w:r>
          </w:p>
        </w:tc>
        <w:tc>
          <w:tcPr>
            <w:tcW w:w="580" w:type="dxa"/>
            <w:vAlign w:val="bottom"/>
          </w:tcPr>
          <w:p>
            <w:pPr>
              <w:ind w:left="240"/>
              <w:spacing w:after="0" w:line="171" w:lineRule="exact"/>
              <w:rPr>
                <w:sz w:val="20"/>
                <w:szCs w:val="20"/>
                <w:color w:val="auto"/>
              </w:rPr>
            </w:pPr>
            <w:r>
              <w:rPr>
                <w:rFonts w:ascii="MS PGothic" w:cs="MS PGothic" w:eastAsia="MS PGothic" w:hAnsi="MS PGothic"/>
                <w:sz w:val="17"/>
                <w:szCs w:val="17"/>
                <w:color w:val="auto"/>
              </w:rPr>
              <w:t>☐</w:t>
            </w:r>
          </w:p>
        </w:tc>
        <w:tc>
          <w:tcPr>
            <w:tcW w:w="48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r>
      <w:tr>
        <w:trPr>
          <w:trHeight w:val="338"/>
        </w:trPr>
        <w:tc>
          <w:tcPr>
            <w:tcW w:w="260" w:type="dxa"/>
            <w:vAlign w:val="bottom"/>
          </w:tcPr>
          <w:p>
            <w:pPr>
              <w:spacing w:after="0"/>
              <w:rPr>
                <w:sz w:val="20"/>
                <w:szCs w:val="20"/>
                <w:color w:val="auto"/>
              </w:rPr>
            </w:pPr>
            <w:r>
              <w:rPr>
                <w:rFonts w:ascii="Arial" w:cs="Arial" w:eastAsia="Arial" w:hAnsi="Arial"/>
                <w:sz w:val="14"/>
                <w:szCs w:val="14"/>
                <w:color w:val="auto"/>
              </w:rPr>
              <w:t>1c.</w:t>
            </w:r>
          </w:p>
        </w:tc>
        <w:tc>
          <w:tcPr>
            <w:tcW w:w="2140" w:type="dxa"/>
            <w:vAlign w:val="bottom"/>
          </w:tcPr>
          <w:p>
            <w:pPr>
              <w:ind w:left="80"/>
              <w:spacing w:after="0"/>
              <w:rPr>
                <w:sz w:val="20"/>
                <w:szCs w:val="20"/>
                <w:color w:val="auto"/>
              </w:rPr>
            </w:pPr>
            <w:r>
              <w:rPr>
                <w:rFonts w:ascii="Arial" w:cs="Arial" w:eastAsia="Arial" w:hAnsi="Arial"/>
                <w:sz w:val="14"/>
                <w:szCs w:val="14"/>
                <w:color w:val="auto"/>
              </w:rPr>
              <w:t>James A. Champy</w:t>
            </w:r>
          </w:p>
        </w:tc>
        <w:tc>
          <w:tcPr>
            <w:tcW w:w="960" w:type="dxa"/>
            <w:vAlign w:val="bottom"/>
          </w:tcPr>
          <w:p>
            <w:pPr>
              <w:ind w:left="680"/>
              <w:spacing w:after="0" w:line="171" w:lineRule="exact"/>
              <w:rPr>
                <w:sz w:val="20"/>
                <w:szCs w:val="20"/>
                <w:color w:val="auto"/>
              </w:rPr>
            </w:pPr>
            <w:r>
              <w:rPr>
                <w:rFonts w:ascii="MS PGothic" w:cs="MS PGothic" w:eastAsia="MS PGothic" w:hAnsi="MS PGothic"/>
                <w:sz w:val="17"/>
                <w:szCs w:val="17"/>
                <w:color w:val="auto"/>
              </w:rPr>
              <w:t>☐</w:t>
            </w:r>
          </w:p>
        </w:tc>
        <w:tc>
          <w:tcPr>
            <w:tcW w:w="580" w:type="dxa"/>
            <w:vAlign w:val="bottom"/>
          </w:tcPr>
          <w:p>
            <w:pPr>
              <w:ind w:left="240"/>
              <w:spacing w:after="0" w:line="171" w:lineRule="exact"/>
              <w:rPr>
                <w:sz w:val="20"/>
                <w:szCs w:val="20"/>
                <w:color w:val="auto"/>
              </w:rPr>
            </w:pPr>
            <w:r>
              <w:rPr>
                <w:rFonts w:ascii="MS PGothic" w:cs="MS PGothic" w:eastAsia="MS PGothic" w:hAnsi="MS PGothic"/>
                <w:sz w:val="17"/>
                <w:szCs w:val="17"/>
                <w:color w:val="auto"/>
              </w:rPr>
              <w:t>☐</w:t>
            </w:r>
          </w:p>
        </w:tc>
        <w:tc>
          <w:tcPr>
            <w:tcW w:w="48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r>
      <w:tr>
        <w:trPr>
          <w:trHeight w:val="338"/>
        </w:trPr>
        <w:tc>
          <w:tcPr>
            <w:tcW w:w="260" w:type="dxa"/>
            <w:vAlign w:val="bottom"/>
          </w:tcPr>
          <w:p>
            <w:pPr>
              <w:spacing w:after="0"/>
              <w:rPr>
                <w:sz w:val="20"/>
                <w:szCs w:val="20"/>
                <w:color w:val="auto"/>
              </w:rPr>
            </w:pPr>
            <w:r>
              <w:rPr>
                <w:rFonts w:ascii="Arial" w:cs="Arial" w:eastAsia="Arial" w:hAnsi="Arial"/>
                <w:sz w:val="14"/>
                <w:szCs w:val="14"/>
                <w:color w:val="auto"/>
              </w:rPr>
              <w:t>1d.</w:t>
            </w:r>
          </w:p>
        </w:tc>
        <w:tc>
          <w:tcPr>
            <w:tcW w:w="2140" w:type="dxa"/>
            <w:vAlign w:val="bottom"/>
          </w:tcPr>
          <w:p>
            <w:pPr>
              <w:ind w:left="80"/>
              <w:spacing w:after="0"/>
              <w:rPr>
                <w:sz w:val="20"/>
                <w:szCs w:val="20"/>
                <w:color w:val="auto"/>
              </w:rPr>
            </w:pPr>
            <w:r>
              <w:rPr>
                <w:rFonts w:ascii="Arial" w:cs="Arial" w:eastAsia="Arial" w:hAnsi="Arial"/>
                <w:sz w:val="14"/>
                <w:szCs w:val="14"/>
                <w:color w:val="auto"/>
              </w:rPr>
              <w:t>Anantha P. Chandrakasan</w:t>
            </w:r>
          </w:p>
        </w:tc>
        <w:tc>
          <w:tcPr>
            <w:tcW w:w="960" w:type="dxa"/>
            <w:vAlign w:val="bottom"/>
          </w:tcPr>
          <w:p>
            <w:pPr>
              <w:ind w:left="680"/>
              <w:spacing w:after="0" w:line="171" w:lineRule="exact"/>
              <w:rPr>
                <w:sz w:val="20"/>
                <w:szCs w:val="20"/>
                <w:color w:val="auto"/>
              </w:rPr>
            </w:pPr>
            <w:r>
              <w:rPr>
                <w:rFonts w:ascii="MS PGothic" w:cs="MS PGothic" w:eastAsia="MS PGothic" w:hAnsi="MS PGothic"/>
                <w:sz w:val="17"/>
                <w:szCs w:val="17"/>
                <w:color w:val="auto"/>
              </w:rPr>
              <w:t>☐</w:t>
            </w:r>
          </w:p>
        </w:tc>
        <w:tc>
          <w:tcPr>
            <w:tcW w:w="580" w:type="dxa"/>
            <w:vAlign w:val="bottom"/>
          </w:tcPr>
          <w:p>
            <w:pPr>
              <w:ind w:left="240"/>
              <w:spacing w:after="0" w:line="171" w:lineRule="exact"/>
              <w:rPr>
                <w:sz w:val="20"/>
                <w:szCs w:val="20"/>
                <w:color w:val="auto"/>
              </w:rPr>
            </w:pPr>
            <w:r>
              <w:rPr>
                <w:rFonts w:ascii="MS PGothic" w:cs="MS PGothic" w:eastAsia="MS PGothic" w:hAnsi="MS PGothic"/>
                <w:sz w:val="17"/>
                <w:szCs w:val="17"/>
                <w:color w:val="auto"/>
              </w:rPr>
              <w:t>☐</w:t>
            </w:r>
          </w:p>
        </w:tc>
        <w:tc>
          <w:tcPr>
            <w:tcW w:w="48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r>
    </w:tbl>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2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360" w:type="dxa"/>
            <w:vAlign w:val="bottom"/>
          </w:tcPr>
          <w:p>
            <w:pPr>
              <w:ind w:left="940"/>
              <w:spacing w:after="0"/>
              <w:rPr>
                <w:sz w:val="20"/>
                <w:szCs w:val="20"/>
                <w:color w:val="auto"/>
              </w:rPr>
            </w:pPr>
            <w:r>
              <w:rPr>
                <w:rFonts w:ascii="Arial" w:cs="Arial" w:eastAsia="Arial" w:hAnsi="Arial"/>
                <w:sz w:val="14"/>
                <w:szCs w:val="14"/>
                <w:b w:val="1"/>
                <w:bCs w:val="1"/>
                <w:color w:val="auto"/>
              </w:rPr>
              <w:t>For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560" w:type="dxa"/>
            <w:vAlign w:val="bottom"/>
          </w:tcPr>
          <w:p>
            <w:pPr>
              <w:ind w:left="100"/>
              <w:spacing w:after="0"/>
              <w:rPr>
                <w:sz w:val="20"/>
                <w:szCs w:val="20"/>
                <w:color w:val="auto"/>
              </w:rPr>
            </w:pPr>
            <w:r>
              <w:rPr>
                <w:rFonts w:ascii="Arial" w:cs="Arial" w:eastAsia="Arial" w:hAnsi="Arial"/>
                <w:sz w:val="14"/>
                <w:szCs w:val="14"/>
                <w:b w:val="1"/>
                <w:bCs w:val="1"/>
                <w:color w:val="auto"/>
                <w:w w:val="85"/>
              </w:rPr>
              <w:t>Abstain</w:t>
            </w:r>
          </w:p>
        </w:tc>
      </w:tr>
      <w:tr>
        <w:trPr>
          <w:trHeight w:val="342"/>
        </w:trPr>
        <w:tc>
          <w:tcPr>
            <w:tcW w:w="200" w:type="dxa"/>
            <w:vAlign w:val="bottom"/>
          </w:tcPr>
          <w:p>
            <w:pPr>
              <w:spacing w:after="0"/>
              <w:rPr>
                <w:sz w:val="20"/>
                <w:szCs w:val="20"/>
                <w:color w:val="auto"/>
              </w:rPr>
            </w:pPr>
            <w:r>
              <w:rPr>
                <w:rFonts w:ascii="Arial" w:cs="Arial" w:eastAsia="Arial" w:hAnsi="Arial"/>
                <w:sz w:val="14"/>
                <w:szCs w:val="14"/>
                <w:color w:val="auto"/>
              </w:rPr>
              <w:t>1j.</w:t>
            </w:r>
          </w:p>
        </w:tc>
        <w:tc>
          <w:tcPr>
            <w:tcW w:w="2140" w:type="dxa"/>
            <w:vAlign w:val="bottom"/>
          </w:tcPr>
          <w:p>
            <w:pPr>
              <w:ind w:left="40"/>
              <w:spacing w:after="0"/>
              <w:rPr>
                <w:sz w:val="20"/>
                <w:szCs w:val="20"/>
                <w:color w:val="auto"/>
              </w:rPr>
            </w:pPr>
            <w:r>
              <w:rPr>
                <w:rFonts w:ascii="Arial" w:cs="Arial" w:eastAsia="Arial" w:hAnsi="Arial"/>
                <w:sz w:val="14"/>
                <w:szCs w:val="14"/>
                <w:color w:val="auto"/>
              </w:rPr>
              <w:t>Mercedes Johnson</w:t>
            </w:r>
          </w:p>
        </w:tc>
        <w:tc>
          <w:tcPr>
            <w:tcW w:w="1360" w:type="dxa"/>
            <w:vAlign w:val="bottom"/>
          </w:tcPr>
          <w:p>
            <w:pPr>
              <w:ind w:left="1040"/>
              <w:spacing w:after="0" w:line="171" w:lineRule="exact"/>
              <w:rPr>
                <w:sz w:val="20"/>
                <w:szCs w:val="20"/>
                <w:color w:val="auto"/>
              </w:rPr>
            </w:pPr>
            <w:r>
              <w:rPr>
                <w:rFonts w:ascii="MS PGothic" w:cs="MS PGothic" w:eastAsia="MS PGothic" w:hAnsi="MS PGothic"/>
                <w:sz w:val="17"/>
                <w:szCs w:val="17"/>
                <w:color w:val="auto"/>
              </w:rPr>
              <w:t>☐</w:t>
            </w:r>
          </w:p>
        </w:tc>
        <w:tc>
          <w:tcPr>
            <w:tcW w:w="7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60" w:type="dxa"/>
            <w:vAlign w:val="bottom"/>
          </w:tcPr>
          <w:p>
            <w:pPr>
              <w:ind w:left="300"/>
              <w:spacing w:after="0" w:line="171" w:lineRule="exact"/>
              <w:rPr>
                <w:sz w:val="20"/>
                <w:szCs w:val="20"/>
                <w:color w:val="auto"/>
              </w:rPr>
            </w:pPr>
            <w:r>
              <w:rPr>
                <w:rFonts w:ascii="MS PGothic" w:cs="MS PGothic" w:eastAsia="MS PGothic" w:hAnsi="MS PGothic"/>
                <w:sz w:val="17"/>
                <w:szCs w:val="17"/>
                <w:color w:val="auto"/>
              </w:rPr>
              <w:t>☐</w:t>
            </w:r>
          </w:p>
        </w:tc>
      </w:tr>
      <w:tr>
        <w:trPr>
          <w:trHeight w:val="338"/>
        </w:trPr>
        <w:tc>
          <w:tcPr>
            <w:tcW w:w="200" w:type="dxa"/>
            <w:vAlign w:val="bottom"/>
          </w:tcPr>
          <w:p>
            <w:pPr>
              <w:spacing w:after="0"/>
              <w:rPr>
                <w:sz w:val="20"/>
                <w:szCs w:val="20"/>
                <w:color w:val="auto"/>
              </w:rPr>
            </w:pPr>
            <w:r>
              <w:rPr>
                <w:rFonts w:ascii="Arial" w:cs="Arial" w:eastAsia="Arial" w:hAnsi="Arial"/>
                <w:sz w:val="14"/>
                <w:szCs w:val="14"/>
                <w:color w:val="auto"/>
                <w:w w:val="96"/>
              </w:rPr>
              <w:t>1k.</w:t>
            </w:r>
          </w:p>
        </w:tc>
        <w:tc>
          <w:tcPr>
            <w:tcW w:w="2140" w:type="dxa"/>
            <w:vAlign w:val="bottom"/>
          </w:tcPr>
          <w:p>
            <w:pPr>
              <w:ind w:left="40"/>
              <w:spacing w:after="0"/>
              <w:rPr>
                <w:sz w:val="20"/>
                <w:szCs w:val="20"/>
                <w:color w:val="auto"/>
              </w:rPr>
            </w:pPr>
            <w:r>
              <w:rPr>
                <w:rFonts w:ascii="Arial" w:cs="Arial" w:eastAsia="Arial" w:hAnsi="Arial"/>
                <w:sz w:val="14"/>
                <w:szCs w:val="14"/>
                <w:color w:val="auto"/>
              </w:rPr>
              <w:t>Kenton J. Sicchitano</w:t>
            </w:r>
          </w:p>
        </w:tc>
        <w:tc>
          <w:tcPr>
            <w:tcW w:w="1360" w:type="dxa"/>
            <w:vAlign w:val="bottom"/>
          </w:tcPr>
          <w:p>
            <w:pPr>
              <w:ind w:left="1040"/>
              <w:spacing w:after="0" w:line="171" w:lineRule="exact"/>
              <w:rPr>
                <w:sz w:val="20"/>
                <w:szCs w:val="20"/>
                <w:color w:val="auto"/>
              </w:rPr>
            </w:pPr>
            <w:r>
              <w:rPr>
                <w:rFonts w:ascii="MS PGothic" w:cs="MS PGothic" w:eastAsia="MS PGothic" w:hAnsi="MS PGothic"/>
                <w:sz w:val="17"/>
                <w:szCs w:val="17"/>
                <w:color w:val="auto"/>
              </w:rPr>
              <w:t>☐</w:t>
            </w:r>
          </w:p>
        </w:tc>
        <w:tc>
          <w:tcPr>
            <w:tcW w:w="7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60" w:type="dxa"/>
            <w:vAlign w:val="bottom"/>
          </w:tcPr>
          <w:p>
            <w:pPr>
              <w:ind w:left="300"/>
              <w:spacing w:after="0" w:line="171" w:lineRule="exact"/>
              <w:rPr>
                <w:sz w:val="20"/>
                <w:szCs w:val="20"/>
                <w:color w:val="auto"/>
              </w:rPr>
            </w:pPr>
            <w:r>
              <w:rPr>
                <w:rFonts w:ascii="MS PGothic" w:cs="MS PGothic" w:eastAsia="MS PGothic" w:hAnsi="MS PGothic"/>
                <w:sz w:val="17"/>
                <w:szCs w:val="17"/>
                <w:color w:val="auto"/>
              </w:rPr>
              <w:t>☐</w:t>
            </w:r>
          </w:p>
        </w:tc>
      </w:tr>
      <w:tr>
        <w:trPr>
          <w:trHeight w:val="338"/>
        </w:trPr>
        <w:tc>
          <w:tcPr>
            <w:tcW w:w="200" w:type="dxa"/>
            <w:vAlign w:val="bottom"/>
          </w:tcPr>
          <w:p>
            <w:pPr>
              <w:spacing w:after="0"/>
              <w:rPr>
                <w:sz w:val="20"/>
                <w:szCs w:val="20"/>
                <w:color w:val="auto"/>
              </w:rPr>
            </w:pPr>
            <w:r>
              <w:rPr>
                <w:rFonts w:ascii="Arial" w:cs="Arial" w:eastAsia="Arial" w:hAnsi="Arial"/>
                <w:sz w:val="14"/>
                <w:szCs w:val="14"/>
                <w:color w:val="auto"/>
              </w:rPr>
              <w:t>1l.</w:t>
            </w:r>
          </w:p>
        </w:tc>
        <w:tc>
          <w:tcPr>
            <w:tcW w:w="2140" w:type="dxa"/>
            <w:vAlign w:val="bottom"/>
          </w:tcPr>
          <w:p>
            <w:pPr>
              <w:ind w:left="40"/>
              <w:spacing w:after="0"/>
              <w:rPr>
                <w:sz w:val="20"/>
                <w:szCs w:val="20"/>
                <w:color w:val="auto"/>
              </w:rPr>
            </w:pPr>
            <w:r>
              <w:rPr>
                <w:rFonts w:ascii="Arial" w:cs="Arial" w:eastAsia="Arial" w:hAnsi="Arial"/>
                <w:sz w:val="14"/>
                <w:szCs w:val="14"/>
                <w:color w:val="auto"/>
              </w:rPr>
              <w:t>Susie Wee</w:t>
            </w:r>
          </w:p>
        </w:tc>
        <w:tc>
          <w:tcPr>
            <w:tcW w:w="1360" w:type="dxa"/>
            <w:vAlign w:val="bottom"/>
          </w:tcPr>
          <w:p>
            <w:pPr>
              <w:ind w:left="1040"/>
              <w:spacing w:after="0" w:line="171" w:lineRule="exact"/>
              <w:rPr>
                <w:sz w:val="20"/>
                <w:szCs w:val="20"/>
                <w:color w:val="auto"/>
              </w:rPr>
            </w:pPr>
            <w:r>
              <w:rPr>
                <w:rFonts w:ascii="MS PGothic" w:cs="MS PGothic" w:eastAsia="MS PGothic" w:hAnsi="MS PGothic"/>
                <w:sz w:val="17"/>
                <w:szCs w:val="17"/>
                <w:color w:val="auto"/>
              </w:rPr>
              <w:t>☐</w:t>
            </w:r>
          </w:p>
        </w:tc>
        <w:tc>
          <w:tcPr>
            <w:tcW w:w="7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60" w:type="dxa"/>
            <w:vAlign w:val="bottom"/>
          </w:tcPr>
          <w:p>
            <w:pPr>
              <w:ind w:left="300"/>
              <w:spacing w:after="0" w:line="171" w:lineRule="exact"/>
              <w:rPr>
                <w:sz w:val="20"/>
                <w:szCs w:val="20"/>
                <w:color w:val="auto"/>
              </w:rPr>
            </w:pPr>
            <w:r>
              <w:rPr>
                <w:rFonts w:ascii="MS PGothic" w:cs="MS PGothic" w:eastAsia="MS PGothic" w:hAnsi="MS PGothic"/>
                <w:sz w:val="17"/>
                <w:szCs w:val="17"/>
                <w:color w:val="auto"/>
              </w:rPr>
              <w:t>☐</w:t>
            </w:r>
          </w:p>
        </w:tc>
      </w:tr>
    </w:tbl>
    <w:p>
      <w:pPr>
        <w:spacing w:after="0" w:line="25" w:lineRule="exact"/>
        <w:rPr>
          <w:sz w:val="20"/>
          <w:szCs w:val="20"/>
          <w:color w:val="auto"/>
        </w:rPr>
      </w:pPr>
    </w:p>
    <w:p>
      <w:pPr>
        <w:ind w:right="2180"/>
        <w:spacing w:after="0" w:line="241" w:lineRule="auto"/>
        <w:rPr>
          <w:sz w:val="20"/>
          <w:szCs w:val="20"/>
          <w:color w:val="auto"/>
        </w:rPr>
      </w:pPr>
      <w:r>
        <w:rPr>
          <w:rFonts w:ascii="Arial" w:cs="Arial" w:eastAsia="Arial" w:hAnsi="Arial"/>
          <w:sz w:val="14"/>
          <w:szCs w:val="14"/>
          <w:b w:val="1"/>
          <w:bCs w:val="1"/>
          <w:color w:val="auto"/>
        </w:rPr>
        <w:t xml:space="preserve">The Board of Directors recommends you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Proposals 2, 3 and 4:</w:t>
      </w:r>
    </w:p>
    <w:p>
      <w:pPr>
        <w:spacing w:after="0" w:line="6" w:lineRule="exact"/>
        <w:rPr>
          <w:sz w:val="20"/>
          <w:szCs w:val="20"/>
          <w:color w:val="auto"/>
        </w:rPr>
      </w:pPr>
    </w:p>
    <w:p>
      <w:pPr>
        <w:sectPr>
          <w:pgSz w:w="11900" w:h="16838" w:orient="portrait"/>
          <w:cols w:equalWidth="0" w:num="2">
            <w:col w:w="5400" w:space="340"/>
            <w:col w:w="5200"/>
          </w:cols>
          <w:pgMar w:left="320" w:top="447" w:right="639" w:bottom="1440" w:gutter="0" w:footer="0" w:header="0"/>
          <w:type w:val="continuous"/>
        </w:sectPr>
      </w:pPr>
    </w:p>
    <w:p>
      <w:pPr>
        <w:spacing w:after="0" w:line="52" w:lineRule="exact"/>
        <w:rPr>
          <w:sz w:val="20"/>
          <w:szCs w:val="20"/>
          <w:color w:val="auto"/>
        </w:rPr>
      </w:pPr>
    </w:p>
    <w:tbl>
      <w:tblPr>
        <w:tblLayout w:type="fixed"/>
        <w:tblInd w:w="980" w:type="dxa"/>
        <w:tblCellMar>
          <w:top w:w="0" w:type="dxa"/>
          <w:left w:w="0" w:type="dxa"/>
          <w:bottom w:w="0" w:type="dxa"/>
          <w:right w:w="0" w:type="dxa"/>
        </w:tblCellMar>
      </w:tblPr>
      <w:tr>
        <w:trPr>
          <w:trHeight w:val="271"/>
        </w:trPr>
        <w:tc>
          <w:tcPr>
            <w:tcW w:w="260" w:type="dxa"/>
            <w:vAlign w:val="bottom"/>
          </w:tcPr>
          <w:p>
            <w:pPr>
              <w:spacing w:after="0"/>
              <w:rPr>
                <w:sz w:val="20"/>
                <w:szCs w:val="20"/>
                <w:color w:val="auto"/>
              </w:rPr>
            </w:pPr>
            <w:r>
              <w:rPr>
                <w:rFonts w:ascii="Arial" w:cs="Arial" w:eastAsia="Arial" w:hAnsi="Arial"/>
                <w:sz w:val="14"/>
                <w:szCs w:val="14"/>
                <w:color w:val="auto"/>
              </w:rPr>
              <w:t>1e.</w:t>
            </w:r>
          </w:p>
        </w:tc>
        <w:tc>
          <w:tcPr>
            <w:tcW w:w="1980" w:type="dxa"/>
            <w:vAlign w:val="bottom"/>
          </w:tcPr>
          <w:p>
            <w:pPr>
              <w:ind w:left="80"/>
              <w:spacing w:after="0"/>
              <w:rPr>
                <w:sz w:val="20"/>
                <w:szCs w:val="20"/>
                <w:color w:val="auto"/>
              </w:rPr>
            </w:pPr>
            <w:r>
              <w:rPr>
                <w:rFonts w:ascii="Arial" w:cs="Arial" w:eastAsia="Arial" w:hAnsi="Arial"/>
                <w:sz w:val="14"/>
                <w:szCs w:val="14"/>
                <w:color w:val="auto"/>
              </w:rPr>
              <w:t>Tunç Doluca</w:t>
            </w:r>
          </w:p>
        </w:tc>
        <w:tc>
          <w:tcPr>
            <w:tcW w:w="118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52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340" w:type="dxa"/>
            <w:vAlign w:val="bottom"/>
          </w:tcPr>
          <w:p>
            <w:pPr>
              <w:ind w:left="1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260" w:type="dxa"/>
            <w:vAlign w:val="bottom"/>
          </w:tcPr>
          <w:p>
            <w:pPr>
              <w:spacing w:after="0"/>
              <w:rPr>
                <w:sz w:val="20"/>
                <w:szCs w:val="20"/>
                <w:color w:val="auto"/>
              </w:rPr>
            </w:pPr>
            <w:r>
              <w:rPr>
                <w:rFonts w:ascii="Arial" w:cs="Arial" w:eastAsia="Arial" w:hAnsi="Arial"/>
                <w:sz w:val="14"/>
                <w:szCs w:val="14"/>
                <w:color w:val="auto"/>
              </w:rPr>
              <w:t>1f.</w:t>
            </w:r>
          </w:p>
        </w:tc>
        <w:tc>
          <w:tcPr>
            <w:tcW w:w="1980" w:type="dxa"/>
            <w:vAlign w:val="bottom"/>
          </w:tcPr>
          <w:p>
            <w:pPr>
              <w:ind w:left="80"/>
              <w:spacing w:after="0"/>
              <w:rPr>
                <w:sz w:val="20"/>
                <w:szCs w:val="20"/>
                <w:color w:val="auto"/>
              </w:rPr>
            </w:pPr>
            <w:r>
              <w:rPr>
                <w:rFonts w:ascii="Arial" w:cs="Arial" w:eastAsia="Arial" w:hAnsi="Arial"/>
                <w:sz w:val="14"/>
                <w:szCs w:val="14"/>
                <w:color w:val="auto"/>
              </w:rPr>
              <w:t>Bruce R. Evans</w:t>
            </w:r>
          </w:p>
        </w:tc>
        <w:tc>
          <w:tcPr>
            <w:tcW w:w="118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52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340" w:type="dxa"/>
            <w:vAlign w:val="bottom"/>
          </w:tcPr>
          <w:p>
            <w:pPr>
              <w:ind w:left="1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260" w:type="dxa"/>
            <w:vAlign w:val="bottom"/>
          </w:tcPr>
          <w:p>
            <w:pPr>
              <w:spacing w:after="0"/>
              <w:rPr>
                <w:sz w:val="20"/>
                <w:szCs w:val="20"/>
                <w:color w:val="auto"/>
              </w:rPr>
            </w:pPr>
            <w:r>
              <w:rPr>
                <w:rFonts w:ascii="Arial" w:cs="Arial" w:eastAsia="Arial" w:hAnsi="Arial"/>
                <w:sz w:val="14"/>
                <w:szCs w:val="14"/>
                <w:color w:val="auto"/>
              </w:rPr>
              <w:t>1g.</w:t>
            </w:r>
          </w:p>
        </w:tc>
        <w:tc>
          <w:tcPr>
            <w:tcW w:w="1980" w:type="dxa"/>
            <w:vAlign w:val="bottom"/>
          </w:tcPr>
          <w:p>
            <w:pPr>
              <w:ind w:left="80"/>
              <w:spacing w:after="0"/>
              <w:rPr>
                <w:sz w:val="20"/>
                <w:szCs w:val="20"/>
                <w:color w:val="auto"/>
              </w:rPr>
            </w:pPr>
            <w:r>
              <w:rPr>
                <w:rFonts w:ascii="Arial" w:cs="Arial" w:eastAsia="Arial" w:hAnsi="Arial"/>
                <w:sz w:val="14"/>
                <w:szCs w:val="14"/>
                <w:color w:val="auto"/>
              </w:rPr>
              <w:t>Edward H. Frank</w:t>
            </w:r>
          </w:p>
        </w:tc>
        <w:tc>
          <w:tcPr>
            <w:tcW w:w="118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52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340" w:type="dxa"/>
            <w:vAlign w:val="bottom"/>
          </w:tcPr>
          <w:p>
            <w:pPr>
              <w:ind w:left="1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260" w:type="dxa"/>
            <w:vAlign w:val="bottom"/>
          </w:tcPr>
          <w:p>
            <w:pPr>
              <w:spacing w:after="0"/>
              <w:rPr>
                <w:sz w:val="20"/>
                <w:szCs w:val="20"/>
                <w:color w:val="auto"/>
              </w:rPr>
            </w:pPr>
            <w:r>
              <w:rPr>
                <w:rFonts w:ascii="Arial" w:cs="Arial" w:eastAsia="Arial" w:hAnsi="Arial"/>
                <w:sz w:val="14"/>
                <w:szCs w:val="14"/>
                <w:color w:val="auto"/>
              </w:rPr>
              <w:t>1h.</w:t>
            </w:r>
          </w:p>
        </w:tc>
        <w:tc>
          <w:tcPr>
            <w:tcW w:w="1980" w:type="dxa"/>
            <w:vAlign w:val="bottom"/>
          </w:tcPr>
          <w:p>
            <w:pPr>
              <w:ind w:left="80"/>
              <w:spacing w:after="0"/>
              <w:rPr>
                <w:sz w:val="20"/>
                <w:szCs w:val="20"/>
                <w:color w:val="auto"/>
              </w:rPr>
            </w:pPr>
            <w:r>
              <w:rPr>
                <w:rFonts w:ascii="Arial" w:cs="Arial" w:eastAsia="Arial" w:hAnsi="Arial"/>
                <w:sz w:val="14"/>
                <w:szCs w:val="14"/>
                <w:color w:val="auto"/>
              </w:rPr>
              <w:t>Laurie H. Glimcher</w:t>
            </w:r>
          </w:p>
        </w:tc>
        <w:tc>
          <w:tcPr>
            <w:tcW w:w="118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52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340" w:type="dxa"/>
            <w:vAlign w:val="bottom"/>
          </w:tcPr>
          <w:p>
            <w:pPr>
              <w:ind w:left="1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260" w:type="dxa"/>
            <w:vAlign w:val="bottom"/>
          </w:tcPr>
          <w:p>
            <w:pPr>
              <w:spacing w:after="0"/>
              <w:rPr>
                <w:sz w:val="20"/>
                <w:szCs w:val="20"/>
                <w:color w:val="auto"/>
              </w:rPr>
            </w:pPr>
            <w:r>
              <w:rPr>
                <w:rFonts w:ascii="Arial" w:cs="Arial" w:eastAsia="Arial" w:hAnsi="Arial"/>
                <w:sz w:val="14"/>
                <w:szCs w:val="14"/>
                <w:color w:val="auto"/>
              </w:rPr>
              <w:t>1i.</w:t>
            </w:r>
          </w:p>
        </w:tc>
        <w:tc>
          <w:tcPr>
            <w:tcW w:w="1980" w:type="dxa"/>
            <w:vAlign w:val="bottom"/>
          </w:tcPr>
          <w:p>
            <w:pPr>
              <w:ind w:left="80"/>
              <w:spacing w:after="0"/>
              <w:rPr>
                <w:sz w:val="20"/>
                <w:szCs w:val="20"/>
                <w:color w:val="auto"/>
              </w:rPr>
            </w:pPr>
            <w:r>
              <w:rPr>
                <w:rFonts w:ascii="Arial" w:cs="Arial" w:eastAsia="Arial" w:hAnsi="Arial"/>
                <w:sz w:val="14"/>
                <w:szCs w:val="14"/>
                <w:color w:val="auto"/>
              </w:rPr>
              <w:t>Karen M. Golz</w:t>
            </w:r>
          </w:p>
        </w:tc>
        <w:tc>
          <w:tcPr>
            <w:tcW w:w="118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52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340" w:type="dxa"/>
            <w:vAlign w:val="bottom"/>
          </w:tcPr>
          <w:p>
            <w:pPr>
              <w:ind w:left="18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245" w:hanging="245"/>
        <w:spacing w:after="0" w:line="271" w:lineRule="auto"/>
        <w:tabs>
          <w:tab w:leader="none" w:pos="245" w:val="left"/>
        </w:tabs>
        <w:numPr>
          <w:ilvl w:val="0"/>
          <w:numId w:val="119"/>
        </w:numPr>
        <w:rPr>
          <w:rFonts w:ascii="Arial" w:cs="Arial" w:eastAsia="Arial" w:hAnsi="Arial"/>
          <w:sz w:val="13"/>
          <w:szCs w:val="13"/>
          <w:color w:val="auto"/>
        </w:rPr>
      </w:pPr>
      <w:r>
        <w:rPr>
          <w:rFonts w:ascii="Arial" w:cs="Arial" w:eastAsia="Arial" w:hAnsi="Arial"/>
          <w:sz w:val="13"/>
          <w:szCs w:val="13"/>
          <w:color w:val="auto"/>
        </w:rPr>
        <w:t>Advisory resolution to approve the compensation of our named executive officers.</w:t>
      </w:r>
    </w:p>
    <w:p>
      <w:pPr>
        <w:spacing w:after="0" w:line="13" w:lineRule="exact"/>
        <w:rPr>
          <w:rFonts w:ascii="Arial" w:cs="Arial" w:eastAsia="Arial" w:hAnsi="Arial"/>
          <w:sz w:val="13"/>
          <w:szCs w:val="13"/>
          <w:color w:val="auto"/>
        </w:rPr>
      </w:pPr>
    </w:p>
    <w:p>
      <w:pPr>
        <w:ind w:left="245" w:right="80" w:hanging="245"/>
        <w:spacing w:after="0" w:line="237" w:lineRule="auto"/>
        <w:tabs>
          <w:tab w:leader="none" w:pos="245" w:val="left"/>
        </w:tabs>
        <w:numPr>
          <w:ilvl w:val="0"/>
          <w:numId w:val="119"/>
        </w:numPr>
        <w:rPr>
          <w:rFonts w:ascii="Arial" w:cs="Arial" w:eastAsia="Arial" w:hAnsi="Arial"/>
          <w:sz w:val="14"/>
          <w:szCs w:val="14"/>
          <w:color w:val="auto"/>
        </w:rPr>
      </w:pPr>
      <w:r>
        <w:rPr>
          <w:rFonts w:ascii="Arial" w:cs="Arial" w:eastAsia="Arial" w:hAnsi="Arial"/>
          <w:sz w:val="14"/>
          <w:szCs w:val="14"/>
          <w:color w:val="auto"/>
        </w:rPr>
        <w:t>Approve the Analog Devices, Inc. 2022 Employee Stock Purchase Plan.</w:t>
      </w:r>
    </w:p>
    <w:p>
      <w:pPr>
        <w:spacing w:after="0" w:line="33" w:lineRule="exact"/>
        <w:rPr>
          <w:rFonts w:ascii="Arial" w:cs="Arial" w:eastAsia="Arial" w:hAnsi="Arial"/>
          <w:sz w:val="14"/>
          <w:szCs w:val="14"/>
          <w:color w:val="auto"/>
        </w:rPr>
      </w:pPr>
    </w:p>
    <w:p>
      <w:pPr>
        <w:ind w:left="245" w:right="120" w:hanging="245"/>
        <w:spacing w:after="0" w:line="229" w:lineRule="auto"/>
        <w:tabs>
          <w:tab w:leader="none" w:pos="245" w:val="left"/>
        </w:tabs>
        <w:numPr>
          <w:ilvl w:val="0"/>
          <w:numId w:val="119"/>
        </w:numPr>
        <w:rPr>
          <w:rFonts w:ascii="Arial" w:cs="Arial" w:eastAsia="Arial" w:hAnsi="Arial"/>
          <w:sz w:val="14"/>
          <w:szCs w:val="14"/>
          <w:color w:val="auto"/>
        </w:rPr>
      </w:pPr>
      <w:r>
        <w:rPr>
          <w:rFonts w:ascii="Arial" w:cs="Arial" w:eastAsia="Arial" w:hAnsi="Arial"/>
          <w:sz w:val="14"/>
          <w:szCs w:val="14"/>
          <w:color w:val="auto"/>
        </w:rPr>
        <w:t>Ratification of Ernst &amp; Young LLP as our independent registered public accounting firm for fiscal 2022.</w:t>
      </w:r>
    </w:p>
    <w:p>
      <w:pPr>
        <w:spacing w:after="0" w:line="173" w:lineRule="exact"/>
        <w:rPr>
          <w:sz w:val="20"/>
          <w:szCs w:val="20"/>
          <w:color w:val="auto"/>
        </w:rPr>
      </w:pPr>
    </w:p>
    <w:p>
      <w:pPr>
        <w:ind w:left="5"/>
        <w:spacing w:after="0" w:line="231"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To transact such other business as may properly</w:t>
      </w:r>
      <w:r>
        <w:rPr>
          <w:rFonts w:ascii="Arial" w:cs="Arial" w:eastAsia="Arial" w:hAnsi="Arial"/>
          <w:sz w:val="14"/>
          <w:szCs w:val="14"/>
          <w:b w:val="1"/>
          <w:bCs w:val="1"/>
          <w:color w:val="auto"/>
        </w:rPr>
        <w:t xml:space="preserve"> </w:t>
      </w:r>
      <w:r>
        <w:rPr>
          <w:rFonts w:ascii="Arial" w:cs="Arial" w:eastAsia="Arial" w:hAnsi="Arial"/>
          <w:sz w:val="14"/>
          <w:szCs w:val="14"/>
          <w:color w:val="auto"/>
        </w:rPr>
        <w:t>come before the meeting and at any adjournments or postponement at the meeting.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38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680" w:type="dxa"/>
            <w:vAlign w:val="bottom"/>
          </w:tcPr>
          <w:p>
            <w:pPr>
              <w:ind w:left="240"/>
              <w:spacing w:after="0" w:line="171" w:lineRule="exact"/>
              <w:rPr>
                <w:sz w:val="20"/>
                <w:szCs w:val="20"/>
                <w:color w:val="auto"/>
              </w:rPr>
            </w:pPr>
            <w:r>
              <w:rPr>
                <w:rFonts w:ascii="MS PGothic" w:cs="MS PGothic" w:eastAsia="MS PGothic" w:hAnsi="MS PGothic"/>
                <w:sz w:val="17"/>
                <w:szCs w:val="17"/>
                <w:color w:val="auto"/>
              </w:rPr>
              <w:t>☐</w:t>
            </w:r>
          </w:p>
        </w:tc>
        <w:tc>
          <w:tcPr>
            <w:tcW w:w="420" w:type="dxa"/>
            <w:vAlign w:val="bottom"/>
          </w:tcPr>
          <w:p>
            <w:pPr>
              <w:ind w:left="2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351"/>
        </w:trPr>
        <w:tc>
          <w:tcPr>
            <w:tcW w:w="38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680" w:type="dxa"/>
            <w:vAlign w:val="bottom"/>
          </w:tcPr>
          <w:p>
            <w:pPr>
              <w:ind w:left="240"/>
              <w:spacing w:after="0" w:line="171" w:lineRule="exact"/>
              <w:rPr>
                <w:sz w:val="20"/>
                <w:szCs w:val="20"/>
                <w:color w:val="auto"/>
              </w:rPr>
            </w:pPr>
            <w:r>
              <w:rPr>
                <w:rFonts w:ascii="MS PGothic" w:cs="MS PGothic" w:eastAsia="MS PGothic" w:hAnsi="MS PGothic"/>
                <w:sz w:val="17"/>
                <w:szCs w:val="17"/>
                <w:color w:val="auto"/>
              </w:rPr>
              <w:t>☐</w:t>
            </w:r>
          </w:p>
        </w:tc>
        <w:tc>
          <w:tcPr>
            <w:tcW w:w="420" w:type="dxa"/>
            <w:vAlign w:val="bottom"/>
          </w:tcPr>
          <w:p>
            <w:pPr>
              <w:ind w:left="2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351"/>
        </w:trPr>
        <w:tc>
          <w:tcPr>
            <w:tcW w:w="38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680" w:type="dxa"/>
            <w:vAlign w:val="bottom"/>
          </w:tcPr>
          <w:p>
            <w:pPr>
              <w:ind w:left="240"/>
              <w:spacing w:after="0" w:line="171" w:lineRule="exact"/>
              <w:rPr>
                <w:sz w:val="20"/>
                <w:szCs w:val="20"/>
                <w:color w:val="auto"/>
              </w:rPr>
            </w:pPr>
            <w:r>
              <w:rPr>
                <w:rFonts w:ascii="MS PGothic" w:cs="MS PGothic" w:eastAsia="MS PGothic" w:hAnsi="MS PGothic"/>
                <w:sz w:val="17"/>
                <w:szCs w:val="17"/>
                <w:color w:val="auto"/>
              </w:rPr>
              <w:t>☐</w:t>
            </w:r>
          </w:p>
        </w:tc>
        <w:tc>
          <w:tcPr>
            <w:tcW w:w="420" w:type="dxa"/>
            <w:vAlign w:val="bottom"/>
          </w:tcPr>
          <w:p>
            <w:pPr>
              <w:ind w:left="28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965" w:lineRule="exact"/>
        <w:rPr>
          <w:sz w:val="20"/>
          <w:szCs w:val="20"/>
          <w:color w:val="auto"/>
        </w:rPr>
      </w:pPr>
    </w:p>
    <w:p>
      <w:pPr>
        <w:sectPr>
          <w:pgSz w:w="11900" w:h="16838" w:orient="portrait"/>
          <w:cols w:equalWidth="0" w:num="3">
            <w:col w:w="5260" w:space="475"/>
            <w:col w:w="3125" w:space="260"/>
            <w:col w:w="1820"/>
          </w:cols>
          <w:pgMar w:left="320" w:top="447" w:right="639" w:bottom="1440" w:gutter="0" w:footer="0" w:header="0"/>
          <w:type w:val="continuous"/>
        </w:sectPr>
      </w:pPr>
    </w:p>
    <w:p>
      <w:pPr>
        <w:ind w:left="760" w:right="1760"/>
        <w:spacing w:after="0" w:line="229" w:lineRule="auto"/>
        <w:rPr>
          <w:sz w:val="20"/>
          <w:szCs w:val="20"/>
          <w:color w:val="auto"/>
        </w:rPr>
      </w:pPr>
      <w:r>
        <w:rPr>
          <w:rFonts w:ascii="Arial" w:cs="Arial" w:eastAsia="Arial" w:hAnsi="Arial"/>
          <w:sz w:val="14"/>
          <w:szCs w:val="14"/>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63" w:lineRule="exact"/>
        <w:rPr>
          <w:sz w:val="20"/>
          <w:szCs w:val="20"/>
          <w:color w:val="auto"/>
        </w:rPr>
      </w:pPr>
    </w:p>
    <w:p>
      <w:pPr>
        <w:ind w:left="840"/>
        <w:spacing w:after="0"/>
        <w:tabs>
          <w:tab w:leader="none" w:pos="3660" w:val="left"/>
          <w:tab w:leader="none" w:pos="5720" w:val="left"/>
          <w:tab w:leader="none" w:pos="888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3"/>
          <w:szCs w:val="13"/>
          <w:color w:val="auto"/>
        </w:rPr>
        <w:t>Date</w:t>
      </w:r>
    </w:p>
    <w:p>
      <w:pPr>
        <w:sectPr>
          <w:pgSz w:w="11900" w:h="16838" w:orient="portrait"/>
          <w:cols w:equalWidth="0" w:num="1">
            <w:col w:w="10940"/>
          </w:cols>
          <w:pgMar w:left="320" w:top="447" w:right="639" w:bottom="1440" w:gutter="0" w:footer="0" w:header="0"/>
          <w:type w:val="continuous"/>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9310" cy="37465"/>
                    </a:xfrm>
                    <a:prstGeom prst="rect">
                      <a:avLst/>
                    </a:prstGeom>
                    <a:noFill/>
                  </pic:spPr>
                </pic:pic>
              </a:graphicData>
            </a:graphic>
          </wp:anchor>
        </w:drawing>
      </w:r>
      <w:hyperlink w:anchor="page10">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Important Notice Regarding the Availability of Proxy Materials for the Annual Meeting:</w:t>
      </w:r>
    </w:p>
    <w:p>
      <w:pPr>
        <w:spacing w:after="0" w:line="123"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The Notice and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left="1860"/>
        <w:spacing w:after="0" w:line="237" w:lineRule="auto"/>
        <w:rPr>
          <w:sz w:val="20"/>
          <w:szCs w:val="20"/>
          <w:color w:val="auto"/>
        </w:rPr>
      </w:pPr>
      <w:r>
        <w:rPr>
          <w:rFonts w:ascii="Arial" w:cs="Arial" w:eastAsia="Arial" w:hAnsi="Arial"/>
          <w:sz w:val="14"/>
          <w:szCs w:val="14"/>
          <w:color w:val="auto"/>
        </w:rPr>
        <w:t>— — — — — — — — — — — — — — — — — — — — — — — — — — — — — — — — — — — — — — — — — — — — — — — — — — — — — — — — — — — — — —</w:t>
      </w:r>
    </w:p>
    <w:p>
      <w:pPr>
        <w:spacing w:after="0" w:line="46" w:lineRule="exact"/>
        <w:rPr>
          <w:sz w:val="20"/>
          <w:szCs w:val="20"/>
          <w:color w:val="auto"/>
        </w:rPr>
      </w:pPr>
    </w:p>
    <w:p>
      <w:pPr>
        <w:ind w:left="9880"/>
        <w:spacing w:after="0"/>
        <w:rPr>
          <w:sz w:val="20"/>
          <w:szCs w:val="20"/>
          <w:color w:val="auto"/>
        </w:rPr>
      </w:pPr>
      <w:r>
        <w:rPr>
          <w:rFonts w:ascii="Arial" w:cs="Arial" w:eastAsia="Arial" w:hAnsi="Arial"/>
          <w:sz w:val="14"/>
          <w:szCs w:val="14"/>
          <w:color w:val="auto"/>
        </w:rPr>
        <w:t>D64558-P64572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-3175</wp:posOffset>
            </wp:positionV>
            <wp:extent cx="6749415" cy="328041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749415" cy="328041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ANALOG DEVICES, INC.</w:t>
      </w:r>
    </w:p>
    <w:p>
      <w:pPr>
        <w:spacing w:after="0" w:line="221"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Annual Meeting of Shareholders - March 9, 2022 9:00 AM</w:t>
      </w:r>
    </w:p>
    <w:p>
      <w:pPr>
        <w:spacing w:after="0" w:line="221"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This Proxy is solicited on behalf of the Board of Directors</w:t>
      </w:r>
    </w:p>
    <w:p>
      <w:pPr>
        <w:spacing w:after="0" w:line="227" w:lineRule="exact"/>
        <w:rPr>
          <w:sz w:val="20"/>
          <w:szCs w:val="20"/>
          <w:color w:val="auto"/>
        </w:rPr>
      </w:pPr>
    </w:p>
    <w:p>
      <w:pPr>
        <w:ind w:left="560" w:right="340"/>
        <w:spacing w:after="0" w:line="283" w:lineRule="auto"/>
        <w:rPr>
          <w:sz w:val="20"/>
          <w:szCs w:val="20"/>
          <w:color w:val="auto"/>
        </w:rPr>
      </w:pPr>
      <w:r>
        <w:rPr>
          <w:rFonts w:ascii="Arial" w:cs="Arial" w:eastAsia="Arial" w:hAnsi="Arial"/>
          <w:sz w:val="16"/>
          <w:szCs w:val="16"/>
          <w:color w:val="auto"/>
        </w:rPr>
        <w:t>The undersigned revokes all previous proxies and hereby appoints Ray Stata, Vincent Roche and Janene Asgeirsson, or any of them, as proxies, each with the power to appoint his or her substitute, and hereby authorizes them to represent and to vote, as designated on the reverse side of this proxy card, all of the shares of common stock of ANALOG DEVICES, INC. that the undersigned is entitled to vote at the Annual Meeting of Shareholders to be held at 9:00 AM, Eastern Time on March 9, 2022, at Analog Devices, Inc., 125 Summer St., Boston, MA 02110, and any adjournment, postponement, continuation or rescheduling thereof.</w:t>
      </w:r>
    </w:p>
    <w:p>
      <w:pPr>
        <w:spacing w:after="0" w:line="164" w:lineRule="exact"/>
        <w:rPr>
          <w:sz w:val="20"/>
          <w:szCs w:val="20"/>
          <w:color w:val="auto"/>
        </w:rPr>
      </w:pPr>
    </w:p>
    <w:p>
      <w:pPr>
        <w:ind w:left="560" w:right="600"/>
        <w:spacing w:after="0" w:line="286" w:lineRule="auto"/>
        <w:rPr>
          <w:sz w:val="20"/>
          <w:szCs w:val="20"/>
          <w:color w:val="auto"/>
        </w:rPr>
      </w:pPr>
      <w:r>
        <w:rPr>
          <w:rFonts w:ascii="Arial" w:cs="Arial" w:eastAsia="Arial" w:hAnsi="Arial"/>
          <w:sz w:val="17"/>
          <w:szCs w:val="17"/>
          <w:color w:val="auto"/>
        </w:rPr>
        <w:t>In their discretion, the proxies are authorized to vote upon such other business as may properly come before the meeting or any adjournment, postponement, continuation or rescheduling thereof.</w:t>
      </w:r>
    </w:p>
    <w:p>
      <w:pPr>
        <w:spacing w:after="0" w:line="159" w:lineRule="exact"/>
        <w:rPr>
          <w:sz w:val="20"/>
          <w:szCs w:val="20"/>
          <w:color w:val="auto"/>
        </w:rPr>
      </w:pPr>
    </w:p>
    <w:p>
      <w:pPr>
        <w:ind w:left="560" w:right="380"/>
        <w:spacing w:after="0" w:line="286" w:lineRule="auto"/>
        <w:rPr>
          <w:sz w:val="20"/>
          <w:szCs w:val="20"/>
          <w:color w:val="auto"/>
        </w:rPr>
      </w:pPr>
      <w:r>
        <w:rPr>
          <w:rFonts w:ascii="Arial" w:cs="Arial" w:eastAsia="Arial" w:hAnsi="Arial"/>
          <w:sz w:val="17"/>
          <w:szCs w:val="17"/>
          <w:color w:val="auto"/>
        </w:rPr>
        <w:t>Your Internet or telephone vote authorizes the named proxies to vote the shares in the same manner as if you marked, signed, dated and returned your proxy card. If you vote the shares over the Internet or by telephone, please do not return your proxy card.</w:t>
      </w:r>
    </w:p>
    <w:p>
      <w:pPr>
        <w:spacing w:after="0" w:line="159"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Unless voting the shares over the Internet or by telephone, please fill in, date, sign and mail this proxy card promptly using the enclosed envelope.</w:t>
      </w:r>
    </w:p>
    <w:p>
      <w:pPr>
        <w:spacing w:after="0" w:line="226"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Continued and to be signed on reverse side</w:t>
      </w:r>
    </w:p>
    <w:sectPr>
      <w:pgSz w:w="11900" w:h="16838" w:orient="portrait"/>
      <w:cols w:equalWidth="0" w:num="1">
        <w:col w:w="10940"/>
      </w:cols>
      <w:pgMar w:left="320" w:top="447"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1226BB"/>
    <w:multiLevelType w:val="hybridMultilevel"/>
    <w:lvl w:ilvl="0">
      <w:lvlJc w:val="left"/>
      <w:lvlText w:val="☐"/>
      <w:numFmt w:val="bullet"/>
      <w:start w:val="1"/>
    </w:lvl>
  </w:abstractNum>
  <w:abstractNum w:abstractNumId="1">
    <w:nsid w:val="D34B6A8"/>
    <w:multiLevelType w:val="hybridMultilevel"/>
    <w:lvl w:ilvl="0">
      <w:lvlJc w:val="left"/>
      <w:lvlText w:val="☑"/>
      <w:numFmt w:val="bullet"/>
      <w:start w:val="1"/>
    </w:lvl>
  </w:abstractNum>
  <w:abstractNum w:abstractNumId="2">
    <w:nsid w:val="10233C99"/>
    <w:multiLevelType w:val="hybridMultilevel"/>
    <w:lvl w:ilvl="0">
      <w:lvlJc w:val="left"/>
      <w:lvlText w:val="☐"/>
      <w:numFmt w:val="bullet"/>
      <w:start w:val="1"/>
    </w:lvl>
    <w:lvl w:ilvl="1">
      <w:lvlJc w:val="left"/>
      <w:lvlText w:val="(%2)"/>
      <w:numFmt w:val="decimal"/>
      <w:start w:val="1"/>
    </w:lvl>
  </w:abstractNum>
  <w:abstractNum w:abstractNumId="3">
    <w:nsid w:val="3F6AB60F"/>
    <w:multiLevelType w:val="hybridMultilevel"/>
    <w:lvl w:ilvl="0">
      <w:lvlJc w:val="left"/>
      <w:lvlText w:val="%1."/>
      <w:numFmt w:val="decimal"/>
      <w:start w:val="1"/>
    </w:lvl>
  </w:abstractNum>
  <w:abstractNum w:abstractNumId="4">
    <w:nsid w:val="61574095"/>
    <w:multiLevelType w:val="hybridMultilevel"/>
    <w:lvl w:ilvl="0">
      <w:lvlJc w:val="left"/>
      <w:lvlText w:val="%1."/>
      <w:numFmt w:val="decimal"/>
      <w:start w:val="1"/>
    </w:lvl>
  </w:abstractNum>
  <w:abstractNum w:abstractNumId="5">
    <w:nsid w:val="7E0C57B1"/>
    <w:multiLevelType w:val="hybridMultilevel"/>
    <w:lvl w:ilvl="0">
      <w:lvlJc w:val="left"/>
      <w:lvlText w:val="•"/>
      <w:numFmt w:val="bullet"/>
      <w:start w:val="1"/>
    </w:lvl>
  </w:abstractNum>
  <w:abstractNum w:abstractNumId="6">
    <w:nsid w:val="77AE35EB"/>
    <w:multiLevelType w:val="hybridMultilevel"/>
    <w:lvl w:ilvl="0">
      <w:lvlJc w:val="left"/>
      <w:lvlText w:val="•"/>
      <w:numFmt w:val="bullet"/>
      <w:start w:val="1"/>
    </w:lvl>
  </w:abstractNum>
  <w:abstractNum w:abstractNumId="7">
    <w:nsid w:val="579BE4F1"/>
    <w:multiLevelType w:val="hybridMultilevel"/>
    <w:lvl w:ilvl="0">
      <w:lvlJc w:val="left"/>
      <w:lvlText w:val="*"/>
      <w:numFmt w:val="bullet"/>
      <w:start w:val="1"/>
    </w:lvl>
  </w:abstractNum>
  <w:abstractNum w:abstractNumId="8">
    <w:nsid w:val="310C50B3"/>
    <w:multiLevelType w:val="hybridMultilevel"/>
    <w:lvl w:ilvl="0">
      <w:lvlJc w:val="left"/>
      <w:lvlText w:val="**"/>
      <w:numFmt w:val="bullet"/>
      <w:start w:val="1"/>
    </w:lvl>
  </w:abstractNum>
  <w:abstractNum w:abstractNumId="9">
    <w:nsid w:val="5FF87E05"/>
    <w:multiLevelType w:val="hybridMultilevel"/>
    <w:lvl w:ilvl="0">
      <w:lvlJc w:val="left"/>
      <w:lvlText w:val="(%1)"/>
      <w:numFmt w:val="decimal"/>
      <w:start w:val="1"/>
    </w:lvl>
  </w:abstractNum>
  <w:abstractNum w:abstractNumId="10">
    <w:nsid w:val="2F305DEF"/>
    <w:multiLevelType w:val="hybridMultilevel"/>
    <w:lvl w:ilvl="0">
      <w:lvlJc w:val="left"/>
      <w:lvlText w:val="•"/>
      <w:numFmt w:val="bullet"/>
      <w:start w:val="1"/>
    </w:lvl>
  </w:abstractNum>
  <w:abstractNum w:abstractNumId="11">
    <w:nsid w:val="25A70BF7"/>
    <w:multiLevelType w:val="hybridMultilevel"/>
    <w:lvl w:ilvl="0">
      <w:lvlJc w:val="left"/>
      <w:lvlText w:val="•"/>
      <w:numFmt w:val="bullet"/>
      <w:start w:val="1"/>
    </w:lvl>
  </w:abstractNum>
  <w:abstractNum w:abstractNumId="12">
    <w:nsid w:val="1DBABF00"/>
    <w:multiLevelType w:val="hybridMultilevel"/>
    <w:lvl w:ilvl="0">
      <w:lvlJc w:val="left"/>
      <w:lvlText w:val="•"/>
      <w:numFmt w:val="bullet"/>
      <w:start w:val="1"/>
    </w:lvl>
  </w:abstractNum>
  <w:abstractNum w:abstractNumId="13">
    <w:nsid w:val="4AD084E9"/>
    <w:multiLevelType w:val="hybridMultilevel"/>
    <w:lvl w:ilvl="0">
      <w:lvlJc w:val="left"/>
      <w:lvlText w:val="(%1)"/>
      <w:numFmt w:val="decimal"/>
      <w:start w:val="1"/>
    </w:lvl>
  </w:abstractNum>
  <w:abstractNum w:abstractNumId="14">
    <w:nsid w:val="1F48EAA1"/>
    <w:multiLevelType w:val="hybridMultilevel"/>
    <w:lvl w:ilvl="0">
      <w:lvlJc w:val="left"/>
      <w:lvlText w:val="•"/>
      <w:numFmt w:val="bullet"/>
      <w:start w:val="1"/>
    </w:lvl>
  </w:abstractNum>
  <w:abstractNum w:abstractNumId="15">
    <w:nsid w:val="1381823A"/>
    <w:multiLevelType w:val="hybridMultilevel"/>
    <w:lvl w:ilvl="0">
      <w:lvlJc w:val="left"/>
      <w:lvlText w:val="%1."/>
      <w:numFmt w:val="decimal"/>
      <w:start w:val="1"/>
    </w:lvl>
  </w:abstractNum>
  <w:abstractNum w:abstractNumId="16">
    <w:nsid w:val="5DB70AE5"/>
    <w:multiLevelType w:val="hybridMultilevel"/>
    <w:lvl w:ilvl="0">
      <w:lvlJc w:val="left"/>
      <w:lvlText w:val="•"/>
      <w:numFmt w:val="bullet"/>
      <w:start w:val="1"/>
    </w:lvl>
  </w:abstractNum>
  <w:abstractNum w:abstractNumId="17">
    <w:nsid w:val="100F8FCA"/>
    <w:multiLevelType w:val="hybridMultilevel"/>
    <w:lvl w:ilvl="0">
      <w:lvlJc w:val="left"/>
      <w:lvlText w:val="•"/>
      <w:numFmt w:val="bullet"/>
      <w:start w:val="1"/>
    </w:lvl>
  </w:abstractNum>
  <w:abstractNum w:abstractNumId="18">
    <w:nsid w:val="6590700B"/>
    <w:multiLevelType w:val="hybridMultilevel"/>
    <w:lvl w:ilvl="0">
      <w:lvlJc w:val="left"/>
      <w:lvlText w:val="•"/>
      <w:numFmt w:val="bullet"/>
      <w:start w:val="1"/>
    </w:lvl>
  </w:abstractNum>
  <w:abstractNum w:abstractNumId="19">
    <w:nsid w:val="15014ACB"/>
    <w:multiLevelType w:val="hybridMultilevel"/>
    <w:lvl w:ilvl="0">
      <w:lvlJc w:val="left"/>
      <w:lvlText w:val="(%1)"/>
      <w:numFmt w:val="decimal"/>
      <w:start w:val="1"/>
    </w:lvl>
  </w:abstractNum>
  <w:abstractNum w:abstractNumId="20">
    <w:nsid w:val="5F5E7FD0"/>
    <w:multiLevelType w:val="hybridMultilevel"/>
    <w:lvl w:ilvl="0">
      <w:lvlJc w:val="left"/>
      <w:lvlText w:val="•"/>
      <w:numFmt w:val="bullet"/>
      <w:start w:val="1"/>
    </w:lvl>
  </w:abstractNum>
  <w:abstractNum w:abstractNumId="21">
    <w:nsid w:val="98A3148"/>
    <w:multiLevelType w:val="hybridMultilevel"/>
    <w:lvl w:ilvl="0">
      <w:lvlJc w:val="left"/>
      <w:lvlText w:val="•"/>
      <w:numFmt w:val="bullet"/>
      <w:start w:val="1"/>
    </w:lvl>
  </w:abstractNum>
  <w:abstractNum w:abstractNumId="22">
    <w:nsid w:val="799D0247"/>
    <w:multiLevelType w:val="hybridMultilevel"/>
    <w:lvl w:ilvl="0">
      <w:lvlJc w:val="left"/>
      <w:lvlText w:val="•"/>
      <w:numFmt w:val="bullet"/>
      <w:start w:val="1"/>
    </w:lvl>
  </w:abstractNum>
  <w:abstractNum w:abstractNumId="23">
    <w:nsid w:val="6B94764"/>
    <w:multiLevelType w:val="hybridMultilevel"/>
    <w:lvl w:ilvl="0">
      <w:lvlJc w:val="left"/>
      <w:lvlText w:val="•"/>
      <w:numFmt w:val="bullet"/>
      <w:start w:val="1"/>
    </w:lvl>
  </w:abstractNum>
  <w:abstractNum w:abstractNumId="24">
    <w:nsid w:val="42C296BD"/>
    <w:multiLevelType w:val="hybridMultilevel"/>
    <w:lvl w:ilvl="0">
      <w:lvlJc w:val="left"/>
      <w:lvlText w:val="•"/>
      <w:numFmt w:val="bullet"/>
      <w:start w:val="1"/>
    </w:lvl>
  </w:abstractNum>
  <w:abstractNum w:abstractNumId="25">
    <w:nsid w:val="168E121F"/>
    <w:multiLevelType w:val="hybridMultilevel"/>
    <w:lvl w:ilvl="0">
      <w:lvlJc w:val="left"/>
      <w:lvlText w:val="•"/>
      <w:numFmt w:val="bullet"/>
      <w:start w:val="1"/>
    </w:lvl>
  </w:abstractNum>
  <w:abstractNum w:abstractNumId="26">
    <w:nsid w:val="1EBA5D23"/>
    <w:multiLevelType w:val="hybridMultilevel"/>
    <w:lvl w:ilvl="0">
      <w:lvlJc w:val="left"/>
      <w:lvlText w:val="•"/>
      <w:numFmt w:val="bullet"/>
      <w:start w:val="1"/>
    </w:lvl>
  </w:abstractNum>
  <w:abstractNum w:abstractNumId="27">
    <w:nsid w:val="661E3F1E"/>
    <w:multiLevelType w:val="hybridMultilevel"/>
    <w:lvl w:ilvl="0">
      <w:lvlJc w:val="left"/>
      <w:lvlText w:val="•"/>
      <w:numFmt w:val="bullet"/>
      <w:start w:val="1"/>
    </w:lvl>
  </w:abstractNum>
  <w:abstractNum w:abstractNumId="28">
    <w:nsid w:val="5DC79EA8"/>
    <w:multiLevelType w:val="hybridMultilevel"/>
    <w:lvl w:ilvl="0">
      <w:lvlJc w:val="left"/>
      <w:lvlText w:val="•"/>
      <w:numFmt w:val="bullet"/>
      <w:start w:val="1"/>
    </w:lvl>
  </w:abstractNum>
  <w:abstractNum w:abstractNumId="29">
    <w:nsid w:val="540A471C"/>
    <w:multiLevelType w:val="hybridMultilevel"/>
    <w:lvl w:ilvl="0">
      <w:lvlJc w:val="left"/>
      <w:lvlText w:val="•"/>
      <w:numFmt w:val="bullet"/>
      <w:start w:val="1"/>
    </w:lvl>
  </w:abstractNum>
  <w:abstractNum w:abstractNumId="30">
    <w:nsid w:val="7BD3EE7B"/>
    <w:multiLevelType w:val="hybridMultilevel"/>
    <w:lvl w:ilvl="0">
      <w:lvlJc w:val="left"/>
      <w:lvlText w:val="(%1)"/>
      <w:numFmt w:val="decimal"/>
      <w:start w:val="1"/>
    </w:lvl>
  </w:abstractNum>
  <w:abstractNum w:abstractNumId="31">
    <w:nsid w:val="51D9C564"/>
    <w:multiLevelType w:val="hybridMultilevel"/>
    <w:lvl w:ilvl="0">
      <w:lvlJc w:val="left"/>
      <w:lvlText w:val="(%1)"/>
      <w:numFmt w:val="decimal"/>
      <w:start w:val="2"/>
    </w:lvl>
  </w:abstractNum>
  <w:abstractNum w:abstractNumId="32">
    <w:nsid w:val="613EFDC5"/>
    <w:multiLevelType w:val="hybridMultilevel"/>
    <w:lvl w:ilvl="0">
      <w:lvlJc w:val="left"/>
      <w:lvlText w:val="(%1)"/>
      <w:numFmt w:val="decimal"/>
      <w:start w:val="4"/>
    </w:lvl>
  </w:abstractNum>
  <w:abstractNum w:abstractNumId="33">
    <w:nsid w:val="BF72B14"/>
    <w:multiLevelType w:val="hybridMultilevel"/>
    <w:lvl w:ilvl="0">
      <w:lvlJc w:val="left"/>
      <w:lvlText w:val="•"/>
      <w:numFmt w:val="bullet"/>
      <w:start w:val="1"/>
    </w:lvl>
  </w:abstractNum>
  <w:abstractNum w:abstractNumId="34">
    <w:nsid w:val="11447B73"/>
    <w:multiLevelType w:val="hybridMultilevel"/>
    <w:lvl w:ilvl="0">
      <w:lvlJc w:val="left"/>
      <w:lvlText w:val="•"/>
      <w:numFmt w:val="bullet"/>
      <w:start w:val="1"/>
    </w:lvl>
  </w:abstractNum>
  <w:abstractNum w:abstractNumId="35">
    <w:nsid w:val="42963E5A"/>
    <w:multiLevelType w:val="hybridMultilevel"/>
    <w:lvl w:ilvl="0">
      <w:lvlJc w:val="left"/>
      <w:lvlText w:val="•"/>
      <w:numFmt w:val="bullet"/>
      <w:start w:val="1"/>
    </w:lvl>
  </w:abstractNum>
  <w:abstractNum w:abstractNumId="36">
    <w:nsid w:val="A0382C5"/>
    <w:multiLevelType w:val="hybridMultilevel"/>
    <w:lvl w:ilvl="0">
      <w:lvlJc w:val="left"/>
      <w:lvlText w:val="(%1)"/>
      <w:numFmt w:val="decimal"/>
      <w:start w:val="1"/>
    </w:lvl>
  </w:abstractNum>
  <w:abstractNum w:abstractNumId="37">
    <w:nsid w:val="8F2B15E"/>
    <w:multiLevelType w:val="hybridMultilevel"/>
    <w:lvl w:ilvl="0">
      <w:lvlJc w:val="left"/>
      <w:lvlText w:val="*"/>
      <w:numFmt w:val="bullet"/>
      <w:start w:val="1"/>
    </w:lvl>
  </w:abstractNum>
  <w:abstractNum w:abstractNumId="38">
    <w:nsid w:val="1A32234B"/>
    <w:multiLevelType w:val="hybridMultilevel"/>
    <w:lvl w:ilvl="0">
      <w:lvlJc w:val="left"/>
      <w:lvlText w:val="**"/>
      <w:numFmt w:val="bullet"/>
      <w:start w:val="1"/>
    </w:lvl>
  </w:abstractNum>
  <w:abstractNum w:abstractNumId="39">
    <w:nsid w:val="3B0FD379"/>
    <w:multiLevelType w:val="hybridMultilevel"/>
    <w:lvl w:ilvl="0">
      <w:lvlJc w:val="left"/>
      <w:lvlText w:val="%1."/>
      <w:numFmt w:val="decimal"/>
      <w:start w:val="1"/>
    </w:lvl>
  </w:abstractNum>
  <w:abstractNum w:abstractNumId="40">
    <w:nsid w:val="68EB2F63"/>
    <w:multiLevelType w:val="hybridMultilevel"/>
    <w:lvl w:ilvl="0">
      <w:lvlJc w:val="left"/>
      <w:lvlText w:val="%1."/>
      <w:numFmt w:val="decimal"/>
      <w:start w:val="1"/>
    </w:lvl>
  </w:abstractNum>
  <w:abstractNum w:abstractNumId="41">
    <w:nsid w:val="4962813B"/>
    <w:multiLevelType w:val="hybridMultilevel"/>
    <w:lvl w:ilvl="0">
      <w:lvlJc w:val="left"/>
      <w:lvlText w:val="•"/>
      <w:numFmt w:val="bullet"/>
      <w:start w:val="1"/>
    </w:lvl>
  </w:abstractNum>
  <w:abstractNum w:abstractNumId="42">
    <w:nsid w:val="60B6DF70"/>
    <w:multiLevelType w:val="hybridMultilevel"/>
    <w:lvl w:ilvl="0">
      <w:lvlJc w:val="left"/>
      <w:lvlText w:val="•"/>
      <w:numFmt w:val="bullet"/>
      <w:start w:val="1"/>
    </w:lvl>
  </w:abstractNum>
  <w:abstractNum w:abstractNumId="43">
    <w:nsid w:val="6A5EE64"/>
    <w:multiLevelType w:val="hybridMultilevel"/>
    <w:lvl w:ilvl="0">
      <w:lvlJc w:val="left"/>
      <w:lvlText w:val="•"/>
      <w:numFmt w:val="bullet"/>
      <w:start w:val="1"/>
    </w:lvl>
  </w:abstractNum>
  <w:abstractNum w:abstractNumId="44">
    <w:nsid w:val="14330624"/>
    <w:multiLevelType w:val="hybridMultilevel"/>
    <w:lvl w:ilvl="0">
      <w:lvlJc w:val="left"/>
      <w:lvlText w:val="•"/>
      <w:numFmt w:val="bullet"/>
      <w:start w:val="1"/>
    </w:lvl>
  </w:abstractNum>
  <w:abstractNum w:abstractNumId="45">
    <w:nsid w:val="7FFFCA11"/>
    <w:multiLevelType w:val="hybridMultilevel"/>
    <w:lvl w:ilvl="0">
      <w:lvlJc w:val="left"/>
      <w:lvlText w:val="•"/>
      <w:numFmt w:val="bullet"/>
      <w:start w:val="1"/>
    </w:lvl>
  </w:abstractNum>
  <w:abstractNum w:abstractNumId="46">
    <w:nsid w:val="1A27709E"/>
    <w:multiLevelType w:val="hybridMultilevel"/>
    <w:lvl w:ilvl="0">
      <w:lvlJc w:val="left"/>
      <w:lvlText w:val="•"/>
      <w:numFmt w:val="bullet"/>
      <w:start w:val="1"/>
    </w:lvl>
  </w:abstractNum>
  <w:abstractNum w:abstractNumId="47">
    <w:nsid w:val="71EA1109"/>
    <w:multiLevelType w:val="hybridMultilevel"/>
    <w:lvl w:ilvl="0">
      <w:lvlJc w:val="left"/>
      <w:lvlText w:val="(%1)"/>
      <w:numFmt w:val="lowerRoman"/>
      <w:start w:val="3"/>
    </w:lvl>
  </w:abstractNum>
  <w:abstractNum w:abstractNumId="48">
    <w:nsid w:val="100F59DC"/>
    <w:multiLevelType w:val="hybridMultilevel"/>
    <w:lvl w:ilvl="0">
      <w:lvlJc w:val="left"/>
      <w:lvlText w:val="(%1)"/>
      <w:numFmt w:val="lowerRoman"/>
      <w:start w:val="5"/>
    </w:lvl>
  </w:abstractNum>
  <w:abstractNum w:abstractNumId="49">
    <w:nsid w:val="7FB7E0AA"/>
    <w:multiLevelType w:val="hybridMultilevel"/>
    <w:lvl w:ilvl="0">
      <w:lvlJc w:val="left"/>
      <w:lvlText w:val="•"/>
      <w:numFmt w:val="bullet"/>
      <w:start w:val="1"/>
    </w:lvl>
  </w:abstractNum>
  <w:abstractNum w:abstractNumId="50">
    <w:nsid w:val="6EB5BD4"/>
    <w:multiLevelType w:val="hybridMultilevel"/>
    <w:lvl w:ilvl="0">
      <w:lvlJc w:val="left"/>
      <w:lvlText w:val="(%1)"/>
      <w:numFmt w:val="decimal"/>
      <w:start w:val="1"/>
    </w:lvl>
  </w:abstractNum>
  <w:abstractNum w:abstractNumId="51">
    <w:nsid w:val="6F6DD9AC"/>
    <w:multiLevelType w:val="hybridMultilevel"/>
    <w:lvl w:ilvl="0">
      <w:lvlJc w:val="left"/>
      <w:lvlText w:val="(%1)"/>
      <w:numFmt w:val="decimal"/>
      <w:start w:val="1"/>
    </w:lvl>
  </w:abstractNum>
  <w:abstractNum w:abstractNumId="52">
    <w:nsid w:val="94211F2"/>
    <w:multiLevelType w:val="hybridMultilevel"/>
    <w:lvl w:ilvl="0">
      <w:lvlJc w:val="left"/>
      <w:lvlText w:val="•"/>
      <w:numFmt w:val="bullet"/>
      <w:start w:val="1"/>
    </w:lvl>
    <w:lvl w:ilvl="1">
      <w:lvlJc w:val="left"/>
      <w:lvlText w:val="\emdash "/>
      <w:numFmt w:val="bullet"/>
      <w:start w:val="1"/>
    </w:lvl>
  </w:abstractNum>
  <w:abstractNum w:abstractNumId="53">
    <w:nsid w:val="885E1B"/>
    <w:multiLevelType w:val="hybridMultilevel"/>
    <w:lvl w:ilvl="0">
      <w:lvlJc w:val="left"/>
      <w:lvlText w:val="•"/>
      <w:numFmt w:val="bullet"/>
      <w:start w:val="1"/>
    </w:lvl>
  </w:abstractNum>
  <w:abstractNum w:abstractNumId="54">
    <w:nsid w:val="76272110"/>
    <w:multiLevelType w:val="hybridMultilevel"/>
    <w:lvl w:ilvl="0">
      <w:lvlJc w:val="left"/>
      <w:lvlText w:val="•"/>
      <w:numFmt w:val="bullet"/>
      <w:start w:val="1"/>
    </w:lvl>
  </w:abstractNum>
  <w:abstractNum w:abstractNumId="55">
    <w:nsid w:val="4C04A8AF"/>
    <w:multiLevelType w:val="hybridMultilevel"/>
    <w:lvl w:ilvl="0">
      <w:lvlJc w:val="left"/>
      <w:lvlText w:val="•"/>
      <w:numFmt w:val="bullet"/>
      <w:start w:val="1"/>
    </w:lvl>
  </w:abstractNum>
  <w:abstractNum w:abstractNumId="56">
    <w:nsid w:val="1716703B"/>
    <w:multiLevelType w:val="hybridMultilevel"/>
    <w:lvl w:ilvl="0">
      <w:lvlJc w:val="left"/>
      <w:lvlText w:val="•"/>
      <w:numFmt w:val="bullet"/>
      <w:start w:val="1"/>
    </w:lvl>
  </w:abstractNum>
  <w:abstractNum w:abstractNumId="57">
    <w:nsid w:val="14E17E33"/>
    <w:multiLevelType w:val="hybridMultilevel"/>
    <w:lvl w:ilvl="0">
      <w:lvlJc w:val="left"/>
      <w:lvlText w:val="•"/>
      <w:numFmt w:val="bullet"/>
      <w:start w:val="1"/>
    </w:lvl>
  </w:abstractNum>
  <w:abstractNum w:abstractNumId="58">
    <w:nsid w:val="3222E7CD"/>
    <w:multiLevelType w:val="hybridMultilevel"/>
    <w:lvl w:ilvl="0">
      <w:lvlJc w:val="left"/>
      <w:lvlText w:val="(%1)"/>
      <w:numFmt w:val="decimal"/>
      <w:start w:val="1"/>
    </w:lvl>
    <w:lvl w:ilvl="1">
      <w:lvlJc w:val="left"/>
      <w:lvlText w:val="%2."/>
      <w:numFmt w:val="lowerLetter"/>
      <w:start w:val="2"/>
    </w:lvl>
  </w:abstractNum>
  <w:abstractNum w:abstractNumId="59">
    <w:nsid w:val="74DE0EE3"/>
    <w:multiLevelType w:val="hybridMultilevel"/>
    <w:lvl w:ilvl="0">
      <w:lvlJc w:val="left"/>
      <w:lvlText w:val="(***)"/>
      <w:numFmt w:val="bullet"/>
      <w:start w:val="1"/>
    </w:lvl>
  </w:abstractNum>
  <w:abstractNum w:abstractNumId="60">
    <w:nsid w:val="68EBC550"/>
    <w:multiLevelType w:val="hybridMultilevel"/>
    <w:lvl w:ilvl="0">
      <w:lvlJc w:val="left"/>
      <w:lvlText w:val="(%1)"/>
      <w:numFmt w:val="decimal"/>
      <w:start w:val="3"/>
    </w:lvl>
  </w:abstractNum>
  <w:abstractNum w:abstractNumId="61">
    <w:nsid w:val="2DF6D648"/>
    <w:multiLevelType w:val="hybridMultilevel"/>
    <w:lvl w:ilvl="0">
      <w:lvlJc w:val="left"/>
      <w:lvlText w:val="%1"/>
      <w:numFmt w:val="decimal"/>
      <w:start w:val="1"/>
    </w:lvl>
    <w:lvl w:ilvl="1">
      <w:lvlJc w:val="left"/>
      <w:lvlText w:val="(%2)"/>
      <w:numFmt w:val="lowerLetter"/>
      <w:start w:val="1"/>
    </w:lvl>
  </w:abstractNum>
  <w:abstractNum w:abstractNumId="62">
    <w:nsid w:val="46B7D447"/>
    <w:multiLevelType w:val="hybridMultilevel"/>
    <w:lvl w:ilvl="0">
      <w:lvlJc w:val="left"/>
      <w:lvlText w:val="(%1)"/>
      <w:numFmt w:val="decimal"/>
      <w:start w:val="5"/>
    </w:lvl>
    <w:lvl w:ilvl="1">
      <w:lvlJc w:val="left"/>
      <w:lvlText w:val="%2"/>
      <w:numFmt w:val="lowerLetter"/>
      <w:start w:val="1"/>
    </w:lvl>
  </w:abstractNum>
  <w:abstractNum w:abstractNumId="63">
    <w:nsid w:val="4A2AC315"/>
    <w:multiLevelType w:val="hybridMultilevel"/>
    <w:lvl w:ilvl="0">
      <w:lvlJc w:val="left"/>
      <w:lvlText w:val="(%1)"/>
      <w:numFmt w:val="decimal"/>
      <w:start w:val="1"/>
    </w:lvl>
  </w:abstractNum>
  <w:abstractNum w:abstractNumId="64">
    <w:nsid w:val="39EE015C"/>
    <w:multiLevelType w:val="hybridMultilevel"/>
    <w:lvl w:ilvl="0">
      <w:lvlJc w:val="left"/>
      <w:lvlText w:val="(%1)"/>
      <w:numFmt w:val="decimal"/>
      <w:start w:val="2"/>
    </w:lvl>
  </w:abstractNum>
  <w:abstractNum w:abstractNumId="65">
    <w:nsid w:val="57FC4FBB"/>
    <w:multiLevelType w:val="hybridMultilevel"/>
    <w:lvl w:ilvl="0">
      <w:lvlJc w:val="left"/>
      <w:lvlText w:val="(%1)"/>
      <w:numFmt w:val="decimal"/>
      <w:start w:val="6"/>
    </w:lvl>
  </w:abstractNum>
  <w:abstractNum w:abstractNumId="66">
    <w:nsid w:val="CC1016F"/>
    <w:multiLevelType w:val="hybridMultilevel"/>
    <w:lvl w:ilvl="0">
      <w:lvlJc w:val="left"/>
      <w:lvlText w:val="(%1)"/>
      <w:numFmt w:val="decimal"/>
      <w:start w:val="1"/>
    </w:lvl>
  </w:abstractNum>
  <w:abstractNum w:abstractNumId="67">
    <w:nsid w:val="43F18422"/>
    <w:multiLevelType w:val="hybridMultilevel"/>
    <w:lvl w:ilvl="0">
      <w:lvlJc w:val="left"/>
      <w:lvlText w:val="(%1)"/>
      <w:numFmt w:val="decimal"/>
      <w:start w:val="2"/>
    </w:lvl>
  </w:abstractNum>
  <w:abstractNum w:abstractNumId="68">
    <w:nsid w:val="60EF0119"/>
    <w:multiLevelType w:val="hybridMultilevel"/>
    <w:lvl w:ilvl="0">
      <w:lvlJc w:val="left"/>
      <w:lvlText w:val="(%1)"/>
      <w:numFmt w:val="decimal"/>
      <w:start w:val="1"/>
    </w:lvl>
  </w:abstractNum>
  <w:abstractNum w:abstractNumId="69">
    <w:nsid w:val="26F324BA"/>
    <w:multiLevelType w:val="hybridMultilevel"/>
    <w:lvl w:ilvl="0">
      <w:lvlJc w:val="left"/>
      <w:lvlText w:val="(%1)"/>
      <w:numFmt w:val="decimal"/>
      <w:start w:val="2"/>
    </w:lvl>
  </w:abstractNum>
  <w:abstractNum w:abstractNumId="70">
    <w:nsid w:val="7F01579B"/>
    <w:multiLevelType w:val="hybridMultilevel"/>
    <w:lvl w:ilvl="0">
      <w:lvlJc w:val="left"/>
      <w:lvlText w:val="(%1)"/>
      <w:numFmt w:val="decimal"/>
      <w:start w:val="1"/>
    </w:lvl>
  </w:abstractNum>
  <w:abstractNum w:abstractNumId="71">
    <w:nsid w:val="49DA307D"/>
    <w:multiLevelType w:val="hybridMultilevel"/>
    <w:lvl w:ilvl="0">
      <w:lvlJc w:val="left"/>
      <w:lvlText w:val="•"/>
      <w:numFmt w:val="bullet"/>
      <w:start w:val="1"/>
    </w:lvl>
  </w:abstractNum>
  <w:abstractNum w:abstractNumId="72">
    <w:nsid w:val="7055A5F5"/>
    <w:multiLevelType w:val="hybridMultilevel"/>
    <w:lvl w:ilvl="0">
      <w:lvlJc w:val="left"/>
      <w:lvlText w:val="•"/>
      <w:numFmt w:val="bullet"/>
      <w:start w:val="1"/>
    </w:lvl>
  </w:abstractNum>
  <w:abstractNum w:abstractNumId="73">
    <w:nsid w:val="5FB8370B"/>
    <w:multiLevelType w:val="hybridMultilevel"/>
    <w:lvl w:ilvl="0">
      <w:lvlJc w:val="left"/>
      <w:lvlText w:val="•"/>
      <w:numFmt w:val="bullet"/>
      <w:start w:val="1"/>
    </w:lvl>
  </w:abstractNum>
  <w:abstractNum w:abstractNumId="74">
    <w:nsid w:val="50801EE1"/>
    <w:multiLevelType w:val="hybridMultilevel"/>
    <w:lvl w:ilvl="0">
      <w:lvlJc w:val="left"/>
      <w:lvlText w:val="(%1)"/>
      <w:numFmt w:val="decimal"/>
      <w:start w:val="1"/>
    </w:lvl>
  </w:abstractNum>
  <w:abstractNum w:abstractNumId="75">
    <w:nsid w:val="488AC1A"/>
    <w:multiLevelType w:val="hybridMultilevel"/>
    <w:lvl w:ilvl="0">
      <w:lvlJc w:val="left"/>
      <w:lvlText w:val="(%1)"/>
      <w:numFmt w:val="decimal"/>
      <w:start w:val="5"/>
    </w:lvl>
  </w:abstractNum>
  <w:abstractNum w:abstractNumId="76">
    <w:nsid w:val="5FB8011C"/>
    <w:multiLevelType w:val="hybridMultilevel"/>
    <w:lvl w:ilvl="0">
      <w:lvlJc w:val="left"/>
      <w:lvlText w:val="•"/>
      <w:numFmt w:val="bullet"/>
      <w:start w:val="1"/>
    </w:lvl>
  </w:abstractNum>
  <w:abstractNum w:abstractNumId="77">
    <w:nsid w:val="6AA78F7F"/>
    <w:multiLevelType w:val="hybridMultilevel"/>
    <w:lvl w:ilvl="0">
      <w:lvlJc w:val="left"/>
      <w:lvlText w:val="(%1)"/>
      <w:numFmt w:val="decimal"/>
      <w:start w:val="1"/>
    </w:lvl>
  </w:abstractNum>
  <w:abstractNum w:abstractNumId="78">
    <w:nsid w:val="7672BD23"/>
    <w:multiLevelType w:val="hybridMultilevel"/>
    <w:lvl w:ilvl="0">
      <w:lvlJc w:val="left"/>
      <w:lvlText w:val="(%1)"/>
      <w:numFmt w:val="decimal"/>
      <w:start w:val="4"/>
    </w:lvl>
  </w:abstractNum>
  <w:abstractNum w:abstractNumId="79">
    <w:nsid w:val="6FC75AF8"/>
    <w:multiLevelType w:val="hybridMultilevel"/>
    <w:lvl w:ilvl="0">
      <w:lvlJc w:val="left"/>
      <w:lvlText w:val="•"/>
      <w:numFmt w:val="bullet"/>
      <w:start w:val="1"/>
    </w:lvl>
  </w:abstractNum>
  <w:abstractNum w:abstractNumId="80">
    <w:nsid w:val="6A5F7029"/>
    <w:multiLevelType w:val="hybridMultilevel"/>
    <w:lvl w:ilvl="0">
      <w:lvlJc w:val="left"/>
      <w:lvlText w:val="(%1)"/>
      <w:numFmt w:val="lowerRoman"/>
      <w:start w:val="2"/>
    </w:lvl>
  </w:abstractNum>
  <w:abstractNum w:abstractNumId="81">
    <w:nsid w:val="7D5E18F8"/>
    <w:multiLevelType w:val="hybridMultilevel"/>
    <w:lvl w:ilvl="0">
      <w:lvlJc w:val="left"/>
      <w:lvlText w:val="•"/>
      <w:numFmt w:val="bullet"/>
      <w:start w:val="1"/>
    </w:lvl>
  </w:abstractNum>
  <w:abstractNum w:abstractNumId="82">
    <w:nsid w:val="5F3534A4"/>
    <w:multiLevelType w:val="hybridMultilevel"/>
    <w:lvl w:ilvl="0">
      <w:lvlJc w:val="left"/>
      <w:lvlText w:val="•"/>
      <w:numFmt w:val="bullet"/>
      <w:start w:val="1"/>
    </w:lvl>
  </w:abstractNum>
  <w:abstractNum w:abstractNumId="83">
    <w:nsid w:val="73A1821B"/>
    <w:multiLevelType w:val="hybridMultilevel"/>
    <w:lvl w:ilvl="0">
      <w:lvlJc w:val="left"/>
      <w:lvlText w:val="•"/>
      <w:numFmt w:val="bullet"/>
      <w:start w:val="1"/>
    </w:lvl>
  </w:abstractNum>
  <w:abstractNum w:abstractNumId="84">
    <w:nsid w:val="7DE67713"/>
    <w:multiLevelType w:val="hybridMultilevel"/>
    <w:lvl w:ilvl="0">
      <w:lvlJc w:val="left"/>
      <w:lvlText w:val="%1:"/>
      <w:numFmt w:val="upperLetter"/>
      <w:start w:val="1"/>
    </w:lvl>
    <w:lvl w:ilvl="1">
      <w:lvlJc w:val="left"/>
      <w:lvlText w:val="%2."/>
      <w:numFmt w:val="decimal"/>
      <w:start w:val="1"/>
    </w:lvl>
  </w:abstractNum>
  <w:abstractNum w:abstractNumId="85">
    <w:nsid w:val="555C55B5"/>
    <w:multiLevelType w:val="hybridMultilevel"/>
    <w:lvl w:ilvl="0">
      <w:lvlJc w:val="left"/>
      <w:lvlText w:val="%1:"/>
      <w:numFmt w:val="upperLetter"/>
      <w:start w:val="1"/>
    </w:lvl>
  </w:abstractNum>
  <w:abstractNum w:abstractNumId="86">
    <w:nsid w:val="3FA62ACA"/>
    <w:multiLevelType w:val="hybridMultilevel"/>
    <w:lvl w:ilvl="0">
      <w:lvlJc w:val="left"/>
      <w:lvlText w:val="%1:"/>
      <w:numFmt w:val="upperLetter"/>
      <w:start w:val="1"/>
    </w:lvl>
  </w:abstractNum>
  <w:abstractNum w:abstractNumId="87">
    <w:nsid w:val="14FCE74E"/>
    <w:multiLevelType w:val="hybridMultilevel"/>
    <w:lvl w:ilvl="0">
      <w:lvlJc w:val="left"/>
      <w:lvlText w:val="%1:"/>
      <w:numFmt w:val="upperLetter"/>
      <w:start w:val="1"/>
    </w:lvl>
  </w:abstractNum>
  <w:abstractNum w:abstractNumId="88">
    <w:nsid w:val="6A3DD3E8"/>
    <w:multiLevelType w:val="hybridMultilevel"/>
    <w:lvl w:ilvl="0">
      <w:lvlJc w:val="left"/>
      <w:lvlText w:val="%1:"/>
      <w:numFmt w:val="upperLetter"/>
      <w:start w:val="1"/>
    </w:lvl>
    <w:lvl w:ilvl="1">
      <w:lvlJc w:val="left"/>
      <w:lvlText w:val="%2."/>
      <w:numFmt w:val="decimal"/>
      <w:start w:val="1"/>
    </w:lvl>
  </w:abstractNum>
  <w:abstractNum w:abstractNumId="89">
    <w:nsid w:val="71C91298"/>
    <w:multiLevelType w:val="hybridMultilevel"/>
    <w:lvl w:ilvl="0">
      <w:lvlJc w:val="left"/>
      <w:lvlText w:val="%1."/>
      <w:numFmt w:val="decimal"/>
      <w:start w:val="3"/>
    </w:lvl>
  </w:abstractNum>
  <w:abstractNum w:abstractNumId="90">
    <w:nsid w:val="9DAF632"/>
    <w:multiLevelType w:val="hybridMultilevel"/>
    <w:lvl w:ilvl="0">
      <w:lvlJc w:val="left"/>
      <w:lvlText w:val="%1:"/>
      <w:numFmt w:val="upperLetter"/>
      <w:start w:val="1"/>
    </w:lvl>
  </w:abstractNum>
  <w:abstractNum w:abstractNumId="91">
    <w:nsid w:val="53299938"/>
    <w:multiLevelType w:val="hybridMultilevel"/>
    <w:lvl w:ilvl="0">
      <w:lvlJc w:val="left"/>
      <w:lvlText w:val="%1:"/>
      <w:numFmt w:val="upperLetter"/>
      <w:start w:val="1"/>
    </w:lvl>
    <w:lvl w:ilvl="1">
      <w:lvlJc w:val="left"/>
      <w:lvlText w:val="•"/>
      <w:numFmt w:val="bullet"/>
      <w:start w:val="1"/>
    </w:lvl>
  </w:abstractNum>
  <w:abstractNum w:abstractNumId="92">
    <w:nsid w:val="1FBFE8E0"/>
    <w:multiLevelType w:val="hybridMultilevel"/>
    <w:lvl w:ilvl="0">
      <w:lvlJc w:val="left"/>
      <w:lvlText w:val="%1:"/>
      <w:numFmt w:val="upperLetter"/>
      <w:start w:val="1"/>
    </w:lvl>
  </w:abstractNum>
  <w:abstractNum w:abstractNumId="93">
    <w:nsid w:val="5092CA79"/>
    <w:multiLevelType w:val="hybridMultilevel"/>
    <w:lvl w:ilvl="0">
      <w:lvlJc w:val="left"/>
      <w:lvlText w:val="%1:"/>
      <w:numFmt w:val="upperLetter"/>
      <w:start w:val="1"/>
    </w:lvl>
  </w:abstractNum>
  <w:abstractNum w:abstractNumId="94">
    <w:nsid w:val="1D545C4D"/>
    <w:multiLevelType w:val="hybridMultilevel"/>
    <w:lvl w:ilvl="0">
      <w:lvlJc w:val="left"/>
      <w:lvlText w:val="%1:"/>
      <w:numFmt w:val="upperLetter"/>
      <w:start w:val="1"/>
    </w:lvl>
  </w:abstractNum>
  <w:abstractNum w:abstractNumId="95">
    <w:nsid w:val="59ADEA3D"/>
    <w:multiLevelType w:val="hybridMultilevel"/>
    <w:lvl w:ilvl="0">
      <w:lvlJc w:val="left"/>
      <w:lvlText w:val="%1:"/>
      <w:numFmt w:val="upperLetter"/>
      <w:start w:val="1"/>
    </w:lvl>
  </w:abstractNum>
  <w:abstractNum w:abstractNumId="96">
    <w:nsid w:val="288F1A34"/>
    <w:multiLevelType w:val="hybridMultilevel"/>
    <w:lvl w:ilvl="0">
      <w:lvlJc w:val="left"/>
      <w:lvlText w:val="%1:"/>
      <w:numFmt w:val="upperLetter"/>
      <w:start w:val="1"/>
    </w:lvl>
  </w:abstractNum>
  <w:abstractNum w:abstractNumId="97">
    <w:nsid w:val="2A155DBC"/>
    <w:multiLevelType w:val="hybridMultilevel"/>
    <w:lvl w:ilvl="0">
      <w:lvlJc w:val="left"/>
      <w:lvlText w:val="%1:"/>
      <w:numFmt w:val="upperLetter"/>
      <w:start w:val="1"/>
    </w:lvl>
  </w:abstractNum>
  <w:abstractNum w:abstractNumId="98">
    <w:nsid w:val="1D9F6E5F"/>
    <w:multiLevelType w:val="hybridMultilevel"/>
    <w:lvl w:ilvl="0">
      <w:lvlJc w:val="left"/>
      <w:lvlText w:val="%1:"/>
      <w:numFmt w:val="upperLetter"/>
      <w:start w:val="1"/>
    </w:lvl>
  </w:abstractNum>
  <w:abstractNum w:abstractNumId="99">
    <w:nsid w:val="97E1B4E"/>
    <w:multiLevelType w:val="hybridMultilevel"/>
    <w:lvl w:ilvl="0">
      <w:lvlJc w:val="left"/>
      <w:lvlText w:val="%1:"/>
      <w:numFmt w:val="upperLetter"/>
      <w:start w:val="1"/>
    </w:lvl>
  </w:abstractNum>
  <w:abstractNum w:abstractNumId="100">
    <w:nsid w:val="51088277"/>
    <w:multiLevelType w:val="hybridMultilevel"/>
    <w:lvl w:ilvl="0">
      <w:lvlJc w:val="left"/>
      <w:lvlText w:val="%1:"/>
      <w:numFmt w:val="upperLetter"/>
      <w:start w:val="1"/>
    </w:lvl>
  </w:abstractNum>
  <w:abstractNum w:abstractNumId="101">
    <w:nsid w:val="1CA0C5FA"/>
    <w:multiLevelType w:val="hybridMultilevel"/>
    <w:lvl w:ilvl="0">
      <w:lvlJc w:val="left"/>
      <w:lvlText w:val="%1:"/>
      <w:numFmt w:val="upperLetter"/>
      <w:start w:val="1"/>
    </w:lvl>
  </w:abstractNum>
  <w:abstractNum w:abstractNumId="102">
    <w:nsid w:val="53584BCB"/>
    <w:multiLevelType w:val="hybridMultilevel"/>
    <w:lvl w:ilvl="0">
      <w:lvlJc w:val="left"/>
      <w:lvlText w:val="%1:"/>
      <w:numFmt w:val="upperLetter"/>
      <w:start w:val="1"/>
    </w:lvl>
  </w:abstractNum>
  <w:abstractNum w:abstractNumId="103">
    <w:nsid w:val="415E286C"/>
    <w:multiLevelType w:val="hybridMultilevel"/>
    <w:lvl w:ilvl="0">
      <w:lvlJc w:val="left"/>
      <w:lvlText w:val="%1:"/>
      <w:numFmt w:val="upperLetter"/>
      <w:start w:val="1"/>
    </w:lvl>
  </w:abstractNum>
  <w:abstractNum w:abstractNumId="104">
    <w:nsid w:val="7C58FD05"/>
    <w:multiLevelType w:val="hybridMultilevel"/>
    <w:lvl w:ilvl="0">
      <w:lvlJc w:val="left"/>
      <w:lvlText w:val="%1:"/>
      <w:numFmt w:val="upperLetter"/>
      <w:start w:val="1"/>
    </w:lvl>
  </w:abstractNum>
  <w:abstractNum w:abstractNumId="105">
    <w:nsid w:val="23D86AAC"/>
    <w:multiLevelType w:val="hybridMultilevel"/>
    <w:lvl w:ilvl="0">
      <w:lvlJc w:val="left"/>
      <w:lvlText w:val="(%1)"/>
      <w:numFmt w:val="decimal"/>
      <w:start w:val="1"/>
    </w:lvl>
  </w:abstractNum>
  <w:abstractNum w:abstractNumId="106">
    <w:nsid w:val="45E6D486"/>
    <w:multiLevelType w:val="hybridMultilevel"/>
    <w:lvl w:ilvl="0">
      <w:lvlJc w:val="left"/>
      <w:lvlText w:val="*"/>
      <w:numFmt w:val="bullet"/>
      <w:start w:val="1"/>
    </w:lvl>
  </w:abstractNum>
  <w:abstractNum w:abstractNumId="107">
    <w:nsid w:val="5C10FE21"/>
    <w:multiLevelType w:val="hybridMultilevel"/>
    <w:lvl w:ilvl="0">
      <w:lvlJc w:val="left"/>
      <w:lvlText w:val="(%1)"/>
      <w:numFmt w:val="decimal"/>
      <w:start w:val="1"/>
    </w:lvl>
  </w:abstractNum>
  <w:abstractNum w:abstractNumId="108">
    <w:nsid w:val="E7FFA2B"/>
    <w:multiLevelType w:val="hybridMultilevel"/>
    <w:lvl w:ilvl="0">
      <w:lvlJc w:val="left"/>
      <w:lvlText w:val="(%1)"/>
      <w:numFmt w:val="decimal"/>
      <w:start w:val="1"/>
    </w:lvl>
  </w:abstractNum>
  <w:abstractNum w:abstractNumId="109">
    <w:nsid w:val="3C5991AA"/>
    <w:multiLevelType w:val="hybridMultilevel"/>
    <w:lvl w:ilvl="0">
      <w:lvlJc w:val="left"/>
      <w:lvlText w:val="%1."/>
      <w:numFmt w:val="decimal"/>
      <w:start w:val="1"/>
    </w:lvl>
  </w:abstractNum>
  <w:abstractNum w:abstractNumId="110">
    <w:nsid w:val="4BD8591A"/>
    <w:multiLevelType w:val="hybridMultilevel"/>
    <w:lvl w:ilvl="0">
      <w:lvlJc w:val="left"/>
      <w:lvlText w:val="(%1)"/>
      <w:numFmt w:val="lowerRoman"/>
      <w:start w:val="1"/>
    </w:lvl>
  </w:abstractNum>
  <w:abstractNum w:abstractNumId="111">
    <w:nsid w:val="78DF6A55"/>
    <w:multiLevelType w:val="hybridMultilevel"/>
    <w:lvl w:ilvl="0">
      <w:lvlJc w:val="left"/>
      <w:lvlText w:val="%1."/>
      <w:numFmt w:val="decimal"/>
      <w:start w:val="3"/>
    </w:lvl>
  </w:abstractNum>
  <w:abstractNum w:abstractNumId="112">
    <w:nsid w:val="39B7AAA2"/>
    <w:multiLevelType w:val="hybridMultilevel"/>
    <w:lvl w:ilvl="0">
      <w:lvlJc w:val="left"/>
      <w:lvlText w:val="%1."/>
      <w:numFmt w:val="decimal"/>
      <w:start w:val="4"/>
    </w:lvl>
    <w:lvl w:ilvl="1">
      <w:lvlJc w:val="left"/>
      <w:lvlText w:val="(%2)"/>
      <w:numFmt w:val="lowerLetter"/>
      <w:start w:val="1"/>
    </w:lvl>
  </w:abstractNum>
  <w:abstractNum w:abstractNumId="113">
    <w:nsid w:val="2B0D8DBE"/>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114">
    <w:nsid w:val="6C80EC70"/>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115">
    <w:nsid w:val="379E21B5"/>
    <w:multiLevelType w:val="hybridMultilevel"/>
    <w:lvl w:ilvl="0">
      <w:lvlJc w:val="left"/>
      <w:lvlText w:val="%1."/>
      <w:numFmt w:val="decimal"/>
      <w:start w:val="16"/>
    </w:lvl>
  </w:abstractNum>
  <w:abstractNum w:abstractNumId="116">
    <w:nsid w:val="69E373"/>
    <w:multiLevelType w:val="hybridMultilevel"/>
    <w:lvl w:ilvl="0">
      <w:lvlJc w:val="left"/>
      <w:lvlText w:val="%1."/>
      <w:numFmt w:val="decimal"/>
      <w:start w:val="23"/>
    </w:lvl>
    <w:lvl w:ilvl="1">
      <w:lvlJc w:val="left"/>
      <w:lvlText w:val="(%2)"/>
      <w:numFmt w:val="lowerLetter"/>
      <w:start w:val="1"/>
    </w:lvl>
    <w:lvl w:ilvl="2">
      <w:lvlJc w:val="left"/>
      <w:lvlText w:val="(%3)"/>
      <w:numFmt w:val="lowerRoman"/>
      <w:start w:val="1"/>
    </w:lvl>
  </w:abstractNum>
  <w:abstractNum w:abstractNumId="117">
    <w:nsid w:val="2C27173B"/>
    <w:multiLevelType w:val="hybridMultilevel"/>
    <w:lvl w:ilvl="0">
      <w:lvlJc w:val="left"/>
      <w:lvlText w:val="%1."/>
      <w:numFmt w:val="decimal"/>
      <w:start w:val="1"/>
    </w:lvl>
  </w:abstractNum>
  <w:abstractNum w:abstractNumId="118">
    <w:nsid w:val="4C9B090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2022-01-21T06:37:24Z</dcterms:created>
  <dcterms:modified xsi:type="dcterms:W3CDTF">2022-01-21T06:37:24Z</dcterms:modified>
</cp:coreProperties>
</file>