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39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975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Matson William R</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01/04/2011</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VP, Worldwide Human Resources</w:t>
      </w:r>
    </w:p>
    <w:p>
      <w:pPr>
        <w:spacing w:after="0" w:line="408"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02062-9106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restart"/>
          </w:tcPr>
          <w:p>
            <w:pPr>
              <w:ind w:left="60"/>
              <w:spacing w:after="0" w:line="211" w:lineRule="exact"/>
              <w:rPr>
                <w:sz w:val="20"/>
                <w:szCs w:val="20"/>
                <w:color w:val="auto"/>
              </w:rPr>
            </w:pPr>
            <w:r>
              <w:rPr>
                <w:rFonts w:ascii="Arial" w:cs="Arial" w:eastAsia="Arial" w:hAnsi="Arial"/>
                <w:sz w:val="13"/>
                <w:szCs w:val="13"/>
                <w:color w:val="0000FF"/>
              </w:rPr>
              <w:t>01/04/2012</w:t>
            </w:r>
            <w:r>
              <w:rPr>
                <w:rFonts w:ascii="Arial" w:cs="Arial" w:eastAsia="Arial" w:hAnsi="Arial"/>
                <w:sz w:val="21"/>
                <w:szCs w:val="21"/>
                <w:color w:val="008000"/>
                <w:vertAlign w:val="superscript"/>
              </w:rPr>
              <w:t>(1)</w:t>
            </w: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w w:val="92"/>
              </w:rPr>
              <w:t>33,080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ind w:right="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37.52</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jc w:val="right"/>
              <w:ind w:right="20"/>
              <w:spacing w:after="0" w:line="146" w:lineRule="exact"/>
              <w:rPr>
                <w:sz w:val="20"/>
                <w:szCs w:val="20"/>
                <w:color w:val="auto"/>
              </w:rPr>
            </w:pPr>
            <w:r>
              <w:rPr>
                <w:rFonts w:ascii="Arial" w:cs="Arial" w:eastAsia="Arial" w:hAnsi="Arial"/>
                <w:sz w:val="13"/>
                <w:szCs w:val="13"/>
                <w:color w:val="0000FF"/>
              </w:rPr>
              <w:t>33,080</w:t>
            </w:r>
          </w:p>
        </w:tc>
        <w:tc>
          <w:tcPr>
            <w:tcW w:w="30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80" w:type="dxa"/>
            <w:vAlign w:val="bottom"/>
            <w:vMerge w:val="restart"/>
          </w:tcPr>
          <w:p>
            <w:pPr>
              <w:jc w:val="right"/>
              <w:ind w:right="20"/>
              <w:spacing w:after="0" w:line="146" w:lineRule="exact"/>
              <w:rPr>
                <w:sz w:val="20"/>
                <w:szCs w:val="20"/>
                <w:color w:val="auto"/>
              </w:rPr>
            </w:pPr>
            <w:r>
              <w:rPr>
                <w:rFonts w:ascii="Arial" w:cs="Arial" w:eastAsia="Arial" w:hAnsi="Arial"/>
                <w:sz w:val="13"/>
                <w:szCs w:val="13"/>
                <w:color w:val="0000FF"/>
                <w:w w:val="89"/>
              </w:rPr>
              <w:t>01/04/2021</w:t>
            </w:r>
          </w:p>
        </w:tc>
        <w:tc>
          <w:tcPr>
            <w:tcW w:w="7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vMerge w:val="restart"/>
          </w:tcPr>
          <w:p>
            <w:pPr>
              <w:jc w:val="right"/>
              <w:ind w:right="221"/>
              <w:spacing w:after="0" w:line="146" w:lineRule="exact"/>
              <w:rPr>
                <w:sz w:val="20"/>
                <w:szCs w:val="20"/>
                <w:color w:val="auto"/>
              </w:rPr>
            </w:pPr>
            <w:r>
              <w:rPr>
                <w:rFonts w:ascii="Arial" w:cs="Arial" w:eastAsia="Arial" w:hAnsi="Arial"/>
                <w:sz w:val="13"/>
                <w:szCs w:val="13"/>
                <w:color w:val="0000FF"/>
              </w:rPr>
              <w:t>33,080</w:t>
            </w: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3"/>
                <w:szCs w:val="13"/>
                <w:color w:val="0000FF"/>
              </w:rPr>
              <w:t>01/04/2014</w:t>
            </w:r>
            <w:r>
              <w:rPr>
                <w:rFonts w:ascii="Arial" w:cs="Arial" w:eastAsia="Arial" w:hAnsi="Arial"/>
                <w:sz w:val="21"/>
                <w:szCs w:val="21"/>
                <w:color w:val="008000"/>
                <w:vertAlign w:val="superscript"/>
              </w:rPr>
              <w:t>(2)</w:t>
            </w:r>
          </w:p>
        </w:tc>
        <w:tc>
          <w:tcPr>
            <w:tcW w:w="680" w:type="dxa"/>
            <w:vAlign w:val="bottom"/>
            <w:vMerge w:val="restart"/>
          </w:tcPr>
          <w:p>
            <w:pPr>
              <w:jc w:val="right"/>
              <w:ind w:right="260"/>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vMerge w:val="restart"/>
          </w:tcPr>
          <w:p>
            <w:pPr>
              <w:jc w:val="right"/>
              <w:ind w:right="32"/>
              <w:spacing w:after="0"/>
              <w:rPr>
                <w:sz w:val="20"/>
                <w:szCs w:val="20"/>
                <w:color w:val="auto"/>
              </w:rPr>
            </w:pPr>
            <w:r>
              <w:rPr>
                <w:rFonts w:ascii="Arial" w:cs="Arial" w:eastAsia="Arial" w:hAnsi="Arial"/>
                <w:sz w:val="17"/>
                <w:szCs w:val="17"/>
                <w:color w:val="0000FF"/>
              </w:rPr>
              <w:t>7,585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6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jc w:val="right"/>
              <w:ind w:right="40"/>
              <w:spacing w:after="0" w:line="146" w:lineRule="exact"/>
              <w:rPr>
                <w:sz w:val="20"/>
                <w:szCs w:val="20"/>
                <w:color w:val="auto"/>
              </w:rPr>
            </w:pPr>
            <w:r>
              <w:rPr>
                <w:rFonts w:ascii="Arial" w:cs="Arial" w:eastAsia="Arial" w:hAnsi="Arial"/>
                <w:sz w:val="13"/>
                <w:szCs w:val="13"/>
                <w:color w:val="0000FF"/>
              </w:rPr>
              <w:t>7,585</w:t>
            </w:r>
          </w:p>
        </w:tc>
        <w:tc>
          <w:tcPr>
            <w:tcW w:w="3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0000FF"/>
              </w:rPr>
              <w:t>7,585</w:t>
            </w:r>
          </w:p>
        </w:tc>
        <w:tc>
          <w:tcPr>
            <w:tcW w:w="300" w:type="dxa"/>
            <w:vAlign w:val="bottom"/>
          </w:tcPr>
          <w:p>
            <w:pPr>
              <w:spacing w:after="0"/>
              <w:rPr>
                <w:sz w:val="12"/>
                <w:szCs w:val="12"/>
                <w:color w:val="auto"/>
              </w:rPr>
            </w:pP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48" w:lineRule="exact"/>
        <w:rPr>
          <w:rFonts w:ascii="Arial" w:cs="Arial" w:eastAsia="Arial" w:hAnsi="Arial"/>
          <w:sz w:val="13"/>
          <w:szCs w:val="13"/>
          <w:color w:val="008000"/>
        </w:rPr>
      </w:pPr>
    </w:p>
    <w:p>
      <w:pPr>
        <w:jc w:val="both"/>
        <w:ind w:left="40" w:right="440" w:firstLine="5"/>
        <w:spacing w:after="0" w:line="31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 This is a vesting schedule. 100.00% vests three years from the original grant date. Upon the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matsonpoa.txt</w:t>
      </w:r>
    </w:p>
    <w:p>
      <w:pPr>
        <w:spacing w:after="0" w:line="7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Kristin S. Caplice,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231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2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w:t>
      </w:r>
    </w:p>
    <w:p>
      <w:pPr>
        <w:spacing w:after="0" w:line="1"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Margaret K. Seif (Legal), David A. Zinsner (Finance), Kristin S. Caplice (Legal), Kevin P. Lanouette</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(Legal), Fran Sarro (Treasury), Michael A. Simone (Legal), Elizabeth Black (WilmerHale) and Mark</w:t>
      </w:r>
    </w:p>
    <w:p>
      <w:pPr>
        <w:spacing w:after="0" w:line="1"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Devine (WilmerHale), signing singly and each acting individually, as the undersigned's true and lawful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with full power and authority as hereinafter described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execute for and on behalf of the</w:t>
      </w:r>
    </w:p>
    <w:p>
      <w:pPr>
        <w:spacing w:after="0" w:line="5"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7"/>
          <w:szCs w:val="17"/>
          <w:color w:val="auto"/>
        </w:rPr>
        <w:t>undersigned, in the undersigned's capacity as an officer and/or director of Analog Devices, Inc.</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"Company"), Forms 3, 4, and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any amendments</w:t>
      </w:r>
    </w:p>
    <w:p>
      <w:pPr>
        <w:spacing w:after="0" w:line="5"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thereto) in accordance with Section 16(a) of the Securities Exchange Act of 1934 and the rules thereunder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right="2179" w:firstLine="3706"/>
        <w:spacing w:after="0" w:line="246"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execute any amendment or amendments thereto, and timely deliver and ile such form with the United</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States Securities and Exchange Commission (the "SEC") and any stock exchange or similar authority,</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including without limitation the filing of a Form ID, including amendments thereto, or any other</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application materials to enable the undersigned to gain or maintain access to the Electronic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Gathering Analysis and Retrieval ("EDGAR") system of the SEC and any and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 systems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EDGAR system;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right="2799" w:firstLine="3706"/>
        <w:spacing w:after="0" w:line="246" w:lineRule="auto"/>
        <w:rPr>
          <w:sz w:val="20"/>
          <w:szCs w:val="20"/>
          <w:color w:val="auto"/>
        </w:rPr>
      </w:pPr>
      <w:r>
        <w:rPr>
          <w:rFonts w:ascii="Courier New" w:cs="Courier New" w:eastAsia="Courier New" w:hAnsi="Courier New"/>
          <w:sz w:val="17"/>
          <w:szCs w:val="17"/>
          <w:color w:val="auto"/>
        </w:rPr>
        <w:t>seek or obtain, as the undersigned's representative and on the undersigned's behalf,</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information regarding transactions in the Company's securities from any third party, including brokers,</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employee beneit plan administrators and trustees, and the undersigned hereby authorizes any such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release any such information to such attorney-in-fact and approves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ratiies any such release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220" w:right="1979" w:firstLine="3500"/>
        <w:spacing w:after="0" w:line="246"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the opinion of such attorney-in-fact, may be of benefit to, in the best interest of, or legally required by, the</w:t>
      </w:r>
    </w:p>
    <w:p>
      <w:pPr>
        <w:spacing w:after="0" w:line="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7"/>
          <w:szCs w:val="17"/>
          <w:color w:val="auto"/>
        </w:rPr>
        <w:t>undersigned, it being understood that the documents executed by such attomey-in-fact on behalf of the</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undersigned pursuant to this Power of Attorney shall be in such form and shall contain such terms and</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conditions as such attorney-in-fact may approve in such attorney-in-fact's discretion.</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might or could do if personally present, with full power of substitution or revocation, hereby ratifying and</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conirming all that such attorney-in-fact, or such attorney-in-fact's substitute or substitutes, shall lawfully</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do or cause to be done by virtue of this power of attorney and the rights and powers herein granted. The</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undersigned acknowledges that the foregoing attorneys-in-fact, in serving in such capacity at the request</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of the undersigned, are not assuming nor relieving, nor is the Company assuming nor relieving, any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responsibilities to comply with Section 16 of the Exchange 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neither the Company nor the foregoing attorneys-in-fact assume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any liability for the</w:t>
      </w:r>
    </w:p>
    <w:p>
      <w:pPr>
        <w:spacing w:after="0" w:line="5"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undersigned's responsibility to comply with the requirement of the Exchange Act, (ii) any liability of the</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undersigned for any failure to comply with such requirements, or (iii) any obligation or liability of the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undersigned for proit disgorgement under Section 16(b) of the Exchange Act. This Power of Attorney shall remain in full force and effect until the undersigned is no longer</w:t>
      </w:r>
    </w:p>
    <w:p>
      <w:pPr>
        <w:sectPr>
          <w:pgSz w:w="11900" w:h="16838" w:orient="portrait"/>
          <w:cols w:equalWidth="0" w:num="1">
            <w:col w:w="10219"/>
          </w:cols>
          <w:pgMar w:left="240" w:top="142" w:right="1440" w:bottom="0" w:gutter="0" w:footer="0" w:header="0"/>
        </w:sectPr>
      </w:pPr>
    </w:p>
    <w:bookmarkStart w:id="2" w:name="page3"/>
    <w:bookmarkEnd w:id="2"/>
    <w:p>
      <w:pPr>
        <w:ind w:right="2079"/>
        <w:spacing w:after="0" w:line="246" w:lineRule="auto"/>
        <w:rPr>
          <w:sz w:val="20"/>
          <w:szCs w:val="20"/>
          <w:color w:val="auto"/>
        </w:rPr>
      </w:pPr>
      <w:r>
        <w:rPr>
          <w:rFonts w:ascii="Courier New" w:cs="Courier New" w:eastAsia="Courier New" w:hAnsi="Courier New"/>
          <w:sz w:val="17"/>
          <w:szCs w:val="17"/>
          <w:color w:val="auto"/>
        </w:rPr>
        <w:t>required to ile Forms 3, 4, and 5 with respect to the undersigned's holdings of and transactions in</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securities issued by the Company, unless earlier revoked by the undersigned in a signed writing delivered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foregoing attorneys-in-fact.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USIDOCS7784776v2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INWITNESS WHEREOF, the undersigned has caused this Power of Attorney to be executed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 -3^oay of December, 2010.</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Attorneyfor Section 16 I-'ilings]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37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2019-12-18T07:45:45Z</dcterms:created>
  <dcterms:modified xsi:type="dcterms:W3CDTF">2019-12-18T07:45:45Z</dcterms:modified>
</cp:coreProperties>
</file>