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0001768266</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6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632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660" w:type="dxa"/>
            <w:vAlign w:val="bottom"/>
          </w:tcPr>
          <w:p>
            <w:pPr>
              <w:spacing w:after="0"/>
              <w:rPr>
                <w:sz w:val="24"/>
                <w:szCs w:val="24"/>
                <w:color w:val="auto"/>
              </w:rPr>
            </w:pP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ANALOG DEVICES INC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660" w:type="dxa"/>
            <w:vAlign w:val="bottom"/>
          </w:tcPr>
          <w:p>
            <w:pPr>
              <w:spacing w:after="0"/>
              <w:rPr>
                <w:sz w:val="24"/>
                <w:szCs w:val="24"/>
                <w:color w:val="auto"/>
              </w:rPr>
            </w:pP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001-07819</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ONE ANALOG WAY</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660" w:type="dxa"/>
            <w:vAlign w:val="bottom"/>
          </w:tcPr>
          <w:p>
            <w:pPr>
              <w:spacing w:after="0"/>
              <w:rPr>
                <w:sz w:val="19"/>
                <w:szCs w:val="19"/>
                <w:color w:val="auto"/>
              </w:rPr>
            </w:pP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WILMINGTON</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3240" w:type="dxa"/>
            <w:vAlign w:val="bottom"/>
            <w:vMerge w:val="restart"/>
          </w:tcPr>
          <w:p>
            <w:pPr>
              <w:ind w:left="1180"/>
              <w:spacing w:after="0"/>
              <w:rPr>
                <w:sz w:val="20"/>
                <w:szCs w:val="20"/>
                <w:color w:val="auto"/>
              </w:rPr>
            </w:pPr>
            <w:r>
              <w:rPr>
                <w:rFonts w:ascii="Times New Roman" w:cs="Times New Roman" w:eastAsia="Times New Roman" w:hAnsi="Times New Roman"/>
                <w:sz w:val="19"/>
                <w:szCs w:val="19"/>
                <w:color w:val="auto"/>
              </w:rPr>
              <w:t>MASSACHUSETTS</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01887</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660" w:type="dxa"/>
            <w:vAlign w:val="bottom"/>
          </w:tcPr>
          <w:p>
            <w:pPr>
              <w:spacing w:after="0"/>
              <w:rPr>
                <w:sz w:val="24"/>
                <w:szCs w:val="24"/>
                <w:color w:val="auto"/>
              </w:rPr>
            </w:pP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7813294700</w:t>
            </w:r>
          </w:p>
        </w:tc>
        <w:tc>
          <w:tcPr>
            <w:tcW w:w="0" w:type="dxa"/>
            <w:vAlign w:val="bottom"/>
          </w:tcPr>
          <w:p>
            <w:pPr>
              <w:spacing w:after="0"/>
              <w:rPr>
                <w:sz w:val="1"/>
                <w:szCs w:val="1"/>
                <w:color w:val="auto"/>
              </w:rPr>
            </w:pPr>
          </w:p>
        </w:tc>
      </w:tr>
      <w:tr>
        <w:trPr>
          <w:trHeight w:val="276"/>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2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Sondel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475" w:gutter="0" w:footer="0" w:header="0"/>
        </w:sectPr>
      </w:pP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4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Fidelity Brokerage Services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LLC</w:t>
            </w:r>
          </w:p>
        </w:tc>
        <w:tc>
          <w:tcPr>
            <w:tcW w:w="1100" w:type="dxa"/>
            <w:vAlign w:val="bottom"/>
            <w:vMerge w:val="restart"/>
          </w:tcPr>
          <w:p>
            <w:pPr>
              <w:jc w:val="right"/>
              <w:ind w:right="564"/>
              <w:spacing w:after="0"/>
              <w:rPr>
                <w:sz w:val="20"/>
                <w:szCs w:val="20"/>
                <w:color w:val="auto"/>
              </w:rPr>
            </w:pPr>
            <w:r>
              <w:rPr>
                <w:rFonts w:ascii="Times New Roman" w:cs="Times New Roman" w:eastAsia="Times New Roman" w:hAnsi="Times New Roman"/>
                <w:sz w:val="19"/>
                <w:szCs w:val="19"/>
                <w:color w:val="auto"/>
              </w:rPr>
              <w:t>8169</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234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900 Salem Street</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Smithfield  RI  02917</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2"/>
        </w:trPr>
        <w:tc>
          <w:tcPr>
            <w:tcW w:w="122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w w:val="99"/>
              </w:rPr>
              <w:t>2283135.43</w:t>
            </w:r>
          </w:p>
        </w:tc>
        <w:tc>
          <w:tcPr>
            <w:tcW w:w="11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489654097</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12/10/2025   NASDAQ</w:t>
            </w:r>
          </w:p>
        </w:tc>
        <w:tc>
          <w:tcPr>
            <w:tcW w:w="0" w:type="dxa"/>
            <w:vAlign w:val="bottom"/>
          </w:tcPr>
          <w:p>
            <w:pPr>
              <w:spacing w:after="0"/>
              <w:rPr>
                <w:sz w:val="1"/>
                <w:szCs w:val="1"/>
                <w:color w:val="auto"/>
              </w:rPr>
            </w:pPr>
          </w:p>
        </w:tc>
      </w:tr>
    </w:tbl>
    <w:p>
      <w:pPr>
        <w:spacing w:after="0" w:line="548" w:lineRule="exact"/>
        <w:rPr>
          <w:sz w:val="24"/>
          <w:szCs w:val="24"/>
          <w:color w:val="auto"/>
        </w:rPr>
      </w:pPr>
    </w:p>
    <w:p>
      <w:pPr>
        <w:sectPr>
          <w:pgSz w:w="11900" w:h="16840" w:orient="portrait"/>
          <w:cols w:equalWidth="0" w:num="2">
            <w:col w:w="5660" w:space="100"/>
            <w:col w:w="4800"/>
          </w:cols>
          <w:pgMar w:left="660" w:top="592" w:right="680" w:bottom="475" w:gutter="0" w:footer="0" w:header="0"/>
          <w:type w:val="continuous"/>
        </w:sect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6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475"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12/10/2025</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19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2200</w:t>
            </w:r>
          </w:p>
        </w:tc>
        <w:tc>
          <w:tcPr>
            <w:tcW w:w="17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12/10/2025 Cash</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03/08/2017</w:t>
            </w:r>
          </w:p>
        </w:tc>
        <w:tc>
          <w:tcPr>
            <w:tcW w:w="1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12/10/2025</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19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1992</w:t>
            </w:r>
          </w:p>
        </w:tc>
        <w:tc>
          <w:tcPr>
            <w:tcW w:w="17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12/10/2025 Cash</w:t>
            </w:r>
          </w:p>
        </w:tc>
      </w:tr>
      <w:tr>
        <w:trPr>
          <w:trHeight w:val="203"/>
        </w:trPr>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ind w:left="20"/>
              <w:spacing w:after="0" w:line="203" w:lineRule="exact"/>
              <w:rPr>
                <w:sz w:val="20"/>
                <w:szCs w:val="20"/>
                <w:color w:val="auto"/>
              </w:rPr>
            </w:pPr>
            <w:r>
              <w:rPr>
                <w:rFonts w:ascii="Times New Roman" w:cs="Times New Roman" w:eastAsia="Times New Roman" w:hAnsi="Times New Roman"/>
                <w:sz w:val="19"/>
                <w:szCs w:val="19"/>
                <w:color w:val="auto"/>
              </w:rPr>
              <w:t>03/29/2018</w:t>
            </w:r>
          </w:p>
        </w:tc>
        <w:tc>
          <w:tcPr>
            <w:tcW w:w="1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12/10/2025</w:t>
            </w: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Option Granted</w:t>
            </w:r>
          </w:p>
        </w:tc>
        <w:tc>
          <w:tcPr>
            <w:tcW w:w="18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Issuer</w:t>
            </w:r>
          </w:p>
        </w:tc>
        <w:tc>
          <w:tcPr>
            <w:tcW w:w="19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3977</w:t>
            </w:r>
          </w:p>
        </w:tc>
        <w:tc>
          <w:tcPr>
            <w:tcW w:w="17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12/10/2025 Cash</w:t>
            </w:r>
          </w:p>
        </w:tc>
      </w:tr>
      <w:tr>
        <w:trPr>
          <w:trHeight w:val="251"/>
        </w:trPr>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03/13/2019</w:t>
            </w:r>
          </w:p>
        </w:tc>
        <w:tc>
          <w:tcPr>
            <w:tcW w:w="18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-897890</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-577850</wp:posOffset>
            </wp:positionV>
            <wp:extent cx="11430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-257810</wp:posOffset>
            </wp:positionV>
            <wp:extent cx="11430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8"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xml:space="preserve">Nothing to Report </w:t>
      </w:r>
      <w:r>
        <w:rPr>
          <w:sz w:val="1"/>
          <w:szCs w:val="1"/>
          <w:color w:val="auto"/>
        </w:rPr>
        <w:drawing>
          <wp:inline distT="0" distB="0" distL="0" distR="0">
            <wp:extent cx="114300" cy="114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12/10/2025</w:t>
            </w:r>
          </w:p>
        </w:tc>
        <w:tc>
          <w:tcPr>
            <w:tcW w:w="0" w:type="dxa"/>
            <w:vAlign w:val="bottom"/>
          </w:tcPr>
          <w:p>
            <w:pPr>
              <w:spacing w:after="0"/>
              <w:rPr>
                <w:sz w:val="1"/>
                <w:szCs w:val="1"/>
                <w:color w:val="auto"/>
              </w:rPr>
            </w:pPr>
          </w:p>
        </w:tc>
      </w:tr>
      <w:tr>
        <w:trPr>
          <w:trHeight w:val="131"/>
        </w:trPr>
        <w:tc>
          <w:tcPr>
            <w:tcW w:w="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Notice</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Signature</w:t>
            </w:r>
          </w:p>
        </w:tc>
        <w:tc>
          <w:tcPr>
            <w:tcW w:w="93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 Eric Janiak, as a duly authorized representative of Fidelity Brokerage Services LLC, as attorney-in-fact for Michael</w:t>
            </w:r>
          </w:p>
        </w:tc>
        <w:tc>
          <w:tcPr>
            <w:tcW w:w="0" w:type="dxa"/>
            <w:vAlign w:val="bottom"/>
          </w:tcPr>
          <w:p>
            <w:pPr>
              <w:spacing w:after="0"/>
              <w:rPr>
                <w:sz w:val="1"/>
                <w:szCs w:val="1"/>
                <w:color w:val="auto"/>
              </w:rPr>
            </w:pPr>
          </w:p>
        </w:tc>
      </w:tr>
      <w:tr>
        <w:trPr>
          <w:trHeight w:val="131"/>
        </w:trPr>
        <w:tc>
          <w:tcPr>
            <w:tcW w:w="940" w:type="dxa"/>
            <w:vAlign w:val="bottom"/>
            <w:vMerge w:val="continue"/>
          </w:tcPr>
          <w:p>
            <w:pPr>
              <w:spacing w:after="0"/>
              <w:rPr>
                <w:sz w:val="11"/>
                <w:szCs w:val="11"/>
                <w:color w:val="auto"/>
              </w:rPr>
            </w:pPr>
          </w:p>
        </w:tc>
        <w:tc>
          <w:tcPr>
            <w:tcW w:w="930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Sondel</w:t>
            </w: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9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2025-12-10T13:42:13Z</dcterms:created>
  <dcterms:modified xsi:type="dcterms:W3CDTF">2025-12-10T13:42:13Z</dcterms:modified>
</cp:coreProperties>
</file>