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233680</wp:posOffset>
            </wp:positionH>
            <wp:positionV relativeFrom="page">
              <wp:posOffset>568960</wp:posOffset>
            </wp:positionV>
            <wp:extent cx="70891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89140" cy="8255"/>
                    </a:xfrm>
                    <a:prstGeom prst="rect">
                      <a:avLst/>
                    </a:prstGeom>
                    <a:noFill/>
                  </pic:spPr>
                </pic:pic>
              </a:graphicData>
            </a:graphic>
          </wp:anchor>
        </w:drawing>
        <w:drawing>
          <wp:anchor simplePos="0" relativeHeight="251657728" behindDoc="1" locked="0" layoutInCell="0" allowOverlap="1">
            <wp:simplePos x="0" y="0"/>
            <wp:positionH relativeFrom="page">
              <wp:posOffset>233680</wp:posOffset>
            </wp:positionH>
            <wp:positionV relativeFrom="page">
              <wp:posOffset>534670</wp:posOffset>
            </wp:positionV>
            <wp:extent cx="70891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89140" cy="8890"/>
                    </a:xfrm>
                    <a:prstGeom prst="rect">
                      <a:avLst/>
                    </a:prstGeom>
                    <a:noFill/>
                  </pic:spPr>
                </pic:pic>
              </a:graphicData>
            </a:graphic>
          </wp:anchor>
        </w:drawing>
        <w:t>UNITED STATES</w:t>
      </w:r>
    </w:p>
    <w:p>
      <w:pPr>
        <w:spacing w:after="0" w:line="4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2713990</wp:posOffset>
            </wp:positionH>
            <wp:positionV relativeFrom="paragraph">
              <wp:posOffset>57785</wp:posOffset>
            </wp:positionV>
            <wp:extent cx="17145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14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2713990</wp:posOffset>
            </wp:positionH>
            <wp:positionV relativeFrom="paragraph">
              <wp:posOffset>43815</wp:posOffset>
            </wp:positionV>
            <wp:extent cx="17145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17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(Mark One)</w:t>
      </w:r>
    </w:p>
    <w:p>
      <w:pPr>
        <w:spacing w:after="0" w:line="46" w:lineRule="exact"/>
        <w:rPr>
          <w:sz w:val="24"/>
          <w:szCs w:val="24"/>
          <w:color w:val="auto"/>
        </w:rPr>
      </w:pPr>
    </w:p>
    <w:p>
      <w:pPr>
        <w:ind w:left="680" w:right="40" w:hanging="654"/>
        <w:spacing w:after="0" w:line="233" w:lineRule="auto"/>
        <w:tabs>
          <w:tab w:leader="none" w:pos="680" w:val="left"/>
        </w:tabs>
        <w:numPr>
          <w:ilvl w:val="0"/>
          <w:numId w:val="1"/>
        </w:numPr>
        <w:rPr>
          <w:rFonts w:ascii="MS PGothic" w:cs="MS PGothic" w:eastAsia="MS PGothic" w:hAnsi="MS PGothic"/>
          <w:sz w:val="25"/>
          <w:szCs w:val="25"/>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62" w:lineRule="exact"/>
        <w:rPr>
          <w:sz w:val="24"/>
          <w:szCs w:val="24"/>
          <w:color w:val="auto"/>
        </w:rPr>
      </w:pPr>
    </w:p>
    <w:p>
      <w:pPr>
        <w:ind w:left="3940"/>
        <w:spacing w:after="0"/>
        <w:rPr>
          <w:sz w:val="20"/>
          <w:szCs w:val="20"/>
          <w:color w:val="auto"/>
        </w:rPr>
      </w:pPr>
      <w:r>
        <w:rPr>
          <w:rFonts w:ascii="Times New Roman" w:cs="Times New Roman" w:eastAsia="Times New Roman" w:hAnsi="Times New Roman"/>
          <w:sz w:val="18"/>
          <w:szCs w:val="18"/>
          <w:b w:val="1"/>
          <w:bCs w:val="1"/>
          <w:color w:val="auto"/>
        </w:rPr>
        <w:t>For the quarterly period ended May 4, 2024</w:t>
      </w:r>
    </w:p>
    <w:p>
      <w:pPr>
        <w:spacing w:after="0" w:line="31" w:lineRule="exact"/>
        <w:rPr>
          <w:sz w:val="24"/>
          <w:szCs w:val="24"/>
          <w:color w:val="auto"/>
        </w:rPr>
      </w:pPr>
    </w:p>
    <w:p>
      <w:pPr>
        <w:ind w:left="558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8" w:lineRule="exact"/>
        <w:rPr>
          <w:sz w:val="24"/>
          <w:szCs w:val="24"/>
          <w:color w:val="auto"/>
        </w:rPr>
      </w:pPr>
    </w:p>
    <w:p>
      <w:pPr>
        <w:ind w:left="680" w:hanging="641"/>
        <w:spacing w:after="0" w:line="233" w:lineRule="auto"/>
        <w:tabs>
          <w:tab w:leader="none" w:pos="680" w:val="left"/>
        </w:tabs>
        <w:numPr>
          <w:ilvl w:val="0"/>
          <w:numId w:val="2"/>
        </w:numPr>
        <w:rPr>
          <w:rFonts w:ascii="MS PGothic" w:cs="MS PGothic" w:eastAsia="MS PGothic" w:hAnsi="MS PGothic"/>
          <w:sz w:val="25"/>
          <w:szCs w:val="25"/>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67" w:lineRule="exact"/>
        <w:rPr>
          <w:sz w:val="24"/>
          <w:szCs w:val="24"/>
          <w:color w:val="auto"/>
        </w:rPr>
      </w:pPr>
    </w:p>
    <w:tbl>
      <w:tblPr>
        <w:tblLayout w:type="fixed"/>
        <w:tblInd w:w="3800" w:type="dxa"/>
        <w:tblCellMar>
          <w:top w:w="0" w:type="dxa"/>
          <w:left w:w="0" w:type="dxa"/>
          <w:bottom w:w="0" w:type="dxa"/>
          <w:right w:w="0" w:type="dxa"/>
        </w:tblCellMar>
      </w:tblPr>
      <w:tr>
        <w:trPr>
          <w:trHeight w:val="207"/>
        </w:trPr>
        <w:tc>
          <w:tcPr>
            <w:tcW w:w="2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For the transition period from</w:t>
            </w:r>
          </w:p>
        </w:tc>
        <w:tc>
          <w:tcPr>
            <w:tcW w:w="7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w:t>
            </w:r>
          </w:p>
        </w:tc>
      </w:tr>
      <w:tr>
        <w:trPr>
          <w:trHeight w:val="20"/>
        </w:trPr>
        <w:tc>
          <w:tcPr>
            <w:tcW w:w="2320" w:type="dxa"/>
            <w:vAlign w:val="bottom"/>
          </w:tcPr>
          <w:p>
            <w:pPr>
              <w:spacing w:after="0" w:line="20" w:lineRule="exact"/>
              <w:rPr>
                <w:sz w:val="1"/>
                <w:szCs w:val="1"/>
                <w:color w:val="auto"/>
              </w:rPr>
            </w:pPr>
          </w:p>
        </w:tc>
        <w:tc>
          <w:tcPr>
            <w:tcW w:w="60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r>
      <w:tr>
        <w:trPr>
          <w:trHeight w:val="237"/>
        </w:trPr>
        <w:tc>
          <w:tcPr>
            <w:tcW w:w="2920" w:type="dxa"/>
            <w:vAlign w:val="bottom"/>
            <w:gridSpan w:val="2"/>
          </w:tcPr>
          <w:p>
            <w:pPr>
              <w:ind w:left="740"/>
              <w:spacing w:after="0"/>
              <w:rPr>
                <w:sz w:val="20"/>
                <w:szCs w:val="20"/>
                <w:color w:val="auto"/>
              </w:rPr>
            </w:pPr>
            <w:r>
              <w:rPr>
                <w:rFonts w:ascii="Times New Roman" w:cs="Times New Roman" w:eastAsia="Times New Roman" w:hAnsi="Times New Roman"/>
                <w:sz w:val="18"/>
                <w:szCs w:val="18"/>
                <w:b w:val="1"/>
                <w:bCs w:val="1"/>
                <w:color w:val="auto"/>
                <w:w w:val="99"/>
              </w:rPr>
              <w:t>Commission File No. 1-7819</w:t>
            </w: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2713990</wp:posOffset>
            </wp:positionH>
            <wp:positionV relativeFrom="paragraph">
              <wp:posOffset>51435</wp:posOffset>
            </wp:positionV>
            <wp:extent cx="17145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1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43"/>
          <w:szCs w:val="43"/>
          <w:b w:val="1"/>
          <w:bCs w:val="1"/>
          <w:color w:val="auto"/>
        </w:rPr>
        <w:t>Analog Devices,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2713990</wp:posOffset>
            </wp:positionH>
            <wp:positionV relativeFrom="paragraph">
              <wp:posOffset>21590</wp:posOffset>
            </wp:positionV>
            <wp:extent cx="17145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ectPr>
          <w:pgSz w:w="11900" w:h="16838" w:orient="portrait"/>
          <w:cols w:equalWidth="0" w:num="1">
            <w:col w:w="11200"/>
          </w:cols>
          <w:pgMar w:left="320" w:top="1019" w:right="379" w:bottom="1440" w:gutter="0" w:footer="0" w:header="0"/>
        </w:sectPr>
      </w:pPr>
    </w:p>
    <w:p>
      <w:pPr>
        <w:spacing w:after="0" w:line="201" w:lineRule="exact"/>
        <w:rPr>
          <w:sz w:val="24"/>
          <w:szCs w:val="24"/>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Massachusetts</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04-2348234</w:t>
      </w:r>
    </w:p>
    <w:p>
      <w:pPr>
        <w:spacing w:after="0" w:line="42" w:lineRule="exact"/>
        <w:rPr>
          <w:sz w:val="24"/>
          <w:szCs w:val="24"/>
          <w:color w:val="auto"/>
        </w:rPr>
      </w:pPr>
    </w:p>
    <w:p>
      <w:pPr>
        <w:sectPr>
          <w:pgSz w:w="11900" w:h="16838" w:orient="portrait"/>
          <w:cols w:equalWidth="0" w:num="2">
            <w:col w:w="7360" w:space="720"/>
            <w:col w:w="3120"/>
          </w:cols>
          <w:pgMar w:left="320" w:top="1019" w:right="379" w:bottom="1440" w:gutter="0" w:footer="0" w:header="0"/>
          <w:type w:val="continuous"/>
        </w:sectPr>
      </w:pPr>
    </w:p>
    <w:p>
      <w:pPr>
        <w:ind w:left="1080"/>
        <w:spacing w:after="0"/>
        <w:rPr>
          <w:sz w:val="20"/>
          <w:szCs w:val="20"/>
          <w:color w:val="auto"/>
        </w:rPr>
      </w:pPr>
      <w:r>
        <w:rPr>
          <w:rFonts w:ascii="Times New Roman" w:cs="Times New Roman" w:eastAsia="Times New Roman" w:hAnsi="Times New Roman"/>
          <w:sz w:val="14"/>
          <w:szCs w:val="14"/>
          <w:i w:val="1"/>
          <w:i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i w:val="1"/>
          <w:iCs w:val="1"/>
          <w:color w:val="auto"/>
        </w:rPr>
        <w:t>(I.R.S. Employer Identification No.)</w:t>
      </w:r>
    </w:p>
    <w:p>
      <w:pPr>
        <w:spacing w:after="0" w:line="127" w:lineRule="exact"/>
        <w:rPr>
          <w:sz w:val="24"/>
          <w:szCs w:val="24"/>
          <w:color w:val="auto"/>
        </w:rPr>
      </w:pPr>
    </w:p>
    <w:p>
      <w:pPr>
        <w:sectPr>
          <w:pgSz w:w="11900" w:h="16838" w:orient="portrait"/>
          <w:cols w:equalWidth="0" w:num="2">
            <w:col w:w="6760" w:space="720"/>
            <w:col w:w="3720"/>
          </w:cols>
          <w:pgMar w:left="320" w:top="1019" w:right="379" w:bottom="1440" w:gutter="0" w:footer="0" w:header="0"/>
          <w:type w:val="continuous"/>
        </w:sectPr>
      </w:pPr>
    </w:p>
    <w:p>
      <w:pPr>
        <w:jc w:val="center"/>
        <w:ind w:left="820"/>
        <w:spacing w:after="0"/>
        <w:rPr>
          <w:sz w:val="20"/>
          <w:szCs w:val="20"/>
          <w:color w:val="auto"/>
        </w:rPr>
      </w:pPr>
      <w:r>
        <w:rPr>
          <w:rFonts w:ascii="Times New Roman" w:cs="Times New Roman" w:eastAsia="Times New Roman" w:hAnsi="Times New Roman"/>
          <w:sz w:val="17"/>
          <w:szCs w:val="17"/>
          <w:b w:val="1"/>
          <w:bCs w:val="1"/>
          <w:color w:val="auto"/>
        </w:rPr>
        <w:t>One Analog Way,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Wilmington,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MA</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01887</w:t>
      </w:r>
    </w:p>
    <w:p>
      <w:pPr>
        <w:spacing w:after="0" w:line="31" w:lineRule="exact"/>
        <w:rPr>
          <w:sz w:val="24"/>
          <w:szCs w:val="24"/>
          <w:color w:val="auto"/>
        </w:rPr>
      </w:pPr>
    </w:p>
    <w:p>
      <w:pPr>
        <w:sectPr>
          <w:pgSz w:w="11900" w:h="16838" w:orient="portrait"/>
          <w:cols w:equalWidth="0" w:num="4">
            <w:col w:w="2760" w:space="720"/>
            <w:col w:w="980" w:space="300"/>
            <w:col w:w="2800" w:space="720"/>
            <w:col w:w="2920"/>
          </w:cols>
          <w:pgMar w:left="320" w:top="1019" w:right="379" w:bottom="1440" w:gutter="0" w:footer="0" w:header="0"/>
          <w:type w:val="continuous"/>
        </w:sectPr>
      </w:pPr>
    </w:p>
    <w:p>
      <w:pPr>
        <w:ind w:left="1700"/>
        <w:spacing w:after="0"/>
        <w:rPr>
          <w:sz w:val="20"/>
          <w:szCs w:val="20"/>
          <w:color w:val="auto"/>
        </w:rPr>
      </w:pPr>
      <w:r>
        <w:rPr>
          <w:rFonts w:ascii="Times New Roman" w:cs="Times New Roman" w:eastAsia="Times New Roman" w:hAnsi="Times New Roman"/>
          <w:sz w:val="14"/>
          <w:szCs w:val="14"/>
          <w:i w:val="1"/>
          <w:i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i w:val="1"/>
          <w:iCs w:val="1"/>
          <w:color w:val="auto"/>
        </w:rPr>
        <w:t>(Zip Code)</w:t>
      </w:r>
    </w:p>
    <w:p>
      <w:pPr>
        <w:spacing w:after="0" w:line="100" w:lineRule="exact"/>
        <w:rPr>
          <w:sz w:val="24"/>
          <w:szCs w:val="24"/>
          <w:color w:val="auto"/>
        </w:rPr>
      </w:pPr>
    </w:p>
    <w:p>
      <w:pPr>
        <w:sectPr>
          <w:pgSz w:w="11900" w:h="16838" w:orient="portrait"/>
          <w:cols w:equalWidth="0" w:num="2">
            <w:col w:w="7480" w:space="720"/>
            <w:col w:w="3000"/>
          </w:cols>
          <w:pgMar w:left="320" w:top="1019" w:right="379" w:bottom="1440" w:gutter="0" w:footer="0" w:header="0"/>
          <w:type w:val="continuous"/>
        </w:sect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(781) 935-5565</w:t>
      </w:r>
    </w:p>
    <w:p>
      <w:pPr>
        <w:sectPr>
          <w:pgSz w:w="11900" w:h="16838" w:orient="portrait"/>
          <w:cols w:equalWidth="0" w:num="1">
            <w:col w:w="11200"/>
          </w:cols>
          <w:pgMar w:left="320" w:top="1019" w:right="379" w:bottom="1440" w:gutter="0" w:footer="0" w:header="0"/>
          <w:type w:val="continuous"/>
        </w:sectPr>
      </w:pPr>
    </w:p>
    <w:p>
      <w:pPr>
        <w:spacing w:after="0" w:line="4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i w:val="1"/>
          <w:iCs w:val="1"/>
          <w:color w:val="auto"/>
        </w:rPr>
        <w:t>(Registrant’s telephone number, including area code)</w:t>
      </w:r>
    </w:p>
    <w:p>
      <w:pPr>
        <w:spacing w:after="0" w:line="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i w:val="1"/>
          <w:i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2713990</wp:posOffset>
            </wp:positionH>
            <wp:positionV relativeFrom="paragraph">
              <wp:posOffset>67310</wp:posOffset>
            </wp:positionV>
            <wp:extent cx="17145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ectPr>
          <w:pgSz w:w="11900" w:h="16838" w:orient="portrait"/>
          <w:cols w:equalWidth="0" w:num="1">
            <w:col w:w="11200"/>
          </w:cols>
          <w:pgMar w:left="320" w:top="1019" w:right="379" w:bottom="1440" w:gutter="0" w:footer="0" w:header="0"/>
          <w:type w:val="continuous"/>
        </w:sectPr>
      </w:pPr>
    </w:p>
    <w:p>
      <w:pPr>
        <w:spacing w:after="0" w:line="46" w:lineRule="exact"/>
        <w:rPr>
          <w:sz w:val="24"/>
          <w:szCs w:val="24"/>
          <w:color w:val="auto"/>
        </w:rPr>
      </w:pPr>
    </w:p>
    <w:p>
      <w:pPr>
        <w:ind w:left="1520"/>
        <w:spacing w:after="0"/>
        <w:rPr>
          <w:sz w:val="20"/>
          <w:szCs w:val="20"/>
          <w:color w:val="auto"/>
        </w:rPr>
      </w:pPr>
      <w:r>
        <w:rPr>
          <w:rFonts w:ascii="Times New Roman" w:cs="Times New Roman" w:eastAsia="Times New Roman" w:hAnsi="Times New Roman"/>
          <w:sz w:val="17"/>
          <w:szCs w:val="17"/>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2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Trading Symbol(s)</w:t>
      </w:r>
    </w:p>
    <w:p>
      <w:pPr>
        <w:spacing w:after="0" w:line="20" w:lineRule="exact"/>
        <w:rPr>
          <w:sz w:val="24"/>
          <w:szCs w:val="24"/>
          <w:color w:val="auto"/>
        </w:rPr>
      </w:pPr>
      <w:r>
        <w:rPr>
          <w:sz w:val="24"/>
          <w:szCs w:val="24"/>
          <w:color w:val="auto"/>
        </w:rPr>
        <w:br w:type="column"/>
      </w:r>
    </w:p>
    <w:p>
      <w:pPr>
        <w:spacing w:after="0" w:line="2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Name of each exchange on which registered</w:t>
      </w:r>
    </w:p>
    <w:p>
      <w:pPr>
        <w:spacing w:after="0" w:line="43" w:lineRule="exact"/>
        <w:rPr>
          <w:sz w:val="24"/>
          <w:szCs w:val="24"/>
          <w:color w:val="auto"/>
        </w:rPr>
      </w:pPr>
    </w:p>
    <w:p>
      <w:pPr>
        <w:sectPr>
          <w:pgSz w:w="11900" w:h="16838" w:orient="portrait"/>
          <w:cols w:equalWidth="0" w:num="3">
            <w:col w:w="4180" w:space="720"/>
            <w:col w:w="1760" w:space="720"/>
            <w:col w:w="3820"/>
          </w:cols>
          <w:pgMar w:left="320" w:top="1019" w:right="379" w:bottom="1440" w:gutter="0" w:footer="0" w:header="0"/>
          <w:type w:val="continuous"/>
        </w:sectPr>
      </w:pPr>
    </w:p>
    <w:p>
      <w:pPr>
        <w:ind w:left="560"/>
        <w:spacing w:after="0"/>
        <w:rPr>
          <w:sz w:val="20"/>
          <w:szCs w:val="20"/>
          <w:color w:val="auto"/>
        </w:rPr>
      </w:pPr>
      <w:r>
        <w:rPr>
          <w:rFonts w:ascii="Times New Roman" w:cs="Times New Roman" w:eastAsia="Times New Roman" w:hAnsi="Times New Roman"/>
          <w:sz w:val="17"/>
          <w:szCs w:val="17"/>
          <w:color w:val="auto"/>
        </w:rPr>
        <w:t>Common Stock $0.16 2/3 par value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ADI</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Nasdaq Global Select Market</w:t>
      </w:r>
    </w:p>
    <w:p>
      <w:pPr>
        <w:spacing w:after="0" w:line="211" w:lineRule="exact"/>
        <w:rPr>
          <w:sz w:val="24"/>
          <w:szCs w:val="24"/>
          <w:color w:val="auto"/>
        </w:rPr>
      </w:pPr>
    </w:p>
    <w:p>
      <w:pPr>
        <w:sectPr>
          <w:pgSz w:w="11900" w:h="16838" w:orient="portrait"/>
          <w:cols w:equalWidth="0" w:num="3">
            <w:col w:w="4740" w:space="720"/>
            <w:col w:w="1800" w:space="720"/>
            <w:col w:w="3220"/>
          </w:cols>
          <w:pgMar w:left="320" w:top="1019" w:right="379" w:bottom="1440" w:gutter="0" w:footer="0" w:header="0"/>
          <w:type w:val="continuous"/>
        </w:sectPr>
      </w:pPr>
    </w:p>
    <w:p>
      <w:pPr>
        <w:spacing w:after="0" w:line="7" w:lineRule="exact"/>
        <w:rPr>
          <w:sz w:val="24"/>
          <w:szCs w:val="24"/>
          <w:color w:val="auto"/>
        </w:rPr>
      </w:pPr>
    </w:p>
    <w:p>
      <w:pPr>
        <w:ind w:right="20" w:firstLine="445"/>
        <w:spacing w:after="0" w:line="25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48" w:lineRule="exact"/>
        <w:rPr>
          <w:sz w:val="24"/>
          <w:szCs w:val="24"/>
          <w:color w:val="auto"/>
        </w:rPr>
      </w:pPr>
    </w:p>
    <w:p>
      <w:pPr>
        <w:ind w:right="60" w:firstLine="445"/>
        <w:spacing w:after="0" w:line="25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48" w:lineRule="exact"/>
        <w:rPr>
          <w:sz w:val="24"/>
          <w:szCs w:val="24"/>
          <w:color w:val="auto"/>
        </w:rPr>
      </w:pPr>
    </w:p>
    <w:p>
      <w:pPr>
        <w:ind w:right="40" w:firstLine="445"/>
        <w:spacing w:after="0" w:line="257"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243"/>
        </w:trPr>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240" w:type="dxa"/>
            <w:vAlign w:val="bottom"/>
          </w:tcPr>
          <w:p>
            <w:pPr>
              <w:ind w:left="440"/>
              <w:spacing w:after="0" w:line="221" w:lineRule="exact"/>
              <w:rPr>
                <w:sz w:val="20"/>
                <w:szCs w:val="20"/>
                <w:color w:val="auto"/>
              </w:rPr>
            </w:pPr>
            <w:r>
              <w:rPr>
                <w:rFonts w:ascii="MS PGothic" w:cs="MS PGothic" w:eastAsia="MS PGothic" w:hAnsi="MS PGothic"/>
                <w:sz w:val="22"/>
                <w:szCs w:val="22"/>
                <w:color w:val="auto"/>
              </w:rPr>
              <w:t>☑</w:t>
            </w:r>
          </w:p>
        </w:tc>
        <w:tc>
          <w:tcPr>
            <w:tcW w:w="5020" w:type="dxa"/>
            <w:vAlign w:val="bottom"/>
          </w:tcPr>
          <w:p>
            <w:pPr>
              <w:ind w:left="2600"/>
              <w:spacing w:after="0"/>
              <w:rPr>
                <w:sz w:val="20"/>
                <w:szCs w:val="20"/>
                <w:color w:val="auto"/>
              </w:rPr>
            </w:pPr>
            <w:r>
              <w:rPr>
                <w:rFonts w:ascii="Times New Roman" w:cs="Times New Roman" w:eastAsia="Times New Roman" w:hAnsi="Times New Roman"/>
                <w:sz w:val="18"/>
                <w:szCs w:val="18"/>
                <w:color w:val="auto"/>
              </w:rPr>
              <w:t>Accelerated filer</w:t>
            </w:r>
          </w:p>
        </w:tc>
        <w:tc>
          <w:tcPr>
            <w:tcW w:w="660" w:type="dxa"/>
            <w:vAlign w:val="bottom"/>
          </w:tcPr>
          <w:p>
            <w:pPr>
              <w:ind w:left="460"/>
              <w:spacing w:after="0" w:line="221" w:lineRule="exact"/>
              <w:rPr>
                <w:sz w:val="20"/>
                <w:szCs w:val="20"/>
                <w:color w:val="auto"/>
              </w:rPr>
            </w:pPr>
            <w:r>
              <w:rPr>
                <w:rFonts w:ascii="MS PGothic" w:cs="MS PGothic" w:eastAsia="MS PGothic" w:hAnsi="MS PGothic"/>
                <w:sz w:val="22"/>
                <w:szCs w:val="22"/>
                <w:color w:val="auto"/>
                <w:w w:val="81"/>
              </w:rPr>
              <w:t>☐</w:t>
            </w:r>
          </w:p>
        </w:tc>
      </w:tr>
      <w:tr>
        <w:trPr>
          <w:trHeight w:val="270"/>
        </w:trPr>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240" w:type="dxa"/>
            <w:vAlign w:val="bottom"/>
          </w:tcPr>
          <w:p>
            <w:pPr>
              <w:ind w:left="440"/>
              <w:spacing w:after="0" w:line="221" w:lineRule="exact"/>
              <w:rPr>
                <w:sz w:val="20"/>
                <w:szCs w:val="20"/>
                <w:color w:val="auto"/>
              </w:rPr>
            </w:pPr>
            <w:r>
              <w:rPr>
                <w:rFonts w:ascii="MS PGothic" w:cs="MS PGothic" w:eastAsia="MS PGothic" w:hAnsi="MS PGothic"/>
                <w:sz w:val="22"/>
                <w:szCs w:val="22"/>
                <w:color w:val="auto"/>
              </w:rPr>
              <w:t>☐</w:t>
            </w:r>
          </w:p>
        </w:tc>
        <w:tc>
          <w:tcPr>
            <w:tcW w:w="5020" w:type="dxa"/>
            <w:vAlign w:val="bottom"/>
          </w:tcPr>
          <w:p>
            <w:pPr>
              <w:ind w:left="26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660" w:type="dxa"/>
            <w:vAlign w:val="bottom"/>
          </w:tcPr>
          <w:p>
            <w:pPr>
              <w:ind w:left="460"/>
              <w:spacing w:after="0" w:line="221" w:lineRule="exact"/>
              <w:rPr>
                <w:sz w:val="20"/>
                <w:szCs w:val="20"/>
                <w:color w:val="auto"/>
              </w:rPr>
            </w:pPr>
            <w:r>
              <w:rPr>
                <w:rFonts w:ascii="MS PGothic" w:cs="MS PGothic" w:eastAsia="MS PGothic" w:hAnsi="MS PGothic"/>
                <w:sz w:val="22"/>
                <w:szCs w:val="22"/>
                <w:color w:val="auto"/>
                <w:w w:val="81"/>
              </w:rPr>
              <w:t>☐</w:t>
            </w:r>
          </w:p>
        </w:tc>
      </w:tr>
      <w:tr>
        <w:trPr>
          <w:trHeight w:val="362"/>
        </w:trPr>
        <w:tc>
          <w:tcPr>
            <w:tcW w:w="206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5020" w:type="dxa"/>
            <w:vAlign w:val="bottom"/>
          </w:tcPr>
          <w:p>
            <w:pPr>
              <w:ind w:left="2600"/>
              <w:spacing w:after="0"/>
              <w:rPr>
                <w:sz w:val="20"/>
                <w:szCs w:val="20"/>
                <w:color w:val="auto"/>
              </w:rPr>
            </w:pPr>
            <w:r>
              <w:rPr>
                <w:rFonts w:ascii="Times New Roman" w:cs="Times New Roman" w:eastAsia="Times New Roman" w:hAnsi="Times New Roman"/>
                <w:sz w:val="18"/>
                <w:szCs w:val="18"/>
                <w:color w:val="auto"/>
              </w:rPr>
              <w:t>Emerging growth company</w:t>
            </w:r>
          </w:p>
        </w:tc>
        <w:tc>
          <w:tcPr>
            <w:tcW w:w="660" w:type="dxa"/>
            <w:vAlign w:val="bottom"/>
          </w:tcPr>
          <w:p>
            <w:pPr>
              <w:ind w:left="460"/>
              <w:spacing w:after="0" w:line="221" w:lineRule="exact"/>
              <w:rPr>
                <w:sz w:val="20"/>
                <w:szCs w:val="20"/>
                <w:color w:val="auto"/>
              </w:rPr>
            </w:pPr>
            <w:r>
              <w:rPr>
                <w:rFonts w:ascii="MS PGothic" w:cs="MS PGothic" w:eastAsia="MS PGothic" w:hAnsi="MS PGothic"/>
                <w:sz w:val="22"/>
                <w:szCs w:val="22"/>
                <w:color w:val="auto"/>
                <w:w w:val="81"/>
              </w:rPr>
              <w:t>☐</w:t>
            </w:r>
          </w:p>
        </w:tc>
      </w:tr>
    </w:tbl>
    <w:p>
      <w:pPr>
        <w:spacing w:after="0" w:line="146" w:lineRule="exact"/>
        <w:rPr>
          <w:sz w:val="24"/>
          <w:szCs w:val="24"/>
          <w:color w:val="auto"/>
        </w:rPr>
      </w:pPr>
    </w:p>
    <w:p>
      <w:pPr>
        <w:ind w:right="20" w:firstLine="445"/>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9" w:lineRule="exact"/>
        <w:rPr>
          <w:sz w:val="24"/>
          <w:szCs w:val="24"/>
          <w:color w:val="auto"/>
        </w:rPr>
      </w:pPr>
    </w:p>
    <w:p>
      <w:pPr>
        <w:ind w:left="460" w:right="1240"/>
        <w:spacing w:after="0" w:line="321"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As of May 4, 2024 there were 496,216,857 shares of common stock of the registrant, $0.16 2/3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382905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52705</wp:posOffset>
            </wp:positionV>
            <wp:extent cx="70891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891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18415</wp:posOffset>
            </wp:positionV>
            <wp:extent cx="70891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ectPr>
          <w:pgSz w:w="11900" w:h="16838" w:orient="portrait"/>
          <w:cols w:equalWidth="0" w:num="1">
            <w:col w:w="11200"/>
          </w:cols>
          <w:pgMar w:left="320" w:top="1019" w:right="379" w:bottom="1440" w:gutter="0" w:footer="0" w:header="0"/>
          <w:type w:val="continuous"/>
        </w:sectPr>
      </w:pPr>
    </w:p>
    <w:bookmarkStart w:id="1" w:name="page2"/>
    <w:bookmarkEnd w:id="1"/>
    <w:p>
      <w:pPr>
        <w:ind w:left="3980"/>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50"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Financial Statements</w:t>
      </w:r>
    </w:p>
    <w:p>
      <w:pPr>
        <w:spacing w:after="0" w:line="200" w:lineRule="exact"/>
        <w:rPr>
          <w:sz w:val="20"/>
          <w:szCs w:val="20"/>
          <w:color w:val="auto"/>
        </w:rPr>
      </w:pPr>
    </w:p>
    <w:p>
      <w:pPr>
        <w:spacing w:after="0" w:line="390" w:lineRule="exact"/>
        <w:rPr>
          <w:sz w:val="20"/>
          <w:szCs w:val="20"/>
          <w:color w:val="auto"/>
        </w:rPr>
      </w:pPr>
    </w:p>
    <w:p>
      <w:pPr>
        <w:jc w:val="center"/>
        <w:ind w:right="-879"/>
        <w:spacing w:after="0"/>
        <w:rPr>
          <w:sz w:val="20"/>
          <w:szCs w:val="20"/>
          <w:color w:val="auto"/>
        </w:rPr>
      </w:pPr>
      <w:r>
        <w:rPr>
          <w:rFonts w:ascii="Times New Roman" w:cs="Times New Roman" w:eastAsia="Times New Roman" w:hAnsi="Times New Roman"/>
          <w:sz w:val="18"/>
          <w:szCs w:val="18"/>
          <w:b w:val="1"/>
          <w:bCs w:val="1"/>
          <w:color w:val="auto"/>
        </w:rPr>
        <w:t>ANALOG DEVICES, INC.</w:t>
      </w:r>
    </w:p>
    <w:p>
      <w:pPr>
        <w:spacing w:after="0" w:line="31" w:lineRule="exact"/>
        <w:rPr>
          <w:sz w:val="20"/>
          <w:szCs w:val="20"/>
          <w:color w:val="auto"/>
        </w:rPr>
      </w:pPr>
    </w:p>
    <w:p>
      <w:pPr>
        <w:jc w:val="center"/>
        <w:ind w:right="-87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w:t>
      </w:r>
    </w:p>
    <w:p>
      <w:pPr>
        <w:spacing w:after="0" w:line="9" w:lineRule="exact"/>
        <w:rPr>
          <w:sz w:val="20"/>
          <w:szCs w:val="20"/>
          <w:color w:val="auto"/>
        </w:rPr>
      </w:pPr>
    </w:p>
    <w:p>
      <w:pPr>
        <w:jc w:val="center"/>
        <w:ind w:right="-87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879"/>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68" w:lineRule="exact"/>
        <w:rPr>
          <w:sz w:val="20"/>
          <w:szCs w:val="20"/>
          <w:color w:val="auto"/>
        </w:rPr>
      </w:pPr>
    </w:p>
    <w:tbl>
      <w:tblPr>
        <w:tblLayout w:type="fixed"/>
        <w:tblInd w:w="60" w:type="dxa"/>
        <w:tblCellMar>
          <w:top w:w="0" w:type="dxa"/>
          <w:left w:w="0" w:type="dxa"/>
          <w:bottom w:w="0" w:type="dxa"/>
          <w:right w:w="0" w:type="dxa"/>
        </w:tblCellMar>
      </w:tblPr>
      <w:tr>
        <w:trPr>
          <w:trHeight w:val="190"/>
        </w:trPr>
        <w:tc>
          <w:tcPr>
            <w:tcW w:w="4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40" w:type="dxa"/>
            <w:vAlign w:val="bottom"/>
            <w:gridSpan w:val="5"/>
          </w:tcPr>
          <w:p>
            <w:pPr>
              <w:ind w:left="5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6"/>
                <w:szCs w:val="16"/>
                <w:color w:val="auto"/>
              </w:rPr>
            </w:pPr>
          </w:p>
        </w:tc>
        <w:tc>
          <w:tcPr>
            <w:tcW w:w="2500" w:type="dxa"/>
            <w:vAlign w:val="bottom"/>
            <w:gridSpan w:val="4"/>
          </w:tcPr>
          <w:p>
            <w:pPr>
              <w:jc w:val="right"/>
              <w:ind w:right="691"/>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3"/>
        </w:trPr>
        <w:tc>
          <w:tcPr>
            <w:tcW w:w="4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190"/>
        </w:trPr>
        <w:tc>
          <w:tcPr>
            <w:tcW w:w="474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May 4, 2024</w:t>
            </w:r>
          </w:p>
        </w:tc>
        <w:tc>
          <w:tcPr>
            <w:tcW w:w="1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April 29, 2023</w:t>
            </w:r>
          </w:p>
        </w:tc>
        <w:tc>
          <w:tcPr>
            <w:tcW w:w="14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May 4, 2024</w:t>
            </w:r>
          </w:p>
        </w:tc>
        <w:tc>
          <w:tcPr>
            <w:tcW w:w="16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April 29, 2023</w:t>
            </w:r>
          </w:p>
        </w:tc>
      </w:tr>
      <w:tr>
        <w:trPr>
          <w:trHeight w:val="229"/>
        </w:trPr>
        <w:tc>
          <w:tcPr>
            <w:tcW w:w="4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2,159,039</w:t>
            </w:r>
          </w:p>
        </w:tc>
        <w:tc>
          <w:tcPr>
            <w:tcW w:w="16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3,262,930</w:t>
            </w:r>
          </w:p>
        </w:tc>
        <w:tc>
          <w:tcPr>
            <w:tcW w:w="1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4,671,743</w:t>
            </w:r>
          </w:p>
        </w:tc>
        <w:tc>
          <w:tcPr>
            <w:tcW w:w="1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6,512,560</w:t>
            </w:r>
          </w:p>
        </w:tc>
      </w:tr>
      <w:tr>
        <w:trPr>
          <w:trHeight w:val="230"/>
        </w:trPr>
        <w:tc>
          <w:tcPr>
            <w:tcW w:w="4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979,004</w:t>
            </w:r>
          </w:p>
        </w:tc>
        <w:tc>
          <w:tcPr>
            <w:tcW w:w="1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1,118,384</w:t>
            </w:r>
          </w:p>
        </w:tc>
        <w:tc>
          <w:tcPr>
            <w:tcW w:w="1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2,017,767</w:t>
            </w:r>
          </w:p>
        </w:tc>
        <w:tc>
          <w:tcPr>
            <w:tcW w:w="1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2,243,673</w:t>
            </w:r>
          </w:p>
        </w:tc>
      </w:tr>
      <w:tr>
        <w:trPr>
          <w:trHeight w:val="223"/>
        </w:trPr>
        <w:tc>
          <w:tcPr>
            <w:tcW w:w="4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Gross margin</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1,180,035</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2,144,546</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2,653,976</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4,268,887</w:t>
            </w:r>
          </w:p>
        </w:tc>
      </w:tr>
      <w:tr>
        <w:trPr>
          <w:trHeight w:val="230"/>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47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354,862</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415,754</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746,289</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829,849</w:t>
            </w:r>
          </w:p>
        </w:tc>
      </w:tr>
      <w:tr>
        <w:trPr>
          <w:trHeight w:val="230"/>
        </w:trPr>
        <w:tc>
          <w:tcPr>
            <w:tcW w:w="47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Selling, marketing, general and administrative</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244,129</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324,251</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534,207</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650,535</w:t>
            </w:r>
          </w:p>
        </w:tc>
      </w:tr>
      <w:tr>
        <w:trPr>
          <w:trHeight w:val="229"/>
        </w:trPr>
        <w:tc>
          <w:tcPr>
            <w:tcW w:w="47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188,944</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253,021</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379,276</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506,163</w:t>
            </w:r>
          </w:p>
        </w:tc>
      </w:tr>
      <w:tr>
        <w:trPr>
          <w:trHeight w:val="229"/>
        </w:trPr>
        <w:tc>
          <w:tcPr>
            <w:tcW w:w="4740" w:type="dxa"/>
            <w:vAlign w:val="bottom"/>
            <w:tcBorders>
              <w:bottom w:val="single" w:sz="8" w:color="CCEEFF"/>
            </w:tcBorders>
          </w:tcPr>
          <w:p>
            <w:pPr>
              <w:ind w:left="560"/>
              <w:spacing w:after="0"/>
              <w:rPr>
                <w:sz w:val="20"/>
                <w:szCs w:val="20"/>
                <w:color w:val="auto"/>
              </w:rPr>
            </w:pPr>
            <w:r>
              <w:rPr>
                <w:rFonts w:ascii="Times New Roman" w:cs="Times New Roman" w:eastAsia="Times New Roman" w:hAnsi="Times New Roman"/>
                <w:sz w:val="18"/>
                <w:szCs w:val="18"/>
                <w:color w:val="auto"/>
              </w:rPr>
              <w:t>Special charges, net</w:t>
            </w: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5,977</w:t>
            </w:r>
          </w:p>
        </w:tc>
        <w:tc>
          <w:tcPr>
            <w:tcW w:w="1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23,136</w:t>
            </w:r>
          </w:p>
        </w:tc>
        <w:tc>
          <w:tcPr>
            <w:tcW w:w="1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22,117</w:t>
            </w:r>
          </w:p>
        </w:tc>
        <w:tc>
          <w:tcPr>
            <w:tcW w:w="1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23,136</w:t>
            </w:r>
          </w:p>
        </w:tc>
      </w:tr>
      <w:tr>
        <w:trPr>
          <w:trHeight w:val="223"/>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793,912</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1,016,162</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1,681,889</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2,009,683</w:t>
            </w:r>
          </w:p>
        </w:tc>
      </w:tr>
      <w:tr>
        <w:trPr>
          <w:trHeight w:val="229"/>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386,123</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1,128,384</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972,087</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2,259,204</w:t>
            </w:r>
          </w:p>
        </w:tc>
      </w:tr>
      <w:tr>
        <w:trPr>
          <w:trHeight w:val="230"/>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Nonoperating expense (income):</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9"/>
        </w:trPr>
        <w:tc>
          <w:tcPr>
            <w:tcW w:w="47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77,103</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63,252</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154,244</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123,705</w:t>
            </w:r>
          </w:p>
        </w:tc>
      </w:tr>
      <w:tr>
        <w:trPr>
          <w:trHeight w:val="230"/>
        </w:trPr>
        <w:tc>
          <w:tcPr>
            <w:tcW w:w="47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Interest income</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(15,269)</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(12,575)</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(24,438)</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(23,404)</w:t>
            </w:r>
          </w:p>
        </w:tc>
      </w:tr>
      <w:tr>
        <w:trPr>
          <w:trHeight w:val="230"/>
        </w:trPr>
        <w:tc>
          <w:tcPr>
            <w:tcW w:w="4740" w:type="dxa"/>
            <w:vAlign w:val="bottom"/>
            <w:tcBorders>
              <w:bottom w:val="single" w:sz="8" w:color="CCEEFF"/>
            </w:tcBorders>
          </w:tcPr>
          <w:p>
            <w:pPr>
              <w:ind w:left="560"/>
              <w:spacing w:after="0"/>
              <w:rPr>
                <w:sz w:val="20"/>
                <w:szCs w:val="20"/>
                <w:color w:val="auto"/>
              </w:rPr>
            </w:pPr>
            <w:r>
              <w:rPr>
                <w:rFonts w:ascii="Times New Roman" w:cs="Times New Roman" w:eastAsia="Times New Roman" w:hAnsi="Times New Roman"/>
                <w:sz w:val="18"/>
                <w:szCs w:val="18"/>
                <w:color w:val="auto"/>
              </w:rPr>
              <w:t>Other, net</w:t>
            </w: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1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(10,216)</w:t>
            </w:r>
          </w:p>
        </w:tc>
        <w:tc>
          <w:tcPr>
            <w:tcW w:w="1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4,260</w:t>
            </w:r>
          </w:p>
        </w:tc>
        <w:tc>
          <w:tcPr>
            <w:tcW w:w="1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(2,493)</w:t>
            </w:r>
          </w:p>
        </w:tc>
      </w:tr>
      <w:tr>
        <w:trPr>
          <w:trHeight w:val="223"/>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nonoperating expense (income)</w:t>
            </w: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61,520</w:t>
            </w:r>
          </w:p>
        </w:tc>
        <w:tc>
          <w:tcPr>
            <w:tcW w:w="1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40,461</w:t>
            </w:r>
          </w:p>
        </w:tc>
        <w:tc>
          <w:tcPr>
            <w:tcW w:w="1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134,066</w:t>
            </w:r>
          </w:p>
        </w:tc>
        <w:tc>
          <w:tcPr>
            <w:tcW w:w="1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97,808</w:t>
            </w:r>
          </w:p>
        </w:tc>
      </w:tr>
      <w:tr>
        <w:trPr>
          <w:trHeight w:val="223"/>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324,603</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1,087,923</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838,021</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2,161,396</w:t>
            </w:r>
          </w:p>
        </w:tc>
      </w:tr>
      <w:tr>
        <w:trPr>
          <w:trHeight w:val="230"/>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22,361</w:t>
            </w:r>
          </w:p>
        </w:tc>
        <w:tc>
          <w:tcPr>
            <w:tcW w:w="1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110,267</w:t>
            </w:r>
          </w:p>
        </w:tc>
        <w:tc>
          <w:tcPr>
            <w:tcW w:w="1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73,052</w:t>
            </w:r>
          </w:p>
        </w:tc>
        <w:tc>
          <w:tcPr>
            <w:tcW w:w="1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222,266</w:t>
            </w:r>
          </w:p>
        </w:tc>
      </w:tr>
      <w:tr>
        <w:trPr>
          <w:trHeight w:val="223"/>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302,242</w:t>
            </w:r>
          </w:p>
        </w:tc>
        <w:tc>
          <w:tcPr>
            <w:tcW w:w="1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977,656</w:t>
            </w:r>
          </w:p>
        </w:tc>
        <w:tc>
          <w:tcPr>
            <w:tcW w:w="14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764,969</w:t>
            </w:r>
          </w:p>
        </w:tc>
        <w:tc>
          <w:tcPr>
            <w:tcW w:w="1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1,939,130</w:t>
            </w:r>
          </w:p>
        </w:tc>
      </w:tr>
      <w:tr>
        <w:trPr>
          <w:trHeight w:val="20"/>
        </w:trPr>
        <w:tc>
          <w:tcPr>
            <w:tcW w:w="47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37"/>
        </w:trPr>
        <w:tc>
          <w:tcPr>
            <w:tcW w:w="47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r>
        <w:trPr>
          <w:trHeight w:val="230"/>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used to compute earnings per common share – basic</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496,130</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504,715</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495,947</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505,918</w:t>
            </w:r>
          </w:p>
        </w:tc>
      </w:tr>
      <w:tr>
        <w:trPr>
          <w:trHeight w:val="230"/>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used to compute earnings per common share – diluted</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498,533</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508,725</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498,637</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509,955</w:t>
            </w:r>
          </w:p>
        </w:tc>
      </w:tr>
      <w:tr>
        <w:trPr>
          <w:trHeight w:val="270"/>
        </w:trPr>
        <w:tc>
          <w:tcPr>
            <w:tcW w:w="47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30"/>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earnings per common share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0.61</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w:t>
            </w:r>
          </w:p>
        </w:tc>
      </w:tr>
      <w:tr>
        <w:trPr>
          <w:trHeight w:val="234"/>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0.61</w:t>
            </w:r>
          </w:p>
        </w:tc>
        <w:tc>
          <w:tcPr>
            <w:tcW w:w="16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4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4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See accompanying notes.</w:t>
      </w:r>
    </w:p>
    <w:p>
      <w:pPr>
        <w:sectPr>
          <w:pgSz w:w="11900" w:h="16838" w:orient="portrait"/>
          <w:cols w:equalWidth="0" w:num="1">
            <w:col w:w="10320"/>
          </w:cols>
          <w:pgMar w:left="340" w:top="1008" w:right="12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87630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20"/>
          </w:cols>
          <w:pgMar w:left="340" w:top="1008" w:right="1239" w:bottom="1440" w:gutter="0" w:footer="0" w:header="0"/>
          <w:type w:val="continuous"/>
        </w:sectPr>
      </w:pPr>
    </w:p>
    <w:bookmarkStart w:id="2" w:name="page3"/>
    <w:bookmarkEnd w:id="2"/>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ANALOG DEVICES,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960" w:type="dxa"/>
            <w:vAlign w:val="bottom"/>
            <w:gridSpan w:val="5"/>
          </w:tcPr>
          <w:p>
            <w:pPr>
              <w:ind w:left="6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6"/>
                <w:szCs w:val="16"/>
                <w:color w:val="auto"/>
              </w:rPr>
            </w:pPr>
          </w:p>
        </w:tc>
        <w:tc>
          <w:tcPr>
            <w:tcW w:w="2840" w:type="dxa"/>
            <w:vAlign w:val="bottom"/>
            <w:gridSpan w:val="4"/>
          </w:tcPr>
          <w:p>
            <w:pPr>
              <w:jc w:val="right"/>
              <w:ind w:right="893"/>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3"/>
        </w:trPr>
        <w:tc>
          <w:tcPr>
            <w:tcW w:w="4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190"/>
        </w:trPr>
        <w:tc>
          <w:tcPr>
            <w:tcW w:w="498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May 4, 2024</w:t>
            </w:r>
          </w:p>
        </w:tc>
        <w:tc>
          <w:tcPr>
            <w:tcW w:w="22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April 29, 2023</w:t>
            </w:r>
          </w:p>
        </w:tc>
        <w:tc>
          <w:tcPr>
            <w:tcW w:w="14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May 4, 2024</w:t>
            </w:r>
          </w:p>
        </w:tc>
        <w:tc>
          <w:tcPr>
            <w:tcW w:w="22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April 29, 2023</w:t>
            </w:r>
          </w:p>
        </w:tc>
      </w:tr>
      <w:tr>
        <w:trPr>
          <w:trHeight w:val="229"/>
        </w:trPr>
        <w:tc>
          <w:tcPr>
            <w:tcW w:w="4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302,242</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977,656</w:t>
            </w:r>
          </w:p>
        </w:tc>
        <w:tc>
          <w:tcPr>
            <w:tcW w:w="1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764,969</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1,939,130</w:t>
            </w:r>
          </w:p>
        </w:tc>
      </w:tr>
      <w:tr>
        <w:trPr>
          <w:trHeight w:val="229"/>
        </w:trPr>
        <w:tc>
          <w:tcPr>
            <w:tcW w:w="4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(864)</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1,635</w:t>
            </w:r>
          </w:p>
        </w:tc>
      </w:tr>
      <w:tr>
        <w:trPr>
          <w:trHeight w:val="176"/>
        </w:trPr>
        <w:tc>
          <w:tcPr>
            <w:tcW w:w="498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Change in fair value of derivative instruments designated as cash</w:t>
            </w:r>
          </w:p>
        </w:tc>
        <w:tc>
          <w:tcPr>
            <w:tcW w:w="2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r>
      <w:tr>
        <w:trPr>
          <w:trHeight w:val="243"/>
        </w:trPr>
        <w:tc>
          <w:tcPr>
            <w:tcW w:w="4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flow hedges, net</w:t>
            </w:r>
          </w:p>
        </w:tc>
        <w:tc>
          <w:tcPr>
            <w:tcW w:w="2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1,306</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(2,109)</w:t>
            </w:r>
          </w:p>
        </w:tc>
        <w:tc>
          <w:tcPr>
            <w:tcW w:w="1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9,326</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23,358</w:t>
            </w:r>
          </w:p>
        </w:tc>
      </w:tr>
      <w:tr>
        <w:trPr>
          <w:trHeight w:val="230"/>
        </w:trPr>
        <w:tc>
          <w:tcPr>
            <w:tcW w:w="49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Changes in pension plans, net</w:t>
            </w: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2,514</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1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1,126</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796</w:t>
            </w:r>
          </w:p>
        </w:tc>
      </w:tr>
      <w:tr>
        <w:trPr>
          <w:trHeight w:val="223"/>
        </w:trPr>
        <w:tc>
          <w:tcPr>
            <w:tcW w:w="4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4,084</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(2,629)</w:t>
            </w:r>
          </w:p>
        </w:tc>
        <w:tc>
          <w:tcPr>
            <w:tcW w:w="1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11,101</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25,789</w:t>
            </w:r>
          </w:p>
        </w:tc>
      </w:tr>
      <w:tr>
        <w:trPr>
          <w:trHeight w:val="223"/>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306,326</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975,027</w:t>
            </w:r>
          </w:p>
        </w:tc>
        <w:tc>
          <w:tcPr>
            <w:tcW w:w="14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776,070</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1,964,919</w:t>
            </w:r>
          </w:p>
        </w:tc>
      </w:tr>
      <w:tr>
        <w:trPr>
          <w:trHeight w:val="21"/>
        </w:trPr>
        <w:tc>
          <w:tcPr>
            <w:tcW w:w="49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See accompanying notes.</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ANALOG DEVICES,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8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May 4, 2024</w:t>
            </w:r>
          </w:p>
        </w:tc>
        <w:tc>
          <w:tcPr>
            <w:tcW w:w="220" w:type="dxa"/>
            <w:vAlign w:val="bottom"/>
          </w:tcPr>
          <w:p>
            <w:pPr>
              <w:spacing w:after="0"/>
              <w:rPr>
                <w:sz w:val="16"/>
                <w:szCs w:val="16"/>
                <w:color w:val="auto"/>
              </w:rPr>
            </w:pPr>
          </w:p>
        </w:tc>
        <w:tc>
          <w:tcPr>
            <w:tcW w:w="1520" w:type="dxa"/>
            <w:vAlign w:val="bottom"/>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October 28, 2023</w:t>
            </w:r>
          </w:p>
        </w:tc>
        <w:tc>
          <w:tcPr>
            <w:tcW w:w="0" w:type="dxa"/>
            <w:vAlign w:val="bottom"/>
          </w:tcPr>
          <w:p>
            <w:pPr>
              <w:spacing w:after="0"/>
              <w:rPr>
                <w:sz w:val="1"/>
                <w:szCs w:val="1"/>
                <w:color w:val="auto"/>
              </w:rPr>
            </w:pPr>
          </w:p>
        </w:tc>
      </w:tr>
      <w:tr>
        <w:trPr>
          <w:trHeight w:val="23"/>
        </w:trPr>
        <w:tc>
          <w:tcPr>
            <w:tcW w:w="7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3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5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3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1,939,695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958,061</w:t>
            </w:r>
          </w:p>
        </w:tc>
        <w:tc>
          <w:tcPr>
            <w:tcW w:w="0" w:type="dxa"/>
            <w:vAlign w:val="bottom"/>
          </w:tcPr>
          <w:p>
            <w:pPr>
              <w:spacing w:after="0"/>
              <w:rPr>
                <w:sz w:val="1"/>
                <w:szCs w:val="1"/>
                <w:color w:val="auto"/>
              </w:rPr>
            </w:pPr>
          </w:p>
        </w:tc>
      </w:tr>
      <w:tr>
        <w:trPr>
          <w:trHeight w:val="213"/>
        </w:trPr>
        <w:tc>
          <w:tcPr>
            <w:tcW w:w="7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Short-term investments</w:t>
            </w:r>
          </w:p>
        </w:tc>
        <w:tc>
          <w:tcPr>
            <w:tcW w:w="3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424,117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Accounts receivable</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1,004,628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1,469,734</w:t>
            </w:r>
          </w:p>
        </w:tc>
        <w:tc>
          <w:tcPr>
            <w:tcW w:w="0" w:type="dxa"/>
            <w:vAlign w:val="bottom"/>
          </w:tcPr>
          <w:p>
            <w:pPr>
              <w:spacing w:after="0"/>
              <w:rPr>
                <w:sz w:val="1"/>
                <w:szCs w:val="1"/>
                <w:color w:val="auto"/>
              </w:rPr>
            </w:pPr>
          </w:p>
        </w:tc>
      </w:tr>
      <w:tr>
        <w:trPr>
          <w:trHeight w:val="213"/>
        </w:trPr>
        <w:tc>
          <w:tcPr>
            <w:tcW w:w="7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Inventories</w:t>
            </w:r>
          </w:p>
        </w:tc>
        <w:tc>
          <w:tcPr>
            <w:tcW w:w="3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1,479,081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1,642,214</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3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346,100</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314,013</w:t>
            </w:r>
          </w:p>
        </w:tc>
        <w:tc>
          <w:tcPr>
            <w:tcW w:w="0" w:type="dxa"/>
            <w:vAlign w:val="bottom"/>
          </w:tcPr>
          <w:p>
            <w:pPr>
              <w:spacing w:after="0"/>
              <w:rPr>
                <w:sz w:val="1"/>
                <w:szCs w:val="1"/>
                <w:color w:val="auto"/>
              </w:rPr>
            </w:pPr>
          </w:p>
        </w:tc>
      </w:tr>
      <w:tr>
        <w:trPr>
          <w:trHeight w:val="207"/>
        </w:trPr>
        <w:tc>
          <w:tcPr>
            <w:tcW w:w="7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current assets</w:t>
            </w:r>
          </w:p>
        </w:tc>
        <w:tc>
          <w:tcPr>
            <w:tcW w:w="3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5,193,621</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4,384,022</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Non-current Assets</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property, plant and equipment</w:t>
            </w:r>
          </w:p>
        </w:tc>
        <w:tc>
          <w:tcPr>
            <w:tcW w:w="3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3,415,220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3,219,157</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Goodwill</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26,909,775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26,913,134</w:t>
            </w:r>
          </w:p>
        </w:tc>
        <w:tc>
          <w:tcPr>
            <w:tcW w:w="0" w:type="dxa"/>
            <w:vAlign w:val="bottom"/>
          </w:tcPr>
          <w:p>
            <w:pPr>
              <w:spacing w:after="0"/>
              <w:rPr>
                <w:sz w:val="1"/>
                <w:szCs w:val="1"/>
                <w:color w:val="auto"/>
              </w:rPr>
            </w:pPr>
          </w:p>
        </w:tc>
      </w:tr>
      <w:tr>
        <w:trPr>
          <w:trHeight w:val="213"/>
        </w:trPr>
        <w:tc>
          <w:tcPr>
            <w:tcW w:w="7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Intangible assets, net</w:t>
            </w:r>
          </w:p>
        </w:tc>
        <w:tc>
          <w:tcPr>
            <w:tcW w:w="3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10,434,776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11,311,957</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Deferred tax assets</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2,146,321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2,223,272</w:t>
            </w:r>
          </w:p>
        </w:tc>
        <w:tc>
          <w:tcPr>
            <w:tcW w:w="0" w:type="dxa"/>
            <w:vAlign w:val="bottom"/>
          </w:tcPr>
          <w:p>
            <w:pPr>
              <w:spacing w:after="0"/>
              <w:rPr>
                <w:sz w:val="1"/>
                <w:szCs w:val="1"/>
                <w:color w:val="auto"/>
              </w:rPr>
            </w:pPr>
          </w:p>
        </w:tc>
      </w:tr>
      <w:tr>
        <w:trPr>
          <w:trHeight w:val="213"/>
        </w:trPr>
        <w:tc>
          <w:tcPr>
            <w:tcW w:w="75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assets</w:t>
            </w:r>
          </w:p>
        </w:tc>
        <w:tc>
          <w:tcPr>
            <w:tcW w:w="3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762,153</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742,936</w:t>
            </w:r>
          </w:p>
        </w:tc>
        <w:tc>
          <w:tcPr>
            <w:tcW w:w="0" w:type="dxa"/>
            <w:vAlign w:val="bottom"/>
          </w:tcPr>
          <w:p>
            <w:pPr>
              <w:spacing w:after="0"/>
              <w:rPr>
                <w:sz w:val="1"/>
                <w:szCs w:val="1"/>
                <w:color w:val="auto"/>
              </w:rPr>
            </w:pPr>
          </w:p>
        </w:tc>
      </w:tr>
      <w:tr>
        <w:trPr>
          <w:trHeight w:val="209"/>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non-current assets</w:t>
            </w:r>
          </w:p>
        </w:tc>
        <w:tc>
          <w:tcPr>
            <w:tcW w:w="30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43,668,245</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44,410,456</w:t>
            </w:r>
          </w:p>
        </w:tc>
        <w:tc>
          <w:tcPr>
            <w:tcW w:w="0" w:type="dxa"/>
            <w:vAlign w:val="bottom"/>
          </w:tcPr>
          <w:p>
            <w:pPr>
              <w:spacing w:after="0"/>
              <w:rPr>
                <w:sz w:val="1"/>
                <w:szCs w:val="1"/>
                <w:color w:val="auto"/>
              </w:rPr>
            </w:pPr>
          </w:p>
        </w:tc>
      </w:tr>
      <w:tr>
        <w:trPr>
          <w:trHeight w:val="212"/>
        </w:trPr>
        <w:tc>
          <w:tcPr>
            <w:tcW w:w="75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48,861,866</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48,794,478</w:t>
            </w:r>
          </w:p>
        </w:tc>
        <w:tc>
          <w:tcPr>
            <w:tcW w:w="0" w:type="dxa"/>
            <w:vAlign w:val="bottom"/>
          </w:tcPr>
          <w:p>
            <w:pPr>
              <w:spacing w:after="0"/>
              <w:rPr>
                <w:sz w:val="1"/>
                <w:szCs w:val="1"/>
                <w:color w:val="auto"/>
              </w:rPr>
            </w:pPr>
          </w:p>
        </w:tc>
      </w:tr>
      <w:tr>
        <w:trPr>
          <w:trHeight w:val="20"/>
        </w:trPr>
        <w:tc>
          <w:tcPr>
            <w:tcW w:w="75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SHAREHOLDERS’ EQUITY</w:t>
            </w:r>
          </w:p>
        </w:tc>
        <w:tc>
          <w:tcPr>
            <w:tcW w:w="30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75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3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Accounts payable</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422,683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493,041</w:t>
            </w:r>
          </w:p>
        </w:tc>
        <w:tc>
          <w:tcPr>
            <w:tcW w:w="0" w:type="dxa"/>
            <w:vAlign w:val="bottom"/>
          </w:tcPr>
          <w:p>
            <w:pPr>
              <w:spacing w:after="0"/>
              <w:rPr>
                <w:sz w:val="1"/>
                <w:szCs w:val="1"/>
                <w:color w:val="auto"/>
              </w:rPr>
            </w:pPr>
          </w:p>
        </w:tc>
      </w:tr>
      <w:tr>
        <w:trPr>
          <w:trHeight w:val="213"/>
        </w:trPr>
        <w:tc>
          <w:tcPr>
            <w:tcW w:w="7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Income taxes payable</w:t>
            </w:r>
          </w:p>
        </w:tc>
        <w:tc>
          <w:tcPr>
            <w:tcW w:w="3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360,951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309,046</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Debt, current</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898,776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499,052</w:t>
            </w:r>
          </w:p>
        </w:tc>
        <w:tc>
          <w:tcPr>
            <w:tcW w:w="0" w:type="dxa"/>
            <w:vAlign w:val="bottom"/>
          </w:tcPr>
          <w:p>
            <w:pPr>
              <w:spacing w:after="0"/>
              <w:rPr>
                <w:sz w:val="1"/>
                <w:szCs w:val="1"/>
                <w:color w:val="auto"/>
              </w:rPr>
            </w:pPr>
          </w:p>
        </w:tc>
      </w:tr>
      <w:tr>
        <w:trPr>
          <w:trHeight w:val="213"/>
        </w:trPr>
        <w:tc>
          <w:tcPr>
            <w:tcW w:w="7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Commercial paper notes</w:t>
            </w:r>
          </w:p>
        </w:tc>
        <w:tc>
          <w:tcPr>
            <w:tcW w:w="3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548,235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547,224</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Accrued liabilities</w:t>
            </w:r>
          </w:p>
        </w:tc>
        <w:tc>
          <w:tcPr>
            <w:tcW w:w="3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1,066,677</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1,352,608</w:t>
            </w:r>
          </w:p>
        </w:tc>
        <w:tc>
          <w:tcPr>
            <w:tcW w:w="0" w:type="dxa"/>
            <w:vAlign w:val="bottom"/>
          </w:tcPr>
          <w:p>
            <w:pPr>
              <w:spacing w:after="0"/>
              <w:rPr>
                <w:sz w:val="1"/>
                <w:szCs w:val="1"/>
                <w:color w:val="auto"/>
              </w:rPr>
            </w:pPr>
          </w:p>
        </w:tc>
      </w:tr>
      <w:tr>
        <w:trPr>
          <w:trHeight w:val="207"/>
        </w:trPr>
        <w:tc>
          <w:tcPr>
            <w:tcW w:w="7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3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3,297,322</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3,200,971</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Non-current Liabilities</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Long-term debt</w:t>
            </w:r>
          </w:p>
        </w:tc>
        <w:tc>
          <w:tcPr>
            <w:tcW w:w="3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6,611,681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5,902,457</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Deferred income taxes</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2,887,952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3,127,852</w:t>
            </w:r>
          </w:p>
        </w:tc>
        <w:tc>
          <w:tcPr>
            <w:tcW w:w="0" w:type="dxa"/>
            <w:vAlign w:val="bottom"/>
          </w:tcPr>
          <w:p>
            <w:pPr>
              <w:spacing w:after="0"/>
              <w:rPr>
                <w:sz w:val="1"/>
                <w:szCs w:val="1"/>
                <w:color w:val="auto"/>
              </w:rPr>
            </w:pPr>
          </w:p>
        </w:tc>
      </w:tr>
      <w:tr>
        <w:trPr>
          <w:trHeight w:val="213"/>
        </w:trPr>
        <w:tc>
          <w:tcPr>
            <w:tcW w:w="7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Income taxes payable</w:t>
            </w:r>
          </w:p>
        </w:tc>
        <w:tc>
          <w:tcPr>
            <w:tcW w:w="3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266,625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417,076</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3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549,497</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581,000</w:t>
            </w:r>
          </w:p>
        </w:tc>
        <w:tc>
          <w:tcPr>
            <w:tcW w:w="0" w:type="dxa"/>
            <w:vAlign w:val="bottom"/>
          </w:tcPr>
          <w:p>
            <w:pPr>
              <w:spacing w:after="0"/>
              <w:rPr>
                <w:sz w:val="1"/>
                <w:szCs w:val="1"/>
                <w:color w:val="auto"/>
              </w:rPr>
            </w:pPr>
          </w:p>
        </w:tc>
      </w:tr>
      <w:tr>
        <w:trPr>
          <w:trHeight w:val="207"/>
        </w:trPr>
        <w:tc>
          <w:tcPr>
            <w:tcW w:w="75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Total non-current liabilities</w:t>
            </w:r>
          </w:p>
        </w:tc>
        <w:tc>
          <w:tcPr>
            <w:tcW w:w="3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10,315,755</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10,028,385</w:t>
            </w:r>
          </w:p>
        </w:tc>
        <w:tc>
          <w:tcPr>
            <w:tcW w:w="0" w:type="dxa"/>
            <w:vAlign w:val="bottom"/>
          </w:tcPr>
          <w:p>
            <w:pPr>
              <w:spacing w:after="0"/>
              <w:rPr>
                <w:sz w:val="1"/>
                <w:szCs w:val="1"/>
                <w:color w:val="auto"/>
              </w:rPr>
            </w:pPr>
          </w:p>
        </w:tc>
      </w:tr>
      <w:tr>
        <w:trPr>
          <w:trHeight w:val="199"/>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Shareholders’ Equity</w:t>
            </w:r>
          </w:p>
        </w:tc>
        <w:tc>
          <w:tcPr>
            <w:tcW w:w="3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Preferred stock, $1.00 par value, 471,934 shares authorized, none outstanding</w:t>
            </w:r>
          </w:p>
        </w:tc>
        <w:tc>
          <w:tcPr>
            <w:tcW w:w="300" w:type="dxa"/>
            <w:vAlign w:val="bottom"/>
          </w:tcPr>
          <w:p>
            <w:pPr>
              <w:spacing w:after="0"/>
              <w:rPr>
                <w:sz w:val="18"/>
                <w:szCs w:val="18"/>
                <w:color w:val="auto"/>
              </w:rPr>
            </w:pP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5"/>
        </w:trPr>
        <w:tc>
          <w:tcPr>
            <w:tcW w:w="758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Common stock, $0.16 2/3 par value, 1,200,000,000 shares authorized, 496,216,857 shares outstanding</w:t>
            </w:r>
          </w:p>
        </w:tc>
        <w:tc>
          <w:tcPr>
            <w:tcW w:w="300" w:type="dxa"/>
            <w:vAlign w:val="bottom"/>
            <w:shd w:val="clear" w:color="auto" w:fill="CCEEFF"/>
          </w:tcPr>
          <w:p>
            <w:pPr>
              <w:spacing w:after="0"/>
              <w:rPr>
                <w:sz w:val="14"/>
                <w:szCs w:val="14"/>
                <w:color w:val="auto"/>
              </w:rPr>
            </w:pPr>
          </w:p>
        </w:tc>
        <w:tc>
          <w:tcPr>
            <w:tcW w:w="1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82,704</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82,712</w:t>
            </w: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(496,261,678 on October 28, 2023)</w:t>
            </w:r>
          </w:p>
        </w:tc>
        <w:tc>
          <w:tcPr>
            <w:tcW w:w="300" w:type="dxa"/>
            <w:vAlign w:val="bottom"/>
            <w:shd w:val="clear" w:color="auto" w:fill="CCEEFF"/>
          </w:tcPr>
          <w:p>
            <w:pPr>
              <w:spacing w:after="0"/>
              <w:rPr>
                <w:sz w:val="18"/>
                <w:szCs w:val="18"/>
                <w:color w:val="auto"/>
              </w:rPr>
            </w:pPr>
          </w:p>
        </w:tc>
        <w:tc>
          <w:tcPr>
            <w:tcW w:w="14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Capital in excess of par value</w:t>
            </w:r>
          </w:p>
        </w:tc>
        <w:tc>
          <w:tcPr>
            <w:tcW w:w="3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25,103,737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25,313,914</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Retained earnings</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10,239,549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10,356,798</w:t>
            </w:r>
          </w:p>
        </w:tc>
        <w:tc>
          <w:tcPr>
            <w:tcW w:w="0" w:type="dxa"/>
            <w:vAlign w:val="bottom"/>
          </w:tcPr>
          <w:p>
            <w:pPr>
              <w:spacing w:after="0"/>
              <w:rPr>
                <w:sz w:val="1"/>
                <w:szCs w:val="1"/>
                <w:color w:val="auto"/>
              </w:rPr>
            </w:pPr>
          </w:p>
        </w:tc>
      </w:tr>
      <w:tr>
        <w:trPr>
          <w:trHeight w:val="213"/>
        </w:trPr>
        <w:tc>
          <w:tcPr>
            <w:tcW w:w="75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3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(177,201)</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(188,302)</w:t>
            </w:r>
          </w:p>
        </w:tc>
        <w:tc>
          <w:tcPr>
            <w:tcW w:w="0" w:type="dxa"/>
            <w:vAlign w:val="bottom"/>
          </w:tcPr>
          <w:p>
            <w:pPr>
              <w:spacing w:after="0"/>
              <w:rPr>
                <w:sz w:val="1"/>
                <w:szCs w:val="1"/>
                <w:color w:val="auto"/>
              </w:rPr>
            </w:pPr>
          </w:p>
        </w:tc>
      </w:tr>
      <w:tr>
        <w:trPr>
          <w:trHeight w:val="209"/>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shareholders’ equity</w:t>
            </w:r>
          </w:p>
        </w:tc>
        <w:tc>
          <w:tcPr>
            <w:tcW w:w="30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35,248,789</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35,565,122</w:t>
            </w:r>
          </w:p>
        </w:tc>
        <w:tc>
          <w:tcPr>
            <w:tcW w:w="0" w:type="dxa"/>
            <w:vAlign w:val="bottom"/>
          </w:tcPr>
          <w:p>
            <w:pPr>
              <w:spacing w:after="0"/>
              <w:rPr>
                <w:sz w:val="1"/>
                <w:szCs w:val="1"/>
                <w:color w:val="auto"/>
              </w:rPr>
            </w:pPr>
          </w:p>
        </w:tc>
      </w:tr>
      <w:tr>
        <w:trPr>
          <w:trHeight w:val="212"/>
        </w:trPr>
        <w:tc>
          <w:tcPr>
            <w:tcW w:w="75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LIABILITIES AND SHAREHOLDERS’ EQUITY</w:t>
            </w: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48,861,866</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48,794,478</w:t>
            </w:r>
          </w:p>
        </w:tc>
        <w:tc>
          <w:tcPr>
            <w:tcW w:w="0" w:type="dxa"/>
            <w:vAlign w:val="bottom"/>
          </w:tcPr>
          <w:p>
            <w:pPr>
              <w:spacing w:after="0"/>
              <w:rPr>
                <w:sz w:val="1"/>
                <w:szCs w:val="1"/>
                <w:color w:val="auto"/>
              </w:rPr>
            </w:pPr>
          </w:p>
        </w:tc>
      </w:tr>
      <w:tr>
        <w:trPr>
          <w:trHeight w:val="20"/>
        </w:trPr>
        <w:tc>
          <w:tcPr>
            <w:tcW w:w="7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See accompanying notes.</w:t>
      </w:r>
    </w:p>
    <w:p>
      <w:pPr>
        <w:sectPr>
          <w:pgSz w:w="11900" w:h="16838" w:orient="portrait"/>
          <w:cols w:equalWidth="0" w:num="1">
            <w:col w:w="11200"/>
          </w:cols>
          <w:pgMar w:left="340" w:top="1008" w:right="35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87630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008" w:right="359" w:bottom="1440" w:gutter="0" w:footer="0" w:header="0"/>
          <w:type w:val="continuous"/>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ANALOG DEVICES,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SHAREHOLDERS'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0" w:type="dxa"/>
            <w:vAlign w:val="bottom"/>
            <w:gridSpan w:val="9"/>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 May 4, 2024</w:t>
            </w: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8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Capital in</w:t>
            </w: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tcPr>
          <w:p>
            <w:pPr>
              <w:jc w:val="center"/>
              <w:ind w:right="8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0" w:type="dxa"/>
            <w:vAlign w:val="bottom"/>
          </w:tcPr>
          <w:p>
            <w:pPr>
              <w:spacing w:after="0"/>
              <w:rPr>
                <w:sz w:val="1"/>
                <w:szCs w:val="1"/>
                <w:color w:val="auto"/>
              </w:rPr>
            </w:pPr>
          </w:p>
        </w:tc>
      </w:tr>
      <w:tr>
        <w:trPr>
          <w:trHeight w:val="189"/>
        </w:trPr>
        <w:tc>
          <w:tcPr>
            <w:tcW w:w="48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90"/>
        </w:trPr>
        <w:tc>
          <w:tcPr>
            <w:tcW w:w="4820" w:type="dxa"/>
            <w:vAlign w:val="bottom"/>
          </w:tcPr>
          <w:p>
            <w:pPr>
              <w:spacing w:after="0"/>
              <w:rPr>
                <w:sz w:val="16"/>
                <w:szCs w:val="16"/>
                <w:color w:val="auto"/>
              </w:rPr>
            </w:pPr>
          </w:p>
        </w:tc>
        <w:tc>
          <w:tcPr>
            <w:tcW w:w="2260" w:type="dxa"/>
            <w:vAlign w:val="bottom"/>
            <w:gridSpan w:val="4"/>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Excess of</w:t>
            </w:r>
          </w:p>
        </w:tc>
        <w:tc>
          <w:tcPr>
            <w:tcW w:w="200" w:type="dxa"/>
            <w:vAlign w:val="bottom"/>
          </w:tcPr>
          <w:p>
            <w:pPr>
              <w:spacing w:after="0"/>
              <w:rPr>
                <w:sz w:val="16"/>
                <w:szCs w:val="16"/>
                <w:color w:val="auto"/>
              </w:rPr>
            </w:pPr>
          </w:p>
        </w:tc>
        <w:tc>
          <w:tcPr>
            <w:tcW w:w="10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80" w:type="dxa"/>
            <w:vAlign w:val="bottom"/>
          </w:tcPr>
          <w:p>
            <w:pPr>
              <w:spacing w:after="0"/>
              <w:rPr>
                <w:sz w:val="16"/>
                <w:szCs w:val="16"/>
                <w:color w:val="auto"/>
              </w:rPr>
            </w:pPr>
          </w:p>
        </w:tc>
        <w:tc>
          <w:tcPr>
            <w:tcW w:w="1260" w:type="dxa"/>
            <w:vAlign w:val="bottom"/>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0" w:type="dxa"/>
            <w:vAlign w:val="bottom"/>
          </w:tcPr>
          <w:p>
            <w:pPr>
              <w:spacing w:after="0"/>
              <w:rPr>
                <w:sz w:val="1"/>
                <w:szCs w:val="1"/>
                <w:color w:val="auto"/>
              </w:rPr>
            </w:pPr>
          </w:p>
        </w:tc>
      </w:tr>
      <w:tr>
        <w:trPr>
          <w:trHeight w:val="23"/>
        </w:trPr>
        <w:tc>
          <w:tcPr>
            <w:tcW w:w="4820" w:type="dxa"/>
            <w:vAlign w:val="bottom"/>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9"/>
              </w:rPr>
              <w:t>Par Value</w:t>
            </w:r>
          </w:p>
        </w:tc>
        <w:tc>
          <w:tcPr>
            <w:tcW w:w="200" w:type="dxa"/>
            <w:vAlign w:val="bottom"/>
          </w:tcPr>
          <w:p>
            <w:pPr>
              <w:spacing w:after="0"/>
              <w:rPr>
                <w:sz w:val="2"/>
                <w:szCs w:val="2"/>
                <w:color w:val="auto"/>
              </w:rPr>
            </w:pPr>
          </w:p>
        </w:tc>
        <w:tc>
          <w:tcPr>
            <w:tcW w:w="10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80" w:type="dxa"/>
            <w:vAlign w:val="bottom"/>
          </w:tcPr>
          <w:p>
            <w:pPr>
              <w:spacing w:after="0"/>
              <w:rPr>
                <w:sz w:val="2"/>
                <w:szCs w:val="2"/>
                <w:color w:val="auto"/>
              </w:rPr>
            </w:pPr>
          </w:p>
        </w:tc>
        <w:tc>
          <w:tcPr>
            <w:tcW w:w="1260" w:type="dxa"/>
            <w:vAlign w:val="bottom"/>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Loss</w:t>
            </w:r>
          </w:p>
        </w:tc>
        <w:tc>
          <w:tcPr>
            <w:tcW w:w="0" w:type="dxa"/>
            <w:vAlign w:val="bottom"/>
          </w:tcPr>
          <w:p>
            <w:pPr>
              <w:spacing w:after="0"/>
              <w:rPr>
                <w:sz w:val="1"/>
                <w:szCs w:val="1"/>
                <w:color w:val="auto"/>
              </w:rPr>
            </w:pPr>
          </w:p>
        </w:tc>
      </w:tr>
      <w:tr>
        <w:trPr>
          <w:trHeight w:val="190"/>
        </w:trPr>
        <w:tc>
          <w:tcPr>
            <w:tcW w:w="4820" w:type="dxa"/>
            <w:vAlign w:val="bottom"/>
          </w:tcPr>
          <w:p>
            <w:pPr>
              <w:spacing w:after="0"/>
              <w:rPr>
                <w:sz w:val="16"/>
                <w:szCs w:val="16"/>
                <w:color w:val="auto"/>
              </w:rPr>
            </w:pPr>
          </w:p>
        </w:tc>
        <w:tc>
          <w:tcPr>
            <w:tcW w:w="116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16"/>
                <w:szCs w:val="16"/>
                <w:color w:val="auto"/>
              </w:rPr>
            </w:pPr>
          </w:p>
        </w:tc>
        <w:tc>
          <w:tcPr>
            <w:tcW w:w="880" w:type="dxa"/>
            <w:vAlign w:val="bottom"/>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FEBRUARY 3, 2024</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495,908</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82,653</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25,253,256</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10,393,449</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(181,285)</w:t>
            </w:r>
          </w:p>
        </w:tc>
        <w:tc>
          <w:tcPr>
            <w:tcW w:w="0" w:type="dxa"/>
            <w:vAlign w:val="bottom"/>
          </w:tcPr>
          <w:p>
            <w:pPr>
              <w:spacing w:after="0"/>
              <w:rPr>
                <w:sz w:val="1"/>
                <w:szCs w:val="1"/>
                <w:color w:val="auto"/>
              </w:rPr>
            </w:pPr>
          </w:p>
        </w:tc>
      </w:tr>
      <w:tr>
        <w:trPr>
          <w:trHeight w:val="230"/>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302,242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declared and paid - $0.92 per share</w:t>
            </w: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(456,142)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 stock under stock plans and other</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14,270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58,396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4,084</w:t>
            </w: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 repurchased</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center"/>
              <w:ind w:left="177"/>
              <w:spacing w:after="0"/>
              <w:rPr>
                <w:sz w:val="20"/>
                <w:szCs w:val="20"/>
                <w:color w:val="auto"/>
              </w:rPr>
            </w:pPr>
            <w:r>
              <w:rPr>
                <w:rFonts w:ascii="Times New Roman" w:cs="Times New Roman" w:eastAsia="Times New Roman" w:hAnsi="Times New Roman"/>
                <w:sz w:val="18"/>
                <w:szCs w:val="18"/>
                <w:color w:val="auto"/>
                <w:w w:val="99"/>
              </w:rPr>
              <w:t>(222,185)</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MAY 4, 2024</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496,217</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82,704</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25,103,737</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10,239,549</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(177,201)</w:t>
            </w:r>
          </w:p>
        </w:tc>
        <w:tc>
          <w:tcPr>
            <w:tcW w:w="0" w:type="dxa"/>
            <w:vAlign w:val="bottom"/>
          </w:tcPr>
          <w:p>
            <w:pPr>
              <w:spacing w:after="0"/>
              <w:rPr>
                <w:sz w:val="1"/>
                <w:szCs w:val="1"/>
                <w:color w:val="auto"/>
              </w:rPr>
            </w:pPr>
          </w:p>
        </w:tc>
      </w:tr>
      <w:tr>
        <w:trPr>
          <w:trHeight w:val="21"/>
        </w:trPr>
        <w:tc>
          <w:tcPr>
            <w:tcW w:w="48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5"/>
        </w:trPr>
        <w:tc>
          <w:tcPr>
            <w:tcW w:w="48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720" w:type="dxa"/>
            <w:vAlign w:val="bottom"/>
            <w:gridSpan w:val="8"/>
          </w:tcPr>
          <w:p>
            <w:pPr>
              <w:jc w:val="center"/>
              <w:ind w:right="800"/>
              <w:spacing w:after="0"/>
              <w:rPr>
                <w:sz w:val="20"/>
                <w:szCs w:val="20"/>
                <w:color w:val="auto"/>
              </w:rPr>
            </w:pPr>
            <w:r>
              <w:rPr>
                <w:rFonts w:ascii="Times New Roman" w:cs="Times New Roman" w:eastAsia="Times New Roman" w:hAnsi="Times New Roman"/>
                <w:sz w:val="14"/>
                <w:szCs w:val="14"/>
                <w:b w:val="1"/>
                <w:bCs w:val="1"/>
                <w:color w:val="auto"/>
              </w:rPr>
              <w:t>Six Months Ended May 4, 2024</w:t>
            </w: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8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Capital in</w:t>
            </w: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tcPr>
          <w:p>
            <w:pPr>
              <w:jc w:val="center"/>
              <w:ind w:right="8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0" w:type="dxa"/>
            <w:vAlign w:val="bottom"/>
          </w:tcPr>
          <w:p>
            <w:pPr>
              <w:spacing w:after="0"/>
              <w:rPr>
                <w:sz w:val="1"/>
                <w:szCs w:val="1"/>
                <w:color w:val="auto"/>
              </w:rPr>
            </w:pPr>
          </w:p>
        </w:tc>
      </w:tr>
      <w:tr>
        <w:trPr>
          <w:trHeight w:val="189"/>
        </w:trPr>
        <w:tc>
          <w:tcPr>
            <w:tcW w:w="48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90"/>
        </w:trPr>
        <w:tc>
          <w:tcPr>
            <w:tcW w:w="4820" w:type="dxa"/>
            <w:vAlign w:val="bottom"/>
          </w:tcPr>
          <w:p>
            <w:pPr>
              <w:spacing w:after="0"/>
              <w:rPr>
                <w:sz w:val="16"/>
                <w:szCs w:val="16"/>
                <w:color w:val="auto"/>
              </w:rPr>
            </w:pPr>
          </w:p>
        </w:tc>
        <w:tc>
          <w:tcPr>
            <w:tcW w:w="2260" w:type="dxa"/>
            <w:vAlign w:val="bottom"/>
            <w:gridSpan w:val="4"/>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Excess of</w:t>
            </w:r>
          </w:p>
        </w:tc>
        <w:tc>
          <w:tcPr>
            <w:tcW w:w="200" w:type="dxa"/>
            <w:vAlign w:val="bottom"/>
          </w:tcPr>
          <w:p>
            <w:pPr>
              <w:spacing w:after="0"/>
              <w:rPr>
                <w:sz w:val="16"/>
                <w:szCs w:val="16"/>
                <w:color w:val="auto"/>
              </w:rPr>
            </w:pPr>
          </w:p>
        </w:tc>
        <w:tc>
          <w:tcPr>
            <w:tcW w:w="10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80" w:type="dxa"/>
            <w:vAlign w:val="bottom"/>
          </w:tcPr>
          <w:p>
            <w:pPr>
              <w:spacing w:after="0"/>
              <w:rPr>
                <w:sz w:val="16"/>
                <w:szCs w:val="16"/>
                <w:color w:val="auto"/>
              </w:rPr>
            </w:pPr>
          </w:p>
        </w:tc>
        <w:tc>
          <w:tcPr>
            <w:tcW w:w="1260" w:type="dxa"/>
            <w:vAlign w:val="bottom"/>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0" w:type="dxa"/>
            <w:vAlign w:val="bottom"/>
          </w:tcPr>
          <w:p>
            <w:pPr>
              <w:spacing w:after="0"/>
              <w:rPr>
                <w:sz w:val="1"/>
                <w:szCs w:val="1"/>
                <w:color w:val="auto"/>
              </w:rPr>
            </w:pPr>
          </w:p>
        </w:tc>
      </w:tr>
      <w:tr>
        <w:trPr>
          <w:trHeight w:val="23"/>
        </w:trPr>
        <w:tc>
          <w:tcPr>
            <w:tcW w:w="4820" w:type="dxa"/>
            <w:vAlign w:val="bottom"/>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9"/>
              </w:rPr>
              <w:t>Par Value</w:t>
            </w:r>
          </w:p>
        </w:tc>
        <w:tc>
          <w:tcPr>
            <w:tcW w:w="200" w:type="dxa"/>
            <w:vAlign w:val="bottom"/>
          </w:tcPr>
          <w:p>
            <w:pPr>
              <w:spacing w:after="0"/>
              <w:rPr>
                <w:sz w:val="2"/>
                <w:szCs w:val="2"/>
                <w:color w:val="auto"/>
              </w:rPr>
            </w:pPr>
          </w:p>
        </w:tc>
        <w:tc>
          <w:tcPr>
            <w:tcW w:w="10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80" w:type="dxa"/>
            <w:vAlign w:val="bottom"/>
          </w:tcPr>
          <w:p>
            <w:pPr>
              <w:spacing w:after="0"/>
              <w:rPr>
                <w:sz w:val="2"/>
                <w:szCs w:val="2"/>
                <w:color w:val="auto"/>
              </w:rPr>
            </w:pPr>
          </w:p>
        </w:tc>
        <w:tc>
          <w:tcPr>
            <w:tcW w:w="1260" w:type="dxa"/>
            <w:vAlign w:val="bottom"/>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Loss</w:t>
            </w:r>
          </w:p>
        </w:tc>
        <w:tc>
          <w:tcPr>
            <w:tcW w:w="0" w:type="dxa"/>
            <w:vAlign w:val="bottom"/>
          </w:tcPr>
          <w:p>
            <w:pPr>
              <w:spacing w:after="0"/>
              <w:rPr>
                <w:sz w:val="1"/>
                <w:szCs w:val="1"/>
                <w:color w:val="auto"/>
              </w:rPr>
            </w:pPr>
          </w:p>
        </w:tc>
      </w:tr>
      <w:tr>
        <w:trPr>
          <w:trHeight w:val="190"/>
        </w:trPr>
        <w:tc>
          <w:tcPr>
            <w:tcW w:w="4820" w:type="dxa"/>
            <w:vAlign w:val="bottom"/>
          </w:tcPr>
          <w:p>
            <w:pPr>
              <w:spacing w:after="0"/>
              <w:rPr>
                <w:sz w:val="16"/>
                <w:szCs w:val="16"/>
                <w:color w:val="auto"/>
              </w:rPr>
            </w:pPr>
          </w:p>
        </w:tc>
        <w:tc>
          <w:tcPr>
            <w:tcW w:w="116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16"/>
                <w:szCs w:val="16"/>
                <w:color w:val="auto"/>
              </w:rPr>
            </w:pPr>
          </w:p>
        </w:tc>
        <w:tc>
          <w:tcPr>
            <w:tcW w:w="880" w:type="dxa"/>
            <w:vAlign w:val="bottom"/>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OCTOBER 28, 2023</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496,262</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82,712</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25,313,914</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10,356,798</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(188,302)</w:t>
            </w:r>
          </w:p>
        </w:tc>
        <w:tc>
          <w:tcPr>
            <w:tcW w:w="0" w:type="dxa"/>
            <w:vAlign w:val="bottom"/>
          </w:tcPr>
          <w:p>
            <w:pPr>
              <w:spacing w:after="0"/>
              <w:rPr>
                <w:sz w:val="1"/>
                <w:szCs w:val="1"/>
                <w:color w:val="auto"/>
              </w:rPr>
            </w:pPr>
          </w:p>
        </w:tc>
      </w:tr>
      <w:tr>
        <w:trPr>
          <w:trHeight w:val="230"/>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764,969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declared and paid - $1.78 per share</w:t>
            </w: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(882,218)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 stock under stock plans and other</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63,976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128,211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11,101</w:t>
            </w: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 repurchased</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center"/>
              <w:ind w:left="177"/>
              <w:spacing w:after="0"/>
              <w:rPr>
                <w:sz w:val="20"/>
                <w:szCs w:val="20"/>
                <w:color w:val="auto"/>
              </w:rPr>
            </w:pPr>
            <w:r>
              <w:rPr>
                <w:rFonts w:ascii="Times New Roman" w:cs="Times New Roman" w:eastAsia="Times New Roman" w:hAnsi="Times New Roman"/>
                <w:sz w:val="18"/>
                <w:szCs w:val="18"/>
                <w:color w:val="auto"/>
                <w:w w:val="99"/>
              </w:rPr>
              <w:t>(402,364)</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MAY 4, 2024</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496,217</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82,704</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25,103,737</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10,239,549</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(177,201)</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See accompanying notes.</w:t>
      </w:r>
    </w:p>
    <w:p>
      <w:pPr>
        <w:sectPr>
          <w:pgSz w:w="11900" w:h="16838" w:orient="portrait"/>
          <w:cols w:equalWidth="0" w:num="1">
            <w:col w:w="11240"/>
          </w:cols>
          <w:pgMar w:left="320" w:top="100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type w:val="continuous"/>
        </w:sectPr>
      </w:pPr>
    </w:p>
    <w:bookmarkStart w:id="5" w:name="page6"/>
    <w:bookmarkEnd w:id="5"/>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ANALOG DEVICES,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SHAREHOLDERS' EQUITY</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580" w:type="dxa"/>
            <w:vAlign w:val="bottom"/>
            <w:gridSpan w:val="8"/>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 April 29, 2023</w:t>
            </w: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8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8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Capital in</w:t>
            </w: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tcPr>
          <w:p>
            <w:pPr>
              <w:jc w:val="center"/>
              <w:ind w:right="8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0" w:type="dxa"/>
            <w:vAlign w:val="bottom"/>
          </w:tcPr>
          <w:p>
            <w:pPr>
              <w:spacing w:after="0"/>
              <w:rPr>
                <w:sz w:val="1"/>
                <w:szCs w:val="1"/>
                <w:color w:val="auto"/>
              </w:rPr>
            </w:pPr>
          </w:p>
        </w:tc>
      </w:tr>
      <w:tr>
        <w:trPr>
          <w:trHeight w:val="189"/>
        </w:trPr>
        <w:tc>
          <w:tcPr>
            <w:tcW w:w="48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90"/>
        </w:trPr>
        <w:tc>
          <w:tcPr>
            <w:tcW w:w="4820" w:type="dxa"/>
            <w:vAlign w:val="bottom"/>
          </w:tcPr>
          <w:p>
            <w:pPr>
              <w:spacing w:after="0"/>
              <w:rPr>
                <w:sz w:val="16"/>
                <w:szCs w:val="16"/>
                <w:color w:val="auto"/>
              </w:rPr>
            </w:pPr>
          </w:p>
        </w:tc>
        <w:tc>
          <w:tcPr>
            <w:tcW w:w="2360" w:type="dxa"/>
            <w:vAlign w:val="bottom"/>
            <w:gridSpan w:val="5"/>
          </w:tcPr>
          <w:p>
            <w:pPr>
              <w:ind w:left="6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00" w:type="dxa"/>
            <w:vAlign w:val="bottom"/>
          </w:tcPr>
          <w:p>
            <w:pPr>
              <w:spacing w:after="0"/>
              <w:rPr>
                <w:sz w:val="16"/>
                <w:szCs w:val="16"/>
                <w:color w:val="auto"/>
              </w:rPr>
            </w:pPr>
          </w:p>
        </w:tc>
        <w:tc>
          <w:tcPr>
            <w:tcW w:w="11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Excess of</w:t>
            </w:r>
          </w:p>
        </w:tc>
        <w:tc>
          <w:tcPr>
            <w:tcW w:w="200" w:type="dxa"/>
            <w:vAlign w:val="bottom"/>
          </w:tcPr>
          <w:p>
            <w:pPr>
              <w:spacing w:after="0"/>
              <w:rPr>
                <w:sz w:val="16"/>
                <w:szCs w:val="16"/>
                <w:color w:val="auto"/>
              </w:rPr>
            </w:pPr>
          </w:p>
        </w:tc>
        <w:tc>
          <w:tcPr>
            <w:tcW w:w="10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80" w:type="dxa"/>
            <w:vAlign w:val="bottom"/>
          </w:tcPr>
          <w:p>
            <w:pPr>
              <w:spacing w:after="0"/>
              <w:rPr>
                <w:sz w:val="16"/>
                <w:szCs w:val="16"/>
                <w:color w:val="auto"/>
              </w:rPr>
            </w:pPr>
          </w:p>
        </w:tc>
        <w:tc>
          <w:tcPr>
            <w:tcW w:w="1260" w:type="dxa"/>
            <w:vAlign w:val="bottom"/>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0" w:type="dxa"/>
            <w:vAlign w:val="bottom"/>
          </w:tcPr>
          <w:p>
            <w:pPr>
              <w:spacing w:after="0"/>
              <w:rPr>
                <w:sz w:val="1"/>
                <w:szCs w:val="1"/>
                <w:color w:val="auto"/>
              </w:rPr>
            </w:pPr>
          </w:p>
        </w:tc>
      </w:tr>
      <w:tr>
        <w:trPr>
          <w:trHeight w:val="23"/>
        </w:trPr>
        <w:tc>
          <w:tcPr>
            <w:tcW w:w="482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Par Value</w:t>
            </w:r>
          </w:p>
        </w:tc>
        <w:tc>
          <w:tcPr>
            <w:tcW w:w="200" w:type="dxa"/>
            <w:vAlign w:val="bottom"/>
          </w:tcPr>
          <w:p>
            <w:pPr>
              <w:spacing w:after="0"/>
              <w:rPr>
                <w:sz w:val="2"/>
                <w:szCs w:val="2"/>
                <w:color w:val="auto"/>
              </w:rPr>
            </w:pPr>
          </w:p>
        </w:tc>
        <w:tc>
          <w:tcPr>
            <w:tcW w:w="10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80" w:type="dxa"/>
            <w:vAlign w:val="bottom"/>
          </w:tcPr>
          <w:p>
            <w:pPr>
              <w:spacing w:after="0"/>
              <w:rPr>
                <w:sz w:val="2"/>
                <w:szCs w:val="2"/>
                <w:color w:val="auto"/>
              </w:rPr>
            </w:pPr>
          </w:p>
        </w:tc>
        <w:tc>
          <w:tcPr>
            <w:tcW w:w="1260" w:type="dxa"/>
            <w:vAlign w:val="bottom"/>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Loss</w:t>
            </w:r>
          </w:p>
        </w:tc>
        <w:tc>
          <w:tcPr>
            <w:tcW w:w="0" w:type="dxa"/>
            <w:vAlign w:val="bottom"/>
          </w:tcPr>
          <w:p>
            <w:pPr>
              <w:spacing w:after="0"/>
              <w:rPr>
                <w:sz w:val="1"/>
                <w:szCs w:val="1"/>
                <w:color w:val="auto"/>
              </w:rPr>
            </w:pPr>
          </w:p>
        </w:tc>
      </w:tr>
      <w:tr>
        <w:trPr>
          <w:trHeight w:val="190"/>
        </w:trPr>
        <w:tc>
          <w:tcPr>
            <w:tcW w:w="4820" w:type="dxa"/>
            <w:vAlign w:val="bottom"/>
          </w:tcPr>
          <w:p>
            <w:pPr>
              <w:spacing w:after="0"/>
              <w:rPr>
                <w:sz w:val="16"/>
                <w:szCs w:val="16"/>
                <w:color w:val="auto"/>
              </w:rPr>
            </w:pPr>
          </w:p>
        </w:tc>
        <w:tc>
          <w:tcPr>
            <w:tcW w:w="1160" w:type="dxa"/>
            <w:vAlign w:val="bottom"/>
            <w:tcBorders>
              <w:top w:val="single" w:sz="8" w:color="auto"/>
            </w:tcBorders>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JANUARY 28, 2023</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42424"/>
              </w:rPr>
              <w:t>505,852</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242424"/>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42424"/>
              </w:rPr>
              <w:t>84,306</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42424"/>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42424"/>
              </w:rPr>
              <w:t>27,319,566</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9,297,347</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42424"/>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42424"/>
              </w:rPr>
              <w:t>(169,734)</w:t>
            </w:r>
          </w:p>
        </w:tc>
        <w:tc>
          <w:tcPr>
            <w:tcW w:w="0" w:type="dxa"/>
            <w:vAlign w:val="bottom"/>
          </w:tcPr>
          <w:p>
            <w:pPr>
              <w:spacing w:after="0"/>
              <w:rPr>
                <w:sz w:val="1"/>
                <w:szCs w:val="1"/>
                <w:color w:val="auto"/>
              </w:rPr>
            </w:pPr>
          </w:p>
        </w:tc>
      </w:tr>
      <w:tr>
        <w:trPr>
          <w:trHeight w:val="230"/>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977,656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declared and paid - $0.86 per share</w:t>
            </w: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(435,213)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 stock under stock plans and other</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242424"/>
              </w:rPr>
              <w:t>1,764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242424"/>
              </w:rPr>
              <w:t>294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242424"/>
              </w:rPr>
              <w:t>25,480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42424"/>
              </w:rPr>
              <w:t>69,102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242424"/>
              </w:rPr>
              <w:t>(2,629)</w:t>
            </w: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 repurchased</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42424"/>
              </w:rPr>
              <w:t>(6,198)</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42424"/>
              </w:rPr>
              <w:t>(1,029)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242424"/>
                <w:w w:val="99"/>
              </w:rPr>
              <w:t>(1,151,922)</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APRIL 29, 2023</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42424"/>
              </w:rPr>
              <w:t>501,418</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242424"/>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42424"/>
              </w:rPr>
              <w:t>83,571</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42424"/>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42424"/>
              </w:rPr>
              <w:t>26,262,226</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9,839,790</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42424"/>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42424"/>
              </w:rPr>
              <w:t>(172,363)</w:t>
            </w:r>
          </w:p>
        </w:tc>
        <w:tc>
          <w:tcPr>
            <w:tcW w:w="0" w:type="dxa"/>
            <w:vAlign w:val="bottom"/>
          </w:tcPr>
          <w:p>
            <w:pPr>
              <w:spacing w:after="0"/>
              <w:rPr>
                <w:sz w:val="1"/>
                <w:szCs w:val="1"/>
                <w:color w:val="auto"/>
              </w:rPr>
            </w:pPr>
          </w:p>
        </w:tc>
      </w:tr>
      <w:tr>
        <w:trPr>
          <w:trHeight w:val="21"/>
        </w:trPr>
        <w:tc>
          <w:tcPr>
            <w:tcW w:w="48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5"/>
        </w:trPr>
        <w:tc>
          <w:tcPr>
            <w:tcW w:w="48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580" w:type="dxa"/>
            <w:vAlign w:val="bottom"/>
            <w:gridSpan w:val="8"/>
          </w:tcPr>
          <w:p>
            <w:pPr>
              <w:jc w:val="center"/>
              <w:spacing w:after="0"/>
              <w:rPr>
                <w:sz w:val="20"/>
                <w:szCs w:val="20"/>
                <w:color w:val="auto"/>
              </w:rPr>
            </w:pPr>
            <w:r>
              <w:rPr>
                <w:rFonts w:ascii="Times New Roman" w:cs="Times New Roman" w:eastAsia="Times New Roman" w:hAnsi="Times New Roman"/>
                <w:sz w:val="14"/>
                <w:szCs w:val="14"/>
                <w:b w:val="1"/>
                <w:bCs w:val="1"/>
                <w:color w:val="auto"/>
              </w:rPr>
              <w:t>Six Months Ended April 29, 2023</w:t>
            </w: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8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8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Capital in</w:t>
            </w: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tcPr>
          <w:p>
            <w:pPr>
              <w:jc w:val="center"/>
              <w:ind w:right="8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0" w:type="dxa"/>
            <w:vAlign w:val="bottom"/>
          </w:tcPr>
          <w:p>
            <w:pPr>
              <w:spacing w:after="0"/>
              <w:rPr>
                <w:sz w:val="1"/>
                <w:szCs w:val="1"/>
                <w:color w:val="auto"/>
              </w:rPr>
            </w:pPr>
          </w:p>
        </w:tc>
      </w:tr>
      <w:tr>
        <w:trPr>
          <w:trHeight w:val="189"/>
        </w:trPr>
        <w:tc>
          <w:tcPr>
            <w:tcW w:w="48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90"/>
        </w:trPr>
        <w:tc>
          <w:tcPr>
            <w:tcW w:w="4820" w:type="dxa"/>
            <w:vAlign w:val="bottom"/>
          </w:tcPr>
          <w:p>
            <w:pPr>
              <w:spacing w:after="0"/>
              <w:rPr>
                <w:sz w:val="16"/>
                <w:szCs w:val="16"/>
                <w:color w:val="auto"/>
              </w:rPr>
            </w:pPr>
          </w:p>
        </w:tc>
        <w:tc>
          <w:tcPr>
            <w:tcW w:w="2360" w:type="dxa"/>
            <w:vAlign w:val="bottom"/>
            <w:gridSpan w:val="5"/>
          </w:tcPr>
          <w:p>
            <w:pPr>
              <w:ind w:left="6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00" w:type="dxa"/>
            <w:vAlign w:val="bottom"/>
          </w:tcPr>
          <w:p>
            <w:pPr>
              <w:spacing w:after="0"/>
              <w:rPr>
                <w:sz w:val="16"/>
                <w:szCs w:val="16"/>
                <w:color w:val="auto"/>
              </w:rPr>
            </w:pPr>
          </w:p>
        </w:tc>
        <w:tc>
          <w:tcPr>
            <w:tcW w:w="11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Excess of</w:t>
            </w:r>
          </w:p>
        </w:tc>
        <w:tc>
          <w:tcPr>
            <w:tcW w:w="200" w:type="dxa"/>
            <w:vAlign w:val="bottom"/>
          </w:tcPr>
          <w:p>
            <w:pPr>
              <w:spacing w:after="0"/>
              <w:rPr>
                <w:sz w:val="16"/>
                <w:szCs w:val="16"/>
                <w:color w:val="auto"/>
              </w:rPr>
            </w:pPr>
          </w:p>
        </w:tc>
        <w:tc>
          <w:tcPr>
            <w:tcW w:w="10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80" w:type="dxa"/>
            <w:vAlign w:val="bottom"/>
          </w:tcPr>
          <w:p>
            <w:pPr>
              <w:spacing w:after="0"/>
              <w:rPr>
                <w:sz w:val="16"/>
                <w:szCs w:val="16"/>
                <w:color w:val="auto"/>
              </w:rPr>
            </w:pPr>
          </w:p>
        </w:tc>
        <w:tc>
          <w:tcPr>
            <w:tcW w:w="1260" w:type="dxa"/>
            <w:vAlign w:val="bottom"/>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0" w:type="dxa"/>
            <w:vAlign w:val="bottom"/>
          </w:tcPr>
          <w:p>
            <w:pPr>
              <w:spacing w:after="0"/>
              <w:rPr>
                <w:sz w:val="1"/>
                <w:szCs w:val="1"/>
                <w:color w:val="auto"/>
              </w:rPr>
            </w:pPr>
          </w:p>
        </w:tc>
      </w:tr>
      <w:tr>
        <w:trPr>
          <w:trHeight w:val="23"/>
        </w:trPr>
        <w:tc>
          <w:tcPr>
            <w:tcW w:w="482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Par Value</w:t>
            </w:r>
          </w:p>
        </w:tc>
        <w:tc>
          <w:tcPr>
            <w:tcW w:w="200" w:type="dxa"/>
            <w:vAlign w:val="bottom"/>
          </w:tcPr>
          <w:p>
            <w:pPr>
              <w:spacing w:after="0"/>
              <w:rPr>
                <w:sz w:val="2"/>
                <w:szCs w:val="2"/>
                <w:color w:val="auto"/>
              </w:rPr>
            </w:pPr>
          </w:p>
        </w:tc>
        <w:tc>
          <w:tcPr>
            <w:tcW w:w="10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80" w:type="dxa"/>
            <w:vAlign w:val="bottom"/>
          </w:tcPr>
          <w:p>
            <w:pPr>
              <w:spacing w:after="0"/>
              <w:rPr>
                <w:sz w:val="2"/>
                <w:szCs w:val="2"/>
                <w:color w:val="auto"/>
              </w:rPr>
            </w:pPr>
          </w:p>
        </w:tc>
        <w:tc>
          <w:tcPr>
            <w:tcW w:w="1260" w:type="dxa"/>
            <w:vAlign w:val="bottom"/>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Loss</w:t>
            </w:r>
          </w:p>
        </w:tc>
        <w:tc>
          <w:tcPr>
            <w:tcW w:w="0" w:type="dxa"/>
            <w:vAlign w:val="bottom"/>
          </w:tcPr>
          <w:p>
            <w:pPr>
              <w:spacing w:after="0"/>
              <w:rPr>
                <w:sz w:val="1"/>
                <w:szCs w:val="1"/>
                <w:color w:val="auto"/>
              </w:rPr>
            </w:pPr>
          </w:p>
        </w:tc>
      </w:tr>
      <w:tr>
        <w:trPr>
          <w:trHeight w:val="190"/>
        </w:trPr>
        <w:tc>
          <w:tcPr>
            <w:tcW w:w="4820" w:type="dxa"/>
            <w:vAlign w:val="bottom"/>
          </w:tcPr>
          <w:p>
            <w:pPr>
              <w:spacing w:after="0"/>
              <w:rPr>
                <w:sz w:val="16"/>
                <w:szCs w:val="16"/>
                <w:color w:val="auto"/>
              </w:rPr>
            </w:pPr>
          </w:p>
        </w:tc>
        <w:tc>
          <w:tcPr>
            <w:tcW w:w="1160" w:type="dxa"/>
            <w:vAlign w:val="bottom"/>
            <w:tcBorders>
              <w:top w:val="single" w:sz="8" w:color="auto"/>
            </w:tcBorders>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OCTOBER 29, 2022</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42424"/>
              </w:rPr>
              <w:t>509,296</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242424"/>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42424"/>
              </w:rPr>
              <w:t>84,880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42424"/>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42424"/>
              </w:rPr>
              <w:t>27,857,270</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242424"/>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42424"/>
              </w:rPr>
              <w:t>8,721,325</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42424"/>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42424"/>
              </w:rPr>
              <w:t>(198,152)</w:t>
            </w:r>
          </w:p>
        </w:tc>
        <w:tc>
          <w:tcPr>
            <w:tcW w:w="0" w:type="dxa"/>
            <w:vAlign w:val="bottom"/>
          </w:tcPr>
          <w:p>
            <w:pPr>
              <w:spacing w:after="0"/>
              <w:rPr>
                <w:sz w:val="1"/>
                <w:szCs w:val="1"/>
                <w:color w:val="auto"/>
              </w:rPr>
            </w:pPr>
          </w:p>
        </w:tc>
      </w:tr>
      <w:tr>
        <w:trPr>
          <w:trHeight w:val="230"/>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242424"/>
              </w:rPr>
              <w:t>1,939,130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declared and paid - $1.62 per share</w:t>
            </w: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42424"/>
              </w:rPr>
              <w:t>(820,665)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 stock under stock plans and other</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242424"/>
              </w:rPr>
              <w:t>2,381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242424"/>
              </w:rPr>
              <w:t>397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242424"/>
              </w:rPr>
              <w:t>66,615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42424"/>
              </w:rPr>
              <w:t>144,143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242424"/>
              </w:rPr>
              <w:t>25,789</w:t>
            </w: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 repurchased</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42424"/>
              </w:rPr>
              <w:t>(10,259)</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42424"/>
              </w:rPr>
              <w:t>(1,706)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242424"/>
                <w:w w:val="99"/>
              </w:rPr>
              <w:t>(1,805,802)</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APRIL 29, 2023</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42424"/>
              </w:rPr>
              <w:t>501,418</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242424"/>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42424"/>
              </w:rPr>
              <w:t>83,571</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42424"/>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42424"/>
              </w:rPr>
              <w:t>26,262,226</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242424"/>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42424"/>
              </w:rPr>
              <w:t>9,839,790</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42424"/>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42424"/>
              </w:rPr>
              <w:t>(172,363)</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See accompanying notes.</w:t>
      </w:r>
    </w:p>
    <w:p>
      <w:pPr>
        <w:sectPr>
          <w:pgSz w:w="11900" w:h="16838" w:orient="portrait"/>
          <w:cols w:equalWidth="0" w:num="1">
            <w:col w:w="11200"/>
          </w:cols>
          <w:pgMar w:left="320" w:top="1008" w:right="37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08" w:right="379" w:bottom="1440" w:gutter="0" w:footer="0" w:header="0"/>
          <w:type w:val="continuous"/>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ANALOG DEVICES,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320" w:type="dxa"/>
            <w:vAlign w:val="bottom"/>
            <w:gridSpan w:val="4"/>
          </w:tcPr>
          <w:p>
            <w:pPr>
              <w:jc w:val="right"/>
              <w:ind w:right="1159"/>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3"/>
        </w:trPr>
        <w:tc>
          <w:tcPr>
            <w:tcW w:w="76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190"/>
        </w:trPr>
        <w:tc>
          <w:tcPr>
            <w:tcW w:w="7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May 4, 2024</w:t>
            </w:r>
          </w:p>
        </w:tc>
        <w:tc>
          <w:tcPr>
            <w:tcW w:w="260" w:type="dxa"/>
            <w:vAlign w:val="bottom"/>
          </w:tcPr>
          <w:p>
            <w:pPr>
              <w:spacing w:after="0"/>
              <w:rPr>
                <w:sz w:val="16"/>
                <w:szCs w:val="16"/>
                <w:color w:val="auto"/>
              </w:rPr>
            </w:pPr>
          </w:p>
        </w:tc>
        <w:tc>
          <w:tcPr>
            <w:tcW w:w="1500" w:type="dxa"/>
            <w:vAlign w:val="bottom"/>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April 29, 2023</w:t>
            </w:r>
          </w:p>
        </w:tc>
      </w:tr>
      <w:tr>
        <w:trPr>
          <w:trHeight w:val="202"/>
        </w:trPr>
        <w:tc>
          <w:tcPr>
            <w:tcW w:w="7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300" w:type="dxa"/>
            <w:vAlign w:val="bottom"/>
            <w:tcBorders>
              <w:top w:val="single" w:sz="8" w:color="auto"/>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500" w:type="dxa"/>
            <w:vAlign w:val="bottom"/>
            <w:tcBorders>
              <w:top w:val="single" w:sz="8" w:color="auto"/>
            </w:tcBorders>
            <w:shd w:val="clear" w:color="auto" w:fill="CCEEFF"/>
          </w:tcPr>
          <w:p>
            <w:pPr>
              <w:spacing w:after="0"/>
              <w:rPr>
                <w:sz w:val="17"/>
                <w:szCs w:val="17"/>
                <w:color w:val="auto"/>
              </w:rPr>
            </w:pPr>
          </w:p>
        </w:tc>
      </w:tr>
      <w:tr>
        <w:trPr>
          <w:trHeight w:val="213"/>
        </w:trPr>
        <w:tc>
          <w:tcPr>
            <w:tcW w:w="76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Net income</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764,969</w:t>
            </w:r>
          </w:p>
        </w:tc>
        <w:tc>
          <w:tcPr>
            <w:tcW w:w="12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1,939,130</w:t>
            </w:r>
          </w:p>
        </w:tc>
      </w:tr>
      <w:tr>
        <w:trPr>
          <w:trHeight w:val="219"/>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operations:</w:t>
            </w: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r>
      <w:tr>
        <w:trPr>
          <w:trHeight w:val="213"/>
        </w:trPr>
        <w:tc>
          <w:tcPr>
            <w:tcW w:w="760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Depreciation</w:t>
            </w:r>
          </w:p>
        </w:tc>
        <w:tc>
          <w:tcPr>
            <w:tcW w:w="3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173,172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165,581</w:t>
            </w:r>
          </w:p>
        </w:tc>
      </w:tr>
      <w:tr>
        <w:trPr>
          <w:trHeight w:val="219"/>
        </w:trPr>
        <w:tc>
          <w:tcPr>
            <w:tcW w:w="76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Amortization of intangibles</w:t>
            </w: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880,376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1,003,713</w:t>
            </w:r>
          </w:p>
        </w:tc>
      </w:tr>
      <w:tr>
        <w:trPr>
          <w:trHeight w:val="213"/>
        </w:trPr>
        <w:tc>
          <w:tcPr>
            <w:tcW w:w="760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3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128,211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144,143</w:t>
            </w:r>
          </w:p>
        </w:tc>
      </w:tr>
      <w:tr>
        <w:trPr>
          <w:trHeight w:val="219"/>
        </w:trPr>
        <w:tc>
          <w:tcPr>
            <w:tcW w:w="76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Deferred income taxes</w:t>
            </w: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(164,348)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(280,110)</w:t>
            </w:r>
          </w:p>
        </w:tc>
      </w:tr>
      <w:tr>
        <w:trPr>
          <w:trHeight w:val="213"/>
        </w:trPr>
        <w:tc>
          <w:tcPr>
            <w:tcW w:w="760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Other</w:t>
            </w:r>
          </w:p>
        </w:tc>
        <w:tc>
          <w:tcPr>
            <w:tcW w:w="3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13,370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2,768</w:t>
            </w:r>
          </w:p>
        </w:tc>
      </w:tr>
      <w:tr>
        <w:trPr>
          <w:trHeight w:val="219"/>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3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150,935</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(487,339)</w:t>
            </w:r>
          </w:p>
        </w:tc>
      </w:tr>
      <w:tr>
        <w:trPr>
          <w:trHeight w:val="207"/>
        </w:trPr>
        <w:tc>
          <w:tcPr>
            <w:tcW w:w="76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Total adjustments</w:t>
            </w:r>
          </w:p>
        </w:tc>
        <w:tc>
          <w:tcPr>
            <w:tcW w:w="3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1,181,716</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548,756</w:t>
            </w:r>
          </w:p>
        </w:tc>
      </w:tr>
      <w:tr>
        <w:trPr>
          <w:trHeight w:val="212"/>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3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1,946,685</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2,487,886</w:t>
            </w:r>
          </w:p>
        </w:tc>
      </w:tr>
      <w:tr>
        <w:trPr>
          <w:trHeight w:val="193"/>
        </w:trPr>
        <w:tc>
          <w:tcPr>
            <w:tcW w:w="7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3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219"/>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Purchases of short-term available-for-sale investments</w:t>
            </w: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(424,117)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6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Additions to property, plant and equipment</w:t>
            </w:r>
          </w:p>
        </w:tc>
        <w:tc>
          <w:tcPr>
            <w:tcW w:w="3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(411,167)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(460,496)</w:t>
            </w:r>
          </w:p>
        </w:tc>
      </w:tr>
      <w:tr>
        <w:trPr>
          <w:trHeight w:val="219"/>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Other</w:t>
            </w:r>
          </w:p>
        </w:tc>
        <w:tc>
          <w:tcPr>
            <w:tcW w:w="3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14,106</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w:t>
            </w:r>
          </w:p>
        </w:tc>
      </w:tr>
      <w:tr>
        <w:trPr>
          <w:trHeight w:val="207"/>
        </w:trPr>
        <w:tc>
          <w:tcPr>
            <w:tcW w:w="76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Net cash used for investing activities</w:t>
            </w:r>
          </w:p>
        </w:tc>
        <w:tc>
          <w:tcPr>
            <w:tcW w:w="3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(821,178)</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(460,577)</w:t>
            </w:r>
          </w:p>
        </w:tc>
      </w:tr>
      <w:tr>
        <w:trPr>
          <w:trHeight w:val="199"/>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3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r>
      <w:tr>
        <w:trPr>
          <w:trHeight w:val="213"/>
        </w:trPr>
        <w:tc>
          <w:tcPr>
            <w:tcW w:w="76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Proceeds from debt</w:t>
            </w:r>
          </w:p>
        </w:tc>
        <w:tc>
          <w:tcPr>
            <w:tcW w:w="3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1,087,856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Early termination of debt</w:t>
            </w:r>
          </w:p>
        </w:tc>
        <w:tc>
          <w:tcPr>
            <w:tcW w:w="30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(65,688)</w:t>
            </w:r>
          </w:p>
        </w:tc>
      </w:tr>
      <w:tr>
        <w:trPr>
          <w:trHeight w:val="213"/>
        </w:trPr>
        <w:tc>
          <w:tcPr>
            <w:tcW w:w="76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Proceeds from commercial paper notes</w:t>
            </w:r>
          </w:p>
        </w:tc>
        <w:tc>
          <w:tcPr>
            <w:tcW w:w="3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5,383,401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253,635</w:t>
            </w:r>
          </w:p>
        </w:tc>
      </w:tr>
      <w:tr>
        <w:trPr>
          <w:trHeight w:val="219"/>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Payments of commercial paper notes</w:t>
            </w: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(5,382,390)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6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3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(402,732)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(1,807,508)</w:t>
            </w:r>
          </w:p>
        </w:tc>
      </w:tr>
      <w:tr>
        <w:trPr>
          <w:trHeight w:val="219"/>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Dividend payments to shareholders</w:t>
            </w: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(882,218)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(820,665)</w:t>
            </w:r>
          </w:p>
        </w:tc>
      </w:tr>
      <w:tr>
        <w:trPr>
          <w:trHeight w:val="213"/>
        </w:trPr>
        <w:tc>
          <w:tcPr>
            <w:tcW w:w="76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Proceeds from employee stock plans</w:t>
            </w:r>
          </w:p>
        </w:tc>
        <w:tc>
          <w:tcPr>
            <w:tcW w:w="3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64,336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67,012</w:t>
            </w:r>
          </w:p>
        </w:tc>
      </w:tr>
      <w:tr>
        <w:trPr>
          <w:trHeight w:val="219"/>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Other</w:t>
            </w:r>
          </w:p>
        </w:tc>
        <w:tc>
          <w:tcPr>
            <w:tcW w:w="3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(12,126)</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52,942</w:t>
            </w:r>
          </w:p>
        </w:tc>
      </w:tr>
      <w:tr>
        <w:trPr>
          <w:trHeight w:val="207"/>
        </w:trPr>
        <w:tc>
          <w:tcPr>
            <w:tcW w:w="76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Net cash used for financing activities</w:t>
            </w:r>
          </w:p>
        </w:tc>
        <w:tc>
          <w:tcPr>
            <w:tcW w:w="3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(143,873)</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(2,320,272)</w:t>
            </w:r>
          </w:p>
        </w:tc>
      </w:tr>
      <w:tr>
        <w:trPr>
          <w:trHeight w:val="212"/>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increase (decrease) in cash and cash equivalents</w:t>
            </w:r>
          </w:p>
        </w:tc>
        <w:tc>
          <w:tcPr>
            <w:tcW w:w="3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981,634</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(292,963)</w:t>
            </w:r>
          </w:p>
        </w:tc>
      </w:tr>
      <w:tr>
        <w:trPr>
          <w:trHeight w:val="207"/>
        </w:trPr>
        <w:tc>
          <w:tcPr>
            <w:tcW w:w="7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Cash and cash equivalents at beginning of period</w:t>
            </w:r>
          </w:p>
        </w:tc>
        <w:tc>
          <w:tcPr>
            <w:tcW w:w="3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958,061</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1,470,572</w:t>
            </w:r>
          </w:p>
        </w:tc>
      </w:tr>
      <w:tr>
        <w:trPr>
          <w:trHeight w:val="234"/>
        </w:trPr>
        <w:tc>
          <w:tcPr>
            <w:tcW w:w="7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 at end of period</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1,939,695</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1,177,609</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8" w:right="35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ANALOG DEVICES, INC.</w:t>
      </w:r>
    </w:p>
    <w:p>
      <w:pPr>
        <w:spacing w:after="0" w:line="31" w:lineRule="exact"/>
        <w:rPr>
          <w:sz w:val="20"/>
          <w:szCs w:val="20"/>
          <w:color w:val="auto"/>
        </w:rPr>
      </w:pPr>
    </w:p>
    <w:p>
      <w:pPr>
        <w:jc w:val="center"/>
        <w:spacing w:after="0" w:line="277" w:lineRule="auto"/>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FOR THE THREE AND SIX MONTHS ENDED MAY 4, 2024 (UNAUDITED) (all tabular amounts in thousands except per share amounts and percentages)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Basis of Presentation</w:t>
      </w:r>
    </w:p>
    <w:p>
      <w:pPr>
        <w:spacing w:after="0" w:line="175" w:lineRule="exact"/>
        <w:rPr>
          <w:sz w:val="20"/>
          <w:szCs w:val="20"/>
          <w:color w:val="auto"/>
        </w:rPr>
      </w:pPr>
    </w:p>
    <w:p>
      <w:pPr>
        <w:ind w:right="20" w:firstLine="243"/>
        <w:spacing w:after="0" w:line="258" w:lineRule="auto"/>
        <w:rPr>
          <w:sz w:val="20"/>
          <w:szCs w:val="20"/>
          <w:color w:val="auto"/>
        </w:rPr>
      </w:pPr>
      <w:r>
        <w:rPr>
          <w:rFonts w:ascii="Times New Roman" w:cs="Times New Roman" w:eastAsia="Times New Roman" w:hAnsi="Times New Roman"/>
          <w:sz w:val="18"/>
          <w:szCs w:val="18"/>
          <w:color w:val="auto"/>
        </w:rPr>
        <w:t>In the opinion of management, the information furnished in the accompanying condensed consolidated financial statements reflects all normal recurring adjustments that are necessary to fairly state the results for these interim periods and should be read in conjunction with Analog Devices, Inc.’s (the Company) Annual Report on Form 10-K for the fiscal year ended October 28, 2023 (fiscal 2023) and related notes. The results of operations for the interim periods shown in this report are not necessarily indicative of the results that may be expected for the fiscal year ending November 2, 2024 (fiscal 2024) or any future period.</w:t>
      </w:r>
    </w:p>
    <w:p>
      <w:pPr>
        <w:spacing w:after="0" w:line="129" w:lineRule="exact"/>
        <w:rPr>
          <w:sz w:val="20"/>
          <w:szCs w:val="20"/>
          <w:color w:val="auto"/>
        </w:rPr>
      </w:pPr>
    </w:p>
    <w:p>
      <w:pPr>
        <w:ind w:right="40" w:firstLine="243"/>
        <w:spacing w:after="0" w:line="266" w:lineRule="auto"/>
        <w:rPr>
          <w:sz w:val="20"/>
          <w:szCs w:val="20"/>
          <w:color w:val="auto"/>
        </w:rPr>
      </w:pPr>
      <w:r>
        <w:rPr>
          <w:rFonts w:ascii="Times New Roman" w:cs="Times New Roman" w:eastAsia="Times New Roman" w:hAnsi="Times New Roman"/>
          <w:sz w:val="18"/>
          <w:szCs w:val="18"/>
          <w:color w:val="auto"/>
        </w:rPr>
        <w:t>The Company has a 52-53 week fiscal year that ends on the Saturday closest to the last day in October. Fiscal 2024 is a 53-week fiscal year and fiscal 2023 was a 52-week fiscal year. The additional week in fiscal 2024 was included in the first quarter ended February 3, 2024. Therefore, the first six months of fiscal 2024 included an additional week of operations as compared to the first six months of fiscal 2023.</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Shareholders' Equity</w:t>
      </w:r>
    </w:p>
    <w:p>
      <w:pPr>
        <w:spacing w:after="0" w:line="121" w:lineRule="exact"/>
        <w:rPr>
          <w:sz w:val="20"/>
          <w:szCs w:val="20"/>
          <w:color w:val="auto"/>
        </w:rPr>
      </w:pPr>
    </w:p>
    <w:p>
      <w:pPr>
        <w:ind w:right="60" w:firstLine="445"/>
        <w:spacing w:after="0" w:line="258" w:lineRule="auto"/>
        <w:rPr>
          <w:sz w:val="20"/>
          <w:szCs w:val="20"/>
          <w:color w:val="auto"/>
        </w:rPr>
      </w:pPr>
      <w:r>
        <w:rPr>
          <w:rFonts w:ascii="Times New Roman" w:cs="Times New Roman" w:eastAsia="Times New Roman" w:hAnsi="Times New Roman"/>
          <w:sz w:val="18"/>
          <w:szCs w:val="18"/>
          <w:color w:val="auto"/>
        </w:rPr>
        <w:t>As of May 4, 2024, the Company had repurchased a total of approximately 207.0 million shares of its common stock for approximately $14.8 billion under the Company's share repurchase program. As of May 4, 2024, an additional $1.8 billion remains available for repurchase of shares under the current authorized program. The Company also repurchases shares in settlement of employee tax withholding obligations due upon the vesting of restricted stock units/awards or the exercise of stock options as well as for the Company's employee stock purchase plan. Future repurchases of common stock will be dependent upon the Company's financial position, results of operations, outlook, liquidity and other factors deemed relevant by the Company.</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Accumulated Other Comprehensive (Loss) Income</w:t>
      </w:r>
    </w:p>
    <w:p>
      <w:pPr>
        <w:spacing w:after="0" w:line="175" w:lineRule="exact"/>
        <w:rPr>
          <w:sz w:val="20"/>
          <w:szCs w:val="20"/>
          <w:color w:val="auto"/>
        </w:rPr>
      </w:pPr>
    </w:p>
    <w:p>
      <w:pPr>
        <w:ind w:right="60" w:firstLine="405"/>
        <w:spacing w:after="0" w:line="275" w:lineRule="auto"/>
        <w:rPr>
          <w:sz w:val="20"/>
          <w:szCs w:val="20"/>
          <w:color w:val="auto"/>
        </w:rPr>
      </w:pPr>
      <w:r>
        <w:rPr>
          <w:rFonts w:ascii="Times New Roman" w:cs="Times New Roman" w:eastAsia="Times New Roman" w:hAnsi="Times New Roman"/>
          <w:sz w:val="18"/>
          <w:szCs w:val="18"/>
          <w:color w:val="auto"/>
        </w:rPr>
        <w:t>The following table provides the changes in accumulated other comprehensive (loss) income (AOCI) by component and the related tax effects during the first six months of fiscal 2024.</w:t>
      </w:r>
    </w:p>
    <w:tbl>
      <w:tblPr>
        <w:tblLayout w:type="fixed"/>
        <w:tblInd w:w="0" w:type="dxa"/>
        <w:tblCellMar>
          <w:top w:w="0" w:type="dxa"/>
          <w:left w:w="0" w:type="dxa"/>
          <w:bottom w:w="0" w:type="dxa"/>
          <w:right w:w="0" w:type="dxa"/>
        </w:tblCellMar>
      </w:tblPr>
      <w:tr>
        <w:trPr>
          <w:trHeight w:val="165"/>
        </w:trPr>
        <w:tc>
          <w:tcPr>
            <w:tcW w:w="6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jc w:val="center"/>
              <w:ind w:right="280"/>
              <w:spacing w:after="0" w:line="165" w:lineRule="exact"/>
              <w:rPr>
                <w:sz w:val="20"/>
                <w:szCs w:val="20"/>
                <w:color w:val="auto"/>
              </w:rPr>
            </w:pPr>
            <w:r>
              <w:rPr>
                <w:rFonts w:ascii="Times New Roman" w:cs="Times New Roman" w:eastAsia="Times New Roman" w:hAnsi="Times New Roman"/>
                <w:sz w:val="16"/>
                <w:szCs w:val="16"/>
                <w:b w:val="1"/>
                <w:bCs w:val="1"/>
                <w:color w:val="auto"/>
              </w:rPr>
              <w:t>Foreign</w:t>
            </w:r>
          </w:p>
        </w:tc>
        <w:tc>
          <w:tcPr>
            <w:tcW w:w="120" w:type="dxa"/>
            <w:vAlign w:val="bottom"/>
          </w:tcPr>
          <w:p>
            <w:pPr>
              <w:spacing w:after="0"/>
              <w:rPr>
                <w:sz w:val="14"/>
                <w:szCs w:val="14"/>
                <w:color w:val="auto"/>
              </w:rPr>
            </w:pPr>
          </w:p>
        </w:tc>
        <w:tc>
          <w:tcPr>
            <w:tcW w:w="1180" w:type="dxa"/>
            <w:vAlign w:val="bottom"/>
            <w:gridSpan w:val="2"/>
          </w:tcPr>
          <w:p>
            <w:pPr>
              <w:jc w:val="center"/>
              <w:ind w:right="240"/>
              <w:spacing w:after="0" w:line="165" w:lineRule="exact"/>
              <w:rPr>
                <w:sz w:val="20"/>
                <w:szCs w:val="20"/>
                <w:color w:val="auto"/>
              </w:rPr>
            </w:pPr>
            <w:r>
              <w:rPr>
                <w:rFonts w:ascii="Times New Roman" w:cs="Times New Roman" w:eastAsia="Times New Roman" w:hAnsi="Times New Roman"/>
                <w:sz w:val="16"/>
                <w:szCs w:val="16"/>
                <w:b w:val="1"/>
                <w:bCs w:val="1"/>
                <w:color w:val="auto"/>
                <w:w w:val="99"/>
              </w:rPr>
              <w:t>Unrealized</w:t>
            </w: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jc w:val="center"/>
              <w:ind w:right="280"/>
              <w:spacing w:after="0" w:line="162" w:lineRule="exact"/>
              <w:rPr>
                <w:sz w:val="20"/>
                <w:szCs w:val="20"/>
                <w:color w:val="auto"/>
              </w:rPr>
            </w:pPr>
            <w:r>
              <w:rPr>
                <w:rFonts w:ascii="Times New Roman" w:cs="Times New Roman" w:eastAsia="Times New Roman" w:hAnsi="Times New Roman"/>
                <w:sz w:val="16"/>
                <w:szCs w:val="16"/>
                <w:b w:val="1"/>
                <w:bCs w:val="1"/>
                <w:color w:val="auto"/>
              </w:rPr>
              <w:t>currency</w:t>
            </w:r>
          </w:p>
        </w:tc>
        <w:tc>
          <w:tcPr>
            <w:tcW w:w="120" w:type="dxa"/>
            <w:vAlign w:val="bottom"/>
          </w:tcPr>
          <w:p>
            <w:pPr>
              <w:spacing w:after="0"/>
              <w:rPr>
                <w:sz w:val="14"/>
                <w:szCs w:val="14"/>
                <w:color w:val="auto"/>
              </w:rPr>
            </w:pPr>
          </w:p>
        </w:tc>
        <w:tc>
          <w:tcPr>
            <w:tcW w:w="118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holding gains</w:t>
            </w: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translation</w:t>
            </w:r>
          </w:p>
        </w:tc>
        <w:tc>
          <w:tcPr>
            <w:tcW w:w="120" w:type="dxa"/>
            <w:vAlign w:val="bottom"/>
          </w:tcPr>
          <w:p>
            <w:pPr>
              <w:spacing w:after="0"/>
              <w:rPr>
                <w:sz w:val="14"/>
                <w:szCs w:val="14"/>
                <w:color w:val="auto"/>
              </w:rPr>
            </w:pPr>
          </w:p>
        </w:tc>
        <w:tc>
          <w:tcPr>
            <w:tcW w:w="118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(losses) on</w:t>
            </w:r>
          </w:p>
        </w:tc>
        <w:tc>
          <w:tcPr>
            <w:tcW w:w="120" w:type="dxa"/>
            <w:vAlign w:val="bottom"/>
          </w:tcPr>
          <w:p>
            <w:pPr>
              <w:spacing w:after="0"/>
              <w:rPr>
                <w:sz w:val="14"/>
                <w:szCs w:val="14"/>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Pension plans</w:t>
            </w:r>
          </w:p>
        </w:tc>
        <w:tc>
          <w:tcPr>
            <w:tcW w:w="300" w:type="dxa"/>
            <w:vAlign w:val="bottom"/>
          </w:tcPr>
          <w:p>
            <w:pPr>
              <w:spacing w:after="0"/>
              <w:rPr>
                <w:sz w:val="14"/>
                <w:szCs w:val="14"/>
                <w:color w:val="auto"/>
              </w:rPr>
            </w:pPr>
          </w:p>
        </w:tc>
        <w:tc>
          <w:tcPr>
            <w:tcW w:w="1000" w:type="dxa"/>
            <w:vAlign w:val="bottom"/>
            <w:vMerge w:val="restart"/>
          </w:tcPr>
          <w:p>
            <w:pPr>
              <w:jc w:val="right"/>
              <w:ind w:right="39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6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adjustment</w:t>
            </w:r>
          </w:p>
        </w:tc>
        <w:tc>
          <w:tcPr>
            <w:tcW w:w="120" w:type="dxa"/>
            <w:vAlign w:val="bottom"/>
          </w:tcPr>
          <w:p>
            <w:pPr>
              <w:spacing w:after="0"/>
              <w:rPr>
                <w:sz w:val="18"/>
                <w:szCs w:val="18"/>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derivatives</w:t>
            </w:r>
          </w:p>
        </w:tc>
        <w:tc>
          <w:tcPr>
            <w:tcW w:w="12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6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October 28, 2023</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42424"/>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42424"/>
              </w:rPr>
              <w:t>(72,544)</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42424"/>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42424"/>
              </w:rPr>
              <w:t>(102,043)</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42424"/>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42424"/>
              </w:rPr>
              <w:t>(13,715)</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242424"/>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42424"/>
              </w:rPr>
              <w:t>(188,302)</w:t>
            </w:r>
          </w:p>
        </w:tc>
        <w:tc>
          <w:tcPr>
            <w:tcW w:w="0" w:type="dxa"/>
            <w:vAlign w:val="bottom"/>
          </w:tcPr>
          <w:p>
            <w:pPr>
              <w:spacing w:after="0"/>
              <w:rPr>
                <w:sz w:val="1"/>
                <w:szCs w:val="1"/>
                <w:color w:val="auto"/>
              </w:rPr>
            </w:pPr>
          </w:p>
        </w:tc>
      </w:tr>
      <w:tr>
        <w:trPr>
          <w:trHeight w:val="230"/>
        </w:trPr>
        <w:tc>
          <w:tcPr>
            <w:tcW w:w="60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comprehensive income before reclassifications</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7,611</w:t>
            </w:r>
          </w:p>
        </w:tc>
        <w:tc>
          <w:tcPr>
            <w:tcW w:w="0" w:type="dxa"/>
            <w:vAlign w:val="bottom"/>
          </w:tcPr>
          <w:p>
            <w:pPr>
              <w:spacing w:after="0"/>
              <w:rPr>
                <w:sz w:val="1"/>
                <w:szCs w:val="1"/>
                <w:color w:val="auto"/>
              </w:rPr>
            </w:pPr>
          </w:p>
        </w:tc>
      </w:tr>
      <w:tr>
        <w:trPr>
          <w:trHeight w:val="230"/>
        </w:trPr>
        <w:tc>
          <w:tcPr>
            <w:tcW w:w="60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Amounts reclassified out of other comprehensive income</w:t>
            </w: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5,239</w:t>
            </w:r>
          </w:p>
        </w:tc>
        <w:tc>
          <w:tcPr>
            <w:tcW w:w="0" w:type="dxa"/>
            <w:vAlign w:val="bottom"/>
          </w:tcPr>
          <w:p>
            <w:pPr>
              <w:spacing w:after="0"/>
              <w:rPr>
                <w:sz w:val="1"/>
                <w:szCs w:val="1"/>
                <w:color w:val="auto"/>
              </w:rPr>
            </w:pPr>
          </w:p>
        </w:tc>
      </w:tr>
      <w:tr>
        <w:trPr>
          <w:trHeight w:val="230"/>
        </w:trPr>
        <w:tc>
          <w:tcPr>
            <w:tcW w:w="60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Tax effects</w:t>
            </w:r>
          </w:p>
        </w:tc>
        <w:tc>
          <w:tcPr>
            <w:tcW w:w="16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(1,749)</w:t>
            </w:r>
          </w:p>
        </w:tc>
        <w:tc>
          <w:tcPr>
            <w:tcW w:w="0" w:type="dxa"/>
            <w:vAlign w:val="bottom"/>
          </w:tcPr>
          <w:p>
            <w:pPr>
              <w:spacing w:after="0"/>
              <w:rPr>
                <w:sz w:val="1"/>
                <w:szCs w:val="1"/>
                <w:color w:val="auto"/>
              </w:rPr>
            </w:pPr>
          </w:p>
        </w:tc>
      </w:tr>
      <w:tr>
        <w:trPr>
          <w:trHeight w:val="223"/>
        </w:trPr>
        <w:tc>
          <w:tcPr>
            <w:tcW w:w="6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9,326</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11,101</w:t>
            </w:r>
          </w:p>
        </w:tc>
        <w:tc>
          <w:tcPr>
            <w:tcW w:w="0" w:type="dxa"/>
            <w:vAlign w:val="bottom"/>
          </w:tcPr>
          <w:p>
            <w:pPr>
              <w:spacing w:after="0"/>
              <w:rPr>
                <w:sz w:val="1"/>
                <w:szCs w:val="1"/>
                <w:color w:val="auto"/>
              </w:rPr>
            </w:pPr>
          </w:p>
        </w:tc>
      </w:tr>
      <w:tr>
        <w:trPr>
          <w:trHeight w:val="223"/>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May 4, 2024</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(71,895)</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(92,717)</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(12,589)</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(177,201)</w:t>
            </w: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amounts reclassified out of AOCI into the Condensed Consolidated Statements of Income and the Condensed Consolidated Statements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Shareholders' Equity with presentation location during each period were as follows:</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8" w:name="page9"/>
    <w:bookmarkEnd w:id="8"/>
    <w:tbl>
      <w:tblPr>
        <w:tblLayout w:type="fixed"/>
        <w:tblInd w:w="20" w:type="dxa"/>
        <w:tblCellMar>
          <w:top w:w="0" w:type="dxa"/>
          <w:left w:w="0" w:type="dxa"/>
          <w:bottom w:w="0" w:type="dxa"/>
          <w:right w:w="0" w:type="dxa"/>
        </w:tblCellMar>
      </w:tblPr>
      <w:tr>
        <w:trPr>
          <w:trHeight w:val="190"/>
        </w:trPr>
        <w:tc>
          <w:tcPr>
            <w:tcW w:w="2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0" w:type="dxa"/>
            <w:vAlign w:val="bottom"/>
            <w:gridSpan w:val="5"/>
          </w:tcPr>
          <w:p>
            <w:pPr>
              <w:ind w:left="5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6"/>
                <w:szCs w:val="16"/>
                <w:color w:val="auto"/>
              </w:rPr>
            </w:pPr>
          </w:p>
        </w:tc>
        <w:tc>
          <w:tcPr>
            <w:tcW w:w="2520" w:type="dxa"/>
            <w:vAlign w:val="bottom"/>
            <w:gridSpan w:val="4"/>
          </w:tcPr>
          <w:p>
            <w:pPr>
              <w:jc w:val="right"/>
              <w:ind w:right="712"/>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980" w:type="dxa"/>
            <w:vAlign w:val="bottom"/>
            <w:vMerge w:val="restart"/>
          </w:tcPr>
          <w:p>
            <w:pPr>
              <w:ind w:left="20"/>
              <w:spacing w:after="0" w:line="199" w:lineRule="exact"/>
              <w:rPr>
                <w:sz w:val="20"/>
                <w:szCs w:val="20"/>
                <w:color w:val="auto"/>
              </w:rPr>
            </w:pPr>
            <w:r>
              <w:rPr>
                <w:rFonts w:ascii="Times New Roman" w:cs="Times New Roman" w:eastAsia="Times New Roman" w:hAnsi="Times New Roman"/>
                <w:sz w:val="18"/>
                <w:szCs w:val="18"/>
                <w:b w:val="1"/>
                <w:bCs w:val="1"/>
                <w:color w:val="auto"/>
              </w:rPr>
              <w:t>Comprehensive (Loss) Income</w:t>
            </w: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Location</w:t>
            </w:r>
          </w:p>
        </w:tc>
        <w:tc>
          <w:tcPr>
            <w:tcW w:w="0" w:type="dxa"/>
            <w:vAlign w:val="bottom"/>
          </w:tcPr>
          <w:p>
            <w:pPr>
              <w:spacing w:after="0"/>
              <w:rPr>
                <w:sz w:val="1"/>
                <w:szCs w:val="1"/>
                <w:color w:val="auto"/>
              </w:rPr>
            </w:pPr>
          </w:p>
        </w:tc>
      </w:tr>
      <w:tr>
        <w:trPr>
          <w:trHeight w:val="156"/>
        </w:trPr>
        <w:tc>
          <w:tcPr>
            <w:tcW w:w="298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Component</w:t>
            </w:r>
          </w:p>
        </w:tc>
        <w:tc>
          <w:tcPr>
            <w:tcW w:w="200" w:type="dxa"/>
            <w:vAlign w:val="bottom"/>
          </w:tcPr>
          <w:p>
            <w:pPr>
              <w:spacing w:after="0"/>
              <w:rPr>
                <w:sz w:val="21"/>
                <w:szCs w:val="21"/>
                <w:color w:val="auto"/>
              </w:rPr>
            </w:pPr>
          </w:p>
        </w:tc>
        <w:tc>
          <w:tcPr>
            <w:tcW w:w="12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May 4, 2024</w:t>
            </w:r>
          </w:p>
        </w:tc>
        <w:tc>
          <w:tcPr>
            <w:tcW w:w="160" w:type="dxa"/>
            <w:vAlign w:val="bottom"/>
          </w:tcPr>
          <w:p>
            <w:pPr>
              <w:spacing w:after="0"/>
              <w:rPr>
                <w:sz w:val="21"/>
                <w:szCs w:val="21"/>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April 29, 2023</w:t>
            </w:r>
          </w:p>
        </w:tc>
        <w:tc>
          <w:tcPr>
            <w:tcW w:w="200" w:type="dxa"/>
            <w:vAlign w:val="bottom"/>
          </w:tcPr>
          <w:p>
            <w:pPr>
              <w:spacing w:after="0"/>
              <w:rPr>
                <w:sz w:val="21"/>
                <w:szCs w:val="21"/>
                <w:color w:val="auto"/>
              </w:rPr>
            </w:pPr>
          </w:p>
        </w:tc>
        <w:tc>
          <w:tcPr>
            <w:tcW w:w="12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May 4, 2024</w:t>
            </w:r>
          </w:p>
        </w:tc>
        <w:tc>
          <w:tcPr>
            <w:tcW w:w="160" w:type="dxa"/>
            <w:vAlign w:val="bottom"/>
          </w:tcPr>
          <w:p>
            <w:pPr>
              <w:spacing w:after="0"/>
              <w:rPr>
                <w:sz w:val="21"/>
                <w:szCs w:val="21"/>
                <w:color w:val="auto"/>
              </w:rPr>
            </w:pPr>
          </w:p>
        </w:tc>
        <w:tc>
          <w:tcPr>
            <w:tcW w:w="1160" w:type="dxa"/>
            <w:vAlign w:val="bottom"/>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April 29, 2023</w:t>
            </w:r>
          </w:p>
        </w:tc>
        <w:tc>
          <w:tcPr>
            <w:tcW w:w="80" w:type="dxa"/>
            <w:vAlign w:val="bottom"/>
          </w:tcPr>
          <w:p>
            <w:pPr>
              <w:spacing w:after="0"/>
              <w:rPr>
                <w:sz w:val="21"/>
                <w:szCs w:val="21"/>
                <w:color w:val="auto"/>
              </w:rPr>
            </w:pPr>
          </w:p>
        </w:tc>
        <w:tc>
          <w:tcPr>
            <w:tcW w:w="26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380" w:type="dxa"/>
            <w:vAlign w:val="bottom"/>
            <w:tcBorders>
              <w:top w:val="single" w:sz="8" w:color="auto"/>
            </w:tcBorders>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Unrealized holding (gains) losses on derivatives:</w:t>
            </w:r>
          </w:p>
        </w:tc>
        <w:tc>
          <w:tcPr>
            <w:tcW w:w="16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6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Currency forwards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1,342</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80" w:type="dxa"/>
            <w:vAlign w:val="bottom"/>
          </w:tcPr>
          <w:p>
            <w:pPr>
              <w:spacing w:after="0"/>
              <w:rPr>
                <w:sz w:val="19"/>
                <w:szCs w:val="19"/>
                <w:color w:val="auto"/>
              </w:rPr>
            </w:pPr>
          </w:p>
        </w:tc>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0" w:type="dxa"/>
            <w:vAlign w:val="bottom"/>
          </w:tcPr>
          <w:p>
            <w:pPr>
              <w:spacing w:after="0"/>
              <w:rPr>
                <w:sz w:val="1"/>
                <w:szCs w:val="1"/>
                <w:color w:val="auto"/>
              </w:rPr>
            </w:pPr>
          </w:p>
        </w:tc>
      </w:tr>
      <w:tr>
        <w:trPr>
          <w:trHeight w:val="230"/>
        </w:trPr>
        <w:tc>
          <w:tcPr>
            <w:tcW w:w="29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80" w:type="dxa"/>
            <w:vAlign w:val="bottom"/>
            <w:shd w:val="clear" w:color="auto" w:fill="CCEEFF"/>
          </w:tcPr>
          <w:p>
            <w:pPr>
              <w:spacing w:after="0"/>
              <w:rPr>
                <w:sz w:val="19"/>
                <w:szCs w:val="19"/>
                <w:color w:val="auto"/>
              </w:rPr>
            </w:pPr>
          </w:p>
        </w:tc>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0" w:type="dxa"/>
            <w:vAlign w:val="bottom"/>
          </w:tcPr>
          <w:p>
            <w:pPr>
              <w:spacing w:after="0"/>
              <w:rPr>
                <w:sz w:val="1"/>
                <w:szCs w:val="1"/>
                <w:color w:val="auto"/>
              </w:rPr>
            </w:pPr>
          </w:p>
        </w:tc>
      </w:tr>
      <w:tr>
        <w:trPr>
          <w:trHeight w:val="175"/>
        </w:trPr>
        <w:tc>
          <w:tcPr>
            <w:tcW w:w="2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Selling, marketing, general and</w:t>
            </w:r>
          </w:p>
        </w:tc>
        <w:tc>
          <w:tcPr>
            <w:tcW w:w="0" w:type="dxa"/>
            <w:vAlign w:val="bottom"/>
          </w:tcPr>
          <w:p>
            <w:pPr>
              <w:spacing w:after="0"/>
              <w:rPr>
                <w:sz w:val="1"/>
                <w:szCs w:val="1"/>
                <w:color w:val="auto"/>
              </w:rPr>
            </w:pPr>
          </w:p>
        </w:tc>
      </w:tr>
      <w:tr>
        <w:trPr>
          <w:trHeight w:val="243"/>
        </w:trPr>
        <w:tc>
          <w:tcPr>
            <w:tcW w:w="2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(953)</w:t>
            </w:r>
          </w:p>
        </w:tc>
        <w:tc>
          <w:tcPr>
            <w:tcW w:w="80" w:type="dxa"/>
            <w:vAlign w:val="bottom"/>
          </w:tcPr>
          <w:p>
            <w:pPr>
              <w:spacing w:after="0"/>
              <w:rPr>
                <w:sz w:val="21"/>
                <w:szCs w:val="21"/>
                <w:color w:val="auto"/>
              </w:rPr>
            </w:pPr>
          </w:p>
        </w:tc>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administrative</w:t>
            </w:r>
          </w:p>
        </w:tc>
        <w:tc>
          <w:tcPr>
            <w:tcW w:w="0" w:type="dxa"/>
            <w:vAlign w:val="bottom"/>
          </w:tcPr>
          <w:p>
            <w:pPr>
              <w:spacing w:after="0"/>
              <w:rPr>
                <w:sz w:val="1"/>
                <w:szCs w:val="1"/>
                <w:color w:val="auto"/>
              </w:rPr>
            </w:pPr>
          </w:p>
        </w:tc>
      </w:tr>
      <w:tr>
        <w:trPr>
          <w:trHeight w:val="229"/>
        </w:trPr>
        <w:tc>
          <w:tcPr>
            <w:tcW w:w="2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rate derivatives</w:t>
            </w: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7,458</w:t>
            </w:r>
          </w:p>
        </w:tc>
        <w:tc>
          <w:tcPr>
            <w:tcW w:w="80" w:type="dxa"/>
            <w:vAlign w:val="bottom"/>
            <w:shd w:val="clear" w:color="auto" w:fill="CCEEFF"/>
          </w:tcPr>
          <w:p>
            <w:pPr>
              <w:spacing w:after="0"/>
              <w:rPr>
                <w:sz w:val="19"/>
                <w:szCs w:val="19"/>
                <w:color w:val="auto"/>
              </w:rPr>
            </w:pPr>
          </w:p>
        </w:tc>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0" w:type="dxa"/>
            <w:vAlign w:val="bottom"/>
          </w:tcPr>
          <w:p>
            <w:pPr>
              <w:spacing w:after="0"/>
              <w:rPr>
                <w:sz w:val="1"/>
                <w:szCs w:val="1"/>
                <w:color w:val="auto"/>
              </w:rPr>
            </w:pPr>
          </w:p>
        </w:tc>
      </w:tr>
      <w:tr>
        <w:trPr>
          <w:trHeight w:val="223"/>
        </w:trPr>
        <w:tc>
          <w:tcPr>
            <w:tcW w:w="29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5,987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6,911</w:t>
            </w:r>
          </w:p>
        </w:tc>
        <w:tc>
          <w:tcPr>
            <w:tcW w:w="80" w:type="dxa"/>
            <w:vAlign w:val="bottom"/>
            <w:tcBorders>
              <w:bottom w:val="single" w:sz="8" w:color="CCEEFF"/>
            </w:tcBorders>
          </w:tcPr>
          <w:p>
            <w:pPr>
              <w:spacing w:after="0"/>
              <w:rPr>
                <w:sz w:val="19"/>
                <w:szCs w:val="19"/>
                <w:color w:val="auto"/>
              </w:rPr>
            </w:pPr>
          </w:p>
        </w:tc>
        <w:tc>
          <w:tcPr>
            <w:tcW w:w="2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before tax</w:t>
            </w:r>
          </w:p>
        </w:tc>
        <w:tc>
          <w:tcPr>
            <w:tcW w:w="0" w:type="dxa"/>
            <w:vAlign w:val="bottom"/>
          </w:tcPr>
          <w:p>
            <w:pPr>
              <w:spacing w:after="0"/>
              <w:rPr>
                <w:sz w:val="1"/>
                <w:szCs w:val="1"/>
                <w:color w:val="auto"/>
              </w:rPr>
            </w:pPr>
          </w:p>
        </w:tc>
      </w:tr>
      <w:tr>
        <w:trPr>
          <w:trHeight w:val="223"/>
        </w:trPr>
        <w:tc>
          <w:tcPr>
            <w:tcW w:w="29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(1,503)</w:t>
            </w:r>
          </w:p>
        </w:tc>
        <w:tc>
          <w:tcPr>
            <w:tcW w:w="80" w:type="dxa"/>
            <w:vAlign w:val="bottom"/>
            <w:shd w:val="clear" w:color="auto" w:fill="CCEEFF"/>
          </w:tcPr>
          <w:p>
            <w:pPr>
              <w:spacing w:after="0"/>
              <w:rPr>
                <w:sz w:val="19"/>
                <w:szCs w:val="19"/>
                <w:color w:val="auto"/>
              </w:rPr>
            </w:pPr>
          </w:p>
        </w:tc>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w:t>
            </w:r>
          </w:p>
        </w:tc>
        <w:tc>
          <w:tcPr>
            <w:tcW w:w="0" w:type="dxa"/>
            <w:vAlign w:val="bottom"/>
          </w:tcPr>
          <w:p>
            <w:pPr>
              <w:spacing w:after="0"/>
              <w:rPr>
                <w:sz w:val="1"/>
                <w:szCs w:val="1"/>
                <w:color w:val="auto"/>
              </w:rPr>
            </w:pPr>
          </w:p>
        </w:tc>
      </w:tr>
      <w:tr>
        <w:trPr>
          <w:trHeight w:val="223"/>
        </w:trPr>
        <w:tc>
          <w:tcPr>
            <w:tcW w:w="29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1,478</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5,286</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3,329</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5,408</w:t>
            </w:r>
          </w:p>
        </w:tc>
        <w:tc>
          <w:tcPr>
            <w:tcW w:w="80" w:type="dxa"/>
            <w:vAlign w:val="bottom"/>
          </w:tcPr>
          <w:p>
            <w:pPr>
              <w:spacing w:after="0"/>
              <w:rPr>
                <w:sz w:val="19"/>
                <w:szCs w:val="19"/>
                <w:color w:val="auto"/>
              </w:rPr>
            </w:pPr>
          </w:p>
        </w:tc>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of tax</w:t>
            </w:r>
          </w:p>
        </w:tc>
        <w:tc>
          <w:tcPr>
            <w:tcW w:w="0" w:type="dxa"/>
            <w:vAlign w:val="bottom"/>
          </w:tcPr>
          <w:p>
            <w:pPr>
              <w:spacing w:after="0"/>
              <w:rPr>
                <w:sz w:val="1"/>
                <w:szCs w:val="1"/>
                <w:color w:val="auto"/>
              </w:rPr>
            </w:pPr>
          </w:p>
        </w:tc>
      </w:tr>
      <w:tr>
        <w:trPr>
          <w:trHeight w:val="20"/>
        </w:trPr>
        <w:tc>
          <w:tcPr>
            <w:tcW w:w="29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9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180" w:type="dxa"/>
            <w:vAlign w:val="bottom"/>
            <w:gridSpan w:val="10"/>
          </w:tcPr>
          <w:p>
            <w:pPr>
              <w:ind w:left="20"/>
              <w:spacing w:after="0"/>
              <w:rPr>
                <w:sz w:val="20"/>
                <w:szCs w:val="20"/>
                <w:color w:val="auto"/>
              </w:rPr>
            </w:pPr>
            <w:r>
              <w:rPr>
                <w:rFonts w:ascii="Times New Roman" w:cs="Times New Roman" w:eastAsia="Times New Roman" w:hAnsi="Times New Roman"/>
                <w:sz w:val="18"/>
                <w:szCs w:val="18"/>
                <w:color w:val="auto"/>
              </w:rPr>
              <w:t>Amortization of pension components included in the computation of net periodic pension cost:</w:t>
            </w: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4"/>
        </w:trPr>
        <w:tc>
          <w:tcPr>
            <w:tcW w:w="2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Actuarial losses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80" w:type="dxa"/>
            <w:vAlign w:val="bottom"/>
            <w:tcBorders>
              <w:bottom w:val="single" w:sz="8" w:color="CCEEFF"/>
            </w:tcBorders>
            <w:shd w:val="clear" w:color="auto" w:fill="CCEEFF"/>
          </w:tcPr>
          <w:p>
            <w:pPr>
              <w:spacing w:after="0"/>
              <w:rPr>
                <w:sz w:val="21"/>
                <w:szCs w:val="21"/>
                <w:color w:val="auto"/>
              </w:rPr>
            </w:pPr>
          </w:p>
        </w:tc>
        <w:tc>
          <w:tcPr>
            <w:tcW w:w="2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of tax</w:t>
            </w:r>
          </w:p>
        </w:tc>
        <w:tc>
          <w:tcPr>
            <w:tcW w:w="0" w:type="dxa"/>
            <w:vAlign w:val="bottom"/>
          </w:tcPr>
          <w:p>
            <w:pPr>
              <w:spacing w:after="0"/>
              <w:rPr>
                <w:sz w:val="1"/>
                <w:szCs w:val="1"/>
                <w:color w:val="auto"/>
              </w:rPr>
            </w:pPr>
          </w:p>
        </w:tc>
      </w:tr>
      <w:tr>
        <w:trPr>
          <w:trHeight w:val="20"/>
        </w:trPr>
        <w:tc>
          <w:tcPr>
            <w:tcW w:w="29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9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Total amounts reclassified out of</w:t>
            </w:r>
          </w:p>
        </w:tc>
        <w:tc>
          <w:tcPr>
            <w:tcW w:w="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1,994</w:t>
            </w:r>
          </w:p>
        </w:tc>
        <w:tc>
          <w:tcPr>
            <w:tcW w:w="10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5,662</w:t>
            </w:r>
          </w:p>
        </w:tc>
        <w:tc>
          <w:tcPr>
            <w:tcW w:w="100" w:type="dxa"/>
            <w:vAlign w:val="bottom"/>
            <w:shd w:val="clear" w:color="auto" w:fill="CCEEFF"/>
          </w:tcPr>
          <w:p>
            <w:pPr>
              <w:spacing w:after="0"/>
              <w:rPr>
                <w:sz w:val="15"/>
                <w:szCs w:val="15"/>
                <w:color w:val="auto"/>
              </w:rPr>
            </w:pPr>
          </w:p>
        </w:tc>
        <w:tc>
          <w:tcPr>
            <w:tcW w:w="20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4,361</w:t>
            </w:r>
          </w:p>
        </w:tc>
        <w:tc>
          <w:tcPr>
            <w:tcW w:w="10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6,154</w:t>
            </w:r>
          </w:p>
        </w:tc>
        <w:tc>
          <w:tcPr>
            <w:tcW w:w="80" w:type="dxa"/>
            <w:vAlign w:val="bottom"/>
            <w:shd w:val="clear" w:color="auto" w:fill="CCEEFF"/>
          </w:tcPr>
          <w:p>
            <w:pPr>
              <w:spacing w:after="0"/>
              <w:rPr>
                <w:sz w:val="15"/>
                <w:szCs w:val="15"/>
                <w:color w:val="auto"/>
              </w:rPr>
            </w:pPr>
          </w:p>
        </w:tc>
        <w:tc>
          <w:tcPr>
            <w:tcW w:w="26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2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AOCI, net of tax</w:t>
            </w: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11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11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11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116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6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9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Earnings Per Share</w:t>
      </w:r>
    </w:p>
    <w:p>
      <w:pPr>
        <w:spacing w:after="0" w:line="17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earnings per share:</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60" w:type="dxa"/>
            <w:vAlign w:val="bottom"/>
            <w:gridSpan w:val="5"/>
          </w:tcPr>
          <w:p>
            <w:pPr>
              <w:ind w:left="5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6"/>
                <w:szCs w:val="16"/>
                <w:color w:val="auto"/>
              </w:rPr>
            </w:pPr>
          </w:p>
        </w:tc>
        <w:tc>
          <w:tcPr>
            <w:tcW w:w="2560" w:type="dxa"/>
            <w:vAlign w:val="bottom"/>
            <w:gridSpan w:val="4"/>
          </w:tcPr>
          <w:p>
            <w:pPr>
              <w:jc w:val="right"/>
              <w:ind w:right="712"/>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23"/>
        </w:trPr>
        <w:tc>
          <w:tcPr>
            <w:tcW w:w="508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0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May 4, 2024</w:t>
            </w:r>
          </w:p>
        </w:tc>
        <w:tc>
          <w:tcPr>
            <w:tcW w:w="1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April 29, 2023</w:t>
            </w: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May 4, 2024</w:t>
            </w:r>
          </w:p>
        </w:tc>
        <w:tc>
          <w:tcPr>
            <w:tcW w:w="1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April 29, 2023</w:t>
            </w:r>
          </w:p>
        </w:tc>
        <w:tc>
          <w:tcPr>
            <w:tcW w:w="0" w:type="dxa"/>
            <w:vAlign w:val="bottom"/>
          </w:tcPr>
          <w:p>
            <w:pPr>
              <w:spacing w:after="0"/>
              <w:rPr>
                <w:sz w:val="1"/>
                <w:szCs w:val="1"/>
                <w:color w:val="auto"/>
              </w:rPr>
            </w:pPr>
          </w:p>
        </w:tc>
      </w:tr>
      <w:tr>
        <w:trPr>
          <w:trHeight w:val="229"/>
        </w:trPr>
        <w:tc>
          <w:tcPr>
            <w:tcW w:w="5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5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302,242</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977,656</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764,969</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1,939,130</w:t>
            </w:r>
          </w:p>
        </w:tc>
        <w:tc>
          <w:tcPr>
            <w:tcW w:w="0" w:type="dxa"/>
            <w:vAlign w:val="bottom"/>
          </w:tcPr>
          <w:p>
            <w:pPr>
              <w:spacing w:after="0"/>
              <w:rPr>
                <w:sz w:val="1"/>
                <w:szCs w:val="1"/>
                <w:color w:val="auto"/>
              </w:rPr>
            </w:pPr>
          </w:p>
        </w:tc>
      </w:tr>
      <w:tr>
        <w:trPr>
          <w:trHeight w:val="230"/>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shares:</w:t>
            </w: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50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Weighted-average shares outstanding</w:t>
            </w:r>
          </w:p>
        </w:tc>
        <w:tc>
          <w:tcPr>
            <w:tcW w:w="5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496,130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504,715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495,947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505,918</w:t>
            </w: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tcBorders>
            <w:vMerge w:val="restart"/>
          </w:tcPr>
          <w:p>
            <w:pPr>
              <w:ind w:left="360"/>
              <w:spacing w:after="0"/>
              <w:rPr>
                <w:sz w:val="20"/>
                <w:szCs w:val="20"/>
                <w:color w:val="auto"/>
              </w:rPr>
            </w:pPr>
            <w:r>
              <w:rPr>
                <w:rFonts w:ascii="Times New Roman" w:cs="Times New Roman" w:eastAsia="Times New Roman" w:hAnsi="Times New Roman"/>
                <w:sz w:val="18"/>
                <w:szCs w:val="18"/>
                <w:color w:val="auto"/>
              </w:rPr>
              <w:t>Earnings per common share basic:</w:t>
            </w:r>
          </w:p>
        </w:tc>
        <w:tc>
          <w:tcPr>
            <w:tcW w:w="740" w:type="dxa"/>
            <w:vAlign w:val="bottom"/>
            <w:tcBorders>
              <w:top w:val="single" w:sz="8" w:color="CCEEFF"/>
            </w:tcBorders>
            <w:gridSpan w:val="2"/>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080" w:type="dxa"/>
            <w:vAlign w:val="bottom"/>
            <w:tcBorders>
              <w:top w:val="single" w:sz="8" w:color="CCEEFF"/>
            </w:tcBorders>
            <w:vMerge w:val="continue"/>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0.61</w:t>
            </w:r>
          </w:p>
        </w:tc>
        <w:tc>
          <w:tcPr>
            <w:tcW w:w="12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1.94</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1.54</w:t>
            </w:r>
          </w:p>
        </w:tc>
        <w:tc>
          <w:tcPr>
            <w:tcW w:w="12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3.83</w:t>
            </w:r>
          </w:p>
        </w:tc>
        <w:tc>
          <w:tcPr>
            <w:tcW w:w="0" w:type="dxa"/>
            <w:vAlign w:val="bottom"/>
          </w:tcPr>
          <w:p>
            <w:pPr>
              <w:spacing w:after="0"/>
              <w:rPr>
                <w:sz w:val="1"/>
                <w:szCs w:val="1"/>
                <w:color w:val="auto"/>
              </w:rPr>
            </w:pPr>
          </w:p>
        </w:tc>
      </w:tr>
      <w:tr>
        <w:trPr>
          <w:trHeight w:val="20"/>
        </w:trPr>
        <w:tc>
          <w:tcPr>
            <w:tcW w:w="50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08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Diluted shares:</w:t>
            </w: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Weighted-average shares outstanding</w:t>
            </w: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496,130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504,715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495,947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505,918</w:t>
            </w:r>
          </w:p>
        </w:tc>
        <w:tc>
          <w:tcPr>
            <w:tcW w:w="0" w:type="dxa"/>
            <w:vAlign w:val="bottom"/>
          </w:tcPr>
          <w:p>
            <w:pPr>
              <w:spacing w:after="0"/>
              <w:rPr>
                <w:sz w:val="1"/>
                <w:szCs w:val="1"/>
                <w:color w:val="auto"/>
              </w:rPr>
            </w:pPr>
          </w:p>
        </w:tc>
      </w:tr>
      <w:tr>
        <w:trPr>
          <w:trHeight w:val="229"/>
        </w:trPr>
        <w:tc>
          <w:tcPr>
            <w:tcW w:w="5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Assumed exercise of common stock equivalents</w:t>
            </w:r>
          </w:p>
        </w:tc>
        <w:tc>
          <w:tcPr>
            <w:tcW w:w="5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2,403</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2,690</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4,037</w:t>
            </w:r>
          </w:p>
        </w:tc>
        <w:tc>
          <w:tcPr>
            <w:tcW w:w="0" w:type="dxa"/>
            <w:vAlign w:val="bottom"/>
          </w:tcPr>
          <w:p>
            <w:pPr>
              <w:spacing w:after="0"/>
              <w:rPr>
                <w:sz w:val="1"/>
                <w:szCs w:val="1"/>
                <w:color w:val="auto"/>
              </w:rPr>
            </w:pPr>
          </w:p>
        </w:tc>
      </w:tr>
      <w:tr>
        <w:trPr>
          <w:trHeight w:val="223"/>
        </w:trPr>
        <w:tc>
          <w:tcPr>
            <w:tcW w:w="5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Weighted-average common and common equivalent shares</w:t>
            </w:r>
          </w:p>
        </w:tc>
        <w:tc>
          <w:tcPr>
            <w:tcW w:w="5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498,533</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508,725</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498,637</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509,955</w:t>
            </w:r>
          </w:p>
        </w:tc>
        <w:tc>
          <w:tcPr>
            <w:tcW w:w="0" w:type="dxa"/>
            <w:vAlign w:val="bottom"/>
          </w:tcPr>
          <w:p>
            <w:pPr>
              <w:spacing w:after="0"/>
              <w:rPr>
                <w:sz w:val="1"/>
                <w:szCs w:val="1"/>
                <w:color w:val="auto"/>
              </w:rPr>
            </w:pPr>
          </w:p>
        </w:tc>
      </w:tr>
      <w:tr>
        <w:trPr>
          <w:trHeight w:val="20"/>
        </w:trPr>
        <w:tc>
          <w:tcPr>
            <w:tcW w:w="50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0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Earnings per common share diluted:</w:t>
            </w:r>
          </w:p>
        </w:tc>
        <w:tc>
          <w:tcPr>
            <w:tcW w:w="5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Anti-dilutive shares related to:</w:t>
            </w:r>
          </w:p>
        </w:tc>
        <w:tc>
          <w:tcPr>
            <w:tcW w:w="5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080" w:type="dxa"/>
            <w:vAlign w:val="bottom"/>
            <w:vMerge w:val="continue"/>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Outstanding stock-based awards</w:t>
            </w:r>
          </w:p>
        </w:tc>
        <w:tc>
          <w:tcPr>
            <w:tcW w:w="5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0" w:type="dxa"/>
            <w:vAlign w:val="bottom"/>
          </w:tcPr>
          <w:p>
            <w:pPr>
              <w:spacing w:after="0"/>
              <w:rPr>
                <w:sz w:val="1"/>
                <w:szCs w:val="1"/>
                <w:color w:val="auto"/>
              </w:rPr>
            </w:pPr>
          </w:p>
        </w:tc>
      </w:tr>
      <w:tr>
        <w:trPr>
          <w:trHeight w:val="851"/>
        </w:trPr>
        <w:tc>
          <w:tcPr>
            <w:tcW w:w="5080" w:type="dxa"/>
            <w:vAlign w:val="bottom"/>
          </w:tcPr>
          <w:p>
            <w:pPr>
              <w:spacing w:after="0"/>
              <w:rPr>
                <w:sz w:val="24"/>
                <w:szCs w:val="24"/>
                <w:color w:val="auto"/>
              </w:rPr>
            </w:pPr>
          </w:p>
        </w:tc>
        <w:tc>
          <w:tcPr>
            <w:tcW w:w="7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8</w:t>
            </w: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08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46"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Note 5 – Special Charges, Net</w:t>
      </w:r>
    </w:p>
    <w:p>
      <w:pPr>
        <w:spacing w:after="0" w:line="175" w:lineRule="exact"/>
        <w:rPr>
          <w:sz w:val="20"/>
          <w:szCs w:val="20"/>
          <w:color w:val="auto"/>
        </w:rPr>
      </w:pPr>
    </w:p>
    <w:p>
      <w:pPr>
        <w:ind w:right="140" w:firstLine="445"/>
        <w:spacing w:after="0" w:line="271" w:lineRule="auto"/>
        <w:rPr>
          <w:sz w:val="20"/>
          <w:szCs w:val="20"/>
          <w:color w:val="auto"/>
        </w:rPr>
      </w:pPr>
      <w:r>
        <w:rPr>
          <w:rFonts w:ascii="Times New Roman" w:cs="Times New Roman" w:eastAsia="Times New Roman" w:hAnsi="Times New Roman"/>
          <w:sz w:val="18"/>
          <w:szCs w:val="18"/>
          <w:color w:val="auto"/>
        </w:rPr>
        <w:t>Liabilities related to special charges, net are included in Accrued liabilities and Other non-current liabilities in the Condensed Consolidated Balance Sheets. The activity is detailed below:</w:t>
      </w:r>
    </w:p>
    <w:tbl>
      <w:tblPr>
        <w:tblLayout w:type="fixed"/>
        <w:tblInd w:w="0" w:type="dxa"/>
        <w:tblCellMar>
          <w:top w:w="0" w:type="dxa"/>
          <w:left w:w="0" w:type="dxa"/>
          <w:bottom w:w="0" w:type="dxa"/>
          <w:right w:w="0" w:type="dxa"/>
        </w:tblCellMar>
      </w:tblPr>
      <w:tr>
        <w:trPr>
          <w:trHeight w:val="199"/>
        </w:trPr>
        <w:tc>
          <w:tcPr>
            <w:tcW w:w="20" w:type="dxa"/>
            <w:vAlign w:val="bottom"/>
          </w:tcPr>
          <w:p>
            <w:pPr>
              <w:spacing w:after="0"/>
              <w:rPr>
                <w:sz w:val="17"/>
                <w:szCs w:val="17"/>
                <w:color w:val="auto"/>
              </w:rPr>
            </w:pPr>
          </w:p>
        </w:tc>
        <w:tc>
          <w:tcPr>
            <w:tcW w:w="7200" w:type="dxa"/>
            <w:vAlign w:val="bottom"/>
            <w:gridSpan w:val="2"/>
          </w:tcPr>
          <w:p>
            <w:pPr>
              <w:spacing w:after="0" w:line="199" w:lineRule="exact"/>
              <w:rPr>
                <w:sz w:val="20"/>
                <w:szCs w:val="20"/>
                <w:color w:val="auto"/>
              </w:rPr>
            </w:pPr>
            <w:r>
              <w:rPr>
                <w:rFonts w:ascii="Times New Roman" w:cs="Times New Roman" w:eastAsia="Times New Roman" w:hAnsi="Times New Roman"/>
                <w:sz w:val="18"/>
                <w:szCs w:val="18"/>
                <w:b w:val="1"/>
                <w:bCs w:val="1"/>
                <w:color w:val="auto"/>
              </w:rPr>
              <w:t>Accrued Special Charges</w:t>
            </w:r>
          </w:p>
        </w:tc>
        <w:tc>
          <w:tcPr>
            <w:tcW w:w="206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Global Repositioning Actions</w:t>
            </w:r>
          </w:p>
        </w:tc>
        <w:tc>
          <w:tcPr>
            <w:tcW w:w="340" w:type="dxa"/>
            <w:vAlign w:val="bottom"/>
          </w:tcPr>
          <w:p>
            <w:pPr>
              <w:spacing w:after="0"/>
              <w:rPr>
                <w:sz w:val="17"/>
                <w:szCs w:val="17"/>
                <w:color w:val="auto"/>
              </w:rPr>
            </w:pPr>
          </w:p>
        </w:tc>
        <w:tc>
          <w:tcPr>
            <w:tcW w:w="1620" w:type="dxa"/>
            <w:vAlign w:val="bottom"/>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Q4 2023 Plan</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1940" w:type="dxa"/>
            <w:vAlign w:val="bottom"/>
            <w:tcBorders>
              <w:top w:val="single" w:sz="8" w:color="auto"/>
              <w:bottom w:val="single" w:sz="8" w:color="CCEEFF"/>
            </w:tcBorders>
          </w:tcPr>
          <w:p>
            <w:pPr>
              <w:spacing w:after="0" w:line="20" w:lineRule="exact"/>
              <w:rPr>
                <w:sz w:val="1"/>
                <w:szCs w:val="1"/>
                <w:color w:val="auto"/>
              </w:rPr>
            </w:pPr>
          </w:p>
        </w:tc>
        <w:tc>
          <w:tcPr>
            <w:tcW w:w="526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October 28, 2023</w:t>
            </w:r>
          </w:p>
        </w:tc>
        <w:tc>
          <w:tcPr>
            <w:tcW w:w="740" w:type="dxa"/>
            <w:vAlign w:val="bottom"/>
            <w:shd w:val="clear" w:color="auto" w:fill="CCEEFF"/>
          </w:tcPr>
          <w:p>
            <w:pPr>
              <w:jc w:val="right"/>
              <w:ind w:right="553"/>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36,981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110,446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Employee severance and benefit costs, net</w:t>
            </w:r>
          </w:p>
        </w:tc>
        <w:tc>
          <w:tcPr>
            <w:tcW w:w="74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11,977</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Severance and benefit payments</w:t>
            </w:r>
          </w:p>
        </w:tc>
        <w:tc>
          <w:tcPr>
            <w:tcW w:w="7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(87,013)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Balance at February 3, 2024</w:t>
            </w:r>
          </w:p>
        </w:tc>
        <w:tc>
          <w:tcPr>
            <w:tcW w:w="74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32,561</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35,410</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940" w:type="dxa"/>
            <w:vAlign w:val="bottom"/>
            <w:tcBorders>
              <w:bottom w:val="single" w:sz="8" w:color="CCEEFF"/>
            </w:tcBorders>
          </w:tcPr>
          <w:p>
            <w:pPr>
              <w:spacing w:after="0" w:line="20" w:lineRule="exact"/>
              <w:rPr>
                <w:sz w:val="1"/>
                <w:szCs w:val="1"/>
                <w:color w:val="auto"/>
              </w:rPr>
            </w:pPr>
          </w:p>
        </w:tc>
        <w:tc>
          <w:tcPr>
            <w:tcW w:w="526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Employee severance and benefit costs, net</w:t>
            </w:r>
          </w:p>
        </w:tc>
        <w:tc>
          <w:tcPr>
            <w:tcW w:w="7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23,172</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72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Severance and benefit payments</w:t>
            </w:r>
          </w:p>
        </w:tc>
        <w:tc>
          <w:tcPr>
            <w:tcW w:w="7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(5,767)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(40,559)</w:t>
            </w:r>
          </w:p>
        </w:tc>
        <w:tc>
          <w:tcPr>
            <w:tcW w:w="0" w:type="dxa"/>
            <w:vAlign w:val="bottom"/>
          </w:tcPr>
          <w:p>
            <w:pPr>
              <w:spacing w:after="0"/>
              <w:rPr>
                <w:sz w:val="1"/>
                <w:szCs w:val="1"/>
                <w:color w:val="auto"/>
              </w:rPr>
            </w:pPr>
          </w:p>
        </w:tc>
      </w:tr>
      <w:tr>
        <w:trPr>
          <w:trHeight w:val="221"/>
        </w:trPr>
        <w:tc>
          <w:tcPr>
            <w:tcW w:w="20" w:type="dxa"/>
            <w:vAlign w:val="bottom"/>
            <w:tcBorders>
              <w:bottom w:val="single" w:sz="8" w:color="CCEEFF"/>
            </w:tcBorders>
            <w:shd w:val="clear" w:color="auto" w:fill="CCEEFF"/>
          </w:tcPr>
          <w:p>
            <w:pPr>
              <w:spacing w:after="0"/>
              <w:rPr>
                <w:sz w:val="18"/>
                <w:szCs w:val="18"/>
                <w:color w:val="auto"/>
              </w:rPr>
            </w:pPr>
          </w:p>
        </w:tc>
        <w:tc>
          <w:tcPr>
            <w:tcW w:w="7200" w:type="dxa"/>
            <w:vAlign w:val="bottom"/>
            <w:tcBorders>
              <w:bottom w:val="single" w:sz="8" w:color="CCEEFF"/>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Balance at May 4, 2024</w:t>
            </w:r>
          </w:p>
        </w:tc>
        <w:tc>
          <w:tcPr>
            <w:tcW w:w="740" w:type="dxa"/>
            <w:vAlign w:val="bottom"/>
            <w:tcBorders>
              <w:bottom w:val="single" w:sz="8" w:color="auto"/>
            </w:tcBorders>
            <w:shd w:val="clear" w:color="auto" w:fill="CCEEFF"/>
          </w:tcPr>
          <w:p>
            <w:pPr>
              <w:jc w:val="right"/>
              <w:ind w:right="553"/>
              <w:spacing w:after="0" w:line="19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21,688</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16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18,023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720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Accrued liabilities</w:t>
            </w: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vMerge w:val="continue"/>
          </w:tcPr>
          <w:p>
            <w:pPr>
              <w:spacing w:after="0"/>
              <w:rPr>
                <w:sz w:val="17"/>
                <w:szCs w:val="17"/>
                <w:color w:val="auto"/>
              </w:rPr>
            </w:pPr>
          </w:p>
        </w:tc>
        <w:tc>
          <w:tcPr>
            <w:tcW w:w="7200" w:type="dxa"/>
            <w:vAlign w:val="bottom"/>
            <w:gridSpan w:val="2"/>
            <w:vMerge w:val="continue"/>
          </w:tcPr>
          <w:p>
            <w:pPr>
              <w:spacing w:after="0"/>
              <w:rPr>
                <w:sz w:val="17"/>
                <w:szCs w:val="17"/>
                <w:color w:val="auto"/>
              </w:rPr>
            </w:pPr>
          </w:p>
        </w:tc>
        <w:tc>
          <w:tcPr>
            <w:tcW w:w="740" w:type="dxa"/>
            <w:vAlign w:val="bottom"/>
            <w:tcBorders>
              <w:bottom w:val="single" w:sz="8" w:color="auto"/>
            </w:tcBorders>
          </w:tcPr>
          <w:p>
            <w:pPr>
              <w:jc w:val="right"/>
              <w:ind w:right="553"/>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7,834</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30"/>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16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18,023</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940" w:type="dxa"/>
            <w:vAlign w:val="bottom"/>
            <w:tcBorders>
              <w:bottom w:val="single" w:sz="8" w:color="CCEEFF"/>
            </w:tcBorders>
          </w:tcPr>
          <w:p>
            <w:pPr>
              <w:spacing w:after="0" w:line="20" w:lineRule="exact"/>
              <w:rPr>
                <w:sz w:val="1"/>
                <w:szCs w:val="1"/>
                <w:color w:val="auto"/>
              </w:rPr>
            </w:pPr>
          </w:p>
        </w:tc>
        <w:tc>
          <w:tcPr>
            <w:tcW w:w="526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72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non-current liabilities</w:t>
            </w:r>
          </w:p>
        </w:tc>
        <w:tc>
          <w:tcPr>
            <w:tcW w:w="740" w:type="dxa"/>
            <w:vAlign w:val="bottom"/>
            <w:tcBorders>
              <w:bottom w:val="single" w:sz="8" w:color="auto"/>
            </w:tcBorders>
            <w:shd w:val="clear" w:color="auto" w:fill="CCEEFF"/>
          </w:tcPr>
          <w:p>
            <w:pPr>
              <w:jc w:val="right"/>
              <w:ind w:right="553"/>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13,854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c>
          <w:tcPr>
            <w:tcW w:w="52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Commitments and Contingencies</w:t>
      </w:r>
    </w:p>
    <w:p>
      <w:pPr>
        <w:spacing w:after="0" w:line="175"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On March 17, 2022, Walter E. Ryan and Ryan Asset Management, LLC, purported stockholders of Maxim Integrated Products, Inc. (Maxim), filed a putative class action in the Court of Chancery of the State of Delaware (C.A. No. 2022—0255) against the Company and the former directors of Maxim. The complaint alleged breaches of fiduciary duties by the individual defendants in connection with Maxim’s agreement, as part of the merger negotiations with the Company, to suspend Maxim dividends for up to four quarters prior to the closing of the Company's acquisition of Maxim. The complaint further alleged that the Company aided and abetted those alleged breaches of fiduciary duties. The plaintiffs sought damages in an amount to be determined at trial, plaintiffs’ costs and disbursements, including reasonable attorneys’ and experts’ fees, costs and other expenses. On May 2, 2023, the Court of Chancery entered an order dismissing the action in its entirety and with prejudice. On May 9, 2023, the plaintiffs filed a Motion for Reargument, which the Court of Chancery denied on May 30, 2023. On June 21, 2023, the plaintiffs filed a Notice of Appeal to the Delaware Supreme Court. On February 26, 2024, the Delaware Supreme Court issued an order affirming the dismissal of the action.</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Revenue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Trends by End Market</w:t>
      </w:r>
    </w:p>
    <w:p>
      <w:pPr>
        <w:spacing w:after="0" w:line="173" w:lineRule="exact"/>
        <w:rPr>
          <w:sz w:val="20"/>
          <w:szCs w:val="20"/>
          <w:color w:val="auto"/>
        </w:rPr>
      </w:pPr>
    </w:p>
    <w:p>
      <w:pPr>
        <w:ind w:right="100" w:firstLine="445"/>
        <w:spacing w:after="0" w:line="256" w:lineRule="auto"/>
        <w:rPr>
          <w:sz w:val="20"/>
          <w:szCs w:val="20"/>
          <w:color w:val="auto"/>
        </w:rPr>
      </w:pPr>
      <w:r>
        <w:rPr>
          <w:rFonts w:ascii="Times New Roman" w:cs="Times New Roman" w:eastAsia="Times New Roman" w:hAnsi="Times New Roman"/>
          <w:sz w:val="18"/>
          <w:szCs w:val="18"/>
          <w:color w:val="auto"/>
        </w:rPr>
        <w:t>The following tables summarize revenue by end market. The categorization of revenue by end market is determined using a variety of data points including the technical characteristics of the product, the “sold to” customer information, the “ship to” customer information and the end customer product or application into which the Company’s product will be incorporated. As data systems for capturing and tracking this data and the Company's methodology evolves and improves, the categorization of products by end market can vary over time. When this occurs, the Company reclassifies revenue by end market for prior periods. Such reclassifications typically do not materially change the sizing of, or the underlying trends of results within, each end market.</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0"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90"/>
        </w:trPr>
        <w:tc>
          <w:tcPr>
            <w:tcW w:w="4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68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3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3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May 4, 2024</w:t>
            </w:r>
          </w:p>
        </w:tc>
        <w:tc>
          <w:tcPr>
            <w:tcW w:w="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3"/>
          </w:tcPr>
          <w:p>
            <w:pPr>
              <w:jc w:val="right"/>
              <w:ind w:right="693"/>
              <w:spacing w:after="0"/>
              <w:rPr>
                <w:sz w:val="20"/>
                <w:szCs w:val="20"/>
                <w:color w:val="auto"/>
              </w:rPr>
            </w:pPr>
            <w:r>
              <w:rPr>
                <w:rFonts w:ascii="Times New Roman" w:cs="Times New Roman" w:eastAsia="Times New Roman" w:hAnsi="Times New Roman"/>
                <w:sz w:val="14"/>
                <w:szCs w:val="14"/>
                <w:b w:val="1"/>
                <w:bCs w:val="1"/>
                <w:color w:val="auto"/>
              </w:rPr>
              <w:t>April 29, 2023</w:t>
            </w:r>
          </w:p>
        </w:tc>
        <w:tc>
          <w:tcPr>
            <w:tcW w:w="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of Revenue*</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Y/Y%</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of Revenue*</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Industrial</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1,014,847</w:t>
            </w:r>
          </w:p>
        </w:tc>
        <w:tc>
          <w:tcPr>
            <w:tcW w:w="12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 %</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1,823,831</w:t>
            </w:r>
          </w:p>
        </w:tc>
        <w:tc>
          <w:tcPr>
            <w:tcW w:w="12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Automotive</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658,238</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732,869</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Communications</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240,776</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436,542</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Consumer</w:t>
            </w: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245,178</w:t>
            </w:r>
          </w:p>
        </w:tc>
        <w:tc>
          <w:tcPr>
            <w:tcW w:w="12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269,688</w:t>
            </w:r>
          </w:p>
        </w:tc>
        <w:tc>
          <w:tcPr>
            <w:tcW w:w="12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4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2,159,039</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100 %</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3,262,930</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100 %</w:t>
            </w:r>
          </w:p>
        </w:tc>
        <w:tc>
          <w:tcPr>
            <w:tcW w:w="0" w:type="dxa"/>
            <w:vAlign w:val="bottom"/>
          </w:tcPr>
          <w:p>
            <w:pPr>
              <w:spacing w:after="0"/>
              <w:rPr>
                <w:sz w:val="1"/>
                <w:szCs w:val="1"/>
                <w:color w:val="auto"/>
              </w:rPr>
            </w:pP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CCEEFF"/>
            </w:tcBorders>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4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gridSpan w:val="3"/>
            <w:vMerge w:val="continue"/>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3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3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May 4, 2024</w:t>
            </w:r>
          </w:p>
        </w:tc>
        <w:tc>
          <w:tcPr>
            <w:tcW w:w="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3"/>
          </w:tcPr>
          <w:p>
            <w:pPr>
              <w:jc w:val="right"/>
              <w:ind w:right="693"/>
              <w:spacing w:after="0"/>
              <w:rPr>
                <w:sz w:val="20"/>
                <w:szCs w:val="20"/>
                <w:color w:val="auto"/>
              </w:rPr>
            </w:pPr>
            <w:r>
              <w:rPr>
                <w:rFonts w:ascii="Times New Roman" w:cs="Times New Roman" w:eastAsia="Times New Roman" w:hAnsi="Times New Roman"/>
                <w:sz w:val="14"/>
                <w:szCs w:val="14"/>
                <w:b w:val="1"/>
                <w:bCs w:val="1"/>
                <w:color w:val="auto"/>
              </w:rPr>
              <w:t>April 29, 2023</w:t>
            </w:r>
          </w:p>
        </w:tc>
        <w:tc>
          <w:tcPr>
            <w:tcW w:w="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of Revenue*</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Y/Y%</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of Revenue*</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Industrial</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2,210,226</w:t>
            </w:r>
          </w:p>
        </w:tc>
        <w:tc>
          <w:tcPr>
            <w:tcW w:w="12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3,573,211</w:t>
            </w:r>
          </w:p>
        </w:tc>
        <w:tc>
          <w:tcPr>
            <w:tcW w:w="12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Automotive</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1,395,923</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1,411,430</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Communications</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543,791</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914,794</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Consumer</w:t>
            </w: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521,803</w:t>
            </w:r>
          </w:p>
        </w:tc>
        <w:tc>
          <w:tcPr>
            <w:tcW w:w="12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613,125</w:t>
            </w:r>
          </w:p>
        </w:tc>
        <w:tc>
          <w:tcPr>
            <w:tcW w:w="12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4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4,671,743</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100 %</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6,512,560</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100 %</w:t>
            </w:r>
          </w:p>
        </w:tc>
        <w:tc>
          <w:tcPr>
            <w:tcW w:w="0" w:type="dxa"/>
            <w:vAlign w:val="bottom"/>
          </w:tcPr>
          <w:p>
            <w:pPr>
              <w:spacing w:after="0"/>
              <w:rPr>
                <w:sz w:val="1"/>
                <w:szCs w:val="1"/>
                <w:color w:val="auto"/>
              </w:rPr>
            </w:pP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The sum of the individual percentages may not equal the total due to rounding.</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by Sales Channel</w:t>
      </w:r>
    </w:p>
    <w:p>
      <w:pPr>
        <w:spacing w:after="0" w:line="92" w:lineRule="exact"/>
        <w:rPr>
          <w:sz w:val="20"/>
          <w:szCs w:val="20"/>
          <w:color w:val="auto"/>
        </w:rPr>
      </w:pPr>
    </w:p>
    <w:p>
      <w:pPr>
        <w:ind w:right="20" w:firstLine="405"/>
        <w:spacing w:after="0" w:line="260" w:lineRule="auto"/>
        <w:rPr>
          <w:sz w:val="20"/>
          <w:szCs w:val="20"/>
          <w:color w:val="auto"/>
        </w:rPr>
      </w:pPr>
      <w:r>
        <w:rPr>
          <w:rFonts w:ascii="Times New Roman" w:cs="Times New Roman" w:eastAsia="Times New Roman" w:hAnsi="Times New Roman"/>
          <w:sz w:val="18"/>
          <w:szCs w:val="18"/>
          <w:color w:val="auto"/>
        </w:rPr>
        <w:t>The following tables summarize revenue by channel. The Company sells its products globally through a direct sales force, third party distributors, independent sales representatives and via its website. Distributors are customers that buy products with the intention of reselling them. Direct customers are non-distributor customers and consist primarily of original equipment manufacturers. Other customers include the U.S. government, government prime contractors and certain commercial customers for which revenue is recorded over time.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20" w:type="dxa"/>
            <w:vAlign w:val="bottom"/>
            <w:gridSpan w:val="6"/>
          </w:tcPr>
          <w:p>
            <w:pPr>
              <w:ind w:left="10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4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23"/>
        </w:trPr>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39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190"/>
        </w:trPr>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9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3"/>
          </w:tcPr>
          <w:p>
            <w:pPr>
              <w:jc w:val="right"/>
              <w:ind w:right="996"/>
              <w:spacing w:after="0"/>
              <w:rPr>
                <w:sz w:val="20"/>
                <w:szCs w:val="20"/>
                <w:color w:val="auto"/>
              </w:rPr>
            </w:pPr>
            <w:r>
              <w:rPr>
                <w:rFonts w:ascii="Times New Roman" w:cs="Times New Roman" w:eastAsia="Times New Roman" w:hAnsi="Times New Roman"/>
                <w:sz w:val="14"/>
                <w:szCs w:val="14"/>
                <w:b w:val="1"/>
                <w:bCs w:val="1"/>
                <w:color w:val="auto"/>
              </w:rPr>
              <w:t>May 4, 2024</w:t>
            </w:r>
          </w:p>
        </w:tc>
        <w:tc>
          <w:tcPr>
            <w:tcW w:w="2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3"/>
          </w:tcPr>
          <w:p>
            <w:pPr>
              <w:jc w:val="right"/>
              <w:ind w:right="934"/>
              <w:spacing w:after="0"/>
              <w:rPr>
                <w:sz w:val="20"/>
                <w:szCs w:val="20"/>
                <w:color w:val="auto"/>
              </w:rPr>
            </w:pPr>
            <w:r>
              <w:rPr>
                <w:rFonts w:ascii="Times New Roman" w:cs="Times New Roman" w:eastAsia="Times New Roman" w:hAnsi="Times New Roman"/>
                <w:sz w:val="14"/>
                <w:szCs w:val="14"/>
                <w:b w:val="1"/>
                <w:bCs w:val="1"/>
                <w:color w:val="auto"/>
              </w:rPr>
              <w:t>April 29, 2023</w:t>
            </w:r>
          </w:p>
        </w:tc>
        <w:tc>
          <w:tcPr>
            <w:tcW w:w="200" w:type="dxa"/>
            <w:vAlign w:val="bottom"/>
            <w:tcBorders>
              <w:bottom w:val="single" w:sz="8" w:color="auto"/>
            </w:tcBorders>
          </w:tcPr>
          <w:p>
            <w:pPr>
              <w:spacing w:after="0"/>
              <w:rPr>
                <w:sz w:val="16"/>
                <w:szCs w:val="16"/>
                <w:color w:val="auto"/>
              </w:rPr>
            </w:pPr>
          </w:p>
        </w:tc>
      </w:tr>
      <w:tr>
        <w:trPr>
          <w:trHeight w:val="175"/>
        </w:trPr>
        <w:tc>
          <w:tcPr>
            <w:tcW w:w="20" w:type="dxa"/>
            <w:vAlign w:val="bottom"/>
          </w:tcPr>
          <w:p>
            <w:pPr>
              <w:spacing w:after="0"/>
              <w:rPr>
                <w:sz w:val="15"/>
                <w:szCs w:val="15"/>
                <w:color w:val="auto"/>
              </w:rPr>
            </w:pPr>
          </w:p>
        </w:tc>
        <w:tc>
          <w:tcPr>
            <w:tcW w:w="450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Channel</w:t>
            </w:r>
          </w:p>
        </w:tc>
        <w:tc>
          <w:tcPr>
            <w:tcW w:w="300" w:type="dxa"/>
            <w:vAlign w:val="bottom"/>
          </w:tcPr>
          <w:p>
            <w:pPr>
              <w:spacing w:after="0"/>
              <w:rPr>
                <w:sz w:val="15"/>
                <w:szCs w:val="15"/>
                <w:color w:val="auto"/>
              </w:rPr>
            </w:pPr>
          </w:p>
        </w:tc>
        <w:tc>
          <w:tcPr>
            <w:tcW w:w="13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440" w:type="dxa"/>
            <w:vAlign w:val="bottom"/>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 of Revenue*</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440" w:type="dxa"/>
            <w:vAlign w:val="bottom"/>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 of Revenue*</w:t>
            </w:r>
          </w:p>
        </w:tc>
        <w:tc>
          <w:tcPr>
            <w:tcW w:w="200" w:type="dxa"/>
            <w:vAlign w:val="bottom"/>
          </w:tcPr>
          <w:p>
            <w:pPr>
              <w:spacing w:after="0"/>
              <w:rPr>
                <w:sz w:val="15"/>
                <w:szCs w:val="15"/>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00" w:type="dxa"/>
            <w:vAlign w:val="bottom"/>
            <w:tcBorders>
              <w:top w:val="single" w:sz="8" w:color="auto"/>
              <w:bottom w:val="single" w:sz="8" w:color="CCEEFF"/>
            </w:tcBorders>
          </w:tcPr>
          <w:p>
            <w:pPr>
              <w:spacing w:after="0" w:line="20" w:lineRule="exact"/>
              <w:rPr>
                <w:sz w:val="1"/>
                <w:szCs w:val="1"/>
                <w:color w:val="auto"/>
              </w:rPr>
            </w:pPr>
          </w:p>
        </w:tc>
        <w:tc>
          <w:tcPr>
            <w:tcW w:w="39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5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Distributors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1,248,382</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1,996,410</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tcPr>
          <w:p>
            <w:pPr>
              <w:spacing w:after="0"/>
              <w:rPr>
                <w:sz w:val="19"/>
                <w:szCs w:val="19"/>
                <w:color w:val="auto"/>
              </w:rPr>
            </w:pPr>
          </w:p>
        </w:tc>
        <w:tc>
          <w:tcPr>
            <w:tcW w:w="45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Direct customers</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873,593</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1,224,786</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shd w:val="clear" w:color="auto" w:fill="CCEEFF"/>
          </w:tcPr>
          <w:p>
            <w:pPr>
              <w:spacing w:after="0"/>
              <w:rPr>
                <w:sz w:val="19"/>
                <w:szCs w:val="19"/>
                <w:color w:val="auto"/>
              </w:rPr>
            </w:pPr>
          </w:p>
        </w:tc>
        <w:tc>
          <w:tcPr>
            <w:tcW w:w="45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37,064</w:t>
            </w:r>
          </w:p>
        </w:tc>
        <w:tc>
          <w:tcPr>
            <w:tcW w:w="12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41,734</w:t>
            </w:r>
          </w:p>
        </w:tc>
        <w:tc>
          <w:tcPr>
            <w:tcW w:w="12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0" w:type="dxa"/>
            <w:vAlign w:val="bottom"/>
          </w:tcPr>
          <w:p>
            <w:pPr>
              <w:spacing w:after="0"/>
              <w:rPr>
                <w:sz w:val="19"/>
                <w:szCs w:val="19"/>
                <w:color w:val="auto"/>
              </w:rPr>
            </w:pPr>
          </w:p>
        </w:tc>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2,159,039</w:t>
            </w:r>
          </w:p>
        </w:tc>
        <w:tc>
          <w:tcPr>
            <w:tcW w:w="120" w:type="dxa"/>
            <w:vAlign w:val="bottom"/>
          </w:tcPr>
          <w:p>
            <w:pPr>
              <w:spacing w:after="0"/>
              <w:rPr>
                <w:sz w:val="19"/>
                <w:szCs w:val="19"/>
                <w:color w:val="auto"/>
              </w:rPr>
            </w:pPr>
          </w:p>
        </w:tc>
        <w:tc>
          <w:tcPr>
            <w:tcW w:w="16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100 %</w:t>
            </w:r>
          </w:p>
        </w:tc>
        <w:tc>
          <w:tcPr>
            <w:tcW w:w="12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3,262,930</w:t>
            </w:r>
          </w:p>
        </w:tc>
        <w:tc>
          <w:tcPr>
            <w:tcW w:w="120" w:type="dxa"/>
            <w:vAlign w:val="bottom"/>
          </w:tcPr>
          <w:p>
            <w:pPr>
              <w:spacing w:after="0"/>
              <w:rPr>
                <w:sz w:val="19"/>
                <w:szCs w:val="19"/>
                <w:color w:val="auto"/>
              </w:rPr>
            </w:pPr>
          </w:p>
        </w:tc>
        <w:tc>
          <w:tcPr>
            <w:tcW w:w="16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100 %</w:t>
            </w: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r>
      <w:tr>
        <w:trPr>
          <w:trHeight w:val="416"/>
        </w:trPr>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3"/>
        </w:trPr>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39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190"/>
        </w:trPr>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9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3"/>
          </w:tcPr>
          <w:p>
            <w:pPr>
              <w:jc w:val="right"/>
              <w:ind w:right="996"/>
              <w:spacing w:after="0"/>
              <w:rPr>
                <w:sz w:val="20"/>
                <w:szCs w:val="20"/>
                <w:color w:val="auto"/>
              </w:rPr>
            </w:pPr>
            <w:r>
              <w:rPr>
                <w:rFonts w:ascii="Times New Roman" w:cs="Times New Roman" w:eastAsia="Times New Roman" w:hAnsi="Times New Roman"/>
                <w:sz w:val="14"/>
                <w:szCs w:val="14"/>
                <w:b w:val="1"/>
                <w:bCs w:val="1"/>
                <w:color w:val="auto"/>
              </w:rPr>
              <w:t>May 4, 2024</w:t>
            </w:r>
          </w:p>
        </w:tc>
        <w:tc>
          <w:tcPr>
            <w:tcW w:w="2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3"/>
          </w:tcPr>
          <w:p>
            <w:pPr>
              <w:jc w:val="right"/>
              <w:ind w:right="934"/>
              <w:spacing w:after="0"/>
              <w:rPr>
                <w:sz w:val="20"/>
                <w:szCs w:val="20"/>
                <w:color w:val="auto"/>
              </w:rPr>
            </w:pPr>
            <w:r>
              <w:rPr>
                <w:rFonts w:ascii="Times New Roman" w:cs="Times New Roman" w:eastAsia="Times New Roman" w:hAnsi="Times New Roman"/>
                <w:sz w:val="14"/>
                <w:szCs w:val="14"/>
                <w:b w:val="1"/>
                <w:bCs w:val="1"/>
                <w:color w:val="auto"/>
              </w:rPr>
              <w:t>April 29, 2023</w:t>
            </w:r>
          </w:p>
        </w:tc>
        <w:tc>
          <w:tcPr>
            <w:tcW w:w="200" w:type="dxa"/>
            <w:vAlign w:val="bottom"/>
            <w:tcBorders>
              <w:bottom w:val="single" w:sz="8" w:color="auto"/>
            </w:tcBorders>
          </w:tcPr>
          <w:p>
            <w:pPr>
              <w:spacing w:after="0"/>
              <w:rPr>
                <w:sz w:val="16"/>
                <w:szCs w:val="16"/>
                <w:color w:val="auto"/>
              </w:rPr>
            </w:pPr>
          </w:p>
        </w:tc>
      </w:tr>
      <w:tr>
        <w:trPr>
          <w:trHeight w:val="175"/>
        </w:trPr>
        <w:tc>
          <w:tcPr>
            <w:tcW w:w="20" w:type="dxa"/>
            <w:vAlign w:val="bottom"/>
          </w:tcPr>
          <w:p>
            <w:pPr>
              <w:spacing w:after="0"/>
              <w:rPr>
                <w:sz w:val="15"/>
                <w:szCs w:val="15"/>
                <w:color w:val="auto"/>
              </w:rPr>
            </w:pPr>
          </w:p>
        </w:tc>
        <w:tc>
          <w:tcPr>
            <w:tcW w:w="450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Channel</w:t>
            </w:r>
          </w:p>
        </w:tc>
        <w:tc>
          <w:tcPr>
            <w:tcW w:w="300" w:type="dxa"/>
            <w:vAlign w:val="bottom"/>
          </w:tcPr>
          <w:p>
            <w:pPr>
              <w:spacing w:after="0"/>
              <w:rPr>
                <w:sz w:val="15"/>
                <w:szCs w:val="15"/>
                <w:color w:val="auto"/>
              </w:rPr>
            </w:pPr>
          </w:p>
        </w:tc>
        <w:tc>
          <w:tcPr>
            <w:tcW w:w="13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440" w:type="dxa"/>
            <w:vAlign w:val="bottom"/>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 of Revenue*</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440" w:type="dxa"/>
            <w:vAlign w:val="bottom"/>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 of Revenue*</w:t>
            </w:r>
          </w:p>
        </w:tc>
        <w:tc>
          <w:tcPr>
            <w:tcW w:w="200" w:type="dxa"/>
            <w:vAlign w:val="bottom"/>
          </w:tcPr>
          <w:p>
            <w:pPr>
              <w:spacing w:after="0"/>
              <w:rPr>
                <w:sz w:val="15"/>
                <w:szCs w:val="15"/>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00" w:type="dxa"/>
            <w:vAlign w:val="bottom"/>
            <w:tcBorders>
              <w:top w:val="single" w:sz="8" w:color="auto"/>
              <w:bottom w:val="single" w:sz="8" w:color="CCEEFF"/>
            </w:tcBorders>
          </w:tcPr>
          <w:p>
            <w:pPr>
              <w:spacing w:after="0" w:line="20" w:lineRule="exact"/>
              <w:rPr>
                <w:sz w:val="1"/>
                <w:szCs w:val="1"/>
                <w:color w:val="auto"/>
              </w:rPr>
            </w:pPr>
          </w:p>
        </w:tc>
        <w:tc>
          <w:tcPr>
            <w:tcW w:w="39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5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Distributors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2,783,592</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4,007,733</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tcPr>
          <w:p>
            <w:pPr>
              <w:spacing w:after="0"/>
              <w:rPr>
                <w:sz w:val="19"/>
                <w:szCs w:val="19"/>
                <w:color w:val="auto"/>
              </w:rPr>
            </w:pPr>
          </w:p>
        </w:tc>
        <w:tc>
          <w:tcPr>
            <w:tcW w:w="45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Direct customers</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1,813,568</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2,420,320</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shd w:val="clear" w:color="auto" w:fill="CCEEFF"/>
          </w:tcPr>
          <w:p>
            <w:pPr>
              <w:spacing w:after="0"/>
              <w:rPr>
                <w:sz w:val="19"/>
                <w:szCs w:val="19"/>
                <w:color w:val="auto"/>
              </w:rPr>
            </w:pPr>
          </w:p>
        </w:tc>
        <w:tc>
          <w:tcPr>
            <w:tcW w:w="45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74,583</w:t>
            </w:r>
          </w:p>
        </w:tc>
        <w:tc>
          <w:tcPr>
            <w:tcW w:w="12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84,507</w:t>
            </w:r>
          </w:p>
        </w:tc>
        <w:tc>
          <w:tcPr>
            <w:tcW w:w="12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0" w:type="dxa"/>
            <w:vAlign w:val="bottom"/>
          </w:tcPr>
          <w:p>
            <w:pPr>
              <w:spacing w:after="0"/>
              <w:rPr>
                <w:sz w:val="19"/>
                <w:szCs w:val="19"/>
                <w:color w:val="auto"/>
              </w:rPr>
            </w:pPr>
          </w:p>
        </w:tc>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4,671,743</w:t>
            </w:r>
          </w:p>
        </w:tc>
        <w:tc>
          <w:tcPr>
            <w:tcW w:w="120" w:type="dxa"/>
            <w:vAlign w:val="bottom"/>
          </w:tcPr>
          <w:p>
            <w:pPr>
              <w:spacing w:after="0"/>
              <w:rPr>
                <w:sz w:val="19"/>
                <w:szCs w:val="19"/>
                <w:color w:val="auto"/>
              </w:rPr>
            </w:pPr>
          </w:p>
        </w:tc>
        <w:tc>
          <w:tcPr>
            <w:tcW w:w="16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100 %</w:t>
            </w:r>
          </w:p>
        </w:tc>
        <w:tc>
          <w:tcPr>
            <w:tcW w:w="12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6,512,560</w:t>
            </w:r>
          </w:p>
        </w:tc>
        <w:tc>
          <w:tcPr>
            <w:tcW w:w="120" w:type="dxa"/>
            <w:vAlign w:val="bottom"/>
          </w:tcPr>
          <w:p>
            <w:pPr>
              <w:spacing w:after="0"/>
              <w:rPr>
                <w:sz w:val="19"/>
                <w:szCs w:val="19"/>
                <w:color w:val="auto"/>
              </w:rPr>
            </w:pPr>
          </w:p>
        </w:tc>
        <w:tc>
          <w:tcPr>
            <w:tcW w:w="16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100 %</w:t>
            </w: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r>
    </w:tbl>
    <w:p>
      <w:pPr>
        <w:spacing w:after="0" w:line="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The sum of the individual percentages may not equal the total due to rounding.</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Fair Value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Assets and Liabilities Recorded at Fair Value on a Recurring Basis</w:t>
      </w:r>
    </w:p>
    <w:p>
      <w:pPr>
        <w:spacing w:after="0" w:line="175" w:lineRule="exact"/>
        <w:rPr>
          <w:sz w:val="20"/>
          <w:szCs w:val="20"/>
          <w:color w:val="auto"/>
        </w:rPr>
      </w:pPr>
    </w:p>
    <w:p>
      <w:pPr>
        <w:ind w:right="140" w:firstLine="445"/>
        <w:spacing w:after="0" w:line="261" w:lineRule="auto"/>
        <w:rPr>
          <w:sz w:val="20"/>
          <w:szCs w:val="20"/>
          <w:color w:val="auto"/>
        </w:rPr>
      </w:pPr>
      <w:r>
        <w:rPr>
          <w:rFonts w:ascii="Times New Roman" w:cs="Times New Roman" w:eastAsia="Times New Roman" w:hAnsi="Times New Roman"/>
          <w:sz w:val="18"/>
          <w:szCs w:val="18"/>
          <w:color w:val="auto"/>
        </w:rPr>
        <w:t>The tables below, set forth by level, present the Company’s financial assets and liabilities, excluding accrued interest components that were accounted for at fair value on a recurring basis as of May 4, 2024 and October 28, 2023. The tables exclude cash on hand and assets and liabilities that are measured at historical cost or any basis other than fair value. As of May 4, 2024 and October 28, 2023, the Company held $877.4 million and $642.1 million, respectively, of cash that is excluded</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8"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color w:val="auto"/>
        </w:rPr>
        <w:t>from the tables below.</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May 4, 2024</w:t>
            </w:r>
          </w:p>
        </w:tc>
        <w:tc>
          <w:tcPr>
            <w:tcW w:w="4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7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0" w:type="dxa"/>
            <w:vAlign w:val="bottom"/>
            <w:tcBorders>
              <w:bottom w:val="single" w:sz="8" w:color="auto"/>
            </w:tcBorders>
            <w:gridSpan w:val="5"/>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1"/>
        </w:trPr>
        <w:tc>
          <w:tcPr>
            <w:tcW w:w="5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0" w:type="dxa"/>
            <w:vAlign w:val="bottom"/>
            <w:gridSpan w:val="5"/>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Fair Value Measurement at</w:t>
            </w:r>
          </w:p>
        </w:tc>
        <w:tc>
          <w:tcPr>
            <w:tcW w:w="4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5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0" w:type="dxa"/>
            <w:vAlign w:val="bottom"/>
            <w:gridSpan w:val="5"/>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Reporting Date Using:</w:t>
            </w:r>
          </w:p>
        </w:tc>
        <w:tc>
          <w:tcPr>
            <w:tcW w:w="4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74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740" w:type="dxa"/>
            <w:vAlign w:val="bottom"/>
            <w:tcBorders>
              <w:bottom w:val="single" w:sz="8" w:color="auto"/>
            </w:tcBorders>
            <w:gridSpan w:val="2"/>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5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Quoted Prices in Active</w:t>
            </w:r>
          </w:p>
        </w:tc>
        <w:tc>
          <w:tcPr>
            <w:tcW w:w="2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Markets for Identical</w:t>
            </w:r>
          </w:p>
        </w:tc>
        <w:tc>
          <w:tcPr>
            <w:tcW w:w="200" w:type="dxa"/>
            <w:vAlign w:val="bottom"/>
          </w:tcPr>
          <w:p>
            <w:pPr>
              <w:spacing w:after="0"/>
              <w:rPr>
                <w:sz w:val="15"/>
                <w:szCs w:val="15"/>
                <w:color w:val="auto"/>
              </w:rPr>
            </w:pPr>
          </w:p>
        </w:tc>
        <w:tc>
          <w:tcPr>
            <w:tcW w:w="16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4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5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00" w:type="dxa"/>
            <w:vAlign w:val="bottom"/>
          </w:tcPr>
          <w:p>
            <w:pPr>
              <w:spacing w:after="0"/>
              <w:rPr>
                <w:sz w:val="14"/>
                <w:szCs w:val="14"/>
                <w:color w:val="auto"/>
              </w:rPr>
            </w:pPr>
          </w:p>
        </w:tc>
        <w:tc>
          <w:tcPr>
            <w:tcW w:w="16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Observable Inputs</w:t>
            </w:r>
          </w:p>
        </w:tc>
        <w:tc>
          <w:tcPr>
            <w:tcW w:w="4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5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00" w:type="dxa"/>
            <w:vAlign w:val="bottom"/>
          </w:tcPr>
          <w:p>
            <w:pPr>
              <w:spacing w:after="0"/>
              <w:rPr>
                <w:sz w:val="17"/>
                <w:szCs w:val="17"/>
                <w:color w:val="auto"/>
              </w:rPr>
            </w:pPr>
          </w:p>
        </w:tc>
        <w:tc>
          <w:tcPr>
            <w:tcW w:w="16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420" w:type="dxa"/>
            <w:vAlign w:val="bottom"/>
          </w:tcPr>
          <w:p>
            <w:pPr>
              <w:spacing w:after="0"/>
              <w:rPr>
                <w:sz w:val="17"/>
                <w:szCs w:val="17"/>
                <w:color w:val="auto"/>
              </w:rPr>
            </w:pPr>
          </w:p>
        </w:tc>
        <w:tc>
          <w:tcPr>
            <w:tcW w:w="1340" w:type="dxa"/>
            <w:vAlign w:val="bottom"/>
          </w:tcPr>
          <w:p>
            <w:pPr>
              <w:jc w:val="right"/>
              <w:ind w:right="63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3"/>
        </w:trPr>
        <w:tc>
          <w:tcPr>
            <w:tcW w:w="57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equivalents and short-term investments:</w:t>
            </w:r>
          </w:p>
        </w:tc>
        <w:tc>
          <w:tcPr>
            <w:tcW w:w="1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Available-for-sale:</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Government and institutional money market funds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538,938</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538,938</w:t>
            </w:r>
          </w:p>
        </w:tc>
        <w:tc>
          <w:tcPr>
            <w:tcW w:w="0" w:type="dxa"/>
            <w:vAlign w:val="bottom"/>
          </w:tcPr>
          <w:p>
            <w:pPr>
              <w:spacing w:after="0"/>
              <w:rPr>
                <w:sz w:val="1"/>
                <w:szCs w:val="1"/>
                <w:color w:val="auto"/>
              </w:rPr>
            </w:pPr>
          </w:p>
        </w:tc>
      </w:tr>
      <w:tr>
        <w:trPr>
          <w:trHeight w:val="230"/>
        </w:trPr>
        <w:tc>
          <w:tcPr>
            <w:tcW w:w="57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Corporate obligations (1)</w:t>
            </w:r>
          </w:p>
        </w:tc>
        <w:tc>
          <w:tcPr>
            <w:tcW w:w="12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947,461</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947,461</w:t>
            </w:r>
          </w:p>
        </w:tc>
        <w:tc>
          <w:tcPr>
            <w:tcW w:w="0" w:type="dxa"/>
            <w:vAlign w:val="bottom"/>
          </w:tcPr>
          <w:p>
            <w:pPr>
              <w:spacing w:after="0"/>
              <w:rPr>
                <w:sz w:val="1"/>
                <w:szCs w:val="1"/>
                <w:color w:val="auto"/>
              </w:rPr>
            </w:pPr>
          </w:p>
        </w:tc>
      </w:tr>
      <w:tr>
        <w:trPr>
          <w:trHeight w:val="229"/>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assets:</w:t>
            </w:r>
          </w:p>
        </w:tc>
        <w:tc>
          <w:tcPr>
            <w:tcW w:w="1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Forward foreign currency exchange contracts (2)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1,847</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1,847</w:t>
            </w:r>
          </w:p>
        </w:tc>
        <w:tc>
          <w:tcPr>
            <w:tcW w:w="0" w:type="dxa"/>
            <w:vAlign w:val="bottom"/>
          </w:tcPr>
          <w:p>
            <w:pPr>
              <w:spacing w:after="0"/>
              <w:rPr>
                <w:sz w:val="1"/>
                <w:szCs w:val="1"/>
                <w:color w:val="auto"/>
              </w:rPr>
            </w:pPr>
          </w:p>
        </w:tc>
      </w:tr>
      <w:tr>
        <w:trPr>
          <w:trHeight w:val="230"/>
        </w:trPr>
        <w:tc>
          <w:tcPr>
            <w:tcW w:w="5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compensation plan investments</w:t>
            </w: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88,615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88,615</w:t>
            </w:r>
          </w:p>
        </w:tc>
        <w:tc>
          <w:tcPr>
            <w:tcW w:w="0" w:type="dxa"/>
            <w:vAlign w:val="bottom"/>
          </w:tcPr>
          <w:p>
            <w:pPr>
              <w:spacing w:after="0"/>
              <w:rPr>
                <w:sz w:val="1"/>
                <w:szCs w:val="1"/>
                <w:color w:val="auto"/>
              </w:rPr>
            </w:pPr>
          </w:p>
        </w:tc>
      </w:tr>
      <w:tr>
        <w:trPr>
          <w:trHeight w:val="248"/>
        </w:trPr>
        <w:tc>
          <w:tcPr>
            <w:tcW w:w="5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 measured at fair value</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627,553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949,308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1,576,861</w:t>
            </w: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7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Forward foreign currency exchange contracts (2)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8,744</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8,744</w:t>
            </w:r>
          </w:p>
        </w:tc>
        <w:tc>
          <w:tcPr>
            <w:tcW w:w="0" w:type="dxa"/>
            <w:vAlign w:val="bottom"/>
          </w:tcPr>
          <w:p>
            <w:pPr>
              <w:spacing w:after="0"/>
              <w:rPr>
                <w:sz w:val="1"/>
                <w:szCs w:val="1"/>
                <w:color w:val="auto"/>
              </w:rPr>
            </w:pPr>
          </w:p>
        </w:tc>
      </w:tr>
      <w:tr>
        <w:trPr>
          <w:trHeight w:val="229"/>
        </w:trPr>
        <w:tc>
          <w:tcPr>
            <w:tcW w:w="5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rate derivatives (3)</w:t>
            </w:r>
          </w:p>
        </w:tc>
        <w:tc>
          <w:tcPr>
            <w:tcW w:w="120" w:type="dxa"/>
            <w:vAlign w:val="bottom"/>
          </w:tcPr>
          <w:p>
            <w:pPr>
              <w:spacing w:after="0"/>
              <w:rPr>
                <w:sz w:val="19"/>
                <w:szCs w:val="19"/>
                <w:color w:val="auto"/>
              </w:rPr>
            </w:pPr>
          </w:p>
        </w:tc>
        <w:tc>
          <w:tcPr>
            <w:tcW w:w="1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60,408</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60,408</w:t>
            </w:r>
          </w:p>
        </w:tc>
        <w:tc>
          <w:tcPr>
            <w:tcW w:w="0" w:type="dxa"/>
            <w:vAlign w:val="bottom"/>
          </w:tcPr>
          <w:p>
            <w:pPr>
              <w:spacing w:after="0"/>
              <w:rPr>
                <w:sz w:val="1"/>
                <w:szCs w:val="1"/>
                <w:color w:val="auto"/>
              </w:rPr>
            </w:pPr>
          </w:p>
        </w:tc>
      </w:tr>
      <w:tr>
        <w:trPr>
          <w:trHeight w:val="248"/>
        </w:trPr>
        <w:tc>
          <w:tcPr>
            <w:tcW w:w="5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measured at fair value</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69,152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69,152</w:t>
            </w: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ind w:left="640" w:hanging="308"/>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amortized cost of the Company's investments classified as available-for-sale as of May 4, 2024 was $950.4 million.</w:t>
      </w:r>
    </w:p>
    <w:p>
      <w:pPr>
        <w:spacing w:after="0" w:line="27" w:lineRule="exact"/>
        <w:rPr>
          <w:rFonts w:ascii="Times New Roman" w:cs="Times New Roman" w:eastAsia="Times New Roman" w:hAnsi="Times New Roman"/>
          <w:sz w:val="18"/>
          <w:szCs w:val="18"/>
          <w:color w:val="auto"/>
        </w:rPr>
      </w:pPr>
    </w:p>
    <w:p>
      <w:pPr>
        <w:ind w:left="660" w:right="340" w:hanging="328"/>
        <w:spacing w:after="0" w:line="250" w:lineRule="auto"/>
        <w:tabs>
          <w:tab w:leader="none" w:pos="65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has master netting arrangements by counterparty with respect to derivative contracts. See Note 9, </w:t>
      </w:r>
      <w:r>
        <w:rPr>
          <w:rFonts w:ascii="Times New Roman" w:cs="Times New Roman" w:eastAsia="Times New Roman" w:hAnsi="Times New Roman"/>
          <w:sz w:val="18"/>
          <w:szCs w:val="18"/>
          <w:i w:val="1"/>
          <w:iCs w:val="1"/>
          <w:color w:val="auto"/>
        </w:rPr>
        <w:t>Derivatives,</w:t>
      </w:r>
      <w:r>
        <w:rPr>
          <w:rFonts w:ascii="Times New Roman" w:cs="Times New Roman" w:eastAsia="Times New Roman" w:hAnsi="Times New Roman"/>
          <w:sz w:val="18"/>
          <w:szCs w:val="18"/>
          <w:color w:val="auto"/>
        </w:rPr>
        <w:t xml:space="preserve"> in these Notes to Condensed Consolidated Financial Statements for more information related to the Company's master netting arrangements.</w:t>
      </w:r>
    </w:p>
    <w:p>
      <w:pPr>
        <w:ind w:left="660" w:right="40" w:hanging="328"/>
        <w:spacing w:after="0" w:line="255" w:lineRule="auto"/>
        <w:tabs>
          <w:tab w:leader="none" w:pos="65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carrying value of the related debt was adjusted by an equal and offsetting amount. The fair value of interest rate derivatives is estimated using a discounted cash flow analysis based on the contractual terms of the derivatives. See Note 9, </w:t>
      </w:r>
      <w:r>
        <w:rPr>
          <w:rFonts w:ascii="Times New Roman" w:cs="Times New Roman" w:eastAsia="Times New Roman" w:hAnsi="Times New Roman"/>
          <w:sz w:val="18"/>
          <w:szCs w:val="18"/>
          <w:i w:val="1"/>
          <w:iCs w:val="1"/>
          <w:color w:val="auto"/>
        </w:rPr>
        <w:t>Derivatives,</w:t>
      </w:r>
      <w:r>
        <w:rPr>
          <w:rFonts w:ascii="Times New Roman" w:cs="Times New Roman" w:eastAsia="Times New Roman" w:hAnsi="Times New Roman"/>
          <w:sz w:val="18"/>
          <w:szCs w:val="18"/>
          <w:color w:val="auto"/>
        </w:rPr>
        <w:t xml:space="preserve"> in these Notes to Condensed Consolidated Financial Statements.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October 28, 2023</w:t>
            </w:r>
          </w:p>
        </w:tc>
        <w:tc>
          <w:tcPr>
            <w:tcW w:w="4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7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0" w:type="dxa"/>
            <w:vAlign w:val="bottom"/>
            <w:tcBorders>
              <w:bottom w:val="single" w:sz="8" w:color="auto"/>
            </w:tcBorders>
            <w:gridSpan w:val="5"/>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5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0" w:type="dxa"/>
            <w:vAlign w:val="bottom"/>
            <w:gridSpan w:val="5"/>
          </w:tcPr>
          <w:p>
            <w:pPr>
              <w:jc w:val="center"/>
              <w:ind w:right="240"/>
              <w:spacing w:after="0" w:line="158" w:lineRule="exact"/>
              <w:rPr>
                <w:sz w:val="20"/>
                <w:szCs w:val="20"/>
                <w:color w:val="auto"/>
              </w:rPr>
            </w:pPr>
            <w:r>
              <w:rPr>
                <w:rFonts w:ascii="Times New Roman" w:cs="Times New Roman" w:eastAsia="Times New Roman" w:hAnsi="Times New Roman"/>
                <w:sz w:val="14"/>
                <w:szCs w:val="14"/>
                <w:b w:val="1"/>
                <w:bCs w:val="1"/>
                <w:color w:val="auto"/>
              </w:rPr>
              <w:t>Fair Value Measurement at</w:t>
            </w:r>
          </w:p>
        </w:tc>
        <w:tc>
          <w:tcPr>
            <w:tcW w:w="4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5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0" w:type="dxa"/>
            <w:vAlign w:val="bottom"/>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Reporting Date Using:</w:t>
            </w:r>
          </w:p>
        </w:tc>
        <w:tc>
          <w:tcPr>
            <w:tcW w:w="4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0"/>
        </w:trPr>
        <w:tc>
          <w:tcPr>
            <w:tcW w:w="574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740" w:type="dxa"/>
            <w:vAlign w:val="bottom"/>
            <w:tcBorders>
              <w:bottom w:val="single" w:sz="8" w:color="auto"/>
            </w:tcBorders>
            <w:gridSpan w:val="2"/>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5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8"/>
        </w:trPr>
        <w:tc>
          <w:tcPr>
            <w:tcW w:w="5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40" w:type="dxa"/>
            <w:vAlign w:val="bottom"/>
            <w:gridSpan w:val="2"/>
          </w:tcPr>
          <w:p>
            <w:pPr>
              <w:jc w:val="center"/>
              <w:ind w:right="240"/>
              <w:spacing w:after="0" w:line="158" w:lineRule="exact"/>
              <w:rPr>
                <w:sz w:val="20"/>
                <w:szCs w:val="20"/>
                <w:color w:val="auto"/>
              </w:rPr>
            </w:pPr>
            <w:r>
              <w:rPr>
                <w:rFonts w:ascii="Times New Roman" w:cs="Times New Roman" w:eastAsia="Times New Roman" w:hAnsi="Times New Roman"/>
                <w:sz w:val="14"/>
                <w:szCs w:val="14"/>
                <w:b w:val="1"/>
                <w:bCs w:val="1"/>
                <w:color w:val="auto"/>
              </w:rPr>
              <w:t>Quoted Prices in Active</w:t>
            </w:r>
          </w:p>
        </w:tc>
        <w:tc>
          <w:tcPr>
            <w:tcW w:w="2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5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Markets for Identical</w:t>
            </w:r>
          </w:p>
        </w:tc>
        <w:tc>
          <w:tcPr>
            <w:tcW w:w="200" w:type="dxa"/>
            <w:vAlign w:val="bottom"/>
          </w:tcPr>
          <w:p>
            <w:pPr>
              <w:spacing w:after="0"/>
              <w:rPr>
                <w:sz w:val="15"/>
                <w:szCs w:val="15"/>
                <w:color w:val="auto"/>
              </w:rPr>
            </w:pPr>
          </w:p>
        </w:tc>
        <w:tc>
          <w:tcPr>
            <w:tcW w:w="16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4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5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00" w:type="dxa"/>
            <w:vAlign w:val="bottom"/>
          </w:tcPr>
          <w:p>
            <w:pPr>
              <w:spacing w:after="0"/>
              <w:rPr>
                <w:sz w:val="14"/>
                <w:szCs w:val="14"/>
                <w:color w:val="auto"/>
              </w:rPr>
            </w:pPr>
          </w:p>
        </w:tc>
        <w:tc>
          <w:tcPr>
            <w:tcW w:w="16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Observable Inputs</w:t>
            </w:r>
          </w:p>
        </w:tc>
        <w:tc>
          <w:tcPr>
            <w:tcW w:w="420" w:type="dxa"/>
            <w:vAlign w:val="bottom"/>
          </w:tcPr>
          <w:p>
            <w:pPr>
              <w:spacing w:after="0"/>
              <w:rPr>
                <w:sz w:val="14"/>
                <w:szCs w:val="14"/>
                <w:color w:val="auto"/>
              </w:rPr>
            </w:pPr>
          </w:p>
        </w:tc>
        <w:tc>
          <w:tcPr>
            <w:tcW w:w="1340" w:type="dxa"/>
            <w:vAlign w:val="bottom"/>
            <w:vMerge w:val="restart"/>
          </w:tcPr>
          <w:p>
            <w:pPr>
              <w:jc w:val="right"/>
              <w:ind w:right="63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0"/>
        </w:trPr>
        <w:tc>
          <w:tcPr>
            <w:tcW w:w="5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00" w:type="dxa"/>
            <w:vAlign w:val="bottom"/>
          </w:tcPr>
          <w:p>
            <w:pPr>
              <w:spacing w:after="0"/>
              <w:rPr>
                <w:sz w:val="16"/>
                <w:szCs w:val="16"/>
                <w:color w:val="auto"/>
              </w:rPr>
            </w:pPr>
          </w:p>
        </w:tc>
        <w:tc>
          <w:tcPr>
            <w:tcW w:w="16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420" w:type="dxa"/>
            <w:vAlign w:val="bottom"/>
          </w:tcPr>
          <w:p>
            <w:pPr>
              <w:spacing w:after="0"/>
              <w:rPr>
                <w:sz w:val="16"/>
                <w:szCs w:val="16"/>
                <w:color w:val="auto"/>
              </w:rPr>
            </w:pPr>
          </w:p>
        </w:tc>
        <w:tc>
          <w:tcPr>
            <w:tcW w:w="13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7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equivalents:</w:t>
            </w:r>
          </w:p>
        </w:tc>
        <w:tc>
          <w:tcPr>
            <w:tcW w:w="1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Available-for-sale:</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Government and institutional money market funds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315,980</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315,980</w:t>
            </w:r>
          </w:p>
        </w:tc>
        <w:tc>
          <w:tcPr>
            <w:tcW w:w="0" w:type="dxa"/>
            <w:vAlign w:val="bottom"/>
          </w:tcPr>
          <w:p>
            <w:pPr>
              <w:spacing w:after="0"/>
              <w:rPr>
                <w:sz w:val="1"/>
                <w:szCs w:val="1"/>
                <w:color w:val="auto"/>
              </w:rPr>
            </w:pPr>
          </w:p>
        </w:tc>
      </w:tr>
      <w:tr>
        <w:trPr>
          <w:trHeight w:val="230"/>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assets:</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Forward foreign currency exchange contracts (1)</w:t>
            </w:r>
          </w:p>
        </w:tc>
        <w:tc>
          <w:tcPr>
            <w:tcW w:w="120" w:type="dxa"/>
            <w:vAlign w:val="bottom"/>
          </w:tcPr>
          <w:p>
            <w:pPr>
              <w:spacing w:after="0"/>
              <w:rPr>
                <w:sz w:val="19"/>
                <w:szCs w:val="19"/>
                <w:color w:val="auto"/>
              </w:rPr>
            </w:pPr>
          </w:p>
        </w:tc>
        <w:tc>
          <w:tcPr>
            <w:tcW w:w="1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1,940</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1,940</w:t>
            </w:r>
          </w:p>
        </w:tc>
        <w:tc>
          <w:tcPr>
            <w:tcW w:w="0" w:type="dxa"/>
            <w:vAlign w:val="bottom"/>
          </w:tcPr>
          <w:p>
            <w:pPr>
              <w:spacing w:after="0"/>
              <w:rPr>
                <w:sz w:val="1"/>
                <w:szCs w:val="1"/>
                <w:color w:val="auto"/>
              </w:rPr>
            </w:pPr>
          </w:p>
        </w:tc>
      </w:tr>
      <w:tr>
        <w:trPr>
          <w:trHeight w:val="229"/>
        </w:trPr>
        <w:tc>
          <w:tcPr>
            <w:tcW w:w="5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compensation plan investments</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78,246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78,246</w:t>
            </w:r>
          </w:p>
        </w:tc>
        <w:tc>
          <w:tcPr>
            <w:tcW w:w="0" w:type="dxa"/>
            <w:vAlign w:val="bottom"/>
          </w:tcPr>
          <w:p>
            <w:pPr>
              <w:spacing w:after="0"/>
              <w:rPr>
                <w:sz w:val="1"/>
                <w:szCs w:val="1"/>
                <w:color w:val="auto"/>
              </w:rPr>
            </w:pPr>
          </w:p>
        </w:tc>
      </w:tr>
      <w:tr>
        <w:trPr>
          <w:trHeight w:val="223"/>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 measured at fair value</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394,226</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1,940</w:t>
            </w:r>
          </w:p>
        </w:tc>
        <w:tc>
          <w:tcPr>
            <w:tcW w:w="12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396,166</w:t>
            </w:r>
          </w:p>
        </w:tc>
        <w:tc>
          <w:tcPr>
            <w:tcW w:w="0" w:type="dxa"/>
            <w:vAlign w:val="bottom"/>
          </w:tcPr>
          <w:p>
            <w:pPr>
              <w:spacing w:after="0"/>
              <w:rPr>
                <w:sz w:val="1"/>
                <w:szCs w:val="1"/>
                <w:color w:val="auto"/>
              </w:rPr>
            </w:pPr>
          </w:p>
        </w:tc>
      </w:tr>
      <w:tr>
        <w:trPr>
          <w:trHeight w:val="20"/>
        </w:trPr>
        <w:tc>
          <w:tcPr>
            <w:tcW w:w="57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7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12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Forward foreign currency exchange contracts (1)</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13,515</w:t>
            </w:r>
          </w:p>
        </w:tc>
        <w:tc>
          <w:tcPr>
            <w:tcW w:w="12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13,515</w:t>
            </w:r>
          </w:p>
        </w:tc>
        <w:tc>
          <w:tcPr>
            <w:tcW w:w="0" w:type="dxa"/>
            <w:vAlign w:val="bottom"/>
          </w:tcPr>
          <w:p>
            <w:pPr>
              <w:spacing w:after="0"/>
              <w:rPr>
                <w:sz w:val="1"/>
                <w:szCs w:val="1"/>
                <w:color w:val="auto"/>
              </w:rPr>
            </w:pPr>
          </w:p>
        </w:tc>
      </w:tr>
      <w:tr>
        <w:trPr>
          <w:trHeight w:val="230"/>
        </w:trPr>
        <w:tc>
          <w:tcPr>
            <w:tcW w:w="5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rate derivatives (2)</w:t>
            </w:r>
          </w:p>
        </w:tc>
        <w:tc>
          <w:tcPr>
            <w:tcW w:w="12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81,602</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81,602</w:t>
            </w:r>
          </w:p>
        </w:tc>
        <w:tc>
          <w:tcPr>
            <w:tcW w:w="0" w:type="dxa"/>
            <w:vAlign w:val="bottom"/>
          </w:tcPr>
          <w:p>
            <w:pPr>
              <w:spacing w:after="0"/>
              <w:rPr>
                <w:sz w:val="1"/>
                <w:szCs w:val="1"/>
                <w:color w:val="auto"/>
              </w:rPr>
            </w:pPr>
          </w:p>
        </w:tc>
      </w:tr>
      <w:tr>
        <w:trPr>
          <w:trHeight w:val="223"/>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measured at fair value</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95,117</w:t>
            </w:r>
          </w:p>
        </w:tc>
        <w:tc>
          <w:tcPr>
            <w:tcW w:w="12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95,117</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1" w:lineRule="exact"/>
        <w:rPr>
          <w:sz w:val="20"/>
          <w:szCs w:val="20"/>
          <w:color w:val="auto"/>
        </w:rPr>
      </w:pPr>
    </w:p>
    <w:p>
      <w:pPr>
        <w:ind w:left="660" w:right="340" w:hanging="328"/>
        <w:spacing w:after="0" w:line="284" w:lineRule="auto"/>
        <w:tabs>
          <w:tab w:leader="none" w:pos="65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has master netting arrangements by counterparty with respect to derivative contracts. See Note 9, </w:t>
      </w:r>
      <w:r>
        <w:rPr>
          <w:rFonts w:ascii="Times New Roman" w:cs="Times New Roman" w:eastAsia="Times New Roman" w:hAnsi="Times New Roman"/>
          <w:sz w:val="18"/>
          <w:szCs w:val="18"/>
          <w:i w:val="1"/>
          <w:iCs w:val="1"/>
          <w:color w:val="auto"/>
        </w:rPr>
        <w:t>Derivatives,</w:t>
      </w:r>
      <w:r>
        <w:rPr>
          <w:rFonts w:ascii="Times New Roman" w:cs="Times New Roman" w:eastAsia="Times New Roman" w:hAnsi="Times New Roman"/>
          <w:sz w:val="18"/>
          <w:szCs w:val="18"/>
          <w:color w:val="auto"/>
        </w:rPr>
        <w:t xml:space="preserve"> in these Notes to Condensed Consolidated Financial Statements for more information related to the Company's master netting arrangements.</w:t>
      </w: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4" w:right="359" w:bottom="1440" w:gutter="0" w:footer="0" w:header="0"/>
        </w:sectPr>
      </w:pPr>
    </w:p>
    <w:bookmarkStart w:id="12" w:name="page13"/>
    <w:bookmarkEnd w:id="12"/>
    <w:p>
      <w:pPr>
        <w:ind w:left="660" w:right="20" w:hanging="328"/>
        <w:spacing w:after="0" w:line="266" w:lineRule="auto"/>
        <w:tabs>
          <w:tab w:leader="none" w:pos="65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carrying value of the related debt was adjusted by an equal and offsetting amount. The fair value of interest rate derivatives is estimated using a discounted cash flow analysis based on the contractual terms of the derivatives. See Note 9, </w:t>
      </w:r>
      <w:r>
        <w:rPr>
          <w:rFonts w:ascii="Times New Roman" w:cs="Times New Roman" w:eastAsia="Times New Roman" w:hAnsi="Times New Roman"/>
          <w:sz w:val="18"/>
          <w:szCs w:val="18"/>
          <w:i w:val="1"/>
          <w:iCs w:val="1"/>
          <w:color w:val="auto"/>
        </w:rPr>
        <w:t>Derivatives,</w:t>
      </w:r>
      <w:r>
        <w:rPr>
          <w:rFonts w:ascii="Times New Roman" w:cs="Times New Roman" w:eastAsia="Times New Roman" w:hAnsi="Times New Roman"/>
          <w:sz w:val="18"/>
          <w:szCs w:val="18"/>
          <w:color w:val="auto"/>
        </w:rPr>
        <w:t xml:space="preserve"> in these Notes to Condensed Consolidated Financial Statements.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Assets and Liabilities Not Recorded at Fair Value on a Recurring Basis</w:t>
      </w:r>
    </w:p>
    <w:p>
      <w:pPr>
        <w:spacing w:after="0" w:line="148" w:lineRule="exact"/>
        <w:rPr>
          <w:sz w:val="20"/>
          <w:szCs w:val="20"/>
          <w:color w:val="auto"/>
        </w:rPr>
      </w:pPr>
    </w:p>
    <w:p>
      <w:pPr>
        <w:ind w:firstLine="405"/>
        <w:spacing w:after="0" w:line="260" w:lineRule="auto"/>
        <w:rPr>
          <w:sz w:val="20"/>
          <w:szCs w:val="20"/>
          <w:color w:val="auto"/>
        </w:rPr>
      </w:pPr>
      <w:r>
        <w:rPr>
          <w:rFonts w:ascii="Times New Roman" w:cs="Times New Roman" w:eastAsia="Times New Roman" w:hAnsi="Times New Roman"/>
          <w:sz w:val="18"/>
          <w:szCs w:val="18"/>
          <w:color w:val="auto"/>
        </w:rPr>
        <w:t>The table below presents the estimated fair values of certain financial instruments not recorded at fair value on a recurring basis. Given the short tenure of the Company's commercial paper notes, the carrying value of the outstanding commercial paper notes approximates the fair values, and therefore, are excluded from the table below ($548.2 million and $547.2 million as of May 4, 2024 and October 28, 2023, respectively). The fair values of the senior unsecured notes are obtained from broker prices and are classified as Level 1 measurements according to the fair value hierarchy.</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0" w:type="dxa"/>
            <w:vAlign w:val="bottom"/>
          </w:tcPr>
          <w:p>
            <w:pPr>
              <w:spacing w:after="0"/>
              <w:rPr>
                <w:sz w:val="16"/>
                <w:szCs w:val="16"/>
                <w:color w:val="auto"/>
              </w:rPr>
            </w:pPr>
          </w:p>
        </w:tc>
        <w:tc>
          <w:tcPr>
            <w:tcW w:w="4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May 4, 2024</w:t>
            </w: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20" w:type="dxa"/>
            <w:vAlign w:val="bottom"/>
            <w:gridSpan w:val="4"/>
          </w:tcPr>
          <w:p>
            <w:pPr>
              <w:jc w:val="right"/>
              <w:ind w:right="991"/>
              <w:spacing w:after="0"/>
              <w:rPr>
                <w:sz w:val="20"/>
                <w:szCs w:val="20"/>
                <w:color w:val="auto"/>
              </w:rPr>
            </w:pPr>
            <w:r>
              <w:rPr>
                <w:rFonts w:ascii="Times New Roman" w:cs="Times New Roman" w:eastAsia="Times New Roman" w:hAnsi="Times New Roman"/>
                <w:sz w:val="14"/>
                <w:szCs w:val="14"/>
                <w:b w:val="1"/>
                <w:bCs w:val="1"/>
                <w:color w:val="auto"/>
              </w:rPr>
              <w:t>October 28, 2023</w:t>
            </w:r>
          </w:p>
        </w:tc>
        <w:tc>
          <w:tcPr>
            <w:tcW w:w="0" w:type="dxa"/>
            <w:vAlign w:val="bottom"/>
          </w:tcPr>
          <w:p>
            <w:pPr>
              <w:spacing w:after="0"/>
              <w:rPr>
                <w:sz w:val="1"/>
                <w:szCs w:val="1"/>
                <w:color w:val="auto"/>
              </w:rPr>
            </w:pPr>
          </w:p>
        </w:tc>
      </w:tr>
      <w:tr>
        <w:trPr>
          <w:trHeight w:val="23"/>
        </w:trPr>
        <w:tc>
          <w:tcPr>
            <w:tcW w:w="4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00" w:type="dxa"/>
            <w:vAlign w:val="bottom"/>
          </w:tcPr>
          <w:p>
            <w:pPr>
              <w:spacing w:after="0"/>
              <w:rPr>
                <w:sz w:val="11"/>
                <w:szCs w:val="11"/>
                <w:color w:val="auto"/>
              </w:rPr>
            </w:pPr>
          </w:p>
        </w:tc>
        <w:tc>
          <w:tcPr>
            <w:tcW w:w="4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60" w:type="dxa"/>
            <w:vAlign w:val="bottom"/>
            <w:gridSpan w:val="2"/>
          </w:tcPr>
          <w:p>
            <w:pPr>
              <w:jc w:val="center"/>
              <w:ind w:right="280"/>
              <w:spacing w:after="0" w:line="129" w:lineRule="exact"/>
              <w:rPr>
                <w:sz w:val="20"/>
                <w:szCs w:val="20"/>
                <w:color w:val="auto"/>
              </w:rPr>
            </w:pPr>
            <w:r>
              <w:rPr>
                <w:rFonts w:ascii="Times New Roman" w:cs="Times New Roman" w:eastAsia="Times New Roman" w:hAnsi="Times New Roman"/>
                <w:sz w:val="14"/>
                <w:szCs w:val="14"/>
                <w:b w:val="1"/>
                <w:bCs w:val="1"/>
                <w:color w:val="auto"/>
              </w:rPr>
              <w:t>Principal Amount</w:t>
            </w:r>
          </w:p>
        </w:tc>
        <w:tc>
          <w:tcPr>
            <w:tcW w:w="380" w:type="dxa"/>
            <w:vAlign w:val="bottom"/>
          </w:tcPr>
          <w:p>
            <w:pPr>
              <w:spacing w:after="0"/>
              <w:rPr>
                <w:sz w:val="11"/>
                <w:szCs w:val="11"/>
                <w:color w:val="auto"/>
              </w:rPr>
            </w:pPr>
          </w:p>
        </w:tc>
        <w:tc>
          <w:tcPr>
            <w:tcW w:w="12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60" w:type="dxa"/>
            <w:vAlign w:val="bottom"/>
          </w:tcPr>
          <w:p>
            <w:pPr>
              <w:spacing w:after="0"/>
              <w:rPr>
                <w:sz w:val="11"/>
                <w:szCs w:val="11"/>
                <w:color w:val="auto"/>
              </w:rPr>
            </w:pPr>
          </w:p>
        </w:tc>
        <w:tc>
          <w:tcPr>
            <w:tcW w:w="1480" w:type="dxa"/>
            <w:vAlign w:val="bottom"/>
            <w:gridSpan w:val="2"/>
          </w:tcPr>
          <w:p>
            <w:pPr>
              <w:jc w:val="center"/>
              <w:ind w:right="280"/>
              <w:spacing w:after="0" w:line="129" w:lineRule="exact"/>
              <w:rPr>
                <w:sz w:val="20"/>
                <w:szCs w:val="20"/>
                <w:color w:val="auto"/>
              </w:rPr>
            </w:pPr>
            <w:r>
              <w:rPr>
                <w:rFonts w:ascii="Times New Roman" w:cs="Times New Roman" w:eastAsia="Times New Roman" w:hAnsi="Times New Roman"/>
                <w:sz w:val="14"/>
                <w:szCs w:val="14"/>
                <w:b w:val="1"/>
                <w:bCs w:val="1"/>
                <w:color w:val="auto"/>
              </w:rPr>
              <w:t>Principal Amount</w:t>
            </w:r>
          </w:p>
        </w:tc>
        <w:tc>
          <w:tcPr>
            <w:tcW w:w="280" w:type="dxa"/>
            <w:vAlign w:val="bottom"/>
          </w:tcPr>
          <w:p>
            <w:pPr>
              <w:spacing w:after="0"/>
              <w:rPr>
                <w:sz w:val="11"/>
                <w:szCs w:val="11"/>
                <w:color w:val="auto"/>
              </w:rPr>
            </w:pPr>
          </w:p>
        </w:tc>
        <w:tc>
          <w:tcPr>
            <w:tcW w:w="1260" w:type="dxa"/>
            <w:vAlign w:val="bottom"/>
            <w:vMerge w:val="restart"/>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96"/>
        </w:trPr>
        <w:tc>
          <w:tcPr>
            <w:tcW w:w="400" w:type="dxa"/>
            <w:vAlign w:val="bottom"/>
          </w:tcPr>
          <w:p>
            <w:pPr>
              <w:spacing w:after="0"/>
              <w:rPr>
                <w:sz w:val="17"/>
                <w:szCs w:val="17"/>
                <w:color w:val="auto"/>
              </w:rPr>
            </w:pPr>
          </w:p>
        </w:tc>
        <w:tc>
          <w:tcPr>
            <w:tcW w:w="4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380" w:type="dxa"/>
            <w:vAlign w:val="bottom"/>
          </w:tcPr>
          <w:p>
            <w:pPr>
              <w:spacing w:after="0"/>
              <w:rPr>
                <w:sz w:val="17"/>
                <w:szCs w:val="17"/>
                <w:color w:val="auto"/>
              </w:rPr>
            </w:pPr>
          </w:p>
        </w:tc>
        <w:tc>
          <w:tcPr>
            <w:tcW w:w="126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28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2024</w:t>
            </w:r>
          </w:p>
        </w:tc>
        <w:tc>
          <w:tcPr>
            <w:tcW w:w="434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Notes, due October 2024</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499,851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499,473</w:t>
            </w:r>
          </w:p>
        </w:tc>
        <w:tc>
          <w:tcPr>
            <w:tcW w:w="0" w:type="dxa"/>
            <w:vAlign w:val="bottom"/>
          </w:tcPr>
          <w:p>
            <w:pPr>
              <w:spacing w:after="0"/>
              <w:rPr>
                <w:sz w:val="1"/>
                <w:szCs w:val="1"/>
                <w:color w:val="auto"/>
              </w:rPr>
            </w:pPr>
          </w:p>
        </w:tc>
      </w:tr>
      <w:tr>
        <w:trPr>
          <w:trHeight w:val="229"/>
        </w:trPr>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2025</w:t>
            </w:r>
          </w:p>
        </w:tc>
        <w:tc>
          <w:tcPr>
            <w:tcW w:w="4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Notes, due April 2025</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391,286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385,231</w:t>
            </w:r>
          </w:p>
        </w:tc>
        <w:tc>
          <w:tcPr>
            <w:tcW w:w="0" w:type="dxa"/>
            <w:vAlign w:val="bottom"/>
          </w:tcPr>
          <w:p>
            <w:pPr>
              <w:spacing w:after="0"/>
              <w:rPr>
                <w:sz w:val="1"/>
                <w:szCs w:val="1"/>
                <w:color w:val="auto"/>
              </w:rPr>
            </w:pPr>
          </w:p>
        </w:tc>
      </w:tr>
      <w:tr>
        <w:trPr>
          <w:trHeight w:val="230"/>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2026</w:t>
            </w:r>
          </w:p>
        </w:tc>
        <w:tc>
          <w:tcPr>
            <w:tcW w:w="4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Notes, due December 2026</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900,000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869,227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900,000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851,023</w:t>
            </w:r>
          </w:p>
        </w:tc>
        <w:tc>
          <w:tcPr>
            <w:tcW w:w="0" w:type="dxa"/>
            <w:vAlign w:val="bottom"/>
          </w:tcPr>
          <w:p>
            <w:pPr>
              <w:spacing w:after="0"/>
              <w:rPr>
                <w:sz w:val="1"/>
                <w:szCs w:val="1"/>
                <w:color w:val="auto"/>
              </w:rPr>
            </w:pPr>
          </w:p>
        </w:tc>
      </w:tr>
      <w:tr>
        <w:trPr>
          <w:trHeight w:val="229"/>
        </w:trPr>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2027</w:t>
            </w:r>
          </w:p>
        </w:tc>
        <w:tc>
          <w:tcPr>
            <w:tcW w:w="4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Notes, due June 2027</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440,212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420,964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440,212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408,595</w:t>
            </w:r>
          </w:p>
        </w:tc>
        <w:tc>
          <w:tcPr>
            <w:tcW w:w="0" w:type="dxa"/>
            <w:vAlign w:val="bottom"/>
          </w:tcPr>
          <w:p>
            <w:pPr>
              <w:spacing w:after="0"/>
              <w:rPr>
                <w:sz w:val="1"/>
                <w:szCs w:val="1"/>
                <w:color w:val="auto"/>
              </w:rPr>
            </w:pPr>
          </w:p>
        </w:tc>
      </w:tr>
      <w:tr>
        <w:trPr>
          <w:trHeight w:val="229"/>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2028</w:t>
            </w:r>
          </w:p>
        </w:tc>
        <w:tc>
          <w:tcPr>
            <w:tcW w:w="4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Notes, due October 2028</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656,300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628,999</w:t>
            </w:r>
          </w:p>
        </w:tc>
        <w:tc>
          <w:tcPr>
            <w:tcW w:w="0" w:type="dxa"/>
            <w:vAlign w:val="bottom"/>
          </w:tcPr>
          <w:p>
            <w:pPr>
              <w:spacing w:after="0"/>
              <w:rPr>
                <w:sz w:val="1"/>
                <w:szCs w:val="1"/>
                <w:color w:val="auto"/>
              </w:rPr>
            </w:pPr>
          </w:p>
        </w:tc>
      </w:tr>
      <w:tr>
        <w:trPr>
          <w:trHeight w:val="230"/>
        </w:trPr>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2031</w:t>
            </w:r>
          </w:p>
        </w:tc>
        <w:tc>
          <w:tcPr>
            <w:tcW w:w="4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Notes, due October 2031</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823,145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773,404</w:t>
            </w:r>
          </w:p>
        </w:tc>
        <w:tc>
          <w:tcPr>
            <w:tcW w:w="0" w:type="dxa"/>
            <w:vAlign w:val="bottom"/>
          </w:tcPr>
          <w:p>
            <w:pPr>
              <w:spacing w:after="0"/>
              <w:rPr>
                <w:sz w:val="1"/>
                <w:szCs w:val="1"/>
                <w:color w:val="auto"/>
              </w:rPr>
            </w:pPr>
          </w:p>
        </w:tc>
      </w:tr>
      <w:tr>
        <w:trPr>
          <w:trHeight w:val="229"/>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2032</w:t>
            </w:r>
          </w:p>
        </w:tc>
        <w:tc>
          <w:tcPr>
            <w:tcW w:w="4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Notes, due October 2032</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285,033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269,828</w:t>
            </w:r>
          </w:p>
        </w:tc>
        <w:tc>
          <w:tcPr>
            <w:tcW w:w="0" w:type="dxa"/>
            <w:vAlign w:val="bottom"/>
          </w:tcPr>
          <w:p>
            <w:pPr>
              <w:spacing w:after="0"/>
              <w:rPr>
                <w:sz w:val="1"/>
                <w:szCs w:val="1"/>
                <w:color w:val="auto"/>
              </w:rPr>
            </w:pPr>
          </w:p>
        </w:tc>
      </w:tr>
      <w:tr>
        <w:trPr>
          <w:trHeight w:val="230"/>
        </w:trPr>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2034</w:t>
            </w:r>
          </w:p>
        </w:tc>
        <w:tc>
          <w:tcPr>
            <w:tcW w:w="4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Notes, due April 2034</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550,000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550,399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2036</w:t>
            </w:r>
          </w:p>
        </w:tc>
        <w:tc>
          <w:tcPr>
            <w:tcW w:w="4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Notes, due December 2036</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144,278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128,119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144,278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118,554</w:t>
            </w:r>
          </w:p>
        </w:tc>
        <w:tc>
          <w:tcPr>
            <w:tcW w:w="0" w:type="dxa"/>
            <w:vAlign w:val="bottom"/>
          </w:tcPr>
          <w:p>
            <w:pPr>
              <w:spacing w:after="0"/>
              <w:rPr>
                <w:sz w:val="1"/>
                <w:szCs w:val="1"/>
                <w:color w:val="auto"/>
              </w:rPr>
            </w:pPr>
          </w:p>
        </w:tc>
      </w:tr>
      <w:tr>
        <w:trPr>
          <w:trHeight w:val="229"/>
        </w:trPr>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2041</w:t>
            </w:r>
          </w:p>
        </w:tc>
        <w:tc>
          <w:tcPr>
            <w:tcW w:w="4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Notes, due October 2041</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750,000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532,369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750,000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479,078</w:t>
            </w:r>
          </w:p>
        </w:tc>
        <w:tc>
          <w:tcPr>
            <w:tcW w:w="0" w:type="dxa"/>
            <w:vAlign w:val="bottom"/>
          </w:tcPr>
          <w:p>
            <w:pPr>
              <w:spacing w:after="0"/>
              <w:rPr>
                <w:sz w:val="1"/>
                <w:szCs w:val="1"/>
                <w:color w:val="auto"/>
              </w:rPr>
            </w:pPr>
          </w:p>
        </w:tc>
      </w:tr>
      <w:tr>
        <w:trPr>
          <w:trHeight w:val="230"/>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2045</w:t>
            </w:r>
          </w:p>
        </w:tc>
        <w:tc>
          <w:tcPr>
            <w:tcW w:w="4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Notes, due December 2045</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332,587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323,805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332,587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292,248</w:t>
            </w:r>
          </w:p>
        </w:tc>
        <w:tc>
          <w:tcPr>
            <w:tcW w:w="0" w:type="dxa"/>
            <w:vAlign w:val="bottom"/>
          </w:tcPr>
          <w:p>
            <w:pPr>
              <w:spacing w:after="0"/>
              <w:rPr>
                <w:sz w:val="1"/>
                <w:szCs w:val="1"/>
                <w:color w:val="auto"/>
              </w:rPr>
            </w:pPr>
          </w:p>
        </w:tc>
      </w:tr>
      <w:tr>
        <w:trPr>
          <w:trHeight w:val="229"/>
        </w:trPr>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2051</w:t>
            </w:r>
          </w:p>
        </w:tc>
        <w:tc>
          <w:tcPr>
            <w:tcW w:w="4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Notes, due October 2051</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658,194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590,666</w:t>
            </w:r>
          </w:p>
        </w:tc>
        <w:tc>
          <w:tcPr>
            <w:tcW w:w="0" w:type="dxa"/>
            <w:vAlign w:val="bottom"/>
          </w:tcPr>
          <w:p>
            <w:pPr>
              <w:spacing w:after="0"/>
              <w:rPr>
                <w:sz w:val="1"/>
                <w:szCs w:val="1"/>
                <w:color w:val="auto"/>
              </w:rPr>
            </w:pPr>
          </w:p>
        </w:tc>
      </w:tr>
      <w:tr>
        <w:trPr>
          <w:trHeight w:val="229"/>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2054</w:t>
            </w:r>
          </w:p>
        </w:tc>
        <w:tc>
          <w:tcPr>
            <w:tcW w:w="4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Notes, due April 2054</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550,000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537,865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senior unsecured notes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7,617,077</w:t>
            </w:r>
          </w:p>
        </w:tc>
        <w:tc>
          <w:tcPr>
            <w:tcW w:w="10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6,676,557</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6,517,077</w:t>
            </w:r>
          </w:p>
        </w:tc>
        <w:tc>
          <w:tcPr>
            <w:tcW w:w="1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5,297,099</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Derivatives</w:t>
      </w:r>
    </w:p>
    <w:p>
      <w:pPr>
        <w:spacing w:after="0" w:line="173" w:lineRule="exact"/>
        <w:rPr>
          <w:sz w:val="20"/>
          <w:szCs w:val="20"/>
          <w:color w:val="auto"/>
        </w:rPr>
      </w:pPr>
    </w:p>
    <w:p>
      <w:pPr>
        <w:ind w:right="180" w:firstLine="445"/>
        <w:spacing w:after="0" w:line="276" w:lineRule="auto"/>
        <w:rPr>
          <w:sz w:val="20"/>
          <w:szCs w:val="20"/>
          <w:color w:val="auto"/>
        </w:rPr>
      </w:pPr>
      <w:r>
        <w:rPr>
          <w:rFonts w:ascii="Times New Roman" w:cs="Times New Roman" w:eastAsia="Times New Roman" w:hAnsi="Times New Roman"/>
          <w:sz w:val="17"/>
          <w:szCs w:val="17"/>
          <w:i w:val="1"/>
          <w:iCs w:val="1"/>
          <w:color w:val="auto"/>
        </w:rPr>
        <w:t xml:space="preserve">Foreign Exchange Exposure Management </w:t>
      </w:r>
      <w:r>
        <w:rPr>
          <w:rFonts w:ascii="Times New Roman" w:cs="Times New Roman" w:eastAsia="Times New Roman" w:hAnsi="Times New Roman"/>
          <w:sz w:val="17"/>
          <w:szCs w:val="17"/>
          <w:color w:val="auto"/>
        </w:rPr>
        <w:t>— The total notional amounts of forward foreign currency derivative instruments designated as hedging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instruments of cash flow hedges denominated in Euros, British Pounds, Philippine Pesos, Thai Baht, South Korean Won and Japanese Yen as of May 4, 2024 and October 28, 2023 were $249.0 million and $322.6 million, respectively. The fair values of forward foreign currency derivative instruments designated as hedging instruments in the Company’s Condensed Consolidated Balance Sheets as of May 4, 2024 and October 28, 2023 were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8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980" w:type="dxa"/>
            <w:vAlign w:val="bottom"/>
            <w:gridSpan w:val="4"/>
          </w:tcPr>
          <w:p>
            <w:pPr>
              <w:jc w:val="right"/>
              <w:ind w:right="1136"/>
              <w:spacing w:after="0"/>
              <w:rPr>
                <w:sz w:val="20"/>
                <w:szCs w:val="20"/>
                <w:color w:val="auto"/>
              </w:rPr>
            </w:pPr>
            <w:r>
              <w:rPr>
                <w:rFonts w:ascii="Times New Roman" w:cs="Times New Roman" w:eastAsia="Times New Roman" w:hAnsi="Times New Roman"/>
                <w:sz w:val="14"/>
                <w:szCs w:val="14"/>
                <w:b w:val="1"/>
                <w:bCs w:val="1"/>
                <w:color w:val="auto"/>
              </w:rPr>
              <w:t>Fair Value At</w:t>
            </w:r>
          </w:p>
        </w:tc>
        <w:tc>
          <w:tcPr>
            <w:tcW w:w="0" w:type="dxa"/>
            <w:vAlign w:val="bottom"/>
          </w:tcPr>
          <w:p>
            <w:pPr>
              <w:spacing w:after="0"/>
              <w:rPr>
                <w:sz w:val="1"/>
                <w:szCs w:val="1"/>
                <w:color w:val="auto"/>
              </w:rPr>
            </w:pPr>
          </w:p>
        </w:tc>
      </w:tr>
      <w:tr>
        <w:trPr>
          <w:trHeight w:val="23"/>
        </w:trPr>
        <w:tc>
          <w:tcPr>
            <w:tcW w:w="4080" w:type="dxa"/>
            <w:vAlign w:val="bottom"/>
          </w:tcPr>
          <w:p>
            <w:pPr>
              <w:spacing w:after="0"/>
              <w:rPr>
                <w:sz w:val="2"/>
                <w:szCs w:val="2"/>
                <w:color w:val="auto"/>
              </w:rPr>
            </w:pPr>
          </w:p>
        </w:tc>
        <w:tc>
          <w:tcPr>
            <w:tcW w:w="3860" w:type="dxa"/>
            <w:vAlign w:val="bottom"/>
            <w:gridSpan w:val="2"/>
            <w:vMerge w:val="restart"/>
          </w:tcPr>
          <w:p>
            <w:pPr>
              <w:ind w:left="116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2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080" w:type="dxa"/>
            <w:vAlign w:val="bottom"/>
          </w:tcPr>
          <w:p>
            <w:pPr>
              <w:spacing w:after="0"/>
              <w:rPr>
                <w:sz w:val="16"/>
                <w:szCs w:val="16"/>
                <w:color w:val="auto"/>
              </w:rPr>
            </w:pPr>
          </w:p>
        </w:tc>
        <w:tc>
          <w:tcPr>
            <w:tcW w:w="386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4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May 4, 2024</w:t>
            </w:r>
          </w:p>
        </w:tc>
        <w:tc>
          <w:tcPr>
            <w:tcW w:w="200" w:type="dxa"/>
            <w:vAlign w:val="bottom"/>
          </w:tcPr>
          <w:p>
            <w:pPr>
              <w:spacing w:after="0"/>
              <w:rPr>
                <w:sz w:val="16"/>
                <w:szCs w:val="16"/>
                <w:color w:val="auto"/>
              </w:rPr>
            </w:pPr>
          </w:p>
        </w:tc>
        <w:tc>
          <w:tcPr>
            <w:tcW w:w="1380" w:type="dxa"/>
            <w:vAlign w:val="bottom"/>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October 28, 2023</w:t>
            </w:r>
          </w:p>
        </w:tc>
        <w:tc>
          <w:tcPr>
            <w:tcW w:w="0" w:type="dxa"/>
            <w:vAlign w:val="bottom"/>
          </w:tcPr>
          <w:p>
            <w:pPr>
              <w:spacing w:after="0"/>
              <w:rPr>
                <w:sz w:val="1"/>
                <w:szCs w:val="1"/>
                <w:color w:val="auto"/>
              </w:rPr>
            </w:pPr>
          </w:p>
        </w:tc>
      </w:tr>
      <w:tr>
        <w:trPr>
          <w:trHeight w:val="229"/>
        </w:trPr>
        <w:tc>
          <w:tcPr>
            <w:tcW w:w="4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Forward foreign currency exchange contracts</w:t>
            </w:r>
          </w:p>
        </w:tc>
        <w:tc>
          <w:tcPr>
            <w:tcW w:w="37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0" w:type="dxa"/>
            <w:vAlign w:val="bottom"/>
          </w:tcPr>
          <w:p>
            <w:pPr>
              <w:spacing w:after="0"/>
              <w:rPr>
                <w:sz w:val="1"/>
                <w:szCs w:val="1"/>
                <w:color w:val="auto"/>
              </w:rPr>
            </w:pPr>
          </w:p>
        </w:tc>
      </w:tr>
      <w:tr>
        <w:trPr>
          <w:trHeight w:val="234"/>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Forward foreign currency exchange contracts</w:t>
            </w:r>
          </w:p>
        </w:tc>
        <w:tc>
          <w:tcPr>
            <w:tcW w:w="3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Accrued liabilities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5,498</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9,897</w:t>
            </w:r>
          </w:p>
        </w:tc>
        <w:tc>
          <w:tcPr>
            <w:tcW w:w="0" w:type="dxa"/>
            <w:vAlign w:val="bottom"/>
          </w:tcPr>
          <w:p>
            <w:pPr>
              <w:spacing w:after="0"/>
              <w:rPr>
                <w:sz w:val="1"/>
                <w:szCs w:val="1"/>
                <w:color w:val="auto"/>
              </w:rPr>
            </w:pPr>
          </w:p>
        </w:tc>
      </w:tr>
    </w:tbl>
    <w:p>
      <w:pPr>
        <w:spacing w:after="0" w:line="220" w:lineRule="exact"/>
        <w:rPr>
          <w:sz w:val="20"/>
          <w:szCs w:val="20"/>
          <w:color w:val="auto"/>
        </w:rPr>
      </w:pPr>
    </w:p>
    <w:p>
      <w:pPr>
        <w:ind w:firstLine="445"/>
        <w:spacing w:after="0" w:line="263" w:lineRule="auto"/>
        <w:rPr>
          <w:sz w:val="20"/>
          <w:szCs w:val="20"/>
          <w:color w:val="auto"/>
        </w:rPr>
      </w:pPr>
      <w:r>
        <w:rPr>
          <w:rFonts w:ascii="Times New Roman" w:cs="Times New Roman" w:eastAsia="Times New Roman" w:hAnsi="Times New Roman"/>
          <w:sz w:val="18"/>
          <w:szCs w:val="18"/>
          <w:color w:val="auto"/>
        </w:rPr>
        <w:t>As of May 4, 2024 and October 28, 2023, the total notional amounts of undesignated hedges related to forward foreign currency exchange contracts were $242.2 million and $334.7 million, respectively. The fair values of undesignated hedges in the Company’s Condensed Consolidated Balance Sheets as of May 4, 2024 and October 28, 2023 were as follows: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8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980" w:type="dxa"/>
            <w:vAlign w:val="bottom"/>
            <w:gridSpan w:val="4"/>
          </w:tcPr>
          <w:p>
            <w:pPr>
              <w:jc w:val="right"/>
              <w:ind w:right="1136"/>
              <w:spacing w:after="0"/>
              <w:rPr>
                <w:sz w:val="20"/>
                <w:szCs w:val="20"/>
                <w:color w:val="auto"/>
              </w:rPr>
            </w:pPr>
            <w:r>
              <w:rPr>
                <w:rFonts w:ascii="Times New Roman" w:cs="Times New Roman" w:eastAsia="Times New Roman" w:hAnsi="Times New Roman"/>
                <w:sz w:val="14"/>
                <w:szCs w:val="14"/>
                <w:b w:val="1"/>
                <w:bCs w:val="1"/>
                <w:color w:val="auto"/>
              </w:rPr>
              <w:t>Fair Value At</w:t>
            </w:r>
          </w:p>
        </w:tc>
        <w:tc>
          <w:tcPr>
            <w:tcW w:w="0" w:type="dxa"/>
            <w:vAlign w:val="bottom"/>
          </w:tcPr>
          <w:p>
            <w:pPr>
              <w:spacing w:after="0"/>
              <w:rPr>
                <w:sz w:val="1"/>
                <w:szCs w:val="1"/>
                <w:color w:val="auto"/>
              </w:rPr>
            </w:pPr>
          </w:p>
        </w:tc>
      </w:tr>
      <w:tr>
        <w:trPr>
          <w:trHeight w:val="23"/>
        </w:trPr>
        <w:tc>
          <w:tcPr>
            <w:tcW w:w="4080" w:type="dxa"/>
            <w:vAlign w:val="bottom"/>
          </w:tcPr>
          <w:p>
            <w:pPr>
              <w:spacing w:after="0"/>
              <w:rPr>
                <w:sz w:val="2"/>
                <w:szCs w:val="2"/>
                <w:color w:val="auto"/>
              </w:rPr>
            </w:pPr>
          </w:p>
        </w:tc>
        <w:tc>
          <w:tcPr>
            <w:tcW w:w="3860" w:type="dxa"/>
            <w:vAlign w:val="bottom"/>
            <w:gridSpan w:val="2"/>
            <w:vMerge w:val="restart"/>
          </w:tcPr>
          <w:p>
            <w:pPr>
              <w:ind w:left="116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2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080" w:type="dxa"/>
            <w:vAlign w:val="bottom"/>
          </w:tcPr>
          <w:p>
            <w:pPr>
              <w:spacing w:after="0"/>
              <w:rPr>
                <w:sz w:val="16"/>
                <w:szCs w:val="16"/>
                <w:color w:val="auto"/>
              </w:rPr>
            </w:pPr>
          </w:p>
        </w:tc>
        <w:tc>
          <w:tcPr>
            <w:tcW w:w="386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4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May 4, 2024</w:t>
            </w:r>
          </w:p>
        </w:tc>
        <w:tc>
          <w:tcPr>
            <w:tcW w:w="200" w:type="dxa"/>
            <w:vAlign w:val="bottom"/>
          </w:tcPr>
          <w:p>
            <w:pPr>
              <w:spacing w:after="0"/>
              <w:rPr>
                <w:sz w:val="16"/>
                <w:szCs w:val="16"/>
                <w:color w:val="auto"/>
              </w:rPr>
            </w:pPr>
          </w:p>
        </w:tc>
        <w:tc>
          <w:tcPr>
            <w:tcW w:w="1380" w:type="dxa"/>
            <w:vAlign w:val="bottom"/>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October 28, 2023</w:t>
            </w:r>
          </w:p>
        </w:tc>
        <w:tc>
          <w:tcPr>
            <w:tcW w:w="0" w:type="dxa"/>
            <w:vAlign w:val="bottom"/>
          </w:tcPr>
          <w:p>
            <w:pPr>
              <w:spacing w:after="0"/>
              <w:rPr>
                <w:sz w:val="1"/>
                <w:szCs w:val="1"/>
                <w:color w:val="auto"/>
              </w:rPr>
            </w:pPr>
          </w:p>
        </w:tc>
      </w:tr>
      <w:tr>
        <w:trPr>
          <w:trHeight w:val="170"/>
        </w:trPr>
        <w:tc>
          <w:tcPr>
            <w:tcW w:w="4080" w:type="dxa"/>
            <w:vAlign w:val="bottom"/>
            <w:tcBorders>
              <w:top w:val="single" w:sz="8" w:color="CCEEFF"/>
            </w:tcBorders>
            <w:shd w:val="clear" w:color="auto" w:fill="CCEEFF"/>
          </w:tcPr>
          <w:p>
            <w:pPr>
              <w:ind w:left="20"/>
              <w:spacing w:after="0" w:line="170" w:lineRule="exact"/>
              <w:rPr>
                <w:sz w:val="20"/>
                <w:szCs w:val="20"/>
                <w:color w:val="auto"/>
              </w:rPr>
            </w:pPr>
            <w:r>
              <w:rPr>
                <w:rFonts w:ascii="Times New Roman" w:cs="Times New Roman" w:eastAsia="Times New Roman" w:hAnsi="Times New Roman"/>
                <w:sz w:val="18"/>
                <w:szCs w:val="18"/>
                <w:color w:val="auto"/>
              </w:rPr>
              <w:t>Undesignated hedges related to forward foreign</w:t>
            </w:r>
          </w:p>
        </w:tc>
        <w:tc>
          <w:tcPr>
            <w:tcW w:w="37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13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138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currency exchange contracts</w:t>
            </w:r>
          </w:p>
        </w:tc>
        <w:tc>
          <w:tcPr>
            <w:tcW w:w="3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1,294</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1,469</w:t>
            </w:r>
          </w:p>
        </w:tc>
        <w:tc>
          <w:tcPr>
            <w:tcW w:w="0" w:type="dxa"/>
            <w:vAlign w:val="bottom"/>
          </w:tcPr>
          <w:p>
            <w:pPr>
              <w:spacing w:after="0"/>
              <w:rPr>
                <w:sz w:val="1"/>
                <w:szCs w:val="1"/>
                <w:color w:val="auto"/>
              </w:rPr>
            </w:pPr>
          </w:p>
        </w:tc>
      </w:tr>
      <w:tr>
        <w:trPr>
          <w:trHeight w:val="184"/>
        </w:trPr>
        <w:tc>
          <w:tcPr>
            <w:tcW w:w="408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Undesignated hedges related to forward foreign</w:t>
            </w:r>
          </w:p>
        </w:tc>
        <w:tc>
          <w:tcPr>
            <w:tcW w:w="3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currency exchange contracts</w:t>
            </w:r>
          </w:p>
        </w:tc>
        <w:tc>
          <w:tcPr>
            <w:tcW w:w="3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Accrued liabilities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3,246</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3,618</w:t>
            </w:r>
          </w:p>
        </w:tc>
        <w:tc>
          <w:tcPr>
            <w:tcW w:w="0" w:type="dxa"/>
            <w:vAlign w:val="bottom"/>
          </w:tcPr>
          <w:p>
            <w:pPr>
              <w:spacing w:after="0"/>
              <w:rPr>
                <w:sz w:val="1"/>
                <w:szCs w:val="1"/>
                <w:color w:val="auto"/>
              </w:rPr>
            </w:pPr>
          </w:p>
        </w:tc>
      </w:tr>
    </w:tbl>
    <w:p>
      <w:pPr>
        <w:spacing w:after="0" w:line="196" w:lineRule="exact"/>
        <w:rPr>
          <w:sz w:val="20"/>
          <w:szCs w:val="20"/>
          <w:color w:val="auto"/>
        </w:rPr>
      </w:pPr>
    </w:p>
    <w:p>
      <w:pPr>
        <w:ind w:right="160" w:firstLine="445"/>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Interest Rate Exposure Management </w:t>
      </w:r>
      <w:r>
        <w:rPr>
          <w:rFonts w:ascii="Times New Roman" w:cs="Times New Roman" w:eastAsia="Times New Roman" w:hAnsi="Times New Roman"/>
          <w:sz w:val="18"/>
          <w:szCs w:val="18"/>
          <w:color w:val="auto"/>
        </w:rPr>
        <w:t>— The Company does not consider the risk of counterparty default to be significant. The gain or loss 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Company's interest rate swap transactions attributable to the hedged benchmark interest rate risk and the offsetting gain or loss on the related interest rate swaps were recorded as follows:</w:t>
      </w:r>
    </w:p>
    <w:p>
      <w:pPr>
        <w:spacing w:after="0" w:line="200" w:lineRule="exact"/>
        <w:rPr>
          <w:sz w:val="20"/>
          <w:szCs w:val="20"/>
          <w:color w:val="auto"/>
        </w:rPr>
      </w:pPr>
    </w:p>
    <w:p>
      <w:pPr>
        <w:spacing w:after="0" w:line="3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12" w:right="37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90"/>
        </w:trPr>
        <w:tc>
          <w:tcPr>
            <w:tcW w:w="7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May 4, 2024</w:t>
            </w:r>
          </w:p>
        </w:tc>
        <w:tc>
          <w:tcPr>
            <w:tcW w:w="1220" w:type="dxa"/>
            <w:vAlign w:val="bottom"/>
          </w:tcPr>
          <w:p>
            <w:pPr>
              <w:spacing w:after="0"/>
              <w:rPr>
                <w:sz w:val="16"/>
                <w:szCs w:val="16"/>
                <w:color w:val="auto"/>
              </w:rPr>
            </w:pPr>
          </w:p>
        </w:tc>
      </w:tr>
      <w:tr>
        <w:trPr>
          <w:trHeight w:val="23"/>
        </w:trPr>
        <w:tc>
          <w:tcPr>
            <w:tcW w:w="79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96"/>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22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b w:val="1"/>
                <w:bCs w:val="1"/>
                <w:color w:val="auto"/>
              </w:rPr>
              <w:t>Loss on Swaps</w:t>
            </w:r>
          </w:p>
        </w:tc>
        <w:tc>
          <w:tcPr>
            <w:tcW w:w="34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Gain on Note</w:t>
            </w:r>
          </w:p>
        </w:tc>
      </w:tr>
      <w:tr>
        <w:trPr>
          <w:trHeight w:val="223"/>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liabilities</w:t>
            </w: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60,408</w:t>
            </w:r>
          </w:p>
        </w:tc>
        <w:tc>
          <w:tcPr>
            <w:tcW w:w="140" w:type="dxa"/>
            <w:vAlign w:val="bottom"/>
          </w:tcPr>
          <w:p>
            <w:pPr>
              <w:spacing w:after="0"/>
              <w:rPr>
                <w:sz w:val="19"/>
                <w:szCs w:val="19"/>
                <w:color w:val="auto"/>
              </w:rPr>
            </w:pPr>
          </w:p>
        </w:tc>
        <w:tc>
          <w:tcPr>
            <w:tcW w:w="34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60,408</w:t>
            </w:r>
          </w:p>
        </w:tc>
      </w:tr>
    </w:tbl>
    <w:p>
      <w:pPr>
        <w:spacing w:after="0" w:line="238" w:lineRule="exact"/>
        <w:rPr>
          <w:sz w:val="20"/>
          <w:szCs w:val="20"/>
          <w:color w:val="auto"/>
        </w:rPr>
      </w:pPr>
    </w:p>
    <w:p>
      <w:pPr>
        <w:ind w:right="280" w:firstLine="445"/>
        <w:spacing w:after="0" w:line="266" w:lineRule="auto"/>
        <w:rPr>
          <w:sz w:val="20"/>
          <w:szCs w:val="20"/>
          <w:color w:val="auto"/>
        </w:rPr>
      </w:pPr>
      <w:r>
        <w:rPr>
          <w:rFonts w:ascii="Times New Roman" w:cs="Times New Roman" w:eastAsia="Times New Roman" w:hAnsi="Times New Roman"/>
          <w:sz w:val="18"/>
          <w:szCs w:val="18"/>
          <w:color w:val="auto"/>
        </w:rPr>
        <w:t xml:space="preserve">For information on the unrealized holding gains (losses) on derivatives included in and reclassified out of AOCI into the Condensed Consolidated Statements of Income related to forward foreign currency exchange contracts, see Note 3, </w:t>
      </w:r>
      <w:r>
        <w:rPr>
          <w:rFonts w:ascii="Times New Roman" w:cs="Times New Roman" w:eastAsia="Times New Roman" w:hAnsi="Times New Roman"/>
          <w:sz w:val="18"/>
          <w:szCs w:val="18"/>
          <w:i w:val="1"/>
          <w:iCs w:val="1"/>
          <w:color w:val="auto"/>
        </w:rPr>
        <w:t>Accumulated Other Comprehensive (Loss) Income,</w:t>
      </w:r>
      <w:r>
        <w:rPr>
          <w:rFonts w:ascii="Times New Roman" w:cs="Times New Roman" w:eastAsia="Times New Roman" w:hAnsi="Times New Roman"/>
          <w:sz w:val="18"/>
          <w:szCs w:val="18"/>
          <w:color w:val="auto"/>
        </w:rPr>
        <w:t xml:space="preserve"> in these Notes to Condensed Consolidated Financial Statements for further information.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Inventories</w:t>
      </w:r>
    </w:p>
    <w:p>
      <w:pPr>
        <w:spacing w:after="0" w:line="17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Inventories at May 4, 2024 and October 28, 2023 were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4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May 4, 2024</w:t>
            </w:r>
          </w:p>
        </w:tc>
        <w:tc>
          <w:tcPr>
            <w:tcW w:w="260" w:type="dxa"/>
            <w:vAlign w:val="bottom"/>
          </w:tcPr>
          <w:p>
            <w:pPr>
              <w:spacing w:after="0"/>
              <w:rPr>
                <w:sz w:val="16"/>
                <w:szCs w:val="16"/>
                <w:color w:val="auto"/>
              </w:rPr>
            </w:pPr>
          </w:p>
        </w:tc>
        <w:tc>
          <w:tcPr>
            <w:tcW w:w="1600" w:type="dxa"/>
            <w:vAlign w:val="bottom"/>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October 28, 2023</w:t>
            </w:r>
          </w:p>
        </w:tc>
      </w:tr>
      <w:tr>
        <w:trPr>
          <w:trHeight w:val="23"/>
        </w:trPr>
        <w:tc>
          <w:tcPr>
            <w:tcW w:w="73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23"/>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115,509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128,142</w:t>
            </w:r>
          </w:p>
        </w:tc>
      </w:tr>
      <w:tr>
        <w:trPr>
          <w:trHeight w:val="229"/>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3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1,060,237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1,125,819</w:t>
            </w:r>
          </w:p>
        </w:tc>
      </w:tr>
      <w:tr>
        <w:trPr>
          <w:trHeight w:val="229"/>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3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303,335</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388,253</w:t>
            </w:r>
          </w:p>
        </w:tc>
      </w:tr>
      <w:tr>
        <w:trPr>
          <w:trHeight w:val="223"/>
        </w:trPr>
        <w:tc>
          <w:tcPr>
            <w:tcW w:w="7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inventories</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1,479,081</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1,642,214</w:t>
            </w:r>
          </w:p>
        </w:tc>
      </w:tr>
      <w:tr>
        <w:trPr>
          <w:trHeight w:val="21"/>
        </w:trPr>
        <w:tc>
          <w:tcPr>
            <w:tcW w:w="73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Debt</w:t>
      </w:r>
    </w:p>
    <w:p>
      <w:pPr>
        <w:spacing w:after="0" w:line="17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Senior Notes Offering. </w:t>
      </w:r>
      <w:r>
        <w:rPr>
          <w:rFonts w:ascii="Times New Roman" w:cs="Times New Roman" w:eastAsia="Times New Roman" w:hAnsi="Times New Roman"/>
          <w:sz w:val="18"/>
          <w:szCs w:val="18"/>
          <w:color w:val="auto"/>
        </w:rPr>
        <w:t>On April 3, 2024, in an underwritten public offering, the Company issued $550.0 million aggregate principal amount of</w:t>
      </w:r>
    </w:p>
    <w:p>
      <w:pPr>
        <w:spacing w:after="0" w:line="31"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8"/>
          <w:szCs w:val="18"/>
          <w:color w:val="auto"/>
        </w:rPr>
        <w:t>5.050% senior notes due April 1, 2034 (the 2034 Notes) with semi-annual fixed interest payments due on April 1 and October 1 of each year, commencing October 1, 2024. The net proceeds of the offering were $545.5 million, after discounts and issuance costs. Prior to January 1, 2034 (three months prior to the maturity date of the 2034 Notes), the Company may, at its option, redeem the 2034 Notes, in whole or in part, at any time and from time to time, at a redemption price equal to the greater of: (1) (a) the sum of the present values of the remaining scheduled payments of principal and interest thereon discounted to the redemption date (assuming the 2034 Notes matured on January 1, 2034) on a semi-annual basis at the applicable treasury rate plus 15 basis points less (b) interest accrued to the date of redemption, and (2) 100% of the principal amount of the 2034 Notes to be redeemed, plus, in either case, accrued and unpaid interest thereon to the redemption date. On or after January 1, 2034, the Company may, at its option, redeem the 2034 Notes, in whole or in part, at any time and from time to time, at a redemption price equal to 100% of the principal amount of the 2034 Notes being redeemed plus accrued and unpaid interest thereon to the redemption date. The 2034 Notes are unsecured and rank equally in right of payment with all of the Company’s other existing and future unsecured senior indebtedness.</w:t>
      </w:r>
    </w:p>
    <w:p>
      <w:pPr>
        <w:spacing w:after="0" w:line="139" w:lineRule="exact"/>
        <w:rPr>
          <w:sz w:val="20"/>
          <w:szCs w:val="20"/>
          <w:color w:val="auto"/>
        </w:rPr>
      </w:pPr>
    </w:p>
    <w:p>
      <w:pPr>
        <w:ind w:right="60" w:firstLine="445"/>
        <w:spacing w:after="0" w:line="253" w:lineRule="auto"/>
        <w:rPr>
          <w:sz w:val="20"/>
          <w:szCs w:val="20"/>
          <w:color w:val="auto"/>
        </w:rPr>
      </w:pPr>
      <w:r>
        <w:rPr>
          <w:rFonts w:ascii="Times New Roman" w:cs="Times New Roman" w:eastAsia="Times New Roman" w:hAnsi="Times New Roman"/>
          <w:sz w:val="18"/>
          <w:szCs w:val="18"/>
          <w:color w:val="auto"/>
        </w:rPr>
        <w:t>On April 3, 2024, in an underwritten public offering, the Company issued $550.0 million aggregate principal amount of 5.300% senior notes due April 1, 2054 (the 2054 Notes) with semi-annual fixed interest payments due on April 1 and October 1 of each year, commencing October 1, 2024. The net proceeds of the offering were $542.3 million, after discounts and issuance costs. Prior to October 1, 2053 (six months prior to the maturity date of the 2054 Notes), the Company may, at its option, redeem the 2054 Notes, in whole or in part, at any time and from time to time, at a redemption price equal to the greater of: (1) (a) the sum of the present values of the remaining scheduled payments of principal and interest thereon discounted to the redemption date (assuming the 2054 Notes matured on October 1, 2053) on a semi-annual basis at the applicable treasury rate plus 15 basis points less (b) interest accrued to the date of redemption, and (2) 100% of the principal amount of the 2054 Notes to be redeemed, plus, in either case, accrued and unpaid interest thereon to the redemption date. On or after October 1, 2053, the Company may, at its option, redeem the 2054 Notes, in whole or in part, at any time and from time to time, at a redemption price equal to 100% of the principal amount of the 2054 Notes being redeemed plus accrued and unpaid interest thereon to the redemption date. The 2054 Notes are unsecured and rank equally in right of payment with all of the Company’s other existing and future unsecured senior indebtedness.</w:t>
      </w:r>
    </w:p>
    <w:p>
      <w:pPr>
        <w:spacing w:after="0" w:line="138" w:lineRule="exact"/>
        <w:rPr>
          <w:sz w:val="20"/>
          <w:szCs w:val="20"/>
          <w:color w:val="auto"/>
        </w:rPr>
      </w:pPr>
    </w:p>
    <w:p>
      <w:pPr>
        <w:ind w:right="200" w:firstLine="445"/>
        <w:spacing w:after="0" w:line="277" w:lineRule="auto"/>
        <w:rPr>
          <w:sz w:val="20"/>
          <w:szCs w:val="20"/>
          <w:color w:val="auto"/>
        </w:rPr>
      </w:pPr>
      <w:r>
        <w:rPr>
          <w:rFonts w:ascii="Times New Roman" w:cs="Times New Roman" w:eastAsia="Times New Roman" w:hAnsi="Times New Roman"/>
          <w:sz w:val="17"/>
          <w:szCs w:val="17"/>
          <w:color w:val="auto"/>
        </w:rPr>
        <w:t>The 2034 Notes and the 2054 Notes were issued pursuant to a base indenture between the Company and The Bank of New York Mellon Trust Company, N.A., as trustee, as supplemented by a supplemental indenture, which contains certain covenants, events of default and other customary provisions. The covenants applicable to the 2034 Notes and the 2054 Notes limit the Company’s ability to incur, create, assume or guarantee any debt secured by a lien upon a principal property; enter into sale and lease-back transactions with respect to a principal property; and consolidate with or merge into, or transfer or lease all or substantially all of its assets to, any other party. As of May 4, 2024, the Company was in compliance with these covenants.</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6"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Note 12 – Income Taxes</w:t>
      </w:r>
    </w:p>
    <w:p>
      <w:pPr>
        <w:spacing w:after="0" w:line="108" w:lineRule="exact"/>
        <w:rPr>
          <w:sz w:val="20"/>
          <w:szCs w:val="20"/>
          <w:color w:val="auto"/>
        </w:rPr>
      </w:pPr>
    </w:p>
    <w:p>
      <w:pPr>
        <w:ind w:right="20" w:firstLine="445"/>
        <w:spacing w:after="0" w:line="258" w:lineRule="auto"/>
        <w:rPr>
          <w:sz w:val="20"/>
          <w:szCs w:val="20"/>
          <w:color w:val="auto"/>
        </w:rPr>
      </w:pPr>
      <w:r>
        <w:rPr>
          <w:rFonts w:ascii="Times New Roman" w:cs="Times New Roman" w:eastAsia="Times New Roman" w:hAnsi="Times New Roman"/>
          <w:sz w:val="18"/>
          <w:szCs w:val="18"/>
          <w:color w:val="auto"/>
        </w:rPr>
        <w:t>The Company’s effective tax rates for the three- and six-month periods ended May 4, 2024 and April 29, 2023 were below the U.S. statutory tax rate of 21.0%, due to lower statutory tax rates applicable to the Company's operations in the foreign jurisdictions in which it earns income. The Company's effective tax rate also includes the effects of the mandatory capitalization and amortization of research and development expenses which began in fiscal 2023 under the Tax Cuts and Jobs Act of 2017. The mandatory capitalization requirement decreases the Company's effective tax rate primarily by increasing the foreign-derived intangible income deduction.</w:t>
      </w:r>
    </w:p>
    <w:p>
      <w:pPr>
        <w:spacing w:after="0" w:line="62" w:lineRule="exact"/>
        <w:rPr>
          <w:sz w:val="20"/>
          <w:szCs w:val="20"/>
          <w:color w:val="auto"/>
        </w:rPr>
      </w:pPr>
    </w:p>
    <w:p>
      <w:pPr>
        <w:ind w:right="380" w:firstLine="445"/>
        <w:spacing w:after="0" w:line="282" w:lineRule="auto"/>
        <w:rPr>
          <w:sz w:val="20"/>
          <w:szCs w:val="20"/>
          <w:color w:val="auto"/>
        </w:rPr>
      </w:pPr>
      <w:r>
        <w:rPr>
          <w:rFonts w:ascii="Times New Roman" w:cs="Times New Roman" w:eastAsia="Times New Roman" w:hAnsi="Times New Roman"/>
          <w:sz w:val="18"/>
          <w:szCs w:val="18"/>
          <w:color w:val="auto"/>
        </w:rPr>
        <w:t>It is reasonably possible that the balance of gross unrealized tax benefits, including accrued interest and penalties, could decrease by as much as approximately $139.0 million within the next twelve months due to the completion of tax audits, including any administrative appeals.</w:t>
      </w:r>
    </w:p>
    <w:p>
      <w:pPr>
        <w:spacing w:after="0" w:line="27" w:lineRule="exact"/>
        <w:rPr>
          <w:sz w:val="20"/>
          <w:szCs w:val="20"/>
          <w:color w:val="auto"/>
        </w:rPr>
      </w:pPr>
    </w:p>
    <w:p>
      <w:pPr>
        <w:ind w:right="40" w:firstLine="445"/>
        <w:spacing w:after="0" w:line="258" w:lineRule="auto"/>
        <w:rPr>
          <w:sz w:val="20"/>
          <w:szCs w:val="20"/>
          <w:color w:val="auto"/>
        </w:rPr>
      </w:pPr>
      <w:r>
        <w:rPr>
          <w:rFonts w:ascii="Times New Roman" w:cs="Times New Roman" w:eastAsia="Times New Roman" w:hAnsi="Times New Roman"/>
          <w:sz w:val="18"/>
          <w:szCs w:val="18"/>
          <w:color w:val="auto"/>
        </w:rPr>
        <w:t>The Company has numerous audits ongoing throughout the world including: an IRS income tax audit for the fiscal years ended October 30, 2021, November 2, 2019 and November 3, 2018; a pre-acquisition IRS income tax audit for Maxim's fiscal years ended June 27, 2015 through August 26, 2021; and various U.S. state and local audits and international audits, including an Irish corporate tax audit for the fiscal year ended November 2, 2019. The Company's U.S. federal income tax returns prior to the fiscal year ended November 3, 2018 are no longer subject to examination, except for the applicable Maxim pre-acquisition fiscal years noted above.</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New Accounting Pronouncements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Standards Implemented</w:t>
      </w:r>
    </w:p>
    <w:p>
      <w:pPr>
        <w:spacing w:after="0" w:line="10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Acquired Contract Assets and Contract Liabilities</w:t>
      </w:r>
    </w:p>
    <w:p>
      <w:pPr>
        <w:spacing w:after="0" w:line="104" w:lineRule="exact"/>
        <w:rPr>
          <w:sz w:val="20"/>
          <w:szCs w:val="20"/>
          <w:color w:val="auto"/>
        </w:rPr>
      </w:pPr>
    </w:p>
    <w:p>
      <w:pPr>
        <w:ind w:firstLine="445"/>
        <w:spacing w:after="0" w:line="256" w:lineRule="auto"/>
        <w:rPr>
          <w:sz w:val="20"/>
          <w:szCs w:val="20"/>
          <w:color w:val="auto"/>
        </w:rPr>
      </w:pPr>
      <w:r>
        <w:rPr>
          <w:rFonts w:ascii="Times New Roman" w:cs="Times New Roman" w:eastAsia="Times New Roman" w:hAnsi="Times New Roman"/>
          <w:sz w:val="18"/>
          <w:szCs w:val="18"/>
          <w:color w:val="auto"/>
        </w:rPr>
        <w:t xml:space="preserve">In October 2021, the Financial Accounting Standards Board (FASB) issued Accounting Standards Update (ASU) 2021-08,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(Topic 805): Accounting for Acquired Contract Assets and Contract Liabilities</w:t>
      </w:r>
      <w:r>
        <w:rPr>
          <w:rFonts w:ascii="Times New Roman" w:cs="Times New Roman" w:eastAsia="Times New Roman" w:hAnsi="Times New Roman"/>
          <w:sz w:val="18"/>
          <w:szCs w:val="18"/>
          <w:color w:val="auto"/>
        </w:rPr>
        <w:t>. Under this guidance (ASC 805-20-30-28), the acquirer should determine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what contract assets and/or contract liabilities it would have recorded under ASC 606 (the revenue guidance) as of the acquisition date, as if the acquirer had entered into the original contract at the same date and on the same terms as the acquiree. The recognition and measurement of those contract assets and contract liabilities will likely be comparable to what the acquiree has recorded on its books under ASC 606 as of the acquisition date. ASU 2021-08 is effective for fiscal years beginning after December 15, 2022, including interim periods within those fiscal years. The Company adopted ASU 2021-08 in the first quarter of fiscal 2024. Upon adoption, ASU 2021-08 did not have a material impact on the Company's financial position and results of operations.</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Standards to be Implemented</w:t>
      </w:r>
    </w:p>
    <w:p>
      <w:pPr>
        <w:spacing w:after="0" w:line="10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Segment Reporting</w:t>
      </w:r>
    </w:p>
    <w:p>
      <w:pPr>
        <w:spacing w:after="0" w:line="104" w:lineRule="exact"/>
        <w:rPr>
          <w:sz w:val="20"/>
          <w:szCs w:val="20"/>
          <w:color w:val="auto"/>
        </w:rPr>
      </w:pPr>
    </w:p>
    <w:p>
      <w:pPr>
        <w:ind w:firstLine="445"/>
        <w:spacing w:after="0" w:line="258" w:lineRule="auto"/>
        <w:rPr>
          <w:sz w:val="20"/>
          <w:szCs w:val="20"/>
          <w:color w:val="auto"/>
        </w:rPr>
      </w:pPr>
      <w:r>
        <w:rPr>
          <w:rFonts w:ascii="Times New Roman" w:cs="Times New Roman" w:eastAsia="Times New Roman" w:hAnsi="Times New Roman"/>
          <w:sz w:val="18"/>
          <w:szCs w:val="18"/>
          <w:color w:val="auto"/>
        </w:rPr>
        <w:t xml:space="preserve">In November 2023, the FASB issued ASU 2023-07, </w:t>
      </w:r>
      <w:r>
        <w:rPr>
          <w:rFonts w:ascii="Times New Roman" w:cs="Times New Roman" w:eastAsia="Times New Roman" w:hAnsi="Times New Roman"/>
          <w:sz w:val="18"/>
          <w:szCs w:val="18"/>
          <w:i w:val="1"/>
          <w:iCs w:val="1"/>
          <w:color w:val="auto"/>
        </w:rPr>
        <w:t>Segment Reporting (Topic 280): Improvements to Reportable Segment Disclosures</w:t>
      </w:r>
      <w:r>
        <w:rPr>
          <w:rFonts w:ascii="Times New Roman" w:cs="Times New Roman" w:eastAsia="Times New Roman" w:hAnsi="Times New Roman"/>
          <w:sz w:val="18"/>
          <w:szCs w:val="18"/>
          <w:color w:val="auto"/>
        </w:rPr>
        <w:t>, which enhances the disclosure requirements for reportable segments. ASU 2023-07 requires segment disclosure to include significant segment expense categories and amounts, and qualitative detail of other segment items. Disclosure of multiple measures of segment profit and loss may also be reported. ASU 2023-07 is effective for fiscal years beginning after December 15, 2023, and interim periods within fiscal years beginning after December 15, 2024, with early adoption permitted. The Company is currently evaluating the impact, if any, adoption will have on its financial position and results of operations.</w:t>
      </w:r>
    </w:p>
    <w:p>
      <w:pPr>
        <w:spacing w:after="0" w:line="4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04" w:lineRule="exact"/>
        <w:rPr>
          <w:sz w:val="20"/>
          <w:szCs w:val="20"/>
          <w:color w:val="auto"/>
        </w:rPr>
      </w:pPr>
    </w:p>
    <w:p>
      <w:pPr>
        <w:ind w:right="60" w:firstLine="445"/>
        <w:spacing w:after="0" w:line="261"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ASU 2023-09 requires the disaggregation of information in existing income tax disclosures related to the effective tax rate reconciliation and income taxes paid. ASU 2023-09 is effective for fiscal years beginning after December 15, 2024, with early adoption permitted. The Company is currently evaluating the impact, if any, adoption will have on its financial position and results of operations.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Subsequent Events</w:t>
      </w:r>
    </w:p>
    <w:p>
      <w:pPr>
        <w:spacing w:after="0" w:line="175" w:lineRule="exact"/>
        <w:rPr>
          <w:sz w:val="20"/>
          <w:szCs w:val="20"/>
          <w:color w:val="auto"/>
        </w:rPr>
      </w:pPr>
    </w:p>
    <w:p>
      <w:pPr>
        <w:jc w:val="both"/>
        <w:ind w:right="160" w:firstLine="405"/>
        <w:spacing w:after="0" w:line="282" w:lineRule="auto"/>
        <w:rPr>
          <w:sz w:val="20"/>
          <w:szCs w:val="20"/>
          <w:color w:val="auto"/>
        </w:rPr>
      </w:pPr>
      <w:r>
        <w:rPr>
          <w:rFonts w:ascii="Times New Roman" w:cs="Times New Roman" w:eastAsia="Times New Roman" w:hAnsi="Times New Roman"/>
          <w:sz w:val="18"/>
          <w:szCs w:val="18"/>
          <w:color w:val="auto"/>
        </w:rPr>
        <w:t>On May 21, 2024, the Board of Directors of the Company declared a cash dividend of $0.92 per outstanding share of common stock. The dividend will be paid on June 17, 2024 to all shareholders of record at the close of business on June 4, 2024 and is expected to total approximately $456.5 million.</w:t>
      </w:r>
    </w:p>
    <w:p>
      <w:pPr>
        <w:spacing w:after="0" w:line="200" w:lineRule="exact"/>
        <w:rPr>
          <w:sz w:val="20"/>
          <w:szCs w:val="20"/>
          <w:color w:val="auto"/>
        </w:rPr>
      </w:pPr>
    </w:p>
    <w:p>
      <w:pPr>
        <w:spacing w:after="0" w:line="2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84" w:right="399" w:bottom="1440" w:gutter="0" w:footer="0" w:header="0"/>
        </w:sectPr>
      </w:pPr>
    </w:p>
    <w:bookmarkStart w:id="15" w:name="page16"/>
    <w:bookmarkEnd w:id="15"/>
    <w:p>
      <w:pPr>
        <w:ind w:left="2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70" w:lineRule="exact"/>
        <w:rPr>
          <w:sz w:val="20"/>
          <w:szCs w:val="20"/>
          <w:color w:val="auto"/>
        </w:rPr>
      </w:pPr>
    </w:p>
    <w:p>
      <w:pPr>
        <w:ind w:right="160" w:firstLine="445"/>
        <w:spacing w:after="0" w:line="266" w:lineRule="auto"/>
        <w:rPr>
          <w:sz w:val="20"/>
          <w:szCs w:val="20"/>
          <w:color w:val="auto"/>
        </w:rPr>
      </w:pPr>
      <w:r>
        <w:rPr>
          <w:rFonts w:ascii="Times New Roman" w:cs="Times New Roman" w:eastAsia="Times New Roman" w:hAnsi="Times New Roman"/>
          <w:sz w:val="18"/>
          <w:szCs w:val="18"/>
          <w:color w:val="auto"/>
        </w:rPr>
        <w:t>This information should be read in conjunction with the unaudited condensed consolidated financial statements and related notes included in Part I, Item 1 of this Quarterly Report on Form 10-Q and the audited consolidated financial statements and related notes and Management’s Discussion and Analysis of Financial Condition and Results of Operations in our Annual Report on Form 10-K for the fiscal year ended October 28, 2023 (fiscal 2023).</w:t>
      </w:r>
    </w:p>
    <w:p>
      <w:pPr>
        <w:spacing w:after="0" w:line="122" w:lineRule="exact"/>
        <w:rPr>
          <w:sz w:val="20"/>
          <w:szCs w:val="20"/>
          <w:color w:val="auto"/>
        </w:rPr>
      </w:pPr>
    </w:p>
    <w:p>
      <w:pPr>
        <w:ind w:firstLine="445"/>
        <w:spacing w:after="0" w:line="252" w:lineRule="auto"/>
        <w:rPr>
          <w:sz w:val="20"/>
          <w:szCs w:val="20"/>
          <w:color w:val="auto"/>
        </w:rPr>
      </w:pPr>
      <w:r>
        <w:rPr>
          <w:rFonts w:ascii="Times New Roman" w:cs="Times New Roman" w:eastAsia="Times New Roman" w:hAnsi="Times New Roman"/>
          <w:sz w:val="18"/>
          <w:szCs w:val="18"/>
          <w:color w:val="auto"/>
        </w:rPr>
        <w:t>This Quarterly Report on Form 10-Q, including the following discussion, contains forward-looking statements regarding future events and our future results that are subject to the safe harbor created under the Private Securities Litigation Reform Act of 1995 and other safe harbors under the Securities Act of 1933 and the Securities Exchange Act of 1934. All statements other than statements of historical fact are statements that could be deemed forward-looking statements. These statements are based on current expectations, estimates, forecasts and projections about the industries in which we operate and the beliefs and assumptions of our management. Words such as “expects,” “anticipates,” “targets,” “goals,” “projects,” “intends,” “plans,” “believes,” “seeks,” “estimates,” “continues,” “potential,” “may,” “could” and “will,” and variations of such words and similar expressions are intended to identify such forward-looking statements. In addition, any statements that refer to projections regarding our future financial performance or results; our anticipated growth and trends in our businesses; the effects of business, economic, political, legal and regulatory impacts or conflicts upon our global operations; changes in demand for semiconductors and the related changes in demand and supply for our products; manufacturing delays, product availability and supply chain disruptions; our ability to recruit or retain our key personnel; our future liquidity, capital needs and capital expenditures; our development of technologies and processes and research and development investments; our future market position and expected competitive changes in the marketplace for our products; the anticipated result of litigation matters; our plans to pay dividends or repurchase stock; servicing our outstanding debt; our plans to borrow under our third amended and restated revolving credit agreement, as amended, and issue notes under our commercial paper program and the planned use of proceeds from such borrowing and issuing; our expected tax rate; expected cost savings; the effect of new accounting pronouncements; our plans to integrate or realize the benefits or synergies expected of acquired businesses and technologies; our Global Repositioning Actions and Q4 2023 Plan; and other characterizations of future events or circumstances are forward-looking statements. Our actual results could differ materially from those anticipated in these forward-looking statements as a result of various factors.</w:t>
      </w:r>
    </w:p>
    <w:p>
      <w:pPr>
        <w:spacing w:after="0" w:line="139" w:lineRule="exact"/>
        <w:rPr>
          <w:sz w:val="20"/>
          <w:szCs w:val="20"/>
          <w:color w:val="auto"/>
        </w:rPr>
      </w:pPr>
    </w:p>
    <w:p>
      <w:pPr>
        <w:ind w:right="80" w:firstLine="445"/>
        <w:spacing w:after="0" w:line="269" w:lineRule="auto"/>
        <w:rPr>
          <w:sz w:val="20"/>
          <w:szCs w:val="20"/>
          <w:color w:val="auto"/>
        </w:rPr>
      </w:pPr>
      <w:r>
        <w:rPr>
          <w:rFonts w:ascii="Times New Roman" w:cs="Times New Roman" w:eastAsia="Times New Roman" w:hAnsi="Times New Roman"/>
          <w:sz w:val="17"/>
          <w:szCs w:val="17"/>
          <w:color w:val="auto"/>
        </w:rPr>
        <w:t>The following important factors and uncertainties, among others, could cause actual results to differ materially from those described in the forward-looking statements: economic, political, legal and regulatory uncertainty or conflicts; changes in demand for semiconductor products; manufacturing delays, product and raw materials availability and supply chain disruptions; products that may be diverted from our authorized distribution channels; changes in export classifications, import and export regulations or duties and tariffs; our development of technologies and research and development investments; our future liquidity, capital needs and capital expenditures; our ability to compete successfully in the markets in which we operate; our ability to recruit and retain key personnel; risks related to acquisitions or other strategic transactions; security breaches or other cyber incidents; adverse results in litigation matters; reputational damage; changes in our estimates of our expected tax rates based on current tax law; risks related to our indebtedness; unanticipated difficulties or expenditures relating to integrating Maxim; the discretion of our board of directors to declare dividends and our ability to pay dividends in the future; factors impacting our ability to repurchase shares; and uncertainty as to the long-term value of our common stock. Additional factors that could cause actual results to differ materially from those described in these forward-looking statements include the risk factors included in Part I, Item 1A, “Risk Factors” of our Annual Report on Form 10-K for fiscal 2023. We undertake no obligation to revise or update any forward-looking statements, including to reflect events or circumstances occurring after the date of the filing of this report, except to the extent required by law.</w:t>
      </w: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49" w:right="3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Overview</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tabular amounts in thousands except per share amounts and percentages)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160" w:type="dxa"/>
            <w:vAlign w:val="bottom"/>
            <w:gridSpan w:val="5"/>
          </w:tcPr>
          <w:p>
            <w:pPr>
              <w:ind w:left="7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60" w:type="dxa"/>
            <w:vAlign w:val="bottom"/>
          </w:tcPr>
          <w:p>
            <w:pPr>
              <w:spacing w:after="0"/>
              <w:rPr>
                <w:sz w:val="16"/>
                <w:szCs w:val="16"/>
                <w:color w:val="auto"/>
              </w:rPr>
            </w:pPr>
          </w:p>
        </w:tc>
      </w:tr>
      <w:tr>
        <w:trPr>
          <w:trHeight w:val="23"/>
        </w:trPr>
        <w:tc>
          <w:tcPr>
            <w:tcW w:w="44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190"/>
        </w:trPr>
        <w:tc>
          <w:tcPr>
            <w:tcW w:w="4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May 4, 2024</w:t>
            </w:r>
          </w:p>
        </w:tc>
        <w:tc>
          <w:tcPr>
            <w:tcW w:w="240" w:type="dxa"/>
            <w:vAlign w:val="bottom"/>
          </w:tcPr>
          <w:p>
            <w:pPr>
              <w:spacing w:after="0"/>
              <w:rPr>
                <w:sz w:val="16"/>
                <w:szCs w:val="16"/>
                <w:color w:val="auto"/>
              </w:rPr>
            </w:pPr>
          </w:p>
        </w:tc>
        <w:tc>
          <w:tcPr>
            <w:tcW w:w="15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April 29, 2023</w:t>
            </w:r>
          </w:p>
        </w:tc>
        <w:tc>
          <w:tcPr>
            <w:tcW w:w="460" w:type="dxa"/>
            <w:vAlign w:val="bottom"/>
          </w:tcPr>
          <w:p>
            <w:pPr>
              <w:spacing w:after="0"/>
              <w:rPr>
                <w:sz w:val="16"/>
                <w:szCs w:val="16"/>
                <w:color w:val="auto"/>
              </w:rPr>
            </w:pP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66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29"/>
        </w:trPr>
        <w:tc>
          <w:tcPr>
            <w:tcW w:w="4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2,159,039</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3,262,930</w:t>
            </w: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(1,103,891)</w:t>
            </w:r>
          </w:p>
        </w:tc>
        <w:tc>
          <w:tcPr>
            <w:tcW w:w="10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29"/>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margin %</w:t>
            </w: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54.7 %</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65.7 %</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29"/>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302,242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977,656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(675,414)</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30"/>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as a % of revenue</w:t>
            </w: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14.0 %</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30.0 %</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29"/>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EPS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0.61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1.92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449"/>
        </w:trPr>
        <w:tc>
          <w:tcPr>
            <w:tcW w:w="4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23"/>
        </w:trPr>
        <w:tc>
          <w:tcPr>
            <w:tcW w:w="44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190"/>
        </w:trPr>
        <w:tc>
          <w:tcPr>
            <w:tcW w:w="4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May 4, 2024</w:t>
            </w:r>
          </w:p>
        </w:tc>
        <w:tc>
          <w:tcPr>
            <w:tcW w:w="240" w:type="dxa"/>
            <w:vAlign w:val="bottom"/>
          </w:tcPr>
          <w:p>
            <w:pPr>
              <w:spacing w:after="0"/>
              <w:rPr>
                <w:sz w:val="16"/>
                <w:szCs w:val="16"/>
                <w:color w:val="auto"/>
              </w:rPr>
            </w:pPr>
          </w:p>
        </w:tc>
        <w:tc>
          <w:tcPr>
            <w:tcW w:w="15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April 29, 2023</w:t>
            </w:r>
          </w:p>
        </w:tc>
        <w:tc>
          <w:tcPr>
            <w:tcW w:w="460" w:type="dxa"/>
            <w:vAlign w:val="bottom"/>
          </w:tcPr>
          <w:p>
            <w:pPr>
              <w:spacing w:after="0"/>
              <w:rPr>
                <w:sz w:val="16"/>
                <w:szCs w:val="16"/>
                <w:color w:val="auto"/>
              </w:rPr>
            </w:pP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66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29"/>
        </w:trPr>
        <w:tc>
          <w:tcPr>
            <w:tcW w:w="4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4,671,743</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6,512,560</w:t>
            </w: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(1,840,817)</w:t>
            </w:r>
          </w:p>
        </w:tc>
        <w:tc>
          <w:tcPr>
            <w:tcW w:w="10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29"/>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margin %</w:t>
            </w: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56.8 %</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65.5 %</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30"/>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764,969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1,939,130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(1,174,161)</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29"/>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as a % of revenue</w:t>
            </w: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16.4 %</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29.8 %</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29"/>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EPS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1.53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3.80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r>
    </w:tbl>
    <w:p>
      <w:pPr>
        <w:spacing w:after="0" w:line="225" w:lineRule="exact"/>
        <w:rPr>
          <w:sz w:val="20"/>
          <w:szCs w:val="20"/>
          <w:color w:val="auto"/>
        </w:rPr>
      </w:pPr>
    </w:p>
    <w:p>
      <w:pPr>
        <w:ind w:right="80" w:firstLine="445"/>
        <w:spacing w:after="0" w:line="289" w:lineRule="auto"/>
        <w:rPr>
          <w:sz w:val="20"/>
          <w:szCs w:val="20"/>
          <w:color w:val="auto"/>
        </w:rPr>
      </w:pPr>
      <w:r>
        <w:rPr>
          <w:rFonts w:ascii="Times New Roman" w:cs="Times New Roman" w:eastAsia="Times New Roman" w:hAnsi="Times New Roman"/>
          <w:sz w:val="17"/>
          <w:szCs w:val="17"/>
          <w:color w:val="auto"/>
        </w:rPr>
        <w:t>We have a 52-53 week fiscal year that ends on the Saturday closest to the last day in October. The fiscal year ending November 2, 2024 (fiscal 2024) is a 53-week fiscal year and fiscal 2023 was a 52-week fiscal year. The additional week in fiscal 2024 was included in the first quarter ended February 3, 2024. Therefore, the first six months of fiscal 2024 included an additional week of operations as compared to the first six months of fiscal 2023.</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Trends by End Market</w:t>
      </w:r>
    </w:p>
    <w:p>
      <w:pPr>
        <w:spacing w:after="0" w:line="106" w:lineRule="exact"/>
        <w:rPr>
          <w:sz w:val="20"/>
          <w:szCs w:val="20"/>
          <w:color w:val="auto"/>
        </w:rPr>
      </w:pPr>
    </w:p>
    <w:p>
      <w:pPr>
        <w:ind w:right="100" w:firstLine="445"/>
        <w:spacing w:after="0" w:line="261" w:lineRule="auto"/>
        <w:rPr>
          <w:sz w:val="20"/>
          <w:szCs w:val="20"/>
          <w:color w:val="auto"/>
        </w:rPr>
      </w:pPr>
      <w:r>
        <w:rPr>
          <w:rFonts w:ascii="Times New Roman" w:cs="Times New Roman" w:eastAsia="Times New Roman" w:hAnsi="Times New Roman"/>
          <w:sz w:val="18"/>
          <w:szCs w:val="18"/>
          <w:color w:val="auto"/>
        </w:rPr>
        <w:t>The following tables summarize revenue by end market. The categorization of revenue by end market is determined using a variety of data points including the technical characteristics of the product, the “sold to” customer information, the “ship to” customer information and the end customer product or application into which our product will be incorporated. As data systems for capturing and tracking this data and our methodology evolves and improves, the categorization of products by end market</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0" w:right="339" w:bottom="1440" w:gutter="0" w:footer="0" w:header="0"/>
        </w:sectPr>
      </w:pPr>
    </w:p>
    <w:bookmarkStart w:id="17" w:name="page18"/>
    <w:bookmarkEnd w:id="17"/>
    <w:p>
      <w:pPr>
        <w:ind w:right="160"/>
        <w:spacing w:after="0" w:line="282" w:lineRule="auto"/>
        <w:rPr>
          <w:sz w:val="20"/>
          <w:szCs w:val="20"/>
          <w:color w:val="auto"/>
        </w:rPr>
      </w:pPr>
      <w:r>
        <w:rPr>
          <w:rFonts w:ascii="Times New Roman" w:cs="Times New Roman" w:eastAsia="Times New Roman" w:hAnsi="Times New Roman"/>
          <w:sz w:val="18"/>
          <w:szCs w:val="18"/>
          <w:color w:val="auto"/>
        </w:rPr>
        <w:t>can vary over time. When this occurs, we reclassify revenue by end market for prior periods. Such reclassifications typically do not materially change the sizing of, or the underlying trends of results within, each end market.</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40" w:type="dxa"/>
            <w:vAlign w:val="bottom"/>
            <w:gridSpan w:val="5"/>
          </w:tcPr>
          <w:p>
            <w:pPr>
              <w:jc w:val="center"/>
              <w:ind w:left="1117"/>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2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May 4, 2024</w:t>
            </w: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3"/>
          </w:tcPr>
          <w:p>
            <w:pPr>
              <w:jc w:val="right"/>
              <w:ind w:right="915"/>
              <w:spacing w:after="0"/>
              <w:rPr>
                <w:sz w:val="20"/>
                <w:szCs w:val="20"/>
                <w:color w:val="auto"/>
              </w:rPr>
            </w:pPr>
            <w:r>
              <w:rPr>
                <w:rFonts w:ascii="Times New Roman" w:cs="Times New Roman" w:eastAsia="Times New Roman" w:hAnsi="Times New Roman"/>
                <w:sz w:val="14"/>
                <w:szCs w:val="14"/>
                <w:b w:val="1"/>
                <w:bCs w:val="1"/>
                <w:color w:val="auto"/>
              </w:rPr>
              <w:t>April 29, 2023</w:t>
            </w:r>
          </w:p>
        </w:tc>
        <w:tc>
          <w:tcPr>
            <w:tcW w:w="0" w:type="dxa"/>
            <w:vAlign w:val="bottom"/>
          </w:tcPr>
          <w:p>
            <w:pPr>
              <w:spacing w:after="0"/>
              <w:rPr>
                <w:sz w:val="1"/>
                <w:szCs w:val="1"/>
                <w:color w:val="auto"/>
              </w:rPr>
            </w:pPr>
          </w:p>
        </w:tc>
      </w:tr>
      <w:tr>
        <w:trPr>
          <w:trHeight w:val="137"/>
        </w:trPr>
        <w:tc>
          <w:tcPr>
            <w:tcW w:w="4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44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 of</w:t>
            </w:r>
          </w:p>
        </w:tc>
        <w:tc>
          <w:tcPr>
            <w:tcW w:w="120" w:type="dxa"/>
            <w:vAlign w:val="bottom"/>
          </w:tcPr>
          <w:p>
            <w:pPr>
              <w:spacing w:after="0"/>
              <w:rPr>
                <w:sz w:val="11"/>
                <w:szCs w:val="11"/>
                <w:color w:val="auto"/>
              </w:rPr>
            </w:pPr>
          </w:p>
        </w:tc>
        <w:tc>
          <w:tcPr>
            <w:tcW w:w="11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Y/Y%</w:t>
            </w:r>
          </w:p>
        </w:tc>
        <w:tc>
          <w:tcPr>
            <w:tcW w:w="240" w:type="dxa"/>
            <w:vAlign w:val="bottom"/>
          </w:tcPr>
          <w:p>
            <w:pPr>
              <w:spacing w:after="0"/>
              <w:rPr>
                <w:sz w:val="11"/>
                <w:szCs w:val="11"/>
                <w:color w:val="auto"/>
              </w:rPr>
            </w:pPr>
          </w:p>
        </w:tc>
        <w:tc>
          <w:tcPr>
            <w:tcW w:w="11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46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 of</w:t>
            </w:r>
          </w:p>
        </w:tc>
        <w:tc>
          <w:tcPr>
            <w:tcW w:w="0" w:type="dxa"/>
            <w:vAlign w:val="bottom"/>
          </w:tcPr>
          <w:p>
            <w:pPr>
              <w:spacing w:after="0"/>
              <w:rPr>
                <w:sz w:val="1"/>
                <w:szCs w:val="1"/>
                <w:color w:val="auto"/>
              </w:rPr>
            </w:pPr>
          </w:p>
        </w:tc>
      </w:tr>
      <w:tr>
        <w:trPr>
          <w:trHeight w:val="195"/>
        </w:trPr>
        <w:tc>
          <w:tcPr>
            <w:tcW w:w="4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2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0" w:type="dxa"/>
            <w:vAlign w:val="bottom"/>
          </w:tcPr>
          <w:p>
            <w:pPr>
              <w:spacing w:after="0"/>
              <w:rPr>
                <w:sz w:val="1"/>
                <w:szCs w:val="1"/>
                <w:color w:val="auto"/>
              </w:rPr>
            </w:pPr>
          </w:p>
        </w:tc>
      </w:tr>
      <w:tr>
        <w:trPr>
          <w:trHeight w:val="228"/>
        </w:trPr>
        <w:tc>
          <w:tcPr>
            <w:tcW w:w="4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Industrial</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1,014,847</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12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1,823,831</w:t>
            </w:r>
          </w:p>
        </w:tc>
        <w:tc>
          <w:tcPr>
            <w:tcW w:w="10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56 %</w:t>
            </w:r>
          </w:p>
        </w:tc>
        <w:tc>
          <w:tcPr>
            <w:tcW w:w="0" w:type="dxa"/>
            <w:vAlign w:val="bottom"/>
          </w:tcPr>
          <w:p>
            <w:pPr>
              <w:spacing w:after="0"/>
              <w:rPr>
                <w:sz w:val="1"/>
                <w:szCs w:val="1"/>
                <w:color w:val="auto"/>
              </w:rPr>
            </w:pPr>
          </w:p>
        </w:tc>
      </w:tr>
      <w:tr>
        <w:trPr>
          <w:trHeight w:val="229"/>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Automotive</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658,238</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732,869</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Communications</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240,776</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436,542</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0" w:type="dxa"/>
            <w:vAlign w:val="bottom"/>
          </w:tcPr>
          <w:p>
            <w:pPr>
              <w:spacing w:after="0"/>
              <w:rPr>
                <w:sz w:val="1"/>
                <w:szCs w:val="1"/>
                <w:color w:val="auto"/>
              </w:rPr>
            </w:pPr>
          </w:p>
        </w:tc>
      </w:tr>
      <w:tr>
        <w:trPr>
          <w:trHeight w:val="229"/>
        </w:trPr>
        <w:tc>
          <w:tcPr>
            <w:tcW w:w="4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Consumer</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245,178</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1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269,688</w:t>
            </w:r>
          </w:p>
        </w:tc>
        <w:tc>
          <w:tcPr>
            <w:tcW w:w="100" w:type="dxa"/>
            <w:vAlign w:val="bottom"/>
            <w:tcBorders>
              <w:bottom w:val="single" w:sz="8" w:color="CCEEFF"/>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0" w:type="dxa"/>
            <w:vAlign w:val="bottom"/>
          </w:tcPr>
          <w:p>
            <w:pPr>
              <w:spacing w:after="0"/>
              <w:rPr>
                <w:sz w:val="1"/>
                <w:szCs w:val="1"/>
                <w:color w:val="auto"/>
              </w:rPr>
            </w:pPr>
          </w:p>
        </w:tc>
      </w:tr>
      <w:tr>
        <w:trPr>
          <w:trHeight w:val="248"/>
        </w:trPr>
        <w:tc>
          <w:tcPr>
            <w:tcW w:w="4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2,159,039</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3,262,930</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CCEEFF"/>
            </w:tcBorders>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4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60" w:type="dxa"/>
            <w:vAlign w:val="bottom"/>
            <w:gridSpan w:val="3"/>
            <w:vMerge w:val="continue"/>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2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May 4, 2024</w:t>
            </w: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3"/>
          </w:tcPr>
          <w:p>
            <w:pPr>
              <w:jc w:val="right"/>
              <w:ind w:right="915"/>
              <w:spacing w:after="0"/>
              <w:rPr>
                <w:sz w:val="20"/>
                <w:szCs w:val="20"/>
                <w:color w:val="auto"/>
              </w:rPr>
            </w:pPr>
            <w:r>
              <w:rPr>
                <w:rFonts w:ascii="Times New Roman" w:cs="Times New Roman" w:eastAsia="Times New Roman" w:hAnsi="Times New Roman"/>
                <w:sz w:val="14"/>
                <w:szCs w:val="14"/>
                <w:b w:val="1"/>
                <w:bCs w:val="1"/>
                <w:color w:val="auto"/>
              </w:rPr>
              <w:t>April 29, 2023</w:t>
            </w:r>
          </w:p>
        </w:tc>
        <w:tc>
          <w:tcPr>
            <w:tcW w:w="0" w:type="dxa"/>
            <w:vAlign w:val="bottom"/>
          </w:tcPr>
          <w:p>
            <w:pPr>
              <w:spacing w:after="0"/>
              <w:rPr>
                <w:sz w:val="1"/>
                <w:szCs w:val="1"/>
                <w:color w:val="auto"/>
              </w:rPr>
            </w:pPr>
          </w:p>
        </w:tc>
      </w:tr>
      <w:tr>
        <w:trPr>
          <w:trHeight w:val="137"/>
        </w:trPr>
        <w:tc>
          <w:tcPr>
            <w:tcW w:w="4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44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 of</w:t>
            </w:r>
          </w:p>
        </w:tc>
        <w:tc>
          <w:tcPr>
            <w:tcW w:w="120" w:type="dxa"/>
            <w:vAlign w:val="bottom"/>
          </w:tcPr>
          <w:p>
            <w:pPr>
              <w:spacing w:after="0"/>
              <w:rPr>
                <w:sz w:val="11"/>
                <w:szCs w:val="11"/>
                <w:color w:val="auto"/>
              </w:rPr>
            </w:pPr>
          </w:p>
        </w:tc>
        <w:tc>
          <w:tcPr>
            <w:tcW w:w="11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Y/Y%</w:t>
            </w:r>
          </w:p>
        </w:tc>
        <w:tc>
          <w:tcPr>
            <w:tcW w:w="240" w:type="dxa"/>
            <w:vAlign w:val="bottom"/>
          </w:tcPr>
          <w:p>
            <w:pPr>
              <w:spacing w:after="0"/>
              <w:rPr>
                <w:sz w:val="11"/>
                <w:szCs w:val="11"/>
                <w:color w:val="auto"/>
              </w:rPr>
            </w:pPr>
          </w:p>
        </w:tc>
        <w:tc>
          <w:tcPr>
            <w:tcW w:w="11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46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 of</w:t>
            </w:r>
          </w:p>
        </w:tc>
        <w:tc>
          <w:tcPr>
            <w:tcW w:w="0" w:type="dxa"/>
            <w:vAlign w:val="bottom"/>
          </w:tcPr>
          <w:p>
            <w:pPr>
              <w:spacing w:after="0"/>
              <w:rPr>
                <w:sz w:val="1"/>
                <w:szCs w:val="1"/>
                <w:color w:val="auto"/>
              </w:rPr>
            </w:pPr>
          </w:p>
        </w:tc>
      </w:tr>
      <w:tr>
        <w:trPr>
          <w:trHeight w:val="195"/>
        </w:trPr>
        <w:tc>
          <w:tcPr>
            <w:tcW w:w="4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2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0" w:type="dxa"/>
            <w:vAlign w:val="bottom"/>
          </w:tcPr>
          <w:p>
            <w:pPr>
              <w:spacing w:after="0"/>
              <w:rPr>
                <w:sz w:val="1"/>
                <w:szCs w:val="1"/>
                <w:color w:val="auto"/>
              </w:rPr>
            </w:pPr>
          </w:p>
        </w:tc>
      </w:tr>
      <w:tr>
        <w:trPr>
          <w:trHeight w:val="228"/>
        </w:trPr>
        <w:tc>
          <w:tcPr>
            <w:tcW w:w="4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Industrial</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2,210,226</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12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3,573,211</w:t>
            </w:r>
          </w:p>
        </w:tc>
        <w:tc>
          <w:tcPr>
            <w:tcW w:w="10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55 %</w:t>
            </w:r>
          </w:p>
        </w:tc>
        <w:tc>
          <w:tcPr>
            <w:tcW w:w="0" w:type="dxa"/>
            <w:vAlign w:val="bottom"/>
          </w:tcPr>
          <w:p>
            <w:pPr>
              <w:spacing w:after="0"/>
              <w:rPr>
                <w:sz w:val="1"/>
                <w:szCs w:val="1"/>
                <w:color w:val="auto"/>
              </w:rPr>
            </w:pPr>
          </w:p>
        </w:tc>
      </w:tr>
      <w:tr>
        <w:trPr>
          <w:trHeight w:val="229"/>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Automotive</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1,395,923</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1,411,430</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Communications</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543,791</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914,794</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0" w:type="dxa"/>
            <w:vAlign w:val="bottom"/>
          </w:tcPr>
          <w:p>
            <w:pPr>
              <w:spacing w:after="0"/>
              <w:rPr>
                <w:sz w:val="1"/>
                <w:szCs w:val="1"/>
                <w:color w:val="auto"/>
              </w:rPr>
            </w:pPr>
          </w:p>
        </w:tc>
      </w:tr>
      <w:tr>
        <w:trPr>
          <w:trHeight w:val="229"/>
        </w:trPr>
        <w:tc>
          <w:tcPr>
            <w:tcW w:w="4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Consumer</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521,803</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1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613,125</w:t>
            </w:r>
          </w:p>
        </w:tc>
        <w:tc>
          <w:tcPr>
            <w:tcW w:w="100" w:type="dxa"/>
            <w:vAlign w:val="bottom"/>
            <w:tcBorders>
              <w:bottom w:val="single" w:sz="8" w:color="CCEEFF"/>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0" w:type="dxa"/>
            <w:vAlign w:val="bottom"/>
          </w:tcPr>
          <w:p>
            <w:pPr>
              <w:spacing w:after="0"/>
              <w:rPr>
                <w:sz w:val="1"/>
                <w:szCs w:val="1"/>
                <w:color w:val="auto"/>
              </w:rPr>
            </w:pPr>
          </w:p>
        </w:tc>
      </w:tr>
      <w:tr>
        <w:trPr>
          <w:trHeight w:val="248"/>
        </w:trPr>
        <w:tc>
          <w:tcPr>
            <w:tcW w:w="4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4,671,743</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6,512,560</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The sum of the individual percentages may not equal the total due to rounding.</w:t>
      </w:r>
    </w:p>
    <w:p>
      <w:pPr>
        <w:spacing w:after="0" w:line="212" w:lineRule="exact"/>
        <w:rPr>
          <w:sz w:val="20"/>
          <w:szCs w:val="20"/>
          <w:color w:val="auto"/>
        </w:rPr>
      </w:pPr>
    </w:p>
    <w:p>
      <w:pPr>
        <w:ind w:right="100" w:firstLine="445"/>
        <w:spacing w:after="0" w:line="266" w:lineRule="auto"/>
        <w:rPr>
          <w:sz w:val="20"/>
          <w:szCs w:val="20"/>
          <w:color w:val="auto"/>
        </w:rPr>
      </w:pPr>
      <w:r>
        <w:rPr>
          <w:rFonts w:ascii="Times New Roman" w:cs="Times New Roman" w:eastAsia="Times New Roman" w:hAnsi="Times New Roman"/>
          <w:sz w:val="18"/>
          <w:szCs w:val="18"/>
          <w:color w:val="auto"/>
        </w:rPr>
        <w:t>Revenue decreased 34% and 28% in the three- and six-month periods ended May 4, 2024, respectively, as compared to the same periods of the prior fiscal year, primarily as a result of broad-based decline in demand for our products. The decrease in the six-month period was partially offset by an additional week of operations in the first quarter of fiscal 2024 as compared to the first quarter of fiscal 2023.</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by Sales Channel</w:t>
      </w:r>
    </w:p>
    <w:p>
      <w:pPr>
        <w:spacing w:after="0" w:line="106" w:lineRule="exact"/>
        <w:rPr>
          <w:sz w:val="20"/>
          <w:szCs w:val="20"/>
          <w:color w:val="auto"/>
        </w:rPr>
      </w:pPr>
    </w:p>
    <w:p>
      <w:pPr>
        <w:ind w:right="60" w:firstLine="405"/>
        <w:spacing w:after="0" w:line="261" w:lineRule="auto"/>
        <w:rPr>
          <w:sz w:val="20"/>
          <w:szCs w:val="20"/>
          <w:color w:val="auto"/>
        </w:rPr>
      </w:pPr>
      <w:r>
        <w:rPr>
          <w:rFonts w:ascii="Times New Roman" w:cs="Times New Roman" w:eastAsia="Times New Roman" w:hAnsi="Times New Roman"/>
          <w:sz w:val="18"/>
          <w:szCs w:val="18"/>
          <w:color w:val="auto"/>
        </w:rPr>
        <w:t>The following tables summarize revenue by sales channel. We sell our products globally through a direct sales force, third party distributors, independent sales representatives and via our website. Distributors are customers that buy products with the intention of reselling them. Direct customers are non-distributor customers and consist primarily of original equipment manufacturers. Other customers include the U.S. government, government prime contractors and certain commercial customers for which revenue is recorded over time.</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07" w:right="35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190"/>
        </w:trPr>
        <w:tc>
          <w:tcPr>
            <w:tcW w:w="4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2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80" w:type="dxa"/>
            <w:vAlign w:val="bottom"/>
          </w:tcPr>
          <w:p>
            <w:pPr>
              <w:spacing w:after="0"/>
              <w:rPr>
                <w:sz w:val="16"/>
                <w:szCs w:val="16"/>
                <w:color w:val="auto"/>
              </w:rPr>
            </w:pPr>
          </w:p>
        </w:tc>
      </w:tr>
      <w:tr>
        <w:trPr>
          <w:trHeight w:val="23"/>
        </w:trPr>
        <w:tc>
          <w:tcPr>
            <w:tcW w:w="45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120" w:type="dxa"/>
            <w:vAlign w:val="bottom"/>
            <w:tcBorders>
              <w:bottom w:val="single" w:sz="8" w:color="auto"/>
            </w:tcBorders>
            <w:gridSpan w:val="4"/>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020" w:type="dxa"/>
            <w:vAlign w:val="bottom"/>
            <w:tcBorders>
              <w:bottom w:val="single" w:sz="8" w:color="auto"/>
            </w:tcBorders>
            <w:gridSpan w:val="3"/>
          </w:tcPr>
          <w:p>
            <w:pPr>
              <w:spacing w:after="0"/>
              <w:rPr>
                <w:sz w:val="2"/>
                <w:szCs w:val="2"/>
                <w:color w:val="auto"/>
              </w:rPr>
            </w:pPr>
          </w:p>
        </w:tc>
      </w:tr>
      <w:tr>
        <w:trPr>
          <w:trHeight w:val="190"/>
        </w:trPr>
        <w:tc>
          <w:tcPr>
            <w:tcW w:w="4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120" w:type="dxa"/>
            <w:vAlign w:val="bottom"/>
            <w:gridSpan w:val="4"/>
          </w:tcPr>
          <w:p>
            <w:pPr>
              <w:ind w:left="980"/>
              <w:spacing w:after="0"/>
              <w:rPr>
                <w:sz w:val="20"/>
                <w:szCs w:val="20"/>
                <w:color w:val="auto"/>
              </w:rPr>
            </w:pPr>
            <w:r>
              <w:rPr>
                <w:rFonts w:ascii="Times New Roman" w:cs="Times New Roman" w:eastAsia="Times New Roman" w:hAnsi="Times New Roman"/>
                <w:sz w:val="14"/>
                <w:szCs w:val="14"/>
                <w:b w:val="1"/>
                <w:bCs w:val="1"/>
                <w:color w:val="auto"/>
              </w:rPr>
              <w:t>May 4, 2024</w:t>
            </w:r>
          </w:p>
        </w:tc>
        <w:tc>
          <w:tcPr>
            <w:tcW w:w="300" w:type="dxa"/>
            <w:vAlign w:val="bottom"/>
          </w:tcPr>
          <w:p>
            <w:pPr>
              <w:spacing w:after="0"/>
              <w:rPr>
                <w:sz w:val="16"/>
                <w:szCs w:val="16"/>
                <w:color w:val="auto"/>
              </w:rPr>
            </w:pPr>
          </w:p>
        </w:tc>
        <w:tc>
          <w:tcPr>
            <w:tcW w:w="3020" w:type="dxa"/>
            <w:vAlign w:val="bottom"/>
            <w:gridSpan w:val="3"/>
          </w:tcPr>
          <w:p>
            <w:pPr>
              <w:jc w:val="right"/>
              <w:ind w:right="1134"/>
              <w:spacing w:after="0"/>
              <w:rPr>
                <w:sz w:val="20"/>
                <w:szCs w:val="20"/>
                <w:color w:val="auto"/>
              </w:rPr>
            </w:pPr>
            <w:r>
              <w:rPr>
                <w:rFonts w:ascii="Times New Roman" w:cs="Times New Roman" w:eastAsia="Times New Roman" w:hAnsi="Times New Roman"/>
                <w:sz w:val="14"/>
                <w:szCs w:val="14"/>
                <w:b w:val="1"/>
                <w:bCs w:val="1"/>
                <w:color w:val="auto"/>
              </w:rPr>
              <w:t>April 29, 2023</w:t>
            </w:r>
          </w:p>
        </w:tc>
      </w:tr>
      <w:tr>
        <w:trPr>
          <w:trHeight w:val="196"/>
        </w:trPr>
        <w:tc>
          <w:tcPr>
            <w:tcW w:w="45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680" w:type="dxa"/>
            <w:vAlign w:val="bottom"/>
            <w:tcBorders>
              <w:top w:val="single" w:sz="8" w:color="auto"/>
            </w:tcBorders>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 of Revenue*</w:t>
            </w: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680" w:type="dxa"/>
            <w:vAlign w:val="bottom"/>
            <w:tcBorders>
              <w:top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 of Revenue*</w:t>
            </w:r>
          </w:p>
        </w:tc>
      </w:tr>
      <w:tr>
        <w:trPr>
          <w:trHeight w:val="216"/>
        </w:trPr>
        <w:tc>
          <w:tcPr>
            <w:tcW w:w="4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Channel</w:t>
            </w:r>
          </w:p>
        </w:tc>
        <w:tc>
          <w:tcPr>
            <w:tcW w:w="30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r>
      <w:tr>
        <w:trPr>
          <w:trHeight w:val="230"/>
        </w:trPr>
        <w:tc>
          <w:tcPr>
            <w:tcW w:w="4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Distributors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1,248,382</w:t>
            </w:r>
          </w:p>
        </w:tc>
        <w:tc>
          <w:tcPr>
            <w:tcW w:w="1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58 %</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1,996,410</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61 %</w:t>
            </w:r>
          </w:p>
        </w:tc>
      </w:tr>
      <w:tr>
        <w:trPr>
          <w:trHeight w:val="229"/>
        </w:trPr>
        <w:tc>
          <w:tcPr>
            <w:tcW w:w="45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Direct customers</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873,593</w:t>
            </w: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1,224,786</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38 %</w:t>
            </w:r>
          </w:p>
        </w:tc>
      </w:tr>
      <w:tr>
        <w:trPr>
          <w:trHeight w:val="229"/>
        </w:trPr>
        <w:tc>
          <w:tcPr>
            <w:tcW w:w="450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37,064</w:t>
            </w:r>
          </w:p>
        </w:tc>
        <w:tc>
          <w:tcPr>
            <w:tcW w:w="120" w:type="dxa"/>
            <w:vAlign w:val="bottom"/>
            <w:tcBorders>
              <w:bottom w:val="single" w:sz="8" w:color="CCEEFF"/>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41,734</w:t>
            </w:r>
          </w:p>
        </w:tc>
        <w:tc>
          <w:tcPr>
            <w:tcW w:w="100" w:type="dxa"/>
            <w:vAlign w:val="bottom"/>
            <w:tcBorders>
              <w:bottom w:val="single" w:sz="8" w:color="CCEEFF"/>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48"/>
        </w:trPr>
        <w:tc>
          <w:tcPr>
            <w:tcW w:w="4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2,159,039</w:t>
            </w:r>
          </w:p>
        </w:tc>
        <w:tc>
          <w:tcPr>
            <w:tcW w:w="1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3,262,930</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0"/>
        </w:trPr>
        <w:tc>
          <w:tcPr>
            <w:tcW w:w="45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r>
        <w:trPr>
          <w:trHeight w:val="396"/>
        </w:trPr>
        <w:tc>
          <w:tcPr>
            <w:tcW w:w="4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2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680" w:type="dxa"/>
            <w:vAlign w:val="bottom"/>
          </w:tcPr>
          <w:p>
            <w:pPr>
              <w:spacing w:after="0"/>
              <w:rPr>
                <w:sz w:val="24"/>
                <w:szCs w:val="24"/>
                <w:color w:val="auto"/>
              </w:rPr>
            </w:pPr>
          </w:p>
        </w:tc>
      </w:tr>
      <w:tr>
        <w:trPr>
          <w:trHeight w:val="23"/>
        </w:trPr>
        <w:tc>
          <w:tcPr>
            <w:tcW w:w="45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120" w:type="dxa"/>
            <w:vAlign w:val="bottom"/>
            <w:tcBorders>
              <w:bottom w:val="single" w:sz="8" w:color="auto"/>
            </w:tcBorders>
            <w:gridSpan w:val="4"/>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020" w:type="dxa"/>
            <w:vAlign w:val="bottom"/>
            <w:tcBorders>
              <w:bottom w:val="single" w:sz="8" w:color="auto"/>
            </w:tcBorders>
            <w:gridSpan w:val="3"/>
          </w:tcPr>
          <w:p>
            <w:pPr>
              <w:spacing w:after="0"/>
              <w:rPr>
                <w:sz w:val="2"/>
                <w:szCs w:val="2"/>
                <w:color w:val="auto"/>
              </w:rPr>
            </w:pPr>
          </w:p>
        </w:tc>
      </w:tr>
      <w:tr>
        <w:trPr>
          <w:trHeight w:val="190"/>
        </w:trPr>
        <w:tc>
          <w:tcPr>
            <w:tcW w:w="4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120" w:type="dxa"/>
            <w:vAlign w:val="bottom"/>
            <w:gridSpan w:val="4"/>
          </w:tcPr>
          <w:p>
            <w:pPr>
              <w:ind w:left="980"/>
              <w:spacing w:after="0"/>
              <w:rPr>
                <w:sz w:val="20"/>
                <w:szCs w:val="20"/>
                <w:color w:val="auto"/>
              </w:rPr>
            </w:pPr>
            <w:r>
              <w:rPr>
                <w:rFonts w:ascii="Times New Roman" w:cs="Times New Roman" w:eastAsia="Times New Roman" w:hAnsi="Times New Roman"/>
                <w:sz w:val="14"/>
                <w:szCs w:val="14"/>
                <w:b w:val="1"/>
                <w:bCs w:val="1"/>
                <w:color w:val="auto"/>
              </w:rPr>
              <w:t>May 4, 2024</w:t>
            </w:r>
          </w:p>
        </w:tc>
        <w:tc>
          <w:tcPr>
            <w:tcW w:w="300" w:type="dxa"/>
            <w:vAlign w:val="bottom"/>
          </w:tcPr>
          <w:p>
            <w:pPr>
              <w:spacing w:after="0"/>
              <w:rPr>
                <w:sz w:val="16"/>
                <w:szCs w:val="16"/>
                <w:color w:val="auto"/>
              </w:rPr>
            </w:pPr>
          </w:p>
        </w:tc>
        <w:tc>
          <w:tcPr>
            <w:tcW w:w="3020" w:type="dxa"/>
            <w:vAlign w:val="bottom"/>
            <w:gridSpan w:val="3"/>
          </w:tcPr>
          <w:p>
            <w:pPr>
              <w:jc w:val="right"/>
              <w:ind w:right="1134"/>
              <w:spacing w:after="0"/>
              <w:rPr>
                <w:sz w:val="20"/>
                <w:szCs w:val="20"/>
                <w:color w:val="auto"/>
              </w:rPr>
            </w:pPr>
            <w:r>
              <w:rPr>
                <w:rFonts w:ascii="Times New Roman" w:cs="Times New Roman" w:eastAsia="Times New Roman" w:hAnsi="Times New Roman"/>
                <w:sz w:val="14"/>
                <w:szCs w:val="14"/>
                <w:b w:val="1"/>
                <w:bCs w:val="1"/>
                <w:color w:val="auto"/>
              </w:rPr>
              <w:t>April 29, 2023</w:t>
            </w:r>
          </w:p>
        </w:tc>
      </w:tr>
      <w:tr>
        <w:trPr>
          <w:trHeight w:val="196"/>
        </w:trPr>
        <w:tc>
          <w:tcPr>
            <w:tcW w:w="45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680" w:type="dxa"/>
            <w:vAlign w:val="bottom"/>
            <w:tcBorders>
              <w:top w:val="single" w:sz="8" w:color="auto"/>
            </w:tcBorders>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 of Revenue*</w:t>
            </w: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680" w:type="dxa"/>
            <w:vAlign w:val="bottom"/>
            <w:tcBorders>
              <w:top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 of Revenue*</w:t>
            </w:r>
          </w:p>
        </w:tc>
      </w:tr>
      <w:tr>
        <w:trPr>
          <w:trHeight w:val="216"/>
        </w:trPr>
        <w:tc>
          <w:tcPr>
            <w:tcW w:w="4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Channel</w:t>
            </w:r>
          </w:p>
        </w:tc>
        <w:tc>
          <w:tcPr>
            <w:tcW w:w="30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r>
      <w:tr>
        <w:trPr>
          <w:trHeight w:val="229"/>
        </w:trPr>
        <w:tc>
          <w:tcPr>
            <w:tcW w:w="4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Distributors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2,783,592</w:t>
            </w:r>
          </w:p>
        </w:tc>
        <w:tc>
          <w:tcPr>
            <w:tcW w:w="1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60 %</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4,007,733</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62 %</w:t>
            </w:r>
          </w:p>
        </w:tc>
      </w:tr>
      <w:tr>
        <w:trPr>
          <w:trHeight w:val="230"/>
        </w:trPr>
        <w:tc>
          <w:tcPr>
            <w:tcW w:w="45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Direct customers</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1,813,568</w:t>
            </w: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2,420,320</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37 %</w:t>
            </w:r>
          </w:p>
        </w:tc>
      </w:tr>
      <w:tr>
        <w:trPr>
          <w:trHeight w:val="229"/>
        </w:trPr>
        <w:tc>
          <w:tcPr>
            <w:tcW w:w="450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74,583</w:t>
            </w:r>
          </w:p>
        </w:tc>
        <w:tc>
          <w:tcPr>
            <w:tcW w:w="120" w:type="dxa"/>
            <w:vAlign w:val="bottom"/>
            <w:tcBorders>
              <w:bottom w:val="single" w:sz="8" w:color="CCEEFF"/>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84,507</w:t>
            </w:r>
          </w:p>
        </w:tc>
        <w:tc>
          <w:tcPr>
            <w:tcW w:w="100" w:type="dxa"/>
            <w:vAlign w:val="bottom"/>
            <w:tcBorders>
              <w:bottom w:val="single" w:sz="8" w:color="CCEEFF"/>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48"/>
        </w:trPr>
        <w:tc>
          <w:tcPr>
            <w:tcW w:w="4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4,671,743</w:t>
            </w:r>
          </w:p>
        </w:tc>
        <w:tc>
          <w:tcPr>
            <w:tcW w:w="1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6,512,560</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0"/>
        </w:trPr>
        <w:tc>
          <w:tcPr>
            <w:tcW w:w="45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The sum of the individual percentages may not equal the total due to rounding.</w:t>
      </w:r>
    </w:p>
    <w:p>
      <w:pPr>
        <w:spacing w:after="0" w:line="252" w:lineRule="exact"/>
        <w:rPr>
          <w:sz w:val="20"/>
          <w:szCs w:val="20"/>
          <w:color w:val="auto"/>
        </w:rPr>
      </w:pPr>
    </w:p>
    <w:p>
      <w:pPr>
        <w:jc w:val="both"/>
        <w:ind w:right="100" w:firstLine="445"/>
        <w:spacing w:after="0" w:line="282" w:lineRule="auto"/>
        <w:rPr>
          <w:sz w:val="20"/>
          <w:szCs w:val="20"/>
          <w:color w:val="auto"/>
        </w:rPr>
      </w:pPr>
      <w:r>
        <w:rPr>
          <w:rFonts w:ascii="Times New Roman" w:cs="Times New Roman" w:eastAsia="Times New Roman" w:hAnsi="Times New Roman"/>
          <w:sz w:val="18"/>
          <w:szCs w:val="18"/>
          <w:color w:val="auto"/>
        </w:rPr>
        <w:t>As indicated in the table above, the percentage of total revenue sold via each channel has remained relatively consistent in the periods presented, but can fluctuate from time to time based on end customer demand.</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Margin</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60" w:type="dxa"/>
            <w:vAlign w:val="bottom"/>
            <w:gridSpan w:val="4"/>
          </w:tcPr>
          <w:p>
            <w:pPr>
              <w:ind w:left="4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80" w:type="dxa"/>
            <w:vAlign w:val="bottom"/>
            <w:gridSpan w:val="4"/>
          </w:tcPr>
          <w:p>
            <w:pPr>
              <w:ind w:left="56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020" w:type="dxa"/>
            <w:vAlign w:val="bottom"/>
          </w:tcPr>
          <w:p>
            <w:pPr>
              <w:spacing w:after="0"/>
              <w:rPr>
                <w:sz w:val="16"/>
                <w:szCs w:val="16"/>
                <w:color w:val="auto"/>
              </w:rPr>
            </w:pPr>
          </w:p>
        </w:tc>
      </w:tr>
      <w:tr>
        <w:trPr>
          <w:trHeight w:val="23"/>
        </w:trPr>
        <w:tc>
          <w:tcPr>
            <w:tcW w:w="1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1360" w:type="dxa"/>
            <w:vAlign w:val="bottom"/>
            <w:gridSpan w:val="2"/>
          </w:tcPr>
          <w:p>
            <w:pPr>
              <w:spacing w:after="0"/>
              <w:rPr>
                <w:sz w:val="2"/>
                <w:szCs w:val="2"/>
                <w:color w:val="auto"/>
              </w:rPr>
            </w:pPr>
          </w:p>
        </w:tc>
        <w:tc>
          <w:tcPr>
            <w:tcW w:w="1200" w:type="dxa"/>
            <w:vAlign w:val="bottom"/>
            <w:gridSpan w:val="2"/>
          </w:tcPr>
          <w:p>
            <w:pPr>
              <w:spacing w:after="0"/>
              <w:rPr>
                <w:sz w:val="2"/>
                <w:szCs w:val="2"/>
                <w:color w:val="auto"/>
              </w:rPr>
            </w:pPr>
          </w:p>
        </w:tc>
        <w:tc>
          <w:tcPr>
            <w:tcW w:w="1280" w:type="dxa"/>
            <w:vAlign w:val="bottom"/>
            <w:gridSpan w:val="3"/>
          </w:tcPr>
          <w:p>
            <w:pPr>
              <w:spacing w:after="0"/>
              <w:rPr>
                <w:sz w:val="2"/>
                <w:szCs w:val="2"/>
                <w:color w:val="auto"/>
              </w:rPr>
            </w:pPr>
          </w:p>
        </w:tc>
        <w:tc>
          <w:tcPr>
            <w:tcW w:w="1180" w:type="dxa"/>
            <w:vAlign w:val="bottom"/>
            <w:gridSpan w:val="2"/>
          </w:tcPr>
          <w:p>
            <w:pPr>
              <w:spacing w:after="0"/>
              <w:rPr>
                <w:sz w:val="2"/>
                <w:szCs w:val="2"/>
                <w:color w:val="auto"/>
              </w:rPr>
            </w:pPr>
          </w:p>
        </w:tc>
        <w:tc>
          <w:tcPr>
            <w:tcW w:w="1360" w:type="dxa"/>
            <w:vAlign w:val="bottom"/>
            <w:gridSpan w:val="2"/>
          </w:tcPr>
          <w:p>
            <w:pPr>
              <w:spacing w:after="0"/>
              <w:rPr>
                <w:sz w:val="2"/>
                <w:szCs w:val="2"/>
                <w:color w:val="auto"/>
              </w:rPr>
            </w:pPr>
          </w:p>
        </w:tc>
        <w:tc>
          <w:tcPr>
            <w:tcW w:w="1220" w:type="dxa"/>
            <w:vAlign w:val="bottom"/>
            <w:gridSpan w:val="2"/>
          </w:tcPr>
          <w:p>
            <w:pPr>
              <w:spacing w:after="0"/>
              <w:rPr>
                <w:sz w:val="2"/>
                <w:szCs w:val="2"/>
                <w:color w:val="auto"/>
              </w:rPr>
            </w:pPr>
          </w:p>
        </w:tc>
        <w:tc>
          <w:tcPr>
            <w:tcW w:w="1020" w:type="dxa"/>
            <w:vAlign w:val="bottom"/>
          </w:tcPr>
          <w:p>
            <w:pPr>
              <w:spacing w:after="0"/>
              <w:rPr>
                <w:sz w:val="2"/>
                <w:szCs w:val="2"/>
                <w:color w:val="auto"/>
              </w:rPr>
            </w:pPr>
          </w:p>
        </w:tc>
      </w:tr>
      <w:tr>
        <w:trPr>
          <w:trHeight w:val="190"/>
        </w:trPr>
        <w:tc>
          <w:tcPr>
            <w:tcW w:w="12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May 4, 2024</w:t>
            </w:r>
          </w:p>
        </w:tc>
        <w:tc>
          <w:tcPr>
            <w:tcW w:w="1360" w:type="dxa"/>
            <w:vAlign w:val="bottom"/>
            <w:tcBorders>
              <w:top w:val="single" w:sz="8" w:color="auto"/>
            </w:tcBorders>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April 29, 2023</w:t>
            </w:r>
          </w:p>
        </w:tc>
        <w:tc>
          <w:tcPr>
            <w:tcW w:w="1200" w:type="dxa"/>
            <w:vAlign w:val="bottom"/>
            <w:tcBorders>
              <w:top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0" w:type="dxa"/>
            <w:vAlign w:val="bottom"/>
            <w:tcBorders>
              <w:top w:val="single" w:sz="8" w:color="auto"/>
            </w:tcBorders>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May 4, 2024</w:t>
            </w:r>
          </w:p>
        </w:tc>
        <w:tc>
          <w:tcPr>
            <w:tcW w:w="1360" w:type="dxa"/>
            <w:vAlign w:val="bottom"/>
            <w:tcBorders>
              <w:top w:val="single" w:sz="8" w:color="auto"/>
            </w:tcBorders>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April 29, 2023</w:t>
            </w:r>
          </w:p>
        </w:tc>
        <w:tc>
          <w:tcPr>
            <w:tcW w:w="1220" w:type="dxa"/>
            <w:vAlign w:val="bottom"/>
            <w:tcBorders>
              <w:top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20" w:type="dxa"/>
            <w:vAlign w:val="bottom"/>
            <w:tcBorders>
              <w:top w:val="single" w:sz="8" w:color="auto"/>
            </w:tcBorders>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29"/>
        </w:trPr>
        <w:tc>
          <w:tcPr>
            <w:tcW w:w="1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1,180,035</w:t>
            </w:r>
          </w:p>
        </w:tc>
        <w:tc>
          <w:tcPr>
            <w:tcW w:w="12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  2,144,546</w:t>
            </w:r>
          </w:p>
        </w:tc>
        <w:tc>
          <w:tcPr>
            <w:tcW w:w="12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(964,511)</w:t>
            </w:r>
          </w:p>
        </w:tc>
        <w:tc>
          <w:tcPr>
            <w:tcW w:w="12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2,653,976</w:t>
            </w:r>
          </w:p>
        </w:tc>
        <w:tc>
          <w:tcPr>
            <w:tcW w:w="10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  4,268,887</w:t>
            </w:r>
          </w:p>
        </w:tc>
        <w:tc>
          <w:tcPr>
            <w:tcW w:w="10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(1,614,911)</w:t>
            </w:r>
          </w:p>
        </w:tc>
        <w:tc>
          <w:tcPr>
            <w:tcW w:w="8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34"/>
        </w:trPr>
        <w:tc>
          <w:tcPr>
            <w:tcW w:w="1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Gross margin %</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54.7 %</w:t>
            </w: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65.7 %</w:t>
            </w: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56.8 %</w:t>
            </w:r>
          </w:p>
        </w:tc>
        <w:tc>
          <w:tcPr>
            <w:tcW w:w="1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65.5 %</w:t>
            </w: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r>
    </w:tbl>
    <w:p>
      <w:pPr>
        <w:spacing w:after="0" w:line="233" w:lineRule="exact"/>
        <w:rPr>
          <w:sz w:val="20"/>
          <w:szCs w:val="20"/>
          <w:color w:val="auto"/>
        </w:rPr>
      </w:pPr>
    </w:p>
    <w:p>
      <w:pPr>
        <w:jc w:val="both"/>
        <w:ind w:right="100" w:firstLine="445"/>
        <w:spacing w:after="0" w:line="266" w:lineRule="auto"/>
        <w:rPr>
          <w:sz w:val="20"/>
          <w:szCs w:val="20"/>
          <w:color w:val="auto"/>
        </w:rPr>
      </w:pPr>
      <w:r>
        <w:rPr>
          <w:rFonts w:ascii="Times New Roman" w:cs="Times New Roman" w:eastAsia="Times New Roman" w:hAnsi="Times New Roman"/>
          <w:sz w:val="18"/>
          <w:szCs w:val="18"/>
          <w:color w:val="auto"/>
        </w:rPr>
        <w:t>Gross margin percentage decreased by 1,100 and 870 basis points in the three- and six-month periods ended May 4, 2024, respectively, as compared to the same periods of the prior fiscal year, primarily due to lower utilization of our factories due to decreased customer demand, and unfavorable product mix.</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(R&amp;D)</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38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040" w:type="dxa"/>
            <w:vAlign w:val="bottom"/>
          </w:tcPr>
          <w:p>
            <w:pPr>
              <w:spacing w:after="0"/>
              <w:rPr>
                <w:sz w:val="16"/>
                <w:szCs w:val="16"/>
                <w:color w:val="auto"/>
              </w:rPr>
            </w:pPr>
          </w:p>
        </w:tc>
      </w:tr>
      <w:tr>
        <w:trPr>
          <w:trHeight w:val="23"/>
        </w:trPr>
        <w:tc>
          <w:tcPr>
            <w:tcW w:w="1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1280" w:type="dxa"/>
            <w:vAlign w:val="bottom"/>
            <w:gridSpan w:val="3"/>
          </w:tcPr>
          <w:p>
            <w:pPr>
              <w:spacing w:after="0"/>
              <w:rPr>
                <w:sz w:val="2"/>
                <w:szCs w:val="2"/>
                <w:color w:val="auto"/>
              </w:rPr>
            </w:pPr>
          </w:p>
        </w:tc>
        <w:tc>
          <w:tcPr>
            <w:tcW w:w="11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1040" w:type="dxa"/>
            <w:vAlign w:val="bottom"/>
          </w:tcPr>
          <w:p>
            <w:pPr>
              <w:spacing w:after="0"/>
              <w:rPr>
                <w:sz w:val="2"/>
                <w:szCs w:val="2"/>
                <w:color w:val="auto"/>
              </w:rPr>
            </w:pPr>
          </w:p>
        </w:tc>
      </w:tr>
      <w:tr>
        <w:trPr>
          <w:trHeight w:val="190"/>
        </w:trPr>
        <w:tc>
          <w:tcPr>
            <w:tcW w:w="136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May 4, 2024</w:t>
            </w:r>
          </w:p>
        </w:tc>
        <w:tc>
          <w:tcPr>
            <w:tcW w:w="14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April 29, 2023</w:t>
            </w:r>
          </w:p>
        </w:tc>
        <w:tc>
          <w:tcPr>
            <w:tcW w:w="18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20" w:type="dxa"/>
            <w:vAlign w:val="bottom"/>
            <w:tcBorders>
              <w:top w:val="single" w:sz="8" w:color="auto"/>
            </w:tcBorders>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May 4, 2024</w:t>
            </w:r>
          </w:p>
        </w:tc>
        <w:tc>
          <w:tcPr>
            <w:tcW w:w="14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April 29, 2023</w:t>
            </w:r>
          </w:p>
        </w:tc>
        <w:tc>
          <w:tcPr>
            <w:tcW w:w="18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4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29"/>
        </w:trPr>
        <w:tc>
          <w:tcPr>
            <w:tcW w:w="1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R&amp;D expenses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354,862</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415,754</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(60,892)</w:t>
            </w:r>
          </w:p>
        </w:tc>
        <w:tc>
          <w:tcPr>
            <w:tcW w:w="12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746,289</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829,849</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(83,560)</w:t>
            </w:r>
          </w:p>
        </w:tc>
        <w:tc>
          <w:tcPr>
            <w:tcW w:w="10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175"/>
        </w:trPr>
        <w:tc>
          <w:tcPr>
            <w:tcW w:w="154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R&amp;D expenses as</w:t>
            </w: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243"/>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 % of revenue</w:t>
            </w:r>
          </w:p>
        </w:tc>
        <w:tc>
          <w:tcPr>
            <w:tcW w:w="1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r>
    </w:tbl>
    <w:p>
      <w:pPr>
        <w:spacing w:after="0" w:line="238" w:lineRule="exact"/>
        <w:rPr>
          <w:sz w:val="20"/>
          <w:szCs w:val="20"/>
          <w:color w:val="auto"/>
        </w:rPr>
      </w:pPr>
    </w:p>
    <w:p>
      <w:pPr>
        <w:jc w:val="both"/>
        <w:ind w:right="80" w:firstLine="445"/>
        <w:spacing w:after="0" w:line="266" w:lineRule="auto"/>
        <w:rPr>
          <w:sz w:val="20"/>
          <w:szCs w:val="20"/>
          <w:color w:val="auto"/>
        </w:rPr>
      </w:pPr>
      <w:r>
        <w:rPr>
          <w:rFonts w:ascii="Times New Roman" w:cs="Times New Roman" w:eastAsia="Times New Roman" w:hAnsi="Times New Roman"/>
          <w:sz w:val="18"/>
          <w:szCs w:val="18"/>
          <w:color w:val="auto"/>
        </w:rPr>
        <w:t>R&amp;D expenses decreased in the three- and six-month periods ended May 4, 2024, as compared to the same periods of the prior fiscal year, primarily as a result of lower R&amp;D employee-related variable compensation expenses, partially offset by higher salary and benefit expenses. The decrease in the six-month period was partially offset by an additional week of operations in the first quarter of fiscal 2024 as compared to the first quarter of fiscal 2023.</w:t>
      </w:r>
    </w:p>
    <w:p>
      <w:pPr>
        <w:spacing w:after="0" w:line="122" w:lineRule="exact"/>
        <w:rPr>
          <w:sz w:val="20"/>
          <w:szCs w:val="20"/>
          <w:color w:val="auto"/>
        </w:rPr>
      </w:pPr>
    </w:p>
    <w:p>
      <w:pPr>
        <w:ind w:right="80" w:firstLine="445"/>
        <w:spacing w:after="0" w:line="261" w:lineRule="auto"/>
        <w:rPr>
          <w:sz w:val="20"/>
          <w:szCs w:val="20"/>
          <w:color w:val="auto"/>
        </w:rPr>
      </w:pPr>
      <w:r>
        <w:rPr>
          <w:rFonts w:ascii="Times New Roman" w:cs="Times New Roman" w:eastAsia="Times New Roman" w:hAnsi="Times New Roman"/>
          <w:sz w:val="18"/>
          <w:szCs w:val="18"/>
          <w:color w:val="auto"/>
        </w:rPr>
        <w:t>R&amp;D expenses as a percentage of revenue will fluctuate from year-to-year depending on the amount of revenue and the success of new product development efforts, which we view as critical to our future growth. We expect to continue the development of innovative technologies and processes for new products. We believe that a continued commitment to R&amp;D is essential to maintain product leadership with our existing products as well as to provide innovative new product offerings.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i w:val="1"/>
          <w:iCs w:val="1"/>
          <w:color w:val="auto"/>
        </w:rPr>
        <w:t>Selling, Marketing, General and Administrative (SMG&amp;A)</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020" w:type="dxa"/>
            <w:vAlign w:val="bottom"/>
          </w:tcPr>
          <w:p>
            <w:pPr>
              <w:spacing w:after="0"/>
              <w:rPr>
                <w:sz w:val="16"/>
                <w:szCs w:val="16"/>
                <w:color w:val="auto"/>
              </w:rPr>
            </w:pPr>
          </w:p>
        </w:tc>
      </w:tr>
      <w:tr>
        <w:trPr>
          <w:trHeight w:val="23"/>
        </w:trPr>
        <w:tc>
          <w:tcPr>
            <w:tcW w:w="1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1280" w:type="dxa"/>
            <w:vAlign w:val="bottom"/>
            <w:gridSpan w:val="3"/>
          </w:tcPr>
          <w:p>
            <w:pPr>
              <w:spacing w:after="0"/>
              <w:rPr>
                <w:sz w:val="2"/>
                <w:szCs w:val="2"/>
                <w:color w:val="auto"/>
              </w:rPr>
            </w:pPr>
          </w:p>
        </w:tc>
        <w:tc>
          <w:tcPr>
            <w:tcW w:w="11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1020" w:type="dxa"/>
            <w:vAlign w:val="bottom"/>
          </w:tcPr>
          <w:p>
            <w:pPr>
              <w:spacing w:after="0"/>
              <w:rPr>
                <w:sz w:val="2"/>
                <w:szCs w:val="2"/>
                <w:color w:val="auto"/>
              </w:rPr>
            </w:pPr>
          </w:p>
        </w:tc>
      </w:tr>
      <w:tr>
        <w:trPr>
          <w:trHeight w:val="190"/>
        </w:trPr>
        <w:tc>
          <w:tcPr>
            <w:tcW w:w="13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May 4, 2024</w:t>
            </w:r>
          </w:p>
        </w:tc>
        <w:tc>
          <w:tcPr>
            <w:tcW w:w="14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April 29, 2023</w:t>
            </w:r>
          </w:p>
        </w:tc>
        <w:tc>
          <w:tcPr>
            <w:tcW w:w="18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2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May 4, 2024</w:t>
            </w:r>
          </w:p>
        </w:tc>
        <w:tc>
          <w:tcPr>
            <w:tcW w:w="14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April 29, 2023</w:t>
            </w:r>
          </w:p>
        </w:tc>
        <w:tc>
          <w:tcPr>
            <w:tcW w:w="18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20" w:type="dxa"/>
            <w:vAlign w:val="bottom"/>
            <w:tcBorders>
              <w:top w:val="single" w:sz="8" w:color="auto"/>
            </w:tcBorders>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162"/>
        </w:trPr>
        <w:tc>
          <w:tcPr>
            <w:tcW w:w="1380" w:type="dxa"/>
            <w:vAlign w:val="bottom"/>
            <w:tcBorders>
              <w:top w:val="single" w:sz="8" w:color="CCEEFF"/>
            </w:tcBorders>
            <w:shd w:val="clear" w:color="auto" w:fill="CCEEFF"/>
          </w:tcPr>
          <w:p>
            <w:pPr>
              <w:ind w:left="20"/>
              <w:spacing w:after="0" w:line="162" w:lineRule="exact"/>
              <w:rPr>
                <w:sz w:val="20"/>
                <w:szCs w:val="20"/>
                <w:color w:val="auto"/>
              </w:rPr>
            </w:pPr>
            <w:r>
              <w:rPr>
                <w:rFonts w:ascii="Times New Roman" w:cs="Times New Roman" w:eastAsia="Times New Roman" w:hAnsi="Times New Roman"/>
                <w:sz w:val="18"/>
                <w:szCs w:val="18"/>
                <w:color w:val="auto"/>
              </w:rPr>
              <w:t>SMG&amp;A</w:t>
            </w:r>
          </w:p>
        </w:tc>
        <w:tc>
          <w:tcPr>
            <w:tcW w:w="16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r>
      <w:tr>
        <w:trPr>
          <w:trHeight w:val="243"/>
        </w:trPr>
        <w:tc>
          <w:tcPr>
            <w:tcW w:w="1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expenses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244,129</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324,251</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(80,122)</w:t>
            </w:r>
          </w:p>
        </w:tc>
        <w:tc>
          <w:tcPr>
            <w:tcW w:w="120" w:type="dxa"/>
            <w:vAlign w:val="bottom"/>
            <w:shd w:val="clear" w:color="auto" w:fill="CCEEFF"/>
          </w:tcPr>
          <w:p>
            <w:pPr>
              <w:spacing w:after="0"/>
              <w:rPr>
                <w:sz w:val="21"/>
                <w:szCs w:val="21"/>
                <w:color w:val="auto"/>
              </w:rPr>
            </w:pPr>
          </w:p>
        </w:tc>
        <w:tc>
          <w:tcPr>
            <w:tcW w:w="12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  $</w:t>
            </w:r>
          </w:p>
        </w:tc>
        <w:tc>
          <w:tcPr>
            <w:tcW w:w="106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534,207</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650,535</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(116,328)</w:t>
            </w: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176"/>
        </w:trPr>
        <w:tc>
          <w:tcPr>
            <w:tcW w:w="13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SMG&amp;A</w:t>
            </w: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84"/>
        </w:trPr>
        <w:tc>
          <w:tcPr>
            <w:tcW w:w="138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expenses as a %</w:t>
            </w: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34"/>
        </w:trPr>
        <w:tc>
          <w:tcPr>
            <w:tcW w:w="1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 revenue</w:t>
            </w: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r>
    </w:tbl>
    <w:p>
      <w:pPr>
        <w:spacing w:after="0" w:line="238" w:lineRule="exact"/>
        <w:rPr>
          <w:sz w:val="20"/>
          <w:szCs w:val="20"/>
          <w:color w:val="auto"/>
        </w:rPr>
      </w:pPr>
    </w:p>
    <w:p>
      <w:pPr>
        <w:ind w:right="40" w:firstLine="445"/>
        <w:spacing w:after="0" w:line="266" w:lineRule="auto"/>
        <w:rPr>
          <w:sz w:val="20"/>
          <w:szCs w:val="20"/>
          <w:color w:val="auto"/>
        </w:rPr>
      </w:pPr>
      <w:r>
        <w:rPr>
          <w:rFonts w:ascii="Times New Roman" w:cs="Times New Roman" w:eastAsia="Times New Roman" w:hAnsi="Times New Roman"/>
          <w:sz w:val="18"/>
          <w:szCs w:val="18"/>
          <w:color w:val="auto"/>
        </w:rPr>
        <w:t>SMG&amp;A expenses decreased in the three- and six-month periods ended May 4, 2024, as compared to the same periods of the prior fiscal year, primarily as a result of lower SMG&amp;A employee-related variable compensation expenses and discretionary spending. The decrease in the six-month period was partially offset by an additional week of operations in the first quarter of fiscal 2024 as compared to the first quarter of fiscal 2023.</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Amortization of Intangibles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38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380" w:type="dxa"/>
            <w:vAlign w:val="bottom"/>
            <w:gridSpan w:val="4"/>
          </w:tcPr>
          <w:p>
            <w:pPr>
              <w:ind w:left="38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020" w:type="dxa"/>
            <w:vAlign w:val="bottom"/>
          </w:tcPr>
          <w:p>
            <w:pPr>
              <w:spacing w:after="0"/>
              <w:rPr>
                <w:sz w:val="16"/>
                <w:szCs w:val="16"/>
                <w:color w:val="auto"/>
              </w:rPr>
            </w:pPr>
          </w:p>
        </w:tc>
      </w:tr>
      <w:tr>
        <w:trPr>
          <w:trHeight w:val="23"/>
        </w:trPr>
        <w:tc>
          <w:tcPr>
            <w:tcW w:w="1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1300" w:type="dxa"/>
            <w:vAlign w:val="bottom"/>
            <w:gridSpan w:val="3"/>
          </w:tcPr>
          <w:p>
            <w:pPr>
              <w:spacing w:after="0"/>
              <w:rPr>
                <w:sz w:val="2"/>
                <w:szCs w:val="2"/>
                <w:color w:val="auto"/>
              </w:rPr>
            </w:pPr>
          </w:p>
        </w:tc>
        <w:tc>
          <w:tcPr>
            <w:tcW w:w="11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1200" w:type="dxa"/>
            <w:vAlign w:val="bottom"/>
            <w:gridSpan w:val="2"/>
          </w:tcPr>
          <w:p>
            <w:pPr>
              <w:spacing w:after="0"/>
              <w:rPr>
                <w:sz w:val="2"/>
                <w:szCs w:val="2"/>
                <w:color w:val="auto"/>
              </w:rPr>
            </w:pPr>
          </w:p>
        </w:tc>
        <w:tc>
          <w:tcPr>
            <w:tcW w:w="1020" w:type="dxa"/>
            <w:vAlign w:val="bottom"/>
          </w:tcPr>
          <w:p>
            <w:pPr>
              <w:spacing w:after="0"/>
              <w:rPr>
                <w:sz w:val="2"/>
                <w:szCs w:val="2"/>
                <w:color w:val="auto"/>
              </w:rPr>
            </w:pPr>
          </w:p>
        </w:tc>
      </w:tr>
      <w:tr>
        <w:trPr>
          <w:trHeight w:val="190"/>
        </w:trPr>
        <w:tc>
          <w:tcPr>
            <w:tcW w:w="14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May 4, 2024</w:t>
            </w:r>
          </w:p>
        </w:tc>
        <w:tc>
          <w:tcPr>
            <w:tcW w:w="14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April 29, 2023</w:t>
            </w:r>
          </w:p>
        </w:tc>
        <w:tc>
          <w:tcPr>
            <w:tcW w:w="18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2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May 4, 2024</w:t>
            </w:r>
          </w:p>
        </w:tc>
        <w:tc>
          <w:tcPr>
            <w:tcW w:w="16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April 29, 2023</w:t>
            </w:r>
          </w:p>
        </w:tc>
        <w:tc>
          <w:tcPr>
            <w:tcW w:w="1200" w:type="dxa"/>
            <w:vAlign w:val="bottom"/>
            <w:tcBorders>
              <w:top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20" w:type="dxa"/>
            <w:vAlign w:val="bottom"/>
            <w:tcBorders>
              <w:top w:val="single" w:sz="8" w:color="auto"/>
            </w:tcBorders>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162"/>
        </w:trPr>
        <w:tc>
          <w:tcPr>
            <w:tcW w:w="1400" w:type="dxa"/>
            <w:vAlign w:val="bottom"/>
            <w:tcBorders>
              <w:top w:val="single" w:sz="8" w:color="CCEEFF"/>
            </w:tcBorders>
            <w:shd w:val="clear" w:color="auto" w:fill="CCEEFF"/>
          </w:tcPr>
          <w:p>
            <w:pPr>
              <w:ind w:left="20"/>
              <w:spacing w:after="0" w:line="162" w:lineRule="exact"/>
              <w:rPr>
                <w:sz w:val="20"/>
                <w:szCs w:val="20"/>
                <w:color w:val="auto"/>
              </w:rPr>
            </w:pPr>
            <w:r>
              <w:rPr>
                <w:rFonts w:ascii="Times New Roman" w:cs="Times New Roman" w:eastAsia="Times New Roman" w:hAnsi="Times New Roman"/>
                <w:sz w:val="18"/>
                <w:szCs w:val="18"/>
                <w:color w:val="auto"/>
              </w:rPr>
              <w:t>Amortization</w:t>
            </w:r>
          </w:p>
        </w:tc>
        <w:tc>
          <w:tcPr>
            <w:tcW w:w="160" w:type="dxa"/>
            <w:vAlign w:val="bottom"/>
            <w:tcBorders>
              <w:top w:val="single" w:sz="8" w:color="auto"/>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r>
      <w:tr>
        <w:trPr>
          <w:trHeight w:val="243"/>
        </w:trPr>
        <w:tc>
          <w:tcPr>
            <w:tcW w:w="1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expenses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188,944</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253,021</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(64,077)</w:t>
            </w:r>
          </w:p>
        </w:tc>
        <w:tc>
          <w:tcPr>
            <w:tcW w:w="100" w:type="dxa"/>
            <w:vAlign w:val="bottom"/>
            <w:shd w:val="clear" w:color="auto" w:fill="CCEEFF"/>
          </w:tcPr>
          <w:p>
            <w:pPr>
              <w:spacing w:after="0"/>
              <w:rPr>
                <w:sz w:val="21"/>
                <w:szCs w:val="21"/>
                <w:color w:val="auto"/>
              </w:rPr>
            </w:pPr>
          </w:p>
        </w:tc>
        <w:tc>
          <w:tcPr>
            <w:tcW w:w="13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(25)%  $</w:t>
            </w:r>
          </w:p>
        </w:tc>
        <w:tc>
          <w:tcPr>
            <w:tcW w:w="106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379,276</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506,163</w:t>
            </w:r>
          </w:p>
        </w:tc>
        <w:tc>
          <w:tcPr>
            <w:tcW w:w="8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(126,887)</w:t>
            </w:r>
          </w:p>
        </w:tc>
        <w:tc>
          <w:tcPr>
            <w:tcW w:w="8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175"/>
        </w:trPr>
        <w:tc>
          <w:tcPr>
            <w:tcW w:w="14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Amortization</w:t>
            </w: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6"/>
        </w:trPr>
        <w:tc>
          <w:tcPr>
            <w:tcW w:w="14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expenses as a %</w:t>
            </w: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243"/>
        </w:trPr>
        <w:tc>
          <w:tcPr>
            <w:tcW w:w="1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 revenue</w:t>
            </w: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20" w:type="dxa"/>
            <w:vAlign w:val="bottom"/>
          </w:tcPr>
          <w:p>
            <w:pPr>
              <w:spacing w:after="0"/>
              <w:rPr>
                <w:sz w:val="21"/>
                <w:szCs w:val="21"/>
                <w:color w:val="auto"/>
              </w:rPr>
            </w:pPr>
          </w:p>
        </w:tc>
      </w:tr>
    </w:tbl>
    <w:p>
      <w:pPr>
        <w:spacing w:after="0" w:line="225" w:lineRule="exact"/>
        <w:rPr>
          <w:sz w:val="20"/>
          <w:szCs w:val="20"/>
          <w:color w:val="auto"/>
        </w:rPr>
      </w:pPr>
    </w:p>
    <w:p>
      <w:pPr>
        <w:ind w:right="300" w:firstLine="445"/>
        <w:spacing w:after="0" w:line="282" w:lineRule="auto"/>
        <w:rPr>
          <w:sz w:val="20"/>
          <w:szCs w:val="20"/>
          <w:color w:val="auto"/>
        </w:rPr>
      </w:pPr>
      <w:r>
        <w:rPr>
          <w:rFonts w:ascii="Times New Roman" w:cs="Times New Roman" w:eastAsia="Times New Roman" w:hAnsi="Times New Roman"/>
          <w:sz w:val="18"/>
          <w:szCs w:val="18"/>
          <w:color w:val="auto"/>
        </w:rPr>
        <w:t>Amortization expenses decreased in the three- and six-month periods ended May 4, 2024, as compared to the same periods of the prior fiscal year primarily as a result of a portion of our acquired intangible assets becoming fully amortized during fiscal 2023.</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Special Charges, Net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360" w:type="dxa"/>
            <w:vAlign w:val="bottom"/>
            <w:gridSpan w:val="5"/>
          </w:tcPr>
          <w:p>
            <w:pPr>
              <w:ind w:left="48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100" w:type="dxa"/>
            <w:vAlign w:val="bottom"/>
          </w:tcPr>
          <w:p>
            <w:pPr>
              <w:spacing w:after="0"/>
              <w:rPr>
                <w:sz w:val="16"/>
                <w:szCs w:val="16"/>
                <w:color w:val="auto"/>
              </w:rPr>
            </w:pPr>
          </w:p>
        </w:tc>
      </w:tr>
      <w:tr>
        <w:trPr>
          <w:trHeight w:val="23"/>
        </w:trPr>
        <w:tc>
          <w:tcPr>
            <w:tcW w:w="1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1340" w:type="dxa"/>
            <w:vAlign w:val="bottom"/>
            <w:gridSpan w:val="3"/>
          </w:tcPr>
          <w:p>
            <w:pPr>
              <w:spacing w:after="0"/>
              <w:rPr>
                <w:sz w:val="2"/>
                <w:szCs w:val="2"/>
                <w:color w:val="auto"/>
              </w:rPr>
            </w:pPr>
          </w:p>
        </w:tc>
        <w:tc>
          <w:tcPr>
            <w:tcW w:w="10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100" w:type="dxa"/>
            <w:vAlign w:val="bottom"/>
          </w:tcPr>
          <w:p>
            <w:pPr>
              <w:spacing w:after="0"/>
              <w:rPr>
                <w:sz w:val="2"/>
                <w:szCs w:val="2"/>
                <w:color w:val="auto"/>
              </w:rPr>
            </w:pPr>
          </w:p>
        </w:tc>
      </w:tr>
      <w:tr>
        <w:trPr>
          <w:trHeight w:val="190"/>
        </w:trPr>
        <w:tc>
          <w:tcPr>
            <w:tcW w:w="14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May 4, 2024</w:t>
            </w:r>
          </w:p>
        </w:tc>
        <w:tc>
          <w:tcPr>
            <w:tcW w:w="1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April 29, 2023</w:t>
            </w:r>
          </w:p>
        </w:tc>
        <w:tc>
          <w:tcPr>
            <w:tcW w:w="2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100" w:type="dxa"/>
            <w:vAlign w:val="bottom"/>
            <w:tcBorders>
              <w:top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May 4, 2024</w:t>
            </w:r>
          </w:p>
        </w:tc>
        <w:tc>
          <w:tcPr>
            <w:tcW w:w="1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April 29, 2023</w:t>
            </w:r>
          </w:p>
        </w:tc>
        <w:tc>
          <w:tcPr>
            <w:tcW w:w="18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100" w:type="dxa"/>
            <w:vAlign w:val="bottom"/>
            <w:tcBorders>
              <w:top w:val="single" w:sz="8" w:color="auto"/>
            </w:tcBorders>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170"/>
        </w:trPr>
        <w:tc>
          <w:tcPr>
            <w:tcW w:w="1460" w:type="dxa"/>
            <w:vAlign w:val="bottom"/>
            <w:tcBorders>
              <w:top w:val="single" w:sz="8" w:color="CCEEFF"/>
            </w:tcBorders>
            <w:shd w:val="clear" w:color="auto" w:fill="CCEEFF"/>
          </w:tcPr>
          <w:p>
            <w:pPr>
              <w:ind w:left="20"/>
              <w:spacing w:after="0" w:line="170" w:lineRule="exact"/>
              <w:rPr>
                <w:sz w:val="20"/>
                <w:szCs w:val="20"/>
                <w:color w:val="auto"/>
              </w:rPr>
            </w:pPr>
            <w:r>
              <w:rPr>
                <w:rFonts w:ascii="Times New Roman" w:cs="Times New Roman" w:eastAsia="Times New Roman" w:hAnsi="Times New Roman"/>
                <w:sz w:val="18"/>
                <w:szCs w:val="18"/>
                <w:color w:val="auto"/>
              </w:rPr>
              <w:t>Special charges,</w:t>
            </w:r>
          </w:p>
        </w:tc>
        <w:tc>
          <w:tcPr>
            <w:tcW w:w="14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spacing w:after="0"/>
              <w:rPr>
                <w:sz w:val="14"/>
                <w:szCs w:val="14"/>
                <w:color w:val="auto"/>
              </w:rPr>
            </w:pPr>
          </w:p>
        </w:tc>
      </w:tr>
      <w:tr>
        <w:trPr>
          <w:trHeight w:val="234"/>
        </w:trPr>
        <w:tc>
          <w:tcPr>
            <w:tcW w:w="1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5,977</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23,136</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(17,159)</w:t>
            </w:r>
          </w:p>
        </w:tc>
        <w:tc>
          <w:tcPr>
            <w:tcW w:w="100" w:type="dxa"/>
            <w:vAlign w:val="bottom"/>
            <w:shd w:val="clear" w:color="auto" w:fill="CCEEFF"/>
          </w:tcPr>
          <w:p>
            <w:pPr>
              <w:spacing w:after="0"/>
              <w:rPr>
                <w:sz w:val="20"/>
                <w:szCs w:val="20"/>
                <w:color w:val="auto"/>
              </w:rPr>
            </w:pPr>
          </w:p>
        </w:tc>
        <w:tc>
          <w:tcPr>
            <w:tcW w:w="13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(74)%  $</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22,117</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23,136</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w:t>
            </w: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bl>
    <w:p>
      <w:pPr>
        <w:spacing w:after="0" w:line="238" w:lineRule="exact"/>
        <w:rPr>
          <w:sz w:val="20"/>
          <w:szCs w:val="20"/>
          <w:color w:val="auto"/>
        </w:rPr>
      </w:pPr>
    </w:p>
    <w:p>
      <w:pPr>
        <w:ind w:right="300" w:firstLine="445"/>
        <w:spacing w:after="0" w:line="266" w:lineRule="auto"/>
        <w:rPr>
          <w:sz w:val="20"/>
          <w:szCs w:val="20"/>
          <w:color w:val="auto"/>
        </w:rPr>
      </w:pPr>
      <w:r>
        <w:rPr>
          <w:rFonts w:ascii="Times New Roman" w:cs="Times New Roman" w:eastAsia="Times New Roman" w:hAnsi="Times New Roman"/>
          <w:sz w:val="18"/>
          <w:szCs w:val="18"/>
          <w:color w:val="auto"/>
        </w:rPr>
        <w:t>Special charges, net decreased in the three- and six-month periods ended May 4, 2024, as compared to the same periods of the prior fiscal year primarily due to the timing of charges recorded in each period. Fiscal 2023 charges were primarily related to Global Repositioning Actions, while fiscal 2024 charges were primarily related to the Q4 2023 Plan.</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Income</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80" w:type="dxa"/>
            <w:vAlign w:val="bottom"/>
            <w:gridSpan w:val="4"/>
          </w:tcPr>
          <w:p>
            <w:pPr>
              <w:ind w:left="4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0" w:type="dxa"/>
            <w:vAlign w:val="bottom"/>
            <w:gridSpan w:val="4"/>
          </w:tcPr>
          <w:p>
            <w:pPr>
              <w:ind w:left="58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020" w:type="dxa"/>
            <w:vAlign w:val="bottom"/>
          </w:tcPr>
          <w:p>
            <w:pPr>
              <w:spacing w:after="0"/>
              <w:rPr>
                <w:sz w:val="16"/>
                <w:szCs w:val="16"/>
                <w:color w:val="auto"/>
              </w:rPr>
            </w:pPr>
          </w:p>
        </w:tc>
      </w:tr>
      <w:tr>
        <w:trPr>
          <w:trHeight w:val="23"/>
        </w:trPr>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1380" w:type="dxa"/>
            <w:vAlign w:val="bottom"/>
            <w:gridSpan w:val="2"/>
          </w:tcPr>
          <w:p>
            <w:pPr>
              <w:spacing w:after="0"/>
              <w:rPr>
                <w:sz w:val="2"/>
                <w:szCs w:val="2"/>
                <w:color w:val="auto"/>
              </w:rPr>
            </w:pPr>
          </w:p>
        </w:tc>
        <w:tc>
          <w:tcPr>
            <w:tcW w:w="1200" w:type="dxa"/>
            <w:vAlign w:val="bottom"/>
            <w:gridSpan w:val="2"/>
          </w:tcPr>
          <w:p>
            <w:pPr>
              <w:spacing w:after="0"/>
              <w:rPr>
                <w:sz w:val="2"/>
                <w:szCs w:val="2"/>
                <w:color w:val="auto"/>
              </w:rPr>
            </w:pPr>
          </w:p>
        </w:tc>
        <w:tc>
          <w:tcPr>
            <w:tcW w:w="1280" w:type="dxa"/>
            <w:vAlign w:val="bottom"/>
            <w:gridSpan w:val="3"/>
          </w:tcPr>
          <w:p>
            <w:pPr>
              <w:spacing w:after="0"/>
              <w:rPr>
                <w:sz w:val="2"/>
                <w:szCs w:val="2"/>
                <w:color w:val="auto"/>
              </w:rPr>
            </w:pPr>
          </w:p>
        </w:tc>
        <w:tc>
          <w:tcPr>
            <w:tcW w:w="1140" w:type="dxa"/>
            <w:vAlign w:val="bottom"/>
            <w:gridSpan w:val="2"/>
          </w:tcPr>
          <w:p>
            <w:pPr>
              <w:spacing w:after="0"/>
              <w:rPr>
                <w:sz w:val="2"/>
                <w:szCs w:val="2"/>
                <w:color w:val="auto"/>
              </w:rPr>
            </w:pPr>
          </w:p>
        </w:tc>
        <w:tc>
          <w:tcPr>
            <w:tcW w:w="1360" w:type="dxa"/>
            <w:vAlign w:val="bottom"/>
            <w:gridSpan w:val="2"/>
          </w:tcPr>
          <w:p>
            <w:pPr>
              <w:spacing w:after="0"/>
              <w:rPr>
                <w:sz w:val="2"/>
                <w:szCs w:val="2"/>
                <w:color w:val="auto"/>
              </w:rPr>
            </w:pPr>
          </w:p>
        </w:tc>
        <w:tc>
          <w:tcPr>
            <w:tcW w:w="1240" w:type="dxa"/>
            <w:vAlign w:val="bottom"/>
            <w:gridSpan w:val="2"/>
          </w:tcPr>
          <w:p>
            <w:pPr>
              <w:spacing w:after="0"/>
              <w:rPr>
                <w:sz w:val="2"/>
                <w:szCs w:val="2"/>
                <w:color w:val="auto"/>
              </w:rPr>
            </w:pPr>
          </w:p>
        </w:tc>
        <w:tc>
          <w:tcPr>
            <w:tcW w:w="1020" w:type="dxa"/>
            <w:vAlign w:val="bottom"/>
          </w:tcPr>
          <w:p>
            <w:pPr>
              <w:spacing w:after="0"/>
              <w:rPr>
                <w:sz w:val="2"/>
                <w:szCs w:val="2"/>
                <w:color w:val="auto"/>
              </w:rPr>
            </w:pPr>
          </w:p>
        </w:tc>
      </w:tr>
      <w:tr>
        <w:trPr>
          <w:trHeight w:val="190"/>
        </w:trPr>
        <w:tc>
          <w:tcPr>
            <w:tcW w:w="13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May 4, 2024</w:t>
            </w:r>
          </w:p>
        </w:tc>
        <w:tc>
          <w:tcPr>
            <w:tcW w:w="1380" w:type="dxa"/>
            <w:vAlign w:val="bottom"/>
            <w:tcBorders>
              <w:top w:val="single" w:sz="8" w:color="auto"/>
            </w:tcBorders>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April 29, 2023</w:t>
            </w:r>
          </w:p>
        </w:tc>
        <w:tc>
          <w:tcPr>
            <w:tcW w:w="1200" w:type="dxa"/>
            <w:vAlign w:val="bottom"/>
            <w:tcBorders>
              <w:top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May 4, 2024</w:t>
            </w:r>
          </w:p>
        </w:tc>
        <w:tc>
          <w:tcPr>
            <w:tcW w:w="1360" w:type="dxa"/>
            <w:vAlign w:val="bottom"/>
            <w:tcBorders>
              <w:top w:val="single" w:sz="8" w:color="auto"/>
            </w:tcBorders>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April 29, 2023</w:t>
            </w:r>
          </w:p>
        </w:tc>
        <w:tc>
          <w:tcPr>
            <w:tcW w:w="1240" w:type="dxa"/>
            <w:vAlign w:val="bottom"/>
            <w:tcBorders>
              <w:top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20" w:type="dxa"/>
            <w:vAlign w:val="bottom"/>
            <w:tcBorders>
              <w:top w:val="single" w:sz="8" w:color="auto"/>
            </w:tcBorders>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162"/>
        </w:trPr>
        <w:tc>
          <w:tcPr>
            <w:tcW w:w="1300" w:type="dxa"/>
            <w:vAlign w:val="bottom"/>
            <w:tcBorders>
              <w:top w:val="single" w:sz="8" w:color="CCEEFF"/>
            </w:tcBorders>
            <w:shd w:val="clear" w:color="auto" w:fill="CCEEFF"/>
          </w:tcPr>
          <w:p>
            <w:pPr>
              <w:ind w:left="20"/>
              <w:spacing w:after="0" w:line="162" w:lineRule="exact"/>
              <w:rPr>
                <w:sz w:val="20"/>
                <w:szCs w:val="20"/>
                <w:color w:val="auto"/>
              </w:rPr>
            </w:pPr>
            <w:r>
              <w:rPr>
                <w:rFonts w:ascii="Times New Roman" w:cs="Times New Roman" w:eastAsia="Times New Roman" w:hAnsi="Times New Roman"/>
                <w:sz w:val="18"/>
                <w:szCs w:val="18"/>
                <w:color w:val="auto"/>
              </w:rPr>
              <w:t>Operating</w:t>
            </w:r>
          </w:p>
        </w:tc>
        <w:tc>
          <w:tcPr>
            <w:tcW w:w="18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r>
      <w:tr>
        <w:trPr>
          <w:trHeight w:val="243"/>
        </w:trPr>
        <w:tc>
          <w:tcPr>
            <w:tcW w:w="1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386,123</w:t>
            </w:r>
          </w:p>
        </w:tc>
        <w:tc>
          <w:tcPr>
            <w:tcW w:w="10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   1,128,384</w:t>
            </w:r>
          </w:p>
        </w:tc>
        <w:tc>
          <w:tcPr>
            <w:tcW w:w="10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(742,261)</w:t>
            </w:r>
          </w:p>
        </w:tc>
        <w:tc>
          <w:tcPr>
            <w:tcW w:w="100" w:type="dxa"/>
            <w:vAlign w:val="bottom"/>
            <w:shd w:val="clear" w:color="auto" w:fill="CCEEFF"/>
          </w:tcPr>
          <w:p>
            <w:pPr>
              <w:spacing w:after="0"/>
              <w:rPr>
                <w:sz w:val="21"/>
                <w:szCs w:val="21"/>
                <w:color w:val="auto"/>
              </w:rPr>
            </w:pPr>
          </w:p>
        </w:tc>
        <w:tc>
          <w:tcPr>
            <w:tcW w:w="12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(66)%  $</w:t>
            </w:r>
          </w:p>
        </w:tc>
        <w:tc>
          <w:tcPr>
            <w:tcW w:w="104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972,087</w:t>
            </w:r>
          </w:p>
        </w:tc>
        <w:tc>
          <w:tcPr>
            <w:tcW w:w="10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   2,259,204</w:t>
            </w:r>
          </w:p>
        </w:tc>
        <w:tc>
          <w:tcPr>
            <w:tcW w:w="8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(1,287,117)</w:t>
            </w:r>
          </w:p>
        </w:tc>
        <w:tc>
          <w:tcPr>
            <w:tcW w:w="8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175"/>
        </w:trPr>
        <w:tc>
          <w:tcPr>
            <w:tcW w:w="13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Operating</w:t>
            </w: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5"/>
        </w:trPr>
        <w:tc>
          <w:tcPr>
            <w:tcW w:w="13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income as a % of</w:t>
            </w: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243"/>
        </w:trPr>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17.9 %</w:t>
            </w: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34.6 %</w:t>
            </w: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20.8 %</w:t>
            </w: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34.7 %</w:t>
            </w:r>
          </w:p>
        </w:tc>
        <w:tc>
          <w:tcPr>
            <w:tcW w:w="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20" w:type="dxa"/>
            <w:vAlign w:val="bottom"/>
          </w:tcPr>
          <w:p>
            <w:pPr>
              <w:spacing w:after="0"/>
              <w:rPr>
                <w:sz w:val="21"/>
                <w:szCs w:val="21"/>
                <w:color w:val="auto"/>
              </w:rPr>
            </w:pPr>
          </w:p>
        </w:tc>
      </w:tr>
    </w:tbl>
    <w:p>
      <w:pPr>
        <w:spacing w:after="0" w:line="225" w:lineRule="exact"/>
        <w:rPr>
          <w:sz w:val="20"/>
          <w:szCs w:val="20"/>
          <w:color w:val="auto"/>
        </w:rPr>
      </w:pPr>
    </w:p>
    <w:p>
      <w:pPr>
        <w:ind w:right="380" w:firstLine="445"/>
        <w:spacing w:after="0" w:line="282" w:lineRule="auto"/>
        <w:rPr>
          <w:sz w:val="20"/>
          <w:szCs w:val="20"/>
          <w:color w:val="auto"/>
        </w:rPr>
      </w:pPr>
      <w:r>
        <w:rPr>
          <w:rFonts w:ascii="Times New Roman" w:cs="Times New Roman" w:eastAsia="Times New Roman" w:hAnsi="Times New Roman"/>
          <w:sz w:val="18"/>
          <w:szCs w:val="18"/>
          <w:color w:val="auto"/>
        </w:rPr>
        <w:t>The year-over-year decrease in operating income in the three-month period ended May 4, 2024 was primarily the result of a decrease in revenue, which contributed to a decrease in gross margin of $964.5 million, partially offset by a decrease of $222.3 million in net operating expenses.</w:t>
      </w:r>
    </w:p>
    <w:p>
      <w:pPr>
        <w:spacing w:after="0" w:line="108" w:lineRule="exact"/>
        <w:rPr>
          <w:sz w:val="20"/>
          <w:szCs w:val="20"/>
          <w:color w:val="auto"/>
        </w:rPr>
      </w:pPr>
    </w:p>
    <w:p>
      <w:pPr>
        <w:ind w:right="40" w:firstLine="445"/>
        <w:spacing w:after="0" w:line="282" w:lineRule="auto"/>
        <w:rPr>
          <w:sz w:val="20"/>
          <w:szCs w:val="20"/>
          <w:color w:val="auto"/>
        </w:rPr>
      </w:pPr>
      <w:r>
        <w:rPr>
          <w:rFonts w:ascii="Times New Roman" w:cs="Times New Roman" w:eastAsia="Times New Roman" w:hAnsi="Times New Roman"/>
          <w:sz w:val="18"/>
          <w:szCs w:val="18"/>
          <w:color w:val="auto"/>
        </w:rPr>
        <w:t>The year-over-year decrease in operating income in the six-month period ended May 4, 2024 was primarily the result of a decrease in revenue, which contributed to a decrease in gross margin of $1,614.9 million, partially offset by a decrease of $327.8 million in net operating expenses.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2"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i w:val="1"/>
          <w:iCs w:val="1"/>
          <w:color w:val="auto"/>
        </w:rPr>
        <w:t>Nonoperating Expense (Income)</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3"/>
        </w:trPr>
        <w:tc>
          <w:tcPr>
            <w:tcW w:w="3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190"/>
        </w:trPr>
        <w:tc>
          <w:tcPr>
            <w:tcW w:w="36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May 4, 2024</w:t>
            </w: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April 29, 2023</w:t>
            </w:r>
          </w:p>
        </w:tc>
        <w:tc>
          <w:tcPr>
            <w:tcW w:w="2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May 4, 2024</w:t>
            </w:r>
          </w:p>
        </w:tc>
        <w:tc>
          <w:tcPr>
            <w:tcW w:w="14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April 29, 2023</w:t>
            </w:r>
          </w:p>
        </w:tc>
        <w:tc>
          <w:tcPr>
            <w:tcW w:w="2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29"/>
        </w:trPr>
        <w:tc>
          <w:tcPr>
            <w:tcW w:w="3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nonoperating expense (income)</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61,520</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40,461</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21,059</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134,066</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97,808</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36,258</w:t>
            </w:r>
          </w:p>
        </w:tc>
      </w:tr>
    </w:tbl>
    <w:p>
      <w:pPr>
        <w:spacing w:after="0" w:line="238" w:lineRule="exact"/>
        <w:rPr>
          <w:sz w:val="20"/>
          <w:szCs w:val="20"/>
          <w:color w:val="auto"/>
        </w:rPr>
      </w:pPr>
    </w:p>
    <w:p>
      <w:pPr>
        <w:ind w:right="120" w:firstLine="405"/>
        <w:spacing w:after="0" w:line="266" w:lineRule="auto"/>
        <w:rPr>
          <w:sz w:val="20"/>
          <w:szCs w:val="20"/>
          <w:color w:val="auto"/>
        </w:rPr>
      </w:pPr>
      <w:r>
        <w:rPr>
          <w:rFonts w:ascii="Times New Roman" w:cs="Times New Roman" w:eastAsia="Times New Roman" w:hAnsi="Times New Roman"/>
          <w:sz w:val="18"/>
          <w:szCs w:val="18"/>
          <w:color w:val="auto"/>
        </w:rPr>
        <w:t>The year-over-year increases in nonoperating expense (income) in the three- and six-month periods ended May 4, 2024, as compared to the same periods of the prior fiscal year, were primarily the result of higher interest expense related to our commercial paper obligations and higher interest rates on certain of our existing debt obligations.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Provision for Income Taxes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50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3"/>
        </w:trPr>
        <w:tc>
          <w:tcPr>
            <w:tcW w:w="3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190"/>
        </w:trPr>
        <w:tc>
          <w:tcPr>
            <w:tcW w:w="32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May 4, 2024</w:t>
            </w:r>
          </w:p>
        </w:tc>
        <w:tc>
          <w:tcPr>
            <w:tcW w:w="1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April 29, 2023</w:t>
            </w:r>
          </w:p>
        </w:tc>
        <w:tc>
          <w:tcPr>
            <w:tcW w:w="2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May 4, 2024</w:t>
            </w:r>
          </w:p>
        </w:tc>
        <w:tc>
          <w:tcPr>
            <w:tcW w:w="16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April 29, 2023</w:t>
            </w:r>
          </w:p>
        </w:tc>
        <w:tc>
          <w:tcPr>
            <w:tcW w:w="2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29"/>
        </w:trPr>
        <w:tc>
          <w:tcPr>
            <w:tcW w:w="3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22,361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110,267</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(87,906)</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73,052</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222,266</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(149,214)</w:t>
            </w:r>
          </w:p>
        </w:tc>
      </w:tr>
      <w:tr>
        <w:trPr>
          <w:trHeight w:val="234"/>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Effective income tax rate</w:t>
            </w:r>
          </w:p>
        </w:tc>
        <w:tc>
          <w:tcPr>
            <w:tcW w:w="1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6.9 %</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10.1 %</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8.7 %</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10.3 %</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r>
    </w:tbl>
    <w:p>
      <w:pPr>
        <w:spacing w:after="0" w:line="220" w:lineRule="exact"/>
        <w:rPr>
          <w:sz w:val="20"/>
          <w:szCs w:val="20"/>
          <w:color w:val="auto"/>
        </w:rPr>
      </w:pPr>
    </w:p>
    <w:p>
      <w:pPr>
        <w:ind w:right="80" w:firstLine="445"/>
        <w:spacing w:after="0" w:line="266" w:lineRule="auto"/>
        <w:rPr>
          <w:sz w:val="20"/>
          <w:szCs w:val="20"/>
          <w:color w:val="auto"/>
        </w:rPr>
      </w:pPr>
      <w:r>
        <w:rPr>
          <w:rFonts w:ascii="Times New Roman" w:cs="Times New Roman" w:eastAsia="Times New Roman" w:hAnsi="Times New Roman"/>
          <w:sz w:val="18"/>
          <w:szCs w:val="18"/>
          <w:color w:val="auto"/>
        </w:rPr>
        <w:t>The effective tax rates for the three- and six-month periods ended May 4, 2024 and April 29, 2023 were below the U.S. statutory tax rate of 21% due to lower statutory tax rates applicable to our operations in the foreign jurisdictions in which we earn income. Our pretax income for the three- and six-month periods ended May 4, 2024 and April 29, 2023 was primarily generated in Ireland at a tax rate of 12.5%.</w:t>
      </w:r>
    </w:p>
    <w:p>
      <w:pPr>
        <w:spacing w:after="0" w:line="120" w:lineRule="exact"/>
        <w:rPr>
          <w:sz w:val="20"/>
          <w:szCs w:val="20"/>
          <w:color w:val="auto"/>
        </w:rPr>
      </w:pPr>
    </w:p>
    <w:p>
      <w:pPr>
        <w:ind w:right="20" w:firstLine="445"/>
        <w:spacing w:after="0" w:line="284" w:lineRule="auto"/>
        <w:rPr>
          <w:sz w:val="20"/>
          <w:szCs w:val="20"/>
          <w:color w:val="auto"/>
        </w:rPr>
      </w:pPr>
      <w:r>
        <w:rPr>
          <w:rFonts w:ascii="Times New Roman" w:cs="Times New Roman" w:eastAsia="Times New Roman" w:hAnsi="Times New Roman"/>
          <w:sz w:val="18"/>
          <w:szCs w:val="18"/>
          <w:color w:val="auto"/>
        </w:rPr>
        <w:t xml:space="preserve">See Note 12,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in the Notes to Condensed Consolidated Financial Statements in Part I, Item 1 of this Quarterly Report on Form 10-Q for further discussion.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Income</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38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60" w:type="dxa"/>
            <w:vAlign w:val="bottom"/>
            <w:gridSpan w:val="4"/>
          </w:tcPr>
          <w:p>
            <w:pPr>
              <w:ind w:left="42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020" w:type="dxa"/>
            <w:vAlign w:val="bottom"/>
          </w:tcPr>
          <w:p>
            <w:pPr>
              <w:spacing w:after="0"/>
              <w:rPr>
                <w:sz w:val="16"/>
                <w:szCs w:val="16"/>
                <w:color w:val="auto"/>
              </w:rPr>
            </w:pPr>
          </w:p>
        </w:tc>
      </w:tr>
      <w:tr>
        <w:trPr>
          <w:trHeight w:val="23"/>
        </w:trPr>
        <w:tc>
          <w:tcPr>
            <w:tcW w:w="1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1280" w:type="dxa"/>
            <w:vAlign w:val="bottom"/>
            <w:gridSpan w:val="3"/>
          </w:tcPr>
          <w:p>
            <w:pPr>
              <w:spacing w:after="0"/>
              <w:rPr>
                <w:sz w:val="2"/>
                <w:szCs w:val="2"/>
                <w:color w:val="auto"/>
              </w:rPr>
            </w:pPr>
          </w:p>
        </w:tc>
        <w:tc>
          <w:tcPr>
            <w:tcW w:w="11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1240" w:type="dxa"/>
            <w:vAlign w:val="bottom"/>
            <w:gridSpan w:val="2"/>
          </w:tcPr>
          <w:p>
            <w:pPr>
              <w:spacing w:after="0"/>
              <w:rPr>
                <w:sz w:val="2"/>
                <w:szCs w:val="2"/>
                <w:color w:val="auto"/>
              </w:rPr>
            </w:pPr>
          </w:p>
        </w:tc>
        <w:tc>
          <w:tcPr>
            <w:tcW w:w="1020" w:type="dxa"/>
            <w:vAlign w:val="bottom"/>
          </w:tcPr>
          <w:p>
            <w:pPr>
              <w:spacing w:after="0"/>
              <w:rPr>
                <w:sz w:val="2"/>
                <w:szCs w:val="2"/>
                <w:color w:val="auto"/>
              </w:rPr>
            </w:pPr>
          </w:p>
        </w:tc>
      </w:tr>
      <w:tr>
        <w:trPr>
          <w:trHeight w:val="190"/>
        </w:trPr>
        <w:tc>
          <w:tcPr>
            <w:tcW w:w="13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May 4, 2024</w:t>
            </w:r>
          </w:p>
        </w:tc>
        <w:tc>
          <w:tcPr>
            <w:tcW w:w="16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April 29, 2023</w:t>
            </w:r>
          </w:p>
        </w:tc>
        <w:tc>
          <w:tcPr>
            <w:tcW w:w="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20" w:type="dxa"/>
            <w:vAlign w:val="bottom"/>
            <w:tcBorders>
              <w:top w:val="single" w:sz="8" w:color="auto"/>
            </w:tcBorders>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May 4, 2024</w:t>
            </w:r>
          </w:p>
        </w:tc>
        <w:tc>
          <w:tcPr>
            <w:tcW w:w="16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April 29, 2023</w:t>
            </w:r>
          </w:p>
        </w:tc>
        <w:tc>
          <w:tcPr>
            <w:tcW w:w="1240" w:type="dxa"/>
            <w:vAlign w:val="bottom"/>
            <w:tcBorders>
              <w:top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20" w:type="dxa"/>
            <w:vAlign w:val="bottom"/>
            <w:tcBorders>
              <w:top w:val="single" w:sz="8" w:color="auto"/>
            </w:tcBorders>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29"/>
        </w:trPr>
        <w:tc>
          <w:tcPr>
            <w:tcW w:w="1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302,242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977,656</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(675,414)</w:t>
            </w:r>
          </w:p>
        </w:tc>
        <w:tc>
          <w:tcPr>
            <w:tcW w:w="10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764,969</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1,939,130</w:t>
            </w:r>
          </w:p>
        </w:tc>
        <w:tc>
          <w:tcPr>
            <w:tcW w:w="8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(1,174,161)</w:t>
            </w:r>
          </w:p>
        </w:tc>
        <w:tc>
          <w:tcPr>
            <w:tcW w:w="10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184"/>
        </w:trPr>
        <w:tc>
          <w:tcPr>
            <w:tcW w:w="13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Net income as a</w:t>
            </w: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34"/>
        </w:trPr>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of revenue</w:t>
            </w: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14.0 %</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30.0 %</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16.4 %</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29.8 %</w:t>
            </w: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29"/>
        </w:trPr>
        <w:tc>
          <w:tcPr>
            <w:tcW w:w="1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EPS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0.61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1.92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1.53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3.80</w:t>
            </w:r>
          </w:p>
        </w:tc>
        <w:tc>
          <w:tcPr>
            <w:tcW w:w="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bl>
    <w:p>
      <w:pPr>
        <w:spacing w:after="0" w:line="238" w:lineRule="exact"/>
        <w:rPr>
          <w:sz w:val="20"/>
          <w:szCs w:val="20"/>
          <w:color w:val="auto"/>
        </w:rPr>
      </w:pPr>
    </w:p>
    <w:p>
      <w:pPr>
        <w:ind w:right="80" w:firstLine="445"/>
        <w:spacing w:after="0" w:line="266" w:lineRule="auto"/>
        <w:rPr>
          <w:sz w:val="20"/>
          <w:szCs w:val="20"/>
          <w:color w:val="auto"/>
        </w:rPr>
      </w:pPr>
      <w:r>
        <w:rPr>
          <w:rFonts w:ascii="Times New Roman" w:cs="Times New Roman" w:eastAsia="Times New Roman" w:hAnsi="Times New Roman"/>
          <w:sz w:val="18"/>
          <w:szCs w:val="18"/>
          <w:color w:val="auto"/>
        </w:rPr>
        <w:t>Net income decreased in the three-month period ended May 4, 2024, as compared to the same period of the prior fiscal year, as the result of a $742.3 million decrease in operating income and a $21.1 million increase in nonoperating expense (income), partially offset by a $87.9 million decrease in provision for income taxes.</w:t>
      </w:r>
    </w:p>
    <w:p>
      <w:pPr>
        <w:spacing w:after="0" w:line="122" w:lineRule="exact"/>
        <w:rPr>
          <w:sz w:val="20"/>
          <w:szCs w:val="20"/>
          <w:color w:val="auto"/>
        </w:rPr>
      </w:pPr>
    </w:p>
    <w:p>
      <w:pPr>
        <w:ind w:right="100" w:firstLine="445"/>
        <w:spacing w:after="0" w:line="266" w:lineRule="auto"/>
        <w:rPr>
          <w:sz w:val="20"/>
          <w:szCs w:val="20"/>
          <w:color w:val="auto"/>
        </w:rPr>
      </w:pPr>
      <w:r>
        <w:rPr>
          <w:rFonts w:ascii="Times New Roman" w:cs="Times New Roman" w:eastAsia="Times New Roman" w:hAnsi="Times New Roman"/>
          <w:sz w:val="18"/>
          <w:szCs w:val="18"/>
          <w:color w:val="auto"/>
        </w:rPr>
        <w:t>Net income decreased in the six-month period ended May 4, 2024, as compared to the same period of the prior fiscal year, as the result of a $1,287.1 million decrease in operating income and a $36.3 million increase in nonoperating expense (income), partially offset by a $149.2 million decrease in provision for income taxes.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right="20" w:firstLine="445"/>
        <w:spacing w:after="0" w:line="273" w:lineRule="auto"/>
        <w:rPr>
          <w:sz w:val="20"/>
          <w:szCs w:val="20"/>
          <w:color w:val="auto"/>
        </w:rPr>
      </w:pPr>
      <w:r>
        <w:rPr>
          <w:rFonts w:ascii="Times New Roman" w:cs="Times New Roman" w:eastAsia="Times New Roman" w:hAnsi="Times New Roman"/>
          <w:sz w:val="17"/>
          <w:szCs w:val="17"/>
          <w:color w:val="auto"/>
        </w:rPr>
        <w:t>At May 4, 2024, our principal source of liquidity was $2.4 billion of cash, cash equivalents and short-term investments, of which approximately $1.5 billion was held in the United States, and the balance of our cash, cash equivalents and short-term investments was held outside the United States in various foreign subsidiaries. We manage our worldwide cash requirements by, among other things, reviewing available funds held by our foreign subsidiaries and the cost effectiveness by which those funds can be accessed in the United States. We do not expect current regulatory restrictions or taxes on repatriation to have a material adverse effect on our overall liquidity, financial condition or results of operations. Our cash, cash equivalents and short-term investments consist of highly liquid investments, including money market funds and corporate obligations. We maintain these balances with counterparties with high credit ratings, and continually monitor the amount of credit exposure to any one issuer and diversify our investments in order to minimize our credit risk.</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8" w:right="339" w:bottom="1440" w:gutter="0" w:footer="0" w:header="0"/>
        </w:sectPr>
      </w:pPr>
    </w:p>
    <w:bookmarkStart w:id="21" w:name="page22"/>
    <w:bookmarkEnd w:id="21"/>
    <w:p>
      <w:pPr>
        <w:ind w:right="360" w:firstLine="445"/>
        <w:spacing w:after="0" w:line="263" w:lineRule="auto"/>
        <w:rPr>
          <w:sz w:val="20"/>
          <w:szCs w:val="20"/>
          <w:color w:val="auto"/>
        </w:rPr>
      </w:pPr>
      <w:r>
        <w:rPr>
          <w:rFonts w:ascii="Times New Roman" w:cs="Times New Roman" w:eastAsia="Times New Roman" w:hAnsi="Times New Roman"/>
          <w:sz w:val="18"/>
          <w:szCs w:val="18"/>
          <w:color w:val="auto"/>
        </w:rPr>
        <w:t>We believe that our existing sources of liquidity and cash expected to be generated from future operations, together with existing and anticipated available short- and long-term financing, will be sufficient to fund operations, capital expenditures, research and development efforts and dividend payments (if any) in the immediate future and for at least the next twelve months.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400" w:type="dxa"/>
            <w:vAlign w:val="bottom"/>
            <w:gridSpan w:val="4"/>
          </w:tcPr>
          <w:p>
            <w:pPr>
              <w:jc w:val="right"/>
              <w:ind w:right="1194"/>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3"/>
        </w:trPr>
        <w:tc>
          <w:tcPr>
            <w:tcW w:w="74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190"/>
        </w:trPr>
        <w:tc>
          <w:tcPr>
            <w:tcW w:w="7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May 4, 2024</w:t>
            </w:r>
          </w:p>
        </w:tc>
        <w:tc>
          <w:tcPr>
            <w:tcW w:w="300" w:type="dxa"/>
            <w:vAlign w:val="bottom"/>
          </w:tcPr>
          <w:p>
            <w:pPr>
              <w:spacing w:after="0"/>
              <w:rPr>
                <w:sz w:val="16"/>
                <w:szCs w:val="16"/>
                <w:color w:val="auto"/>
              </w:rPr>
            </w:pPr>
          </w:p>
        </w:tc>
        <w:tc>
          <w:tcPr>
            <w:tcW w:w="1560" w:type="dxa"/>
            <w:vAlign w:val="bottom"/>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April 29, 2023</w:t>
            </w:r>
          </w:p>
        </w:tc>
      </w:tr>
      <w:tr>
        <w:trPr>
          <w:trHeight w:val="229"/>
        </w:trPr>
        <w:tc>
          <w:tcPr>
            <w:tcW w:w="7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1,946,685</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top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2,487,886</w:t>
            </w:r>
          </w:p>
        </w:tc>
      </w:tr>
      <w:tr>
        <w:trPr>
          <w:trHeight w:val="229"/>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operations as a % of revenue</w:t>
            </w:r>
          </w:p>
        </w:tc>
        <w:tc>
          <w:tcPr>
            <w:tcW w:w="3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38 %</w:t>
            </w:r>
          </w:p>
        </w:tc>
      </w:tr>
      <w:tr>
        <w:trPr>
          <w:trHeight w:val="230"/>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for investing activities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(821,178)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(460,577)</w:t>
            </w:r>
          </w:p>
        </w:tc>
      </w:tr>
      <w:tr>
        <w:trPr>
          <w:trHeight w:val="234"/>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for financing activities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(143,873)</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(2,320,272)</w:t>
            </w:r>
          </w:p>
        </w:tc>
      </w:tr>
    </w:tbl>
    <w:p>
      <w:pPr>
        <w:spacing w:after="0" w:line="179" w:lineRule="exact"/>
        <w:rPr>
          <w:sz w:val="20"/>
          <w:szCs w:val="20"/>
          <w:color w:val="auto"/>
        </w:rPr>
      </w:pPr>
    </w:p>
    <w:p>
      <w:pPr>
        <w:ind w:right="340" w:firstLine="445"/>
        <w:spacing w:after="0" w:line="282" w:lineRule="auto"/>
        <w:rPr>
          <w:sz w:val="20"/>
          <w:szCs w:val="20"/>
          <w:color w:val="auto"/>
        </w:rPr>
      </w:pPr>
      <w:r>
        <w:rPr>
          <w:rFonts w:ascii="Times New Roman" w:cs="Times New Roman" w:eastAsia="Times New Roman" w:hAnsi="Times New Roman"/>
          <w:sz w:val="18"/>
          <w:szCs w:val="18"/>
          <w:color w:val="auto"/>
        </w:rPr>
        <w:t>The following changes contributed to the net change in cash and cash equivalents in the six-month period ended May 4, 2024 as compared to the same period in fiscal 2023.</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19" w:lineRule="exact"/>
        <w:rPr>
          <w:sz w:val="20"/>
          <w:szCs w:val="20"/>
          <w:color w:val="auto"/>
        </w:rPr>
      </w:pPr>
    </w:p>
    <w:p>
      <w:pPr>
        <w:ind w:firstLine="405"/>
        <w:spacing w:after="0" w:line="266" w:lineRule="auto"/>
        <w:rPr>
          <w:sz w:val="20"/>
          <w:szCs w:val="20"/>
          <w:color w:val="auto"/>
        </w:rPr>
      </w:pPr>
      <w:r>
        <w:rPr>
          <w:rFonts w:ascii="Times New Roman" w:cs="Times New Roman" w:eastAsia="Times New Roman" w:hAnsi="Times New Roman"/>
          <w:sz w:val="18"/>
          <w:szCs w:val="18"/>
          <w:color w:val="auto"/>
        </w:rPr>
        <w:t>Cash provided by operating activities is net income adjusted for certain non-cash items and changes in operating assets and liabilities. The decrease in cash provided by operating activities during the six-month period ended May 4, 2024, as compared to the same period of the prior fiscal year, was mainly the result of lower net income adjusted for noncash items offset by changes in working capital.</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19" w:lineRule="exact"/>
        <w:rPr>
          <w:sz w:val="20"/>
          <w:szCs w:val="20"/>
          <w:color w:val="auto"/>
        </w:rPr>
      </w:pPr>
    </w:p>
    <w:p>
      <w:pPr>
        <w:ind w:right="80" w:firstLine="405"/>
        <w:spacing w:after="0" w:line="266" w:lineRule="auto"/>
        <w:rPr>
          <w:sz w:val="20"/>
          <w:szCs w:val="20"/>
          <w:color w:val="auto"/>
        </w:rPr>
      </w:pPr>
      <w:r>
        <w:rPr>
          <w:rFonts w:ascii="Times New Roman" w:cs="Times New Roman" w:eastAsia="Times New Roman" w:hAnsi="Times New Roman"/>
          <w:sz w:val="18"/>
          <w:szCs w:val="18"/>
          <w:color w:val="auto"/>
        </w:rPr>
        <w:t>Investing cash flows generally consist of capital expenditures and cash used for acquisitions. The increase in cash used for investing activities during the six-month period ended May 4, 2024, as compared to the same period of the prior fiscal year, was primarily the result of the purchase of short-term available-for-sale investments, partially offset by a decrease in cash used for capital expenditures.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19" w:lineRule="exact"/>
        <w:rPr>
          <w:sz w:val="20"/>
          <w:szCs w:val="20"/>
          <w:color w:val="auto"/>
        </w:rPr>
      </w:pPr>
    </w:p>
    <w:p>
      <w:pPr>
        <w:ind w:right="80" w:firstLine="405"/>
        <w:spacing w:after="0" w:line="258" w:lineRule="auto"/>
        <w:rPr>
          <w:sz w:val="20"/>
          <w:szCs w:val="20"/>
          <w:color w:val="auto"/>
        </w:rPr>
      </w:pPr>
      <w:r>
        <w:rPr>
          <w:rFonts w:ascii="Times New Roman" w:cs="Times New Roman" w:eastAsia="Times New Roman" w:hAnsi="Times New Roman"/>
          <w:sz w:val="18"/>
          <w:szCs w:val="18"/>
          <w:color w:val="auto"/>
        </w:rPr>
        <w:t xml:space="preserve">Financing cash flows generally consist of payments of dividends to stockholders, repurchases of common stock, issuance and repayment of debt and proceeds from the sale of shares of common stock pursuant to employee equity incentive plans. The change in cash used for financing activities during the six-month period ended May 4, 2024, as compared to the same period of the prior fiscal year, was primarily the result of lower common stock repurchases and net proceeds from the issuance of debt during fiscal 2024. For additional information, see Note 11,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in the Notes to Condensed Consolidated Financial Statements in Part I, Item 1 of this Quarterly Report on Form 10-Q.</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Working Capital</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May 4, 2024</w:t>
            </w:r>
          </w:p>
        </w:tc>
        <w:tc>
          <w:tcPr>
            <w:tcW w:w="200" w:type="dxa"/>
            <w:vAlign w:val="bottom"/>
          </w:tcPr>
          <w:p>
            <w:pPr>
              <w:spacing w:after="0"/>
              <w:rPr>
                <w:sz w:val="16"/>
                <w:szCs w:val="16"/>
                <w:color w:val="auto"/>
              </w:rPr>
            </w:pPr>
          </w:p>
        </w:tc>
        <w:tc>
          <w:tcPr>
            <w:tcW w:w="15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October 28, 2023</w:t>
            </w:r>
          </w:p>
        </w:tc>
        <w:tc>
          <w:tcPr>
            <w:tcW w:w="200" w:type="dxa"/>
            <w:vAlign w:val="bottom"/>
          </w:tcPr>
          <w:p>
            <w:pPr>
              <w:spacing w:after="0"/>
              <w:rPr>
                <w:sz w:val="16"/>
                <w:szCs w:val="16"/>
                <w:color w:val="auto"/>
              </w:rPr>
            </w:pPr>
          </w:p>
        </w:tc>
        <w:tc>
          <w:tcPr>
            <w:tcW w:w="11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340" w:type="dxa"/>
            <w:vAlign w:val="bottom"/>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3"/>
        </w:trPr>
        <w:tc>
          <w:tcPr>
            <w:tcW w:w="50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23"/>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1,004,628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1,469,734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(465,106)</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30"/>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Days sales outstanding*</w:t>
            </w:r>
          </w:p>
        </w:tc>
        <w:tc>
          <w:tcPr>
            <w:tcW w:w="2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29"/>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Inventory</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1,479,081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1,642,214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(163,133)</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34"/>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Days cost of sales in inventory*</w:t>
            </w:r>
          </w:p>
        </w:tc>
        <w:tc>
          <w:tcPr>
            <w:tcW w:w="2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r>
    </w:tbl>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w:t>
      </w:r>
    </w:p>
    <w:p>
      <w:pPr>
        <w:spacing w:after="0" w:line="27" w:lineRule="exact"/>
        <w:rPr>
          <w:sz w:val="20"/>
          <w:szCs w:val="20"/>
          <w:color w:val="auto"/>
        </w:rPr>
      </w:pPr>
    </w:p>
    <w:p>
      <w:pPr>
        <w:ind w:left="380" w:right="220" w:hanging="332"/>
        <w:spacing w:after="0" w:line="293" w:lineRule="auto"/>
        <w:tabs>
          <w:tab w:leader="none" w:pos="38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use the average of the current quarter and prior quarter ending net accounts receivable and ending inventory balance in our calculation of days sales outstanding and days cost of sales in inventory, respectively.</w:t>
      </w:r>
    </w:p>
    <w:p>
      <w:pPr>
        <w:spacing w:after="0" w:line="42" w:lineRule="exact"/>
        <w:rPr>
          <w:sz w:val="20"/>
          <w:szCs w:val="20"/>
          <w:color w:val="auto"/>
        </w:rPr>
      </w:pPr>
    </w:p>
    <w:p>
      <w:pPr>
        <w:ind w:right="220" w:firstLine="445"/>
        <w:spacing w:after="0" w:line="282" w:lineRule="auto"/>
        <w:rPr>
          <w:sz w:val="20"/>
          <w:szCs w:val="20"/>
          <w:color w:val="auto"/>
        </w:rPr>
      </w:pPr>
      <w:r>
        <w:rPr>
          <w:rFonts w:ascii="Times New Roman" w:cs="Times New Roman" w:eastAsia="Times New Roman" w:hAnsi="Times New Roman"/>
          <w:sz w:val="18"/>
          <w:szCs w:val="18"/>
          <w:color w:val="auto"/>
        </w:rPr>
        <w:t>The decrease in accounts receivable in dollars was primarily the result of variations in the timing of collections and billings and decreased revenue levels in the second quarter of fiscal 2024 as compared to the fourth quarter of fiscal 2023.</w:t>
      </w:r>
    </w:p>
    <w:p>
      <w:pPr>
        <w:spacing w:after="0" w:line="54" w:lineRule="exact"/>
        <w:rPr>
          <w:sz w:val="20"/>
          <w:szCs w:val="20"/>
          <w:color w:val="auto"/>
        </w:rPr>
      </w:pPr>
    </w:p>
    <w:p>
      <w:pPr>
        <w:ind w:right="140" w:firstLine="445"/>
        <w:spacing w:after="0" w:line="282" w:lineRule="auto"/>
        <w:rPr>
          <w:sz w:val="20"/>
          <w:szCs w:val="20"/>
          <w:color w:val="auto"/>
        </w:rPr>
      </w:pPr>
      <w:r>
        <w:rPr>
          <w:rFonts w:ascii="Times New Roman" w:cs="Times New Roman" w:eastAsia="Times New Roman" w:hAnsi="Times New Roman"/>
          <w:sz w:val="18"/>
          <w:szCs w:val="18"/>
          <w:color w:val="auto"/>
        </w:rPr>
        <w:t>Inventory decreased primarily as a result of our efforts to balance manufacturing production, demand and inventory levels. Our inventory levels are impacted by our need to support forecasted sales demand and variations between those forecasts and actual demand.</w:t>
      </w:r>
    </w:p>
    <w:p>
      <w:pPr>
        <w:spacing w:after="0" w:line="54" w:lineRule="exact"/>
        <w:rPr>
          <w:sz w:val="20"/>
          <w:szCs w:val="20"/>
          <w:color w:val="auto"/>
        </w:rPr>
      </w:pPr>
    </w:p>
    <w:p>
      <w:pPr>
        <w:ind w:right="120" w:firstLine="445"/>
        <w:spacing w:after="0" w:line="282" w:lineRule="auto"/>
        <w:rPr>
          <w:sz w:val="20"/>
          <w:szCs w:val="20"/>
          <w:color w:val="auto"/>
        </w:rPr>
      </w:pPr>
      <w:r>
        <w:rPr>
          <w:rFonts w:ascii="Times New Roman" w:cs="Times New Roman" w:eastAsia="Times New Roman" w:hAnsi="Times New Roman"/>
          <w:sz w:val="18"/>
          <w:szCs w:val="18"/>
          <w:color w:val="auto"/>
        </w:rPr>
        <w:t>Current liabilities increased to $3,297.3 million at May 4, 2024 as compared to $3,201.0 million at the end of fiscal 2023 due to higher current debt, partially offset by lower accrued liabilities.</w:t>
      </w:r>
    </w:p>
    <w:p>
      <w:pPr>
        <w:spacing w:after="0" w:line="200" w:lineRule="exact"/>
        <w:rPr>
          <w:sz w:val="20"/>
          <w:szCs w:val="20"/>
          <w:color w:val="auto"/>
        </w:rPr>
      </w:pPr>
    </w:p>
    <w:p>
      <w:pPr>
        <w:spacing w:after="0" w:line="2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36"/>
        </w:trPr>
        <w:tc>
          <w:tcPr>
            <w:tcW w:w="4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Debt</w:t>
            </w:r>
          </w:p>
        </w:tc>
        <w:tc>
          <w:tcPr>
            <w:tcW w:w="86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324"/>
        </w:trPr>
        <w:tc>
          <w:tcPr>
            <w:tcW w:w="400" w:type="dxa"/>
            <w:vAlign w:val="bottom"/>
          </w:tcPr>
          <w:p>
            <w:pPr>
              <w:spacing w:after="0"/>
              <w:rPr>
                <w:sz w:val="24"/>
                <w:szCs w:val="24"/>
                <w:color w:val="auto"/>
              </w:rPr>
            </w:pPr>
          </w:p>
        </w:tc>
        <w:tc>
          <w:tcPr>
            <w:tcW w:w="86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As of May 4, 2024, our debt obligations consisted of the following:</w:t>
            </w:r>
          </w:p>
        </w:tc>
        <w:tc>
          <w:tcPr>
            <w:tcW w:w="44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202"/>
        </w:trPr>
        <w:tc>
          <w:tcPr>
            <w:tcW w:w="400" w:type="dxa"/>
            <w:vAlign w:val="bottom"/>
          </w:tcPr>
          <w:p>
            <w:pPr>
              <w:spacing w:after="0"/>
              <w:rPr>
                <w:sz w:val="17"/>
                <w:szCs w:val="17"/>
                <w:color w:val="auto"/>
              </w:rPr>
            </w:pPr>
          </w:p>
        </w:tc>
        <w:tc>
          <w:tcPr>
            <w:tcW w:w="8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7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b w:val="1"/>
                <w:bCs w:val="1"/>
                <w:color w:val="auto"/>
              </w:rPr>
              <w:t>Principal Amount</w:t>
            </w:r>
          </w:p>
        </w:tc>
      </w:tr>
      <w:tr>
        <w:trPr>
          <w:trHeight w:val="241"/>
        </w:trPr>
        <w:tc>
          <w:tcPr>
            <w:tcW w:w="400" w:type="dxa"/>
            <w:vAlign w:val="bottom"/>
            <w:tcBorders>
              <w:bottom w:val="single" w:sz="8" w:color="CCEEFF"/>
            </w:tcBorders>
          </w:tcPr>
          <w:p>
            <w:pPr>
              <w:spacing w:after="0"/>
              <w:rPr>
                <w:sz w:val="20"/>
                <w:szCs w:val="20"/>
                <w:color w:val="auto"/>
              </w:rPr>
            </w:pPr>
          </w:p>
        </w:tc>
        <w:tc>
          <w:tcPr>
            <w:tcW w:w="866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Outstanding</w:t>
            </w:r>
          </w:p>
        </w:tc>
      </w:tr>
      <w:tr>
        <w:trPr>
          <w:trHeight w:val="225"/>
        </w:trPr>
        <w:tc>
          <w:tcPr>
            <w:tcW w:w="9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paper notes</w:t>
            </w: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548,235</w:t>
            </w:r>
          </w:p>
        </w:tc>
      </w:tr>
      <w:tr>
        <w:trPr>
          <w:trHeight w:val="229"/>
        </w:trPr>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2024</w:t>
            </w:r>
          </w:p>
        </w:tc>
        <w:tc>
          <w:tcPr>
            <w:tcW w:w="8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Notes, due October 2024</w:t>
            </w:r>
          </w:p>
        </w:tc>
        <w:tc>
          <w:tcPr>
            <w:tcW w:w="4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w:t>
            </w:r>
          </w:p>
        </w:tc>
      </w:tr>
      <w:tr>
        <w:trPr>
          <w:trHeight w:val="229"/>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2025</w:t>
            </w:r>
          </w:p>
        </w:tc>
        <w:tc>
          <w:tcPr>
            <w:tcW w:w="8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Notes, due April 2025</w:t>
            </w:r>
          </w:p>
        </w:tc>
        <w:tc>
          <w:tcPr>
            <w:tcW w:w="4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r>
      <w:tr>
        <w:trPr>
          <w:trHeight w:val="230"/>
        </w:trPr>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2026</w:t>
            </w:r>
          </w:p>
        </w:tc>
        <w:tc>
          <w:tcPr>
            <w:tcW w:w="8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Notes, due December 2026</w:t>
            </w:r>
          </w:p>
        </w:tc>
        <w:tc>
          <w:tcPr>
            <w:tcW w:w="4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900,000</w:t>
            </w:r>
          </w:p>
        </w:tc>
      </w:tr>
      <w:tr>
        <w:trPr>
          <w:trHeight w:val="229"/>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2027</w:t>
            </w:r>
          </w:p>
        </w:tc>
        <w:tc>
          <w:tcPr>
            <w:tcW w:w="8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Notes, due June 2027</w:t>
            </w:r>
          </w:p>
        </w:tc>
        <w:tc>
          <w:tcPr>
            <w:tcW w:w="4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440,212</w:t>
            </w:r>
          </w:p>
        </w:tc>
      </w:tr>
      <w:tr>
        <w:trPr>
          <w:trHeight w:val="229"/>
        </w:trPr>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2028</w:t>
            </w:r>
          </w:p>
        </w:tc>
        <w:tc>
          <w:tcPr>
            <w:tcW w:w="8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Notes, due October 2028</w:t>
            </w:r>
          </w:p>
        </w:tc>
        <w:tc>
          <w:tcPr>
            <w:tcW w:w="4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750,000</w:t>
            </w:r>
          </w:p>
        </w:tc>
      </w:tr>
      <w:tr>
        <w:trPr>
          <w:trHeight w:val="230"/>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2031</w:t>
            </w:r>
          </w:p>
        </w:tc>
        <w:tc>
          <w:tcPr>
            <w:tcW w:w="8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Notes, due October 2031</w:t>
            </w:r>
          </w:p>
        </w:tc>
        <w:tc>
          <w:tcPr>
            <w:tcW w:w="4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w:t>
            </w:r>
          </w:p>
        </w:tc>
      </w:tr>
      <w:tr>
        <w:trPr>
          <w:trHeight w:val="229"/>
        </w:trPr>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2032</w:t>
            </w:r>
          </w:p>
        </w:tc>
        <w:tc>
          <w:tcPr>
            <w:tcW w:w="8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Notes, due October 2032</w:t>
            </w:r>
          </w:p>
        </w:tc>
        <w:tc>
          <w:tcPr>
            <w:tcW w:w="4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w:t>
            </w:r>
          </w:p>
        </w:tc>
      </w:tr>
      <w:tr>
        <w:trPr>
          <w:trHeight w:val="230"/>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2034</w:t>
            </w:r>
          </w:p>
        </w:tc>
        <w:tc>
          <w:tcPr>
            <w:tcW w:w="8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Notes, due April 2034</w:t>
            </w:r>
          </w:p>
        </w:tc>
        <w:tc>
          <w:tcPr>
            <w:tcW w:w="4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550,000</w:t>
            </w:r>
          </w:p>
        </w:tc>
      </w:tr>
      <w:tr>
        <w:trPr>
          <w:trHeight w:val="229"/>
        </w:trPr>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2036</w:t>
            </w:r>
          </w:p>
        </w:tc>
        <w:tc>
          <w:tcPr>
            <w:tcW w:w="8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Notes, due December 2036</w:t>
            </w:r>
          </w:p>
        </w:tc>
        <w:tc>
          <w:tcPr>
            <w:tcW w:w="4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144,278</w:t>
            </w:r>
          </w:p>
        </w:tc>
      </w:tr>
      <w:tr>
        <w:trPr>
          <w:trHeight w:val="229"/>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2041</w:t>
            </w:r>
          </w:p>
        </w:tc>
        <w:tc>
          <w:tcPr>
            <w:tcW w:w="8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Notes, due October 2041</w:t>
            </w:r>
          </w:p>
        </w:tc>
        <w:tc>
          <w:tcPr>
            <w:tcW w:w="4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750,000</w:t>
            </w:r>
          </w:p>
        </w:tc>
      </w:tr>
      <w:tr>
        <w:trPr>
          <w:trHeight w:val="230"/>
        </w:trPr>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2045</w:t>
            </w:r>
          </w:p>
        </w:tc>
        <w:tc>
          <w:tcPr>
            <w:tcW w:w="8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Notes, due December 2045</w:t>
            </w:r>
          </w:p>
        </w:tc>
        <w:tc>
          <w:tcPr>
            <w:tcW w:w="4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332,587</w:t>
            </w:r>
          </w:p>
        </w:tc>
      </w:tr>
      <w:tr>
        <w:trPr>
          <w:trHeight w:val="229"/>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2051</w:t>
            </w:r>
          </w:p>
        </w:tc>
        <w:tc>
          <w:tcPr>
            <w:tcW w:w="8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Notes, due October 2051</w:t>
            </w:r>
          </w:p>
        </w:tc>
        <w:tc>
          <w:tcPr>
            <w:tcW w:w="4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w:t>
            </w:r>
          </w:p>
        </w:tc>
      </w:tr>
      <w:tr>
        <w:trPr>
          <w:trHeight w:val="229"/>
        </w:trPr>
        <w:tc>
          <w:tcPr>
            <w:tcW w:w="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w w:val="99"/>
              </w:rPr>
              <w:t>2054</w:t>
            </w:r>
          </w:p>
        </w:tc>
        <w:tc>
          <w:tcPr>
            <w:tcW w:w="86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Notes, due April 2054</w:t>
            </w:r>
          </w:p>
        </w:tc>
        <w:tc>
          <w:tcPr>
            <w:tcW w:w="4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550,000</w:t>
            </w:r>
          </w:p>
        </w:tc>
      </w:tr>
      <w:tr>
        <w:trPr>
          <w:trHeight w:val="248"/>
        </w:trPr>
        <w:tc>
          <w:tcPr>
            <w:tcW w:w="90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debt</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8,165,312</w:t>
            </w:r>
          </w:p>
        </w:tc>
      </w:tr>
      <w:tr>
        <w:trPr>
          <w:trHeight w:val="20"/>
        </w:trPr>
        <w:tc>
          <w:tcPr>
            <w:tcW w:w="400" w:type="dxa"/>
            <w:vAlign w:val="bottom"/>
            <w:tcBorders>
              <w:top w:val="single" w:sz="8" w:color="CCEEFF"/>
            </w:tcBorders>
          </w:tcPr>
          <w:p>
            <w:pPr>
              <w:spacing w:after="0" w:line="20" w:lineRule="exact"/>
              <w:rPr>
                <w:sz w:val="1"/>
                <w:szCs w:val="1"/>
                <w:color w:val="auto"/>
              </w:rPr>
            </w:pPr>
          </w:p>
        </w:tc>
        <w:tc>
          <w:tcPr>
            <w:tcW w:w="86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140" w:firstLine="445"/>
        <w:spacing w:after="0" w:line="261" w:lineRule="auto"/>
        <w:rPr>
          <w:sz w:val="20"/>
          <w:szCs w:val="20"/>
          <w:color w:val="auto"/>
        </w:rPr>
      </w:pPr>
      <w:r>
        <w:rPr>
          <w:rFonts w:ascii="Times New Roman" w:cs="Times New Roman" w:eastAsia="Times New Roman" w:hAnsi="Times New Roman"/>
          <w:sz w:val="18"/>
          <w:szCs w:val="18"/>
          <w:color w:val="auto"/>
        </w:rPr>
        <w:t>The indentures governing our outstanding notes contain covenants that may limit our ability to: incur, create, assume or guarantee any debt for borrowed money secured by a lien upon a principal property; enter into sale and lease-back transactions with respect to a principal property; and consolidate with or merge into, or transfer or lease all or substantially all of our assets to, any other party. As of May 4, 2024, we were in compliance with these covenants.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Commercial Paper Program</w:t>
      </w:r>
    </w:p>
    <w:p>
      <w:pPr>
        <w:spacing w:after="0" w:line="92" w:lineRule="exact"/>
        <w:rPr>
          <w:sz w:val="20"/>
          <w:szCs w:val="20"/>
          <w:color w:val="auto"/>
        </w:rPr>
      </w:pPr>
    </w:p>
    <w:p>
      <w:pPr>
        <w:ind w:right="40" w:firstLine="405"/>
        <w:spacing w:after="0" w:line="258" w:lineRule="auto"/>
        <w:rPr>
          <w:sz w:val="20"/>
          <w:szCs w:val="20"/>
          <w:color w:val="auto"/>
        </w:rPr>
      </w:pPr>
      <w:r>
        <w:rPr>
          <w:rFonts w:ascii="Times New Roman" w:cs="Times New Roman" w:eastAsia="Times New Roman" w:hAnsi="Times New Roman"/>
          <w:sz w:val="18"/>
          <w:szCs w:val="18"/>
          <w:color w:val="auto"/>
        </w:rPr>
        <w:t>Under our commercial paper program, we may issue short-term, unsecured commercial paper notes in amounts up to a maximum aggregate face amount of $2.5 billion outstanding at any time, with maturities of up to 397 days from the date of issuance. As of May 4, 2024, we had $548.2 million of outstanding borrowings under the commercial paper program recorded in the Condensed Consolidated Balance Sheet. We use the net proceeds of the commercial paper program for general corporate purposes, including without limitation, repayment of indebtedness, stock repurchases, acquisitions, capital expenditures and working capital.</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Revolving Credit Facility</w:t>
      </w:r>
    </w:p>
    <w:p>
      <w:pPr>
        <w:spacing w:after="0" w:line="119" w:lineRule="exact"/>
        <w:rPr>
          <w:sz w:val="20"/>
          <w:szCs w:val="20"/>
          <w:color w:val="auto"/>
        </w:rPr>
      </w:pPr>
    </w:p>
    <w:p>
      <w:pPr>
        <w:ind w:right="140" w:firstLine="445"/>
        <w:spacing w:after="0" w:line="282" w:lineRule="auto"/>
        <w:rPr>
          <w:sz w:val="20"/>
          <w:szCs w:val="20"/>
          <w:color w:val="auto"/>
        </w:rPr>
      </w:pPr>
      <w:r>
        <w:rPr>
          <w:rFonts w:ascii="Times New Roman" w:cs="Times New Roman" w:eastAsia="Times New Roman" w:hAnsi="Times New Roman"/>
          <w:sz w:val="18"/>
          <w:szCs w:val="18"/>
          <w:color w:val="auto"/>
        </w:rPr>
        <w:t>Our Third Amended and Restated Revolving Credit Agreement, dated as of June 23, 2021 and as amended (Revolving Credit Agreement), provides for a five year unsecured revolving credit facility in an aggregate principal amount not to exceed $2.5 billion (subject to certain terms and conditions).</w:t>
      </w:r>
    </w:p>
    <w:p>
      <w:pPr>
        <w:spacing w:after="0" w:line="54" w:lineRule="exact"/>
        <w:rPr>
          <w:sz w:val="20"/>
          <w:szCs w:val="20"/>
          <w:color w:val="auto"/>
        </w:rPr>
      </w:pPr>
    </w:p>
    <w:p>
      <w:pPr>
        <w:ind w:right="180" w:firstLine="445"/>
        <w:spacing w:after="0" w:line="258" w:lineRule="auto"/>
        <w:rPr>
          <w:sz w:val="20"/>
          <w:szCs w:val="20"/>
          <w:color w:val="auto"/>
        </w:rPr>
      </w:pPr>
      <w:r>
        <w:rPr>
          <w:rFonts w:ascii="Times New Roman" w:cs="Times New Roman" w:eastAsia="Times New Roman" w:hAnsi="Times New Roman"/>
          <w:sz w:val="18"/>
          <w:szCs w:val="18"/>
          <w:color w:val="auto"/>
        </w:rPr>
        <w:t>We may borrow under this revolving credit facility in the future and use the proceeds for repayment of existing indebtedness, stock repurchases, acquisitions, capital expenditures, working capital and other lawful corporate purposes. The terms of the Revolving Credit Agreement impose restrictions on our ability to undertake certain transactions, to create certain liens on assets and to incur certain subsidiary indebtedness. In addition, the Revolving Credit Agreement contains a consolidated leverage ratio covenant of total consolidated funded debt to consolidated earnings before interest, taxes, depreciation, and amortization (EBITDA) of not greater than 3.5 to 1.0. As of May 4, 2024, we were in compliance with these covenants.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8"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i w:val="1"/>
          <w:iCs w:val="1"/>
          <w:color w:val="auto"/>
        </w:rPr>
        <w:t>Stock Repurchase Program</w:t>
      </w:r>
    </w:p>
    <w:p>
      <w:pPr>
        <w:spacing w:after="0" w:line="119" w:lineRule="exact"/>
        <w:rPr>
          <w:sz w:val="20"/>
          <w:szCs w:val="20"/>
          <w:color w:val="auto"/>
        </w:rPr>
      </w:pPr>
    </w:p>
    <w:p>
      <w:pPr>
        <w:ind w:right="140" w:firstLine="405"/>
        <w:spacing w:after="0" w:line="256" w:lineRule="auto"/>
        <w:rPr>
          <w:sz w:val="20"/>
          <w:szCs w:val="20"/>
          <w:color w:val="auto"/>
        </w:rPr>
      </w:pPr>
      <w:r>
        <w:rPr>
          <w:rFonts w:ascii="Times New Roman" w:cs="Times New Roman" w:eastAsia="Times New Roman" w:hAnsi="Times New Roman"/>
          <w:sz w:val="18"/>
          <w:szCs w:val="18"/>
          <w:color w:val="auto"/>
        </w:rPr>
        <w:t>In the aggregate, our Board of Directors has authorized us to repurchase $16.7 billion of our common stock under our common stock repurchase program. Unless terminated earlier by resolution of our Board of Directors, the repurchase program will expire when we have repurchased all shares authorized under the program. As of May 4, 2024, an additional $1.8 billion remains available for repurchase under the current authorized program. The repurchased shares are held as authorized but unissued shares of common stock. We also repurchase shares in settlement of employee tax withholding obligations due upon the vesting of restricted stock units/awards or the exercise of stock options as well as for our employee stock purchase plan. Future repurchases of common stock will be dependent upon our financial position, results of operations, outlook, liquidity and other factors we deem relevant.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Capital Expenditures</w:t>
      </w:r>
    </w:p>
    <w:p>
      <w:pPr>
        <w:spacing w:after="0" w:line="106" w:lineRule="exact"/>
        <w:rPr>
          <w:sz w:val="20"/>
          <w:szCs w:val="20"/>
          <w:color w:val="auto"/>
        </w:rPr>
      </w:pPr>
    </w:p>
    <w:p>
      <w:pPr>
        <w:ind w:firstLine="445"/>
        <w:spacing w:after="0" w:line="266" w:lineRule="auto"/>
        <w:rPr>
          <w:sz w:val="20"/>
          <w:szCs w:val="20"/>
          <w:color w:val="auto"/>
        </w:rPr>
      </w:pPr>
      <w:r>
        <w:rPr>
          <w:rFonts w:ascii="Times New Roman" w:cs="Times New Roman" w:eastAsia="Times New Roman" w:hAnsi="Times New Roman"/>
          <w:sz w:val="18"/>
          <w:szCs w:val="18"/>
          <w:color w:val="auto"/>
        </w:rPr>
        <w:t>Net additions to property, plant and equipment were $411.2 million in the first six months of fiscal 2024. We expect capital expenditures for fiscal 2024 to be between approximately $600 million and $800 million. These capital expenditures will be funded with a combination of cash on hand and cash expected to be generated from future operations, together with existing and anticipated available short- and long-term financing.</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119" w:lineRule="exact"/>
        <w:rPr>
          <w:sz w:val="20"/>
          <w:szCs w:val="20"/>
          <w:color w:val="auto"/>
        </w:rPr>
      </w:pPr>
    </w:p>
    <w:p>
      <w:pPr>
        <w:ind w:right="120" w:firstLine="445"/>
        <w:spacing w:after="0" w:line="258" w:lineRule="auto"/>
        <w:rPr>
          <w:sz w:val="20"/>
          <w:szCs w:val="20"/>
          <w:color w:val="auto"/>
        </w:rPr>
      </w:pPr>
      <w:r>
        <w:rPr>
          <w:rFonts w:ascii="Times New Roman" w:cs="Times New Roman" w:eastAsia="Times New Roman" w:hAnsi="Times New Roman"/>
          <w:sz w:val="18"/>
          <w:szCs w:val="18"/>
          <w:color w:val="auto"/>
        </w:rPr>
        <w:t>On May 21, 2024, our Board of Directors declared a cash dividend of $0.92 per outstanding share of common stock. The dividend will be paid on June 17, 2024 to all shareholders of record at the close of business on June 4, 2024 and is expected to total approximately $456.5 million. We currently expect quarterly dividends to continue in future periods. The payment of any future quarterly dividends, or a future increase in the quarterly dividend amount, will be at the discretion of the Board of Directors and will be dependent upon our financial position, results of operations, outlook, liquidity and other factors deemed relevant by the Board of Directors.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121" w:lineRule="exact"/>
        <w:rPr>
          <w:sz w:val="20"/>
          <w:szCs w:val="20"/>
          <w:color w:val="auto"/>
        </w:rPr>
      </w:pPr>
    </w:p>
    <w:p>
      <w:pPr>
        <w:ind w:right="140" w:firstLine="405"/>
        <w:spacing w:after="0" w:line="261" w:lineRule="auto"/>
        <w:rPr>
          <w:sz w:val="20"/>
          <w:szCs w:val="20"/>
          <w:color w:val="auto"/>
        </w:rPr>
      </w:pPr>
      <w:r>
        <w:rPr>
          <w:rFonts w:ascii="Times New Roman" w:cs="Times New Roman" w:eastAsia="Times New Roman" w:hAnsi="Times New Roman"/>
          <w:sz w:val="18"/>
          <w:szCs w:val="18"/>
          <w:color w:val="auto"/>
        </w:rPr>
        <w:t xml:space="preserve">In the second quarter of fiscal 2024, we issued $550.0 million aggregate principal amount of 5.050% senior unsecured notes due April 1, 2034 and $550.0 million aggregate principal amount of 5.300% senior unsecured notes due April 1, 2054. The 2034 Notes and the 2054 Notes have semi-annual fixed interest payments due on April 1 and October 1 of each year, commencing October 1, 2024. For additional information, see Note 11,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in the Notes to Condensed Consolidated Financial Statements in Part I, Item 1 of this Quarterly Report on Form 10-Q.</w:t>
      </w:r>
    </w:p>
    <w:p>
      <w:pPr>
        <w:spacing w:after="0" w:line="72" w:lineRule="exact"/>
        <w:rPr>
          <w:sz w:val="20"/>
          <w:szCs w:val="20"/>
          <w:color w:val="auto"/>
        </w:rPr>
      </w:pPr>
    </w:p>
    <w:p>
      <w:pPr>
        <w:ind w:right="100" w:firstLine="405"/>
        <w:spacing w:after="0" w:line="282" w:lineRule="auto"/>
        <w:rPr>
          <w:sz w:val="20"/>
          <w:szCs w:val="20"/>
          <w:color w:val="auto"/>
        </w:rPr>
      </w:pPr>
      <w:r>
        <w:rPr>
          <w:rFonts w:ascii="Times New Roman" w:cs="Times New Roman" w:eastAsia="Times New Roman" w:hAnsi="Times New Roman"/>
          <w:sz w:val="18"/>
          <w:szCs w:val="18"/>
          <w:color w:val="auto"/>
        </w:rPr>
        <w:t>There have not been any other material changes during the six-month period ended May 4, 2024 to the amounts presented in the table summarizing our contractual obligations included in our Annual Report on Form 10-K for the fiscal year ended October 28, 2023.</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Pronouncements</w:t>
      </w:r>
    </w:p>
    <w:p>
      <w:pPr>
        <w:spacing w:after="0" w:line="121" w:lineRule="exact"/>
        <w:rPr>
          <w:sz w:val="20"/>
          <w:szCs w:val="20"/>
          <w:color w:val="auto"/>
        </w:rPr>
      </w:pPr>
    </w:p>
    <w:p>
      <w:pPr>
        <w:ind w:firstLine="445"/>
        <w:spacing w:after="0" w:line="258" w:lineRule="auto"/>
        <w:rPr>
          <w:sz w:val="20"/>
          <w:szCs w:val="20"/>
          <w:color w:val="auto"/>
        </w:rPr>
      </w:pPr>
      <w:r>
        <w:rPr>
          <w:rFonts w:ascii="Times New Roman" w:cs="Times New Roman" w:eastAsia="Times New Roman" w:hAnsi="Times New Roman"/>
          <w:sz w:val="18"/>
          <w:szCs w:val="18"/>
          <w:color w:val="auto"/>
        </w:rPr>
        <w:t xml:space="preserve">From time to time, new accounting pronouncements are issued by the Financial Accounting Standards Board that are adopted by us as of the specified effective date. Unless otherwise discussed, management believes that the impact of recently issued standards will not have a material impact on our future financial condition and results of operations. See Note 13, </w:t>
      </w:r>
      <w:r>
        <w:rPr>
          <w:rFonts w:ascii="Times New Roman" w:cs="Times New Roman" w:eastAsia="Times New Roman" w:hAnsi="Times New Roman"/>
          <w:sz w:val="18"/>
          <w:szCs w:val="18"/>
          <w:i w:val="1"/>
          <w:iCs w:val="1"/>
          <w:color w:val="auto"/>
        </w:rPr>
        <w:t>New Accounting Pronouncements,</w:t>
      </w:r>
      <w:r>
        <w:rPr>
          <w:rFonts w:ascii="Times New Roman" w:cs="Times New Roman" w:eastAsia="Times New Roman" w:hAnsi="Times New Roman"/>
          <w:sz w:val="18"/>
          <w:szCs w:val="18"/>
          <w:color w:val="auto"/>
        </w:rPr>
        <w:t xml:space="preserve"> in the Notes to Condensed Consolidated Financial Statements in Part I, Item 1 of this Quarterly Report on Form 10-Q for a description of recently issued and adopted accounting pronouncements, including the dates of adoption and impact on our historical financial condition and results of operations.</w:t>
      </w:r>
    </w:p>
    <w:p>
      <w:pPr>
        <w:spacing w:after="0" w:line="200" w:lineRule="exact"/>
        <w:rPr>
          <w:sz w:val="20"/>
          <w:szCs w:val="20"/>
          <w:color w:val="auto"/>
        </w:rPr>
      </w:pPr>
    </w:p>
    <w:p>
      <w:pPr>
        <w:spacing w:after="0" w:line="3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118" w:right="459" w:bottom="1440" w:gutter="0" w:footer="0" w:header="0"/>
        </w:sectPr>
      </w:pPr>
    </w:p>
    <w:bookmarkStart w:id="24" w:name="page25"/>
    <w:bookmarkEnd w:id="24"/>
    <w:p>
      <w:pPr>
        <w:ind w:left="2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16" w:lineRule="exact"/>
        <w:rPr>
          <w:sz w:val="20"/>
          <w:szCs w:val="20"/>
          <w:color w:val="auto"/>
        </w:rPr>
      </w:pPr>
    </w:p>
    <w:p>
      <w:pPr>
        <w:ind w:right="820" w:firstLine="445"/>
        <w:spacing w:after="0" w:line="271" w:lineRule="auto"/>
        <w:rPr>
          <w:sz w:val="20"/>
          <w:szCs w:val="20"/>
          <w:color w:val="auto"/>
        </w:rPr>
      </w:pPr>
      <w:r>
        <w:rPr>
          <w:rFonts w:ascii="Times New Roman" w:cs="Times New Roman" w:eastAsia="Times New Roman" w:hAnsi="Times New Roman"/>
          <w:sz w:val="18"/>
          <w:szCs w:val="18"/>
          <w:color w:val="auto"/>
        </w:rPr>
        <w:t>There were no material changes in the six-month period ended May 4, 2024 to the information provided under Item 7A. “Quantitative and Qualitative Disclosures about Market Risk,” set forth in our Annual Report on Form 10-K for the fiscal year ended October 28, 2023</w:t>
      </w:r>
      <w:r>
        <w:rPr>
          <w:rFonts w:ascii="Times New Roman" w:cs="Times New Roman" w:eastAsia="Times New Roman" w:hAnsi="Times New Roman"/>
          <w:sz w:val="18"/>
          <w:szCs w:val="18"/>
          <w:color w:val="EE2724"/>
        </w:rPr>
        <w:t>.</w:t>
      </w:r>
    </w:p>
    <w:p>
      <w:pPr>
        <w:spacing w:after="0" w:line="1" w:lineRule="exact"/>
        <w:rPr>
          <w:sz w:val="20"/>
          <w:szCs w:val="20"/>
          <w:color w:val="auto"/>
        </w:rPr>
      </w:pPr>
    </w:p>
    <w:p>
      <w:pPr>
        <w:ind w:left="2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27" w:lineRule="exact"/>
        <w:rPr>
          <w:sz w:val="20"/>
          <w:szCs w:val="20"/>
          <w:color w:val="auto"/>
        </w:rPr>
      </w:pPr>
    </w:p>
    <w:p>
      <w:pPr>
        <w:ind w:firstLine="8"/>
        <w:spacing w:after="0" w:line="253" w:lineRule="auto"/>
        <w:tabs>
          <w:tab w:leader="none" w:pos="24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Evaluation of Disclosure Controls and Procedures</w:t>
      </w:r>
      <w:r>
        <w:rPr>
          <w:rFonts w:ascii="Times New Roman" w:cs="Times New Roman" w:eastAsia="Times New Roman" w:hAnsi="Times New Roman"/>
          <w:sz w:val="18"/>
          <w:szCs w:val="18"/>
          <w:color w:val="auto"/>
        </w:rPr>
        <w:t>. Our management, with the participation of our Chief Executive Officer and Chief Financial Officer,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evaluated the effectiveness of our disclosure controls and procedures as of May 4, 2024. The term “disclosure controls and procedures,” as defined in Rules 13a-15(e) and 15d-15(e) under the Securities Exchange Act of 1934, as amended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Securities and Exchange Commission's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May 4, 2024, our Chief Executive Officer and Chief Financial Officer concluded that, as of such date, our disclosure controls and procedures were effective at the reasonable assurance level.</w:t>
      </w:r>
    </w:p>
    <w:p>
      <w:pPr>
        <w:spacing w:after="0" w:line="9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Changes in Internal Control over Financial Reporting. </w:t>
      </w:r>
      <w:r>
        <w:rPr>
          <w:rFonts w:ascii="Times New Roman" w:cs="Times New Roman" w:eastAsia="Times New Roman" w:hAnsi="Times New Roman"/>
          <w:sz w:val="18"/>
          <w:szCs w:val="18"/>
          <w:color w:val="auto"/>
        </w:rPr>
        <w:t>No change in our internal control over financial reporting (as defined in Rules 13a-15(f) and</w:t>
      </w:r>
    </w:p>
    <w:p>
      <w:pPr>
        <w:spacing w:after="0" w:line="29" w:lineRule="exact"/>
        <w:rPr>
          <w:rFonts w:ascii="Times New Roman" w:cs="Times New Roman" w:eastAsia="Times New Roman" w:hAnsi="Times New Roman"/>
          <w:sz w:val="18"/>
          <w:szCs w:val="18"/>
          <w:color w:val="auto"/>
        </w:rPr>
      </w:pPr>
    </w:p>
    <w:p>
      <w:pPr>
        <w:ind w:right="10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15d-15(f) under the Exchange Act) occurred during the quarter ended May 4, 2024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49" w:right="359" w:bottom="1440" w:gutter="0" w:footer="0" w:header="0"/>
        </w:sectPr>
      </w:pPr>
    </w:p>
    <w:bookmarkStart w:id="25" w:name="page26"/>
    <w:bookmarkEnd w:id="25"/>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50" w:lineRule="exact"/>
        <w:rPr>
          <w:sz w:val="20"/>
          <w:szCs w:val="20"/>
          <w:color w:val="auto"/>
        </w:rPr>
      </w:pPr>
    </w:p>
    <w:p>
      <w:pPr>
        <w:ind w:left="2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27" w:lineRule="exact"/>
        <w:rPr>
          <w:sz w:val="20"/>
          <w:szCs w:val="20"/>
          <w:color w:val="auto"/>
        </w:rPr>
      </w:pPr>
    </w:p>
    <w:p>
      <w:pPr>
        <w:ind w:right="280" w:firstLine="445"/>
        <w:spacing w:after="0" w:line="284" w:lineRule="auto"/>
        <w:rPr>
          <w:sz w:val="20"/>
          <w:szCs w:val="20"/>
          <w:color w:val="auto"/>
        </w:rPr>
      </w:pPr>
      <w:r>
        <w:rPr>
          <w:rFonts w:ascii="Times New Roman" w:cs="Times New Roman" w:eastAsia="Times New Roman" w:hAnsi="Times New Roman"/>
          <w:sz w:val="18"/>
          <w:szCs w:val="18"/>
          <w:color w:val="auto"/>
        </w:rPr>
        <w:t xml:space="preserve">The information required by this Item is provided in Note 6,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of the Notes to Condensed Consolidated Financial Statements in Part I, Item 1 of this Quarterly Report on Form 10-Q.</w:t>
      </w:r>
    </w:p>
    <w:p>
      <w:pPr>
        <w:spacing w:after="0" w:line="102" w:lineRule="exact"/>
        <w:rPr>
          <w:sz w:val="20"/>
          <w:szCs w:val="20"/>
          <w:color w:val="auto"/>
        </w:rPr>
      </w:pPr>
    </w:p>
    <w:p>
      <w:pPr>
        <w:ind w:left="2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229"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We are subject to a number of risks that could adversely affect our business, results of operations, financial condition and future prospects, including those identified in Part I, Item 1A, “Risk Factors” of our Annual Report on Form 10-K for the fiscal year ended October 28, 2023, which was filed with the Securities and Exchange Commission on November 21, 2023.</w:t>
      </w:r>
    </w:p>
    <w:p>
      <w:pPr>
        <w:spacing w:after="0" w:line="200" w:lineRule="exact"/>
        <w:rPr>
          <w:sz w:val="20"/>
          <w:szCs w:val="20"/>
          <w:color w:val="auto"/>
        </w:rPr>
      </w:pPr>
    </w:p>
    <w:p>
      <w:pPr>
        <w:spacing w:after="0" w:line="3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08" w:right="37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38"/>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ITEM 2.</w:t>
            </w:r>
          </w:p>
        </w:tc>
        <w:tc>
          <w:tcPr>
            <w:tcW w:w="5060" w:type="dxa"/>
            <w:vAlign w:val="bottom"/>
            <w:gridSpan w:val="2"/>
          </w:tcPr>
          <w:p>
            <w:pPr>
              <w:jc w:val="right"/>
              <w:ind w:right="138"/>
              <w:spacing w:after="0"/>
              <w:rPr>
                <w:sz w:val="20"/>
                <w:szCs w:val="20"/>
                <w:color w:val="auto"/>
              </w:rPr>
            </w:pPr>
            <w:r>
              <w:rPr>
                <w:rFonts w:ascii="Times New Roman" w:cs="Times New Roman" w:eastAsia="Times New Roman" w:hAnsi="Times New Roman"/>
                <w:sz w:val="18"/>
                <w:szCs w:val="18"/>
                <w:b w:val="1"/>
                <w:bCs w:val="1"/>
                <w:color w:val="auto"/>
              </w:rPr>
              <w:t>Unregistered Sales of Equity Securities and Use of Proceeds</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4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980" w:type="dxa"/>
            <w:vAlign w:val="bottom"/>
          </w:tcPr>
          <w:p>
            <w:pPr>
              <w:spacing w:after="0"/>
              <w:rPr>
                <w:sz w:val="22"/>
                <w:szCs w:val="22"/>
                <w:color w:val="auto"/>
              </w:rPr>
            </w:pPr>
          </w:p>
        </w:tc>
        <w:tc>
          <w:tcPr>
            <w:tcW w:w="346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7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Total Number of</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80" w:type="dxa"/>
            <w:vAlign w:val="bottom"/>
          </w:tcPr>
          <w:p>
            <w:pPr>
              <w:jc w:val="center"/>
              <w:ind w:right="101"/>
              <w:spacing w:after="0"/>
              <w:rPr>
                <w:sz w:val="20"/>
                <w:szCs w:val="20"/>
                <w:color w:val="auto"/>
              </w:rPr>
            </w:pPr>
            <w:r>
              <w:rPr>
                <w:rFonts w:ascii="Times New Roman" w:cs="Times New Roman" w:eastAsia="Times New Roman" w:hAnsi="Times New Roman"/>
                <w:sz w:val="14"/>
                <w:szCs w:val="14"/>
                <w:b w:val="1"/>
                <w:bCs w:val="1"/>
                <w:color w:val="auto"/>
              </w:rPr>
              <w:t>Approximate Dollar</w:t>
            </w:r>
          </w:p>
        </w:tc>
        <w:tc>
          <w:tcPr>
            <w:tcW w:w="0" w:type="dxa"/>
            <w:vAlign w:val="bottom"/>
          </w:tcPr>
          <w:p>
            <w:pPr>
              <w:spacing w:after="0"/>
              <w:rPr>
                <w:sz w:val="1"/>
                <w:szCs w:val="1"/>
                <w:color w:val="auto"/>
              </w:rPr>
            </w:pPr>
          </w:p>
        </w:tc>
      </w:tr>
      <w:tr>
        <w:trPr>
          <w:trHeight w:val="146"/>
        </w:trPr>
        <w:tc>
          <w:tcPr>
            <w:tcW w:w="98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tcPr>
          <w:p>
            <w:pPr>
              <w:jc w:val="center"/>
              <w:ind w:right="101"/>
              <w:spacing w:after="0" w:line="146" w:lineRule="exact"/>
              <w:rPr>
                <w:sz w:val="20"/>
                <w:szCs w:val="20"/>
                <w:color w:val="auto"/>
              </w:rPr>
            </w:pPr>
            <w:r>
              <w:rPr>
                <w:rFonts w:ascii="Times New Roman" w:cs="Times New Roman" w:eastAsia="Times New Roman" w:hAnsi="Times New Roman"/>
                <w:sz w:val="14"/>
                <w:szCs w:val="14"/>
                <w:b w:val="1"/>
                <w:bCs w:val="1"/>
                <w:color w:val="auto"/>
              </w:rPr>
              <w:t>Value of Shares that</w:t>
            </w:r>
          </w:p>
        </w:tc>
        <w:tc>
          <w:tcPr>
            <w:tcW w:w="0" w:type="dxa"/>
            <w:vAlign w:val="bottom"/>
          </w:tcPr>
          <w:p>
            <w:pPr>
              <w:spacing w:after="0"/>
              <w:rPr>
                <w:sz w:val="1"/>
                <w:szCs w:val="1"/>
                <w:color w:val="auto"/>
              </w:rPr>
            </w:pPr>
          </w:p>
        </w:tc>
      </w:tr>
      <w:tr>
        <w:trPr>
          <w:trHeight w:val="148"/>
        </w:trPr>
        <w:tc>
          <w:tcPr>
            <w:tcW w:w="98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16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Purchased as</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tcPr>
          <w:p>
            <w:pPr>
              <w:jc w:val="center"/>
              <w:ind w:right="101"/>
              <w:spacing w:after="0" w:line="149" w:lineRule="exact"/>
              <w:rPr>
                <w:sz w:val="20"/>
                <w:szCs w:val="20"/>
                <w:color w:val="auto"/>
              </w:rPr>
            </w:pPr>
            <w:r>
              <w:rPr>
                <w:rFonts w:ascii="Times New Roman" w:cs="Times New Roman" w:eastAsia="Times New Roman" w:hAnsi="Times New Roman"/>
                <w:sz w:val="14"/>
                <w:szCs w:val="14"/>
                <w:b w:val="1"/>
                <w:bCs w:val="1"/>
                <w:color w:val="auto"/>
              </w:rPr>
              <w:t>May Yet Be</w:t>
            </w:r>
          </w:p>
        </w:tc>
        <w:tc>
          <w:tcPr>
            <w:tcW w:w="0" w:type="dxa"/>
            <w:vAlign w:val="bottom"/>
          </w:tcPr>
          <w:p>
            <w:pPr>
              <w:spacing w:after="0"/>
              <w:rPr>
                <w:sz w:val="1"/>
                <w:szCs w:val="1"/>
                <w:color w:val="auto"/>
              </w:rPr>
            </w:pPr>
          </w:p>
        </w:tc>
      </w:tr>
      <w:tr>
        <w:trPr>
          <w:trHeight w:val="137"/>
        </w:trPr>
        <w:tc>
          <w:tcPr>
            <w:tcW w:w="980" w:type="dxa"/>
            <w:vAlign w:val="bottom"/>
          </w:tcPr>
          <w:p>
            <w:pPr>
              <w:spacing w:after="0"/>
              <w:rPr>
                <w:sz w:val="11"/>
                <w:szCs w:val="11"/>
                <w:color w:val="auto"/>
              </w:rPr>
            </w:pPr>
          </w:p>
        </w:tc>
        <w:tc>
          <w:tcPr>
            <w:tcW w:w="3460" w:type="dxa"/>
            <w:vAlign w:val="bottom"/>
          </w:tcPr>
          <w:p>
            <w:pPr>
              <w:spacing w:after="0"/>
              <w:rPr>
                <w:sz w:val="11"/>
                <w:szCs w:val="11"/>
                <w:color w:val="auto"/>
              </w:rPr>
            </w:pPr>
          </w:p>
        </w:tc>
        <w:tc>
          <w:tcPr>
            <w:tcW w:w="16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176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Part of Publicly</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80" w:type="dxa"/>
            <w:vAlign w:val="bottom"/>
          </w:tcPr>
          <w:p>
            <w:pPr>
              <w:jc w:val="center"/>
              <w:ind w:right="101"/>
              <w:spacing w:after="0" w:line="137" w:lineRule="exact"/>
              <w:rPr>
                <w:sz w:val="20"/>
                <w:szCs w:val="20"/>
                <w:color w:val="auto"/>
              </w:rPr>
            </w:pPr>
            <w:r>
              <w:rPr>
                <w:rFonts w:ascii="Times New Roman" w:cs="Times New Roman" w:eastAsia="Times New Roman" w:hAnsi="Times New Roman"/>
                <w:sz w:val="14"/>
                <w:szCs w:val="14"/>
                <w:b w:val="1"/>
                <w:bCs w:val="1"/>
                <w:color w:val="auto"/>
              </w:rPr>
              <w:t>Purchased Under</w:t>
            </w:r>
          </w:p>
        </w:tc>
        <w:tc>
          <w:tcPr>
            <w:tcW w:w="0" w:type="dxa"/>
            <w:vAlign w:val="bottom"/>
          </w:tcPr>
          <w:p>
            <w:pPr>
              <w:spacing w:after="0"/>
              <w:rPr>
                <w:sz w:val="1"/>
                <w:szCs w:val="1"/>
                <w:color w:val="auto"/>
              </w:rPr>
            </w:pPr>
          </w:p>
        </w:tc>
      </w:tr>
      <w:tr>
        <w:trPr>
          <w:trHeight w:val="146"/>
        </w:trPr>
        <w:tc>
          <w:tcPr>
            <w:tcW w:w="980" w:type="dxa"/>
            <w:vAlign w:val="bottom"/>
          </w:tcPr>
          <w:p>
            <w:pPr>
              <w:spacing w:after="0"/>
              <w:rPr>
                <w:sz w:val="12"/>
                <w:szCs w:val="12"/>
                <w:color w:val="auto"/>
              </w:rPr>
            </w:pPr>
          </w:p>
        </w:tc>
        <w:tc>
          <w:tcPr>
            <w:tcW w:w="3460" w:type="dxa"/>
            <w:vAlign w:val="bottom"/>
            <w:vMerge w:val="restart"/>
          </w:tcPr>
          <w:p>
            <w:pPr>
              <w:ind w:left="104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6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Shares Purchased</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7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Announced Plans or</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tcPr>
          <w:p>
            <w:pPr>
              <w:jc w:val="center"/>
              <w:ind w:right="101"/>
              <w:spacing w:after="0" w:line="146" w:lineRule="exact"/>
              <w:rPr>
                <w:sz w:val="20"/>
                <w:szCs w:val="20"/>
                <w:color w:val="auto"/>
              </w:rPr>
            </w:pPr>
            <w:r>
              <w:rPr>
                <w:rFonts w:ascii="Times New Roman" w:cs="Times New Roman" w:eastAsia="Times New Roman" w:hAnsi="Times New Roman"/>
                <w:sz w:val="14"/>
                <w:szCs w:val="14"/>
                <w:b w:val="1"/>
                <w:bCs w:val="1"/>
                <w:color w:val="auto"/>
              </w:rPr>
              <w:t>the Plans or</w:t>
            </w:r>
          </w:p>
        </w:tc>
        <w:tc>
          <w:tcPr>
            <w:tcW w:w="0" w:type="dxa"/>
            <w:vAlign w:val="bottom"/>
          </w:tcPr>
          <w:p>
            <w:pPr>
              <w:spacing w:after="0"/>
              <w:rPr>
                <w:sz w:val="1"/>
                <w:szCs w:val="1"/>
                <w:color w:val="auto"/>
              </w:rPr>
            </w:pPr>
          </w:p>
        </w:tc>
      </w:tr>
      <w:tr>
        <w:trPr>
          <w:trHeight w:val="198"/>
        </w:trPr>
        <w:tc>
          <w:tcPr>
            <w:tcW w:w="980" w:type="dxa"/>
            <w:vAlign w:val="bottom"/>
          </w:tcPr>
          <w:p>
            <w:pPr>
              <w:spacing w:after="0"/>
              <w:rPr>
                <w:sz w:val="17"/>
                <w:szCs w:val="17"/>
                <w:color w:val="auto"/>
              </w:rPr>
            </w:pPr>
          </w:p>
        </w:tc>
        <w:tc>
          <w:tcPr>
            <w:tcW w:w="3460" w:type="dxa"/>
            <w:vAlign w:val="bottom"/>
            <w:vMerge w:val="continue"/>
          </w:tcPr>
          <w:p>
            <w:pPr>
              <w:spacing w:after="0"/>
              <w:rPr>
                <w:sz w:val="17"/>
                <w:szCs w:val="17"/>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w:t>
            </w:r>
          </w:p>
        </w:tc>
        <w:tc>
          <w:tcPr>
            <w:tcW w:w="120" w:type="dxa"/>
            <w:vAlign w:val="bottom"/>
          </w:tcPr>
          <w:p>
            <w:pPr>
              <w:spacing w:after="0"/>
              <w:rPr>
                <w:sz w:val="17"/>
                <w:szCs w:val="17"/>
                <w:color w:val="auto"/>
              </w:rPr>
            </w:pPr>
          </w:p>
        </w:tc>
        <w:tc>
          <w:tcPr>
            <w:tcW w:w="142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Paid Per Share (b)</w:t>
            </w:r>
          </w:p>
        </w:tc>
        <w:tc>
          <w:tcPr>
            <w:tcW w:w="1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Programs (c)</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jc w:val="center"/>
              <w:ind w:right="101"/>
              <w:spacing w:after="0"/>
              <w:rPr>
                <w:sz w:val="20"/>
                <w:szCs w:val="20"/>
                <w:color w:val="auto"/>
              </w:rPr>
            </w:pPr>
            <w:r>
              <w:rPr>
                <w:rFonts w:ascii="Times New Roman" w:cs="Times New Roman" w:eastAsia="Times New Roman" w:hAnsi="Times New Roman"/>
                <w:sz w:val="14"/>
                <w:szCs w:val="14"/>
                <w:b w:val="1"/>
                <w:bCs w:val="1"/>
                <w:color w:val="auto"/>
              </w:rPr>
              <w:t>Programs</w:t>
            </w:r>
          </w:p>
        </w:tc>
        <w:tc>
          <w:tcPr>
            <w:tcW w:w="0" w:type="dxa"/>
            <w:vAlign w:val="bottom"/>
          </w:tcPr>
          <w:p>
            <w:pPr>
              <w:spacing w:after="0"/>
              <w:rPr>
                <w:sz w:val="1"/>
                <w:szCs w:val="1"/>
                <w:color w:val="auto"/>
              </w:rPr>
            </w:pPr>
          </w:p>
        </w:tc>
      </w:tr>
      <w:tr>
        <w:trPr>
          <w:trHeight w:val="228"/>
        </w:trPr>
        <w:tc>
          <w:tcPr>
            <w:tcW w:w="44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February 4, 2024 through March 2, 2024</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271,611</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189.78</w:t>
            </w:r>
          </w:p>
        </w:tc>
        <w:tc>
          <w:tcPr>
            <w:tcW w:w="10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227,258</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1,920,121,368</w:t>
            </w:r>
          </w:p>
        </w:tc>
        <w:tc>
          <w:tcPr>
            <w:tcW w:w="0" w:type="dxa"/>
            <w:vAlign w:val="bottom"/>
          </w:tcPr>
          <w:p>
            <w:pPr>
              <w:spacing w:after="0"/>
              <w:rPr>
                <w:sz w:val="1"/>
                <w:szCs w:val="1"/>
                <w:color w:val="auto"/>
              </w:rPr>
            </w:pPr>
          </w:p>
        </w:tc>
      </w:tr>
      <w:tr>
        <w:trPr>
          <w:trHeight w:val="230"/>
        </w:trPr>
        <w:tc>
          <w:tcPr>
            <w:tcW w:w="4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March 3, 2024 through March 30, 2024</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626,241</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194.54</w:t>
            </w:r>
          </w:p>
        </w:tc>
        <w:tc>
          <w:tcPr>
            <w:tcW w:w="1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231,167</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1,875,416,710</w:t>
            </w:r>
          </w:p>
        </w:tc>
        <w:tc>
          <w:tcPr>
            <w:tcW w:w="0" w:type="dxa"/>
            <w:vAlign w:val="bottom"/>
          </w:tcPr>
          <w:p>
            <w:pPr>
              <w:spacing w:after="0"/>
              <w:rPr>
                <w:sz w:val="1"/>
                <w:szCs w:val="1"/>
                <w:color w:val="auto"/>
              </w:rPr>
            </w:pPr>
          </w:p>
        </w:tc>
      </w:tr>
      <w:tr>
        <w:trPr>
          <w:trHeight w:val="229"/>
        </w:trPr>
        <w:tc>
          <w:tcPr>
            <w:tcW w:w="4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31, 2024 through May 4, 2024</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279,741</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192.69</w:t>
            </w:r>
          </w:p>
        </w:tc>
        <w:tc>
          <w:tcPr>
            <w:tcW w:w="100" w:type="dxa"/>
            <w:vAlign w:val="bottom"/>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273,830</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1,822,640,104</w:t>
            </w:r>
          </w:p>
        </w:tc>
        <w:tc>
          <w:tcPr>
            <w:tcW w:w="0" w:type="dxa"/>
            <w:vAlign w:val="bottom"/>
          </w:tcPr>
          <w:p>
            <w:pPr>
              <w:spacing w:after="0"/>
              <w:rPr>
                <w:sz w:val="1"/>
                <w:szCs w:val="1"/>
                <w:color w:val="auto"/>
              </w:rPr>
            </w:pPr>
          </w:p>
        </w:tc>
      </w:tr>
      <w:tr>
        <w:trPr>
          <w:trHeight w:val="223"/>
        </w:trPr>
        <w:tc>
          <w:tcPr>
            <w:tcW w:w="980" w:type="dxa"/>
            <w:vAlign w:val="bottom"/>
          </w:tcPr>
          <w:p>
            <w:pPr>
              <w:spacing w:after="0"/>
              <w:rPr>
                <w:sz w:val="19"/>
                <w:szCs w:val="19"/>
                <w:color w:val="auto"/>
              </w:rPr>
            </w:pPr>
          </w:p>
        </w:tc>
        <w:tc>
          <w:tcPr>
            <w:tcW w:w="346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Total</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1,177,594</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193.00</w:t>
            </w:r>
          </w:p>
        </w:tc>
        <w:tc>
          <w:tcPr>
            <w:tcW w:w="100" w:type="dxa"/>
            <w:vAlign w:val="bottom"/>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732,255</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1,822,640,104</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60" w:right="140" w:hanging="328"/>
        <w:spacing w:after="0" w:line="261" w:lineRule="auto"/>
        <w:tabs>
          <w:tab w:leader="none" w:pos="657"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445,339 shares withheld by us from employees to satisfy employee tax obligations upon vesting of restricted stock units/awards granted to our employees under our equity compensation plans.</w:t>
      </w:r>
    </w:p>
    <w:p>
      <w:pPr>
        <w:ind w:left="660" w:right="160" w:hanging="328"/>
        <w:spacing w:after="0" w:line="250" w:lineRule="auto"/>
        <w:tabs>
          <w:tab w:leader="none" w:pos="65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price paid for shares in connection with vesting of restricted stock units/awards are averages of the closing stock price at the vesting date which is used to calculate the number of shares to be withheld.</w:t>
      </w:r>
    </w:p>
    <w:p>
      <w:pPr>
        <w:ind w:left="660" w:right="420" w:hanging="328"/>
        <w:spacing w:after="0" w:line="253" w:lineRule="auto"/>
        <w:tabs>
          <w:tab w:leader="none" w:pos="657"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repurchased pursuant to the stock repurchase program publicly announced on August 12, 2004 and updated thereafter. Under the repurchase program, we may repurchase outstanding shares of our common stock from time to time in the open market and through privately negotiated transactions. Unless terminated earlier by resolution of our Board of Directors, the repurchase program will expire when we have repurchased all shares authorized for repurchase under the repurchase program.</w:t>
      </w:r>
    </w:p>
    <w:p>
      <w:pPr>
        <w:spacing w:after="0" w:line="374" w:lineRule="exact"/>
        <w:rPr>
          <w:sz w:val="20"/>
          <w:szCs w:val="20"/>
          <w:color w:val="auto"/>
        </w:rPr>
      </w:pPr>
    </w:p>
    <w:p>
      <w:pPr>
        <w:ind w:left="2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29" w:lineRule="exact"/>
        <w:rPr>
          <w:sz w:val="20"/>
          <w:szCs w:val="20"/>
          <w:color w:val="auto"/>
        </w:rPr>
      </w:pPr>
    </w:p>
    <w:p>
      <w:pPr>
        <w:jc w:val="both"/>
        <w:ind w:right="340" w:firstLine="445"/>
        <w:spacing w:after="0" w:line="266" w:lineRule="auto"/>
        <w:rPr>
          <w:sz w:val="20"/>
          <w:szCs w:val="20"/>
          <w:color w:val="auto"/>
        </w:rPr>
      </w:pPr>
      <w:r>
        <w:rPr>
          <w:rFonts w:ascii="Times New Roman" w:cs="Times New Roman" w:eastAsia="Times New Roman" w:hAnsi="Times New Roman"/>
          <w:sz w:val="18"/>
          <w:szCs w:val="18"/>
          <w:color w:val="auto"/>
        </w:rPr>
        <w:t>The following table describes contracts, instructions or written plans for the sale or purchase of our securities adopted by our directors or officers during the second quarter of fiscal 2024 that are intended to satisfy the affirmative defense conditions of Rule 10b5-1(c) under the Exchange Act (Rule 10b5-1 trading arrangement).</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00" w:type="dxa"/>
            <w:vAlign w:val="bottom"/>
            <w:vMerge w:val="restart"/>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Name and Title</w:t>
            </w:r>
          </w:p>
        </w:tc>
        <w:tc>
          <w:tcPr>
            <w:tcW w:w="1600" w:type="dxa"/>
            <w:vAlign w:val="bottom"/>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Date of Adoption</w:t>
            </w:r>
          </w:p>
        </w:tc>
        <w:tc>
          <w:tcPr>
            <w:tcW w:w="3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Duration of Rule 10b5-1 Trading Arrangement</w:t>
            </w:r>
          </w:p>
        </w:tc>
        <w:tc>
          <w:tcPr>
            <w:tcW w:w="2760" w:type="dxa"/>
            <w:vAlign w:val="bottom"/>
          </w:tcPr>
          <w:p>
            <w:pPr>
              <w:jc w:val="center"/>
              <w:ind w:right="2"/>
              <w:spacing w:after="0"/>
              <w:rPr>
                <w:sz w:val="20"/>
                <w:szCs w:val="20"/>
                <w:color w:val="auto"/>
              </w:rPr>
            </w:pPr>
            <w:r>
              <w:rPr>
                <w:rFonts w:ascii="Times New Roman" w:cs="Times New Roman" w:eastAsia="Times New Roman" w:hAnsi="Times New Roman"/>
                <w:sz w:val="14"/>
                <w:szCs w:val="14"/>
                <w:b w:val="1"/>
                <w:bCs w:val="1"/>
                <w:color w:val="auto"/>
              </w:rPr>
              <w:t>Aggregate Number of Securities to Be</w:t>
            </w:r>
          </w:p>
        </w:tc>
        <w:tc>
          <w:tcPr>
            <w:tcW w:w="0" w:type="dxa"/>
            <w:vAlign w:val="bottom"/>
          </w:tcPr>
          <w:p>
            <w:pPr>
              <w:spacing w:after="0"/>
              <w:rPr>
                <w:sz w:val="1"/>
                <w:szCs w:val="1"/>
                <w:color w:val="auto"/>
              </w:rPr>
            </w:pPr>
          </w:p>
        </w:tc>
      </w:tr>
      <w:tr>
        <w:trPr>
          <w:trHeight w:val="195"/>
        </w:trPr>
        <w:tc>
          <w:tcPr>
            <w:tcW w:w="3100" w:type="dxa"/>
            <w:vAlign w:val="bottom"/>
            <w:tcBorders>
              <w:bottom w:val="single" w:sz="8" w:color="auto"/>
            </w:tcBorders>
            <w:vMerge w:val="continue"/>
          </w:tcPr>
          <w:p>
            <w:pPr>
              <w:spacing w:after="0"/>
              <w:rPr>
                <w:sz w:val="16"/>
                <w:szCs w:val="16"/>
                <w:color w:val="auto"/>
              </w:rPr>
            </w:pPr>
          </w:p>
        </w:tc>
        <w:tc>
          <w:tcPr>
            <w:tcW w:w="1600" w:type="dxa"/>
            <w:vAlign w:val="bottom"/>
            <w:tcBorders>
              <w:bottom w:val="single" w:sz="8" w:color="auto"/>
            </w:tcBorders>
            <w:vMerge w:val="continue"/>
          </w:tcPr>
          <w:p>
            <w:pPr>
              <w:spacing w:after="0"/>
              <w:rPr>
                <w:sz w:val="16"/>
                <w:szCs w:val="16"/>
                <w:color w:val="auto"/>
              </w:rPr>
            </w:pPr>
          </w:p>
        </w:tc>
        <w:tc>
          <w:tcPr>
            <w:tcW w:w="3780" w:type="dxa"/>
            <w:vAlign w:val="bottom"/>
            <w:tcBorders>
              <w:bottom w:val="single" w:sz="8" w:color="auto"/>
            </w:tcBorders>
            <w:vMerge w:val="continue"/>
          </w:tcPr>
          <w:p>
            <w:pPr>
              <w:spacing w:after="0"/>
              <w:rPr>
                <w:sz w:val="16"/>
                <w:szCs w:val="16"/>
                <w:color w:val="auto"/>
              </w:rPr>
            </w:pPr>
          </w:p>
        </w:tc>
        <w:tc>
          <w:tcPr>
            <w:tcW w:w="2760" w:type="dxa"/>
            <w:vAlign w:val="bottom"/>
            <w:tcBorders>
              <w:bottom w:val="single" w:sz="8" w:color="auto"/>
            </w:tcBorders>
          </w:tcPr>
          <w:p>
            <w:pPr>
              <w:jc w:val="center"/>
              <w:ind w:right="2"/>
              <w:spacing w:after="0"/>
              <w:rPr>
                <w:sz w:val="20"/>
                <w:szCs w:val="20"/>
                <w:color w:val="auto"/>
              </w:rPr>
            </w:pPr>
            <w:r>
              <w:rPr>
                <w:rFonts w:ascii="Times New Roman" w:cs="Times New Roman" w:eastAsia="Times New Roman" w:hAnsi="Times New Roman"/>
                <w:sz w:val="14"/>
                <w:szCs w:val="14"/>
                <w:b w:val="1"/>
                <w:bCs w:val="1"/>
                <w:color w:val="auto"/>
              </w:rPr>
              <w:t>Purchased or Sold</w:t>
            </w:r>
          </w:p>
        </w:tc>
        <w:tc>
          <w:tcPr>
            <w:tcW w:w="0" w:type="dxa"/>
            <w:vAlign w:val="bottom"/>
          </w:tcPr>
          <w:p>
            <w:pPr>
              <w:spacing w:after="0"/>
              <w:rPr>
                <w:sz w:val="1"/>
                <w:szCs w:val="1"/>
                <w:color w:val="auto"/>
              </w:rPr>
            </w:pPr>
          </w:p>
        </w:tc>
      </w:tr>
      <w:tr>
        <w:trPr>
          <w:trHeight w:val="174"/>
        </w:trPr>
        <w:tc>
          <w:tcPr>
            <w:tcW w:w="3100" w:type="dxa"/>
            <w:vAlign w:val="bottom"/>
            <w:shd w:val="clear" w:color="auto" w:fill="CCEEFF"/>
          </w:tcPr>
          <w:p>
            <w:pPr>
              <w:jc w:val="center"/>
              <w:ind w:right="35"/>
              <w:spacing w:after="0" w:line="174" w:lineRule="exact"/>
              <w:rPr>
                <w:sz w:val="20"/>
                <w:szCs w:val="20"/>
                <w:color w:val="auto"/>
              </w:rPr>
            </w:pPr>
            <w:r>
              <w:rPr>
                <w:rFonts w:ascii="Times New Roman" w:cs="Times New Roman" w:eastAsia="Times New Roman" w:hAnsi="Times New Roman"/>
                <w:sz w:val="18"/>
                <w:szCs w:val="18"/>
                <w:color w:val="auto"/>
                <w:w w:val="98"/>
              </w:rPr>
              <w:t>Vincent Roche</w:t>
            </w:r>
          </w:p>
        </w:tc>
        <w:tc>
          <w:tcPr>
            <w:tcW w:w="1600" w:type="dxa"/>
            <w:vAlign w:val="bottom"/>
            <w:shd w:val="clear" w:color="auto" w:fill="CCEEFF"/>
          </w:tcPr>
          <w:p>
            <w:pPr>
              <w:spacing w:after="0"/>
              <w:rPr>
                <w:sz w:val="15"/>
                <w:szCs w:val="15"/>
                <w:color w:val="auto"/>
              </w:rPr>
            </w:pPr>
          </w:p>
        </w:tc>
        <w:tc>
          <w:tcPr>
            <w:tcW w:w="37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Until May 1, 2025, or such earlier date upon</w:t>
            </w:r>
          </w:p>
        </w:tc>
        <w:tc>
          <w:tcPr>
            <w:tcW w:w="2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100" w:type="dxa"/>
            <w:vAlign w:val="bottom"/>
            <w:shd w:val="clear" w:color="auto" w:fill="CCEEFF"/>
          </w:tcPr>
          <w:p>
            <w:pPr>
              <w:jc w:val="center"/>
              <w:ind w:right="35"/>
              <w:spacing w:after="0" w:line="176" w:lineRule="exact"/>
              <w:rPr>
                <w:sz w:val="20"/>
                <w:szCs w:val="20"/>
                <w:color w:val="auto"/>
              </w:rPr>
            </w:pPr>
            <w:r>
              <w:rPr>
                <w:rFonts w:ascii="Times New Roman" w:cs="Times New Roman" w:eastAsia="Times New Roman" w:hAnsi="Times New Roman"/>
                <w:sz w:val="18"/>
                <w:szCs w:val="18"/>
                <w:color w:val="auto"/>
                <w:w w:val="99"/>
              </w:rPr>
              <w:t>Chief Executive Officer and Chair of</w:t>
            </w:r>
          </w:p>
        </w:tc>
        <w:tc>
          <w:tcPr>
            <w:tcW w:w="1600" w:type="dxa"/>
            <w:vAlign w:val="bottom"/>
            <w:vMerge w:val="restart"/>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March 1, 2024</w:t>
            </w:r>
          </w:p>
        </w:tc>
        <w:tc>
          <w:tcPr>
            <w:tcW w:w="3780" w:type="dxa"/>
            <w:vAlign w:val="bottom"/>
            <w:vMerge w:val="continue"/>
            <w:shd w:val="clear" w:color="auto" w:fill="CCEEFF"/>
          </w:tcPr>
          <w:p>
            <w:pPr>
              <w:spacing w:after="0"/>
              <w:rPr>
                <w:sz w:val="15"/>
                <w:szCs w:val="15"/>
                <w:color w:val="auto"/>
              </w:rPr>
            </w:pPr>
          </w:p>
        </w:tc>
        <w:tc>
          <w:tcPr>
            <w:tcW w:w="2760" w:type="dxa"/>
            <w:vAlign w:val="bottom"/>
            <w:vMerge w:val="restart"/>
            <w:shd w:val="clear" w:color="auto" w:fill="CCEEFF"/>
          </w:tcPr>
          <w:p>
            <w:pPr>
              <w:jc w:val="center"/>
              <w:ind w:right="2"/>
              <w:spacing w:after="0"/>
              <w:rPr>
                <w:sz w:val="20"/>
                <w:szCs w:val="20"/>
                <w:color w:val="auto"/>
              </w:rPr>
            </w:pPr>
            <w:r>
              <w:rPr>
                <w:rFonts w:ascii="Times New Roman" w:cs="Times New Roman" w:eastAsia="Times New Roman" w:hAnsi="Times New Roman"/>
                <w:sz w:val="18"/>
                <w:szCs w:val="18"/>
                <w:color w:val="auto"/>
              </w:rPr>
              <w:t>Sale of up to 90,017 shares</w:t>
            </w:r>
          </w:p>
        </w:tc>
        <w:tc>
          <w:tcPr>
            <w:tcW w:w="0" w:type="dxa"/>
            <w:vAlign w:val="bottom"/>
          </w:tcPr>
          <w:p>
            <w:pPr>
              <w:spacing w:after="0"/>
              <w:rPr>
                <w:sz w:val="1"/>
                <w:szCs w:val="1"/>
                <w:color w:val="auto"/>
              </w:rPr>
            </w:pPr>
          </w:p>
        </w:tc>
      </w:tr>
      <w:tr>
        <w:trPr>
          <w:trHeight w:val="130"/>
        </w:trPr>
        <w:tc>
          <w:tcPr>
            <w:tcW w:w="3100" w:type="dxa"/>
            <w:vAlign w:val="bottom"/>
            <w:vMerge w:val="restart"/>
            <w:shd w:val="clear" w:color="auto" w:fill="CCEEFF"/>
          </w:tcPr>
          <w:p>
            <w:pPr>
              <w:jc w:val="center"/>
              <w:ind w:right="35"/>
              <w:spacing w:after="0"/>
              <w:rPr>
                <w:sz w:val="20"/>
                <w:szCs w:val="20"/>
                <w:color w:val="auto"/>
              </w:rPr>
            </w:pPr>
            <w:r>
              <w:rPr>
                <w:rFonts w:ascii="Times New Roman" w:cs="Times New Roman" w:eastAsia="Times New Roman" w:hAnsi="Times New Roman"/>
                <w:sz w:val="18"/>
                <w:szCs w:val="18"/>
                <w:color w:val="auto"/>
              </w:rPr>
              <w:t>the Board of Directors</w:t>
            </w:r>
          </w:p>
        </w:tc>
        <w:tc>
          <w:tcPr>
            <w:tcW w:w="1600" w:type="dxa"/>
            <w:vAlign w:val="bottom"/>
            <w:vMerge w:val="continue"/>
            <w:shd w:val="clear" w:color="auto" w:fill="CCEEFF"/>
          </w:tcPr>
          <w:p>
            <w:pPr>
              <w:spacing w:after="0"/>
              <w:rPr>
                <w:sz w:val="11"/>
                <w:szCs w:val="11"/>
                <w:color w:val="auto"/>
              </w:rPr>
            </w:pPr>
          </w:p>
        </w:tc>
        <w:tc>
          <w:tcPr>
            <w:tcW w:w="3780" w:type="dxa"/>
            <w:vAlign w:val="bottom"/>
            <w:shd w:val="clear" w:color="auto" w:fill="CCEEFF"/>
          </w:tcPr>
          <w:p>
            <w:pPr>
              <w:jc w:val="center"/>
              <w:spacing w:after="0" w:line="131" w:lineRule="exact"/>
              <w:rPr>
                <w:sz w:val="20"/>
                <w:szCs w:val="20"/>
                <w:color w:val="auto"/>
              </w:rPr>
            </w:pPr>
            <w:r>
              <w:rPr>
                <w:rFonts w:ascii="Times New Roman" w:cs="Times New Roman" w:eastAsia="Times New Roman" w:hAnsi="Times New Roman"/>
                <w:sz w:val="15"/>
                <w:szCs w:val="15"/>
                <w:color w:val="auto"/>
              </w:rPr>
              <w:t>which all transactions are completed or expire</w:t>
            </w:r>
          </w:p>
        </w:tc>
        <w:tc>
          <w:tcPr>
            <w:tcW w:w="276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3100" w:type="dxa"/>
            <w:vAlign w:val="bottom"/>
            <w:vMerge w:val="continue"/>
            <w:shd w:val="clear" w:color="auto" w:fill="CCEEFF"/>
          </w:tcPr>
          <w:p>
            <w:pPr>
              <w:spacing w:after="0"/>
              <w:rPr>
                <w:sz w:val="9"/>
                <w:szCs w:val="9"/>
                <w:color w:val="auto"/>
              </w:rPr>
            </w:pPr>
          </w:p>
        </w:tc>
        <w:tc>
          <w:tcPr>
            <w:tcW w:w="1600" w:type="dxa"/>
            <w:vAlign w:val="bottom"/>
            <w:shd w:val="clear" w:color="auto" w:fill="CCEEFF"/>
          </w:tcPr>
          <w:p>
            <w:pPr>
              <w:spacing w:after="0"/>
              <w:rPr>
                <w:sz w:val="9"/>
                <w:szCs w:val="9"/>
                <w:color w:val="auto"/>
              </w:rPr>
            </w:pPr>
          </w:p>
        </w:tc>
        <w:tc>
          <w:tcPr>
            <w:tcW w:w="37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without execution</w:t>
            </w:r>
          </w:p>
        </w:tc>
        <w:tc>
          <w:tcPr>
            <w:tcW w:w="27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3100" w:type="dxa"/>
            <w:vAlign w:val="bottom"/>
            <w:shd w:val="clear" w:color="auto" w:fill="CCEEFF"/>
          </w:tcPr>
          <w:p>
            <w:pPr>
              <w:spacing w:after="0"/>
              <w:rPr>
                <w:sz w:val="10"/>
                <w:szCs w:val="10"/>
                <w:color w:val="auto"/>
              </w:rPr>
            </w:pPr>
          </w:p>
        </w:tc>
        <w:tc>
          <w:tcPr>
            <w:tcW w:w="1600" w:type="dxa"/>
            <w:vAlign w:val="bottom"/>
            <w:shd w:val="clear" w:color="auto" w:fill="CCEEFF"/>
          </w:tcPr>
          <w:p>
            <w:pPr>
              <w:spacing w:after="0"/>
              <w:rPr>
                <w:sz w:val="10"/>
                <w:szCs w:val="10"/>
                <w:color w:val="auto"/>
              </w:rPr>
            </w:pPr>
          </w:p>
        </w:tc>
        <w:tc>
          <w:tcPr>
            <w:tcW w:w="3780" w:type="dxa"/>
            <w:vAlign w:val="bottom"/>
            <w:vMerge w:val="continue"/>
            <w:shd w:val="clear" w:color="auto" w:fill="CCEEFF"/>
          </w:tcPr>
          <w:p>
            <w:pPr>
              <w:spacing w:after="0"/>
              <w:rPr>
                <w:sz w:val="10"/>
                <w:szCs w:val="10"/>
                <w:color w:val="auto"/>
              </w:rPr>
            </w:pPr>
          </w:p>
        </w:tc>
        <w:tc>
          <w:tcPr>
            <w:tcW w:w="27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100" w:type="dxa"/>
            <w:vAlign w:val="bottom"/>
            <w:shd w:val="clear" w:color="auto" w:fill="CCEEFF"/>
          </w:tcPr>
          <w:p>
            <w:pPr>
              <w:spacing w:after="0"/>
              <w:rPr>
                <w:sz w:val="10"/>
                <w:szCs w:val="10"/>
                <w:color w:val="auto"/>
              </w:rPr>
            </w:pPr>
          </w:p>
        </w:tc>
        <w:tc>
          <w:tcPr>
            <w:tcW w:w="1600" w:type="dxa"/>
            <w:vAlign w:val="bottom"/>
            <w:shd w:val="clear" w:color="auto" w:fill="CCEEFF"/>
          </w:tcPr>
          <w:p>
            <w:pPr>
              <w:spacing w:after="0"/>
              <w:rPr>
                <w:sz w:val="10"/>
                <w:szCs w:val="10"/>
                <w:color w:val="auto"/>
              </w:rPr>
            </w:pPr>
          </w:p>
        </w:tc>
        <w:tc>
          <w:tcPr>
            <w:tcW w:w="3780" w:type="dxa"/>
            <w:vAlign w:val="bottom"/>
            <w:shd w:val="clear" w:color="auto" w:fill="CCEEFF"/>
          </w:tcPr>
          <w:p>
            <w:pPr>
              <w:spacing w:after="0"/>
              <w:rPr>
                <w:sz w:val="10"/>
                <w:szCs w:val="10"/>
                <w:color w:val="auto"/>
              </w:rPr>
            </w:pPr>
          </w:p>
        </w:tc>
        <w:tc>
          <w:tcPr>
            <w:tcW w:w="27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ind w:right="160" w:firstLine="405"/>
        <w:spacing w:after="0" w:line="282" w:lineRule="auto"/>
        <w:rPr>
          <w:sz w:val="20"/>
          <w:szCs w:val="20"/>
          <w:color w:val="auto"/>
        </w:rPr>
      </w:pPr>
      <w:r>
        <w:rPr>
          <w:rFonts w:ascii="Times New Roman" w:cs="Times New Roman" w:eastAsia="Times New Roman" w:hAnsi="Times New Roman"/>
          <w:sz w:val="18"/>
          <w:szCs w:val="18"/>
          <w:color w:val="auto"/>
        </w:rPr>
        <w:t>None of our directors or officers terminated a Rule 10b5-1 trading arrangement or adopted or terminated a non-Rule 10b5-1 trading arrangement (as defined in Item 408(c) of Regulation S-K) during the second quarter of fiscal 2024.</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27" w:name="page28"/>
    <w:bookmarkEnd w:id="27"/>
    <w:tbl>
      <w:tblPr>
        <w:tblLayout w:type="fixed"/>
        <w:tblInd w:w="20" w:type="dxa"/>
        <w:tblCellMar>
          <w:top w:w="0" w:type="dxa"/>
          <w:left w:w="0" w:type="dxa"/>
          <w:bottom w:w="0" w:type="dxa"/>
          <w:right w:w="0" w:type="dxa"/>
        </w:tblCellMar>
      </w:tblPr>
      <w:tr>
        <w:trPr>
          <w:trHeight w:val="238"/>
        </w:trPr>
        <w:tc>
          <w:tcPr>
            <w:tcW w:w="10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9940" w:type="dxa"/>
            <w:vAlign w:val="bottom"/>
            <w:gridSpan w:val="9"/>
          </w:tcPr>
          <w:p>
            <w:pPr>
              <w:ind w:left="180"/>
              <w:spacing w:after="0"/>
              <w:rPr>
                <w:sz w:val="20"/>
                <w:szCs w:val="20"/>
                <w:color w:val="auto"/>
              </w:rPr>
            </w:pPr>
            <w:r>
              <w:rPr>
                <w:rFonts w:ascii="Times New Roman" w:cs="Times New Roman" w:eastAsia="Times New Roman" w:hAnsi="Times New Roman"/>
                <w:sz w:val="18"/>
                <w:szCs w:val="18"/>
                <w:b w:val="1"/>
                <w:bCs w:val="1"/>
                <w:color w:val="auto"/>
              </w:rPr>
              <w:t>Exhibits</w:t>
            </w:r>
          </w:p>
        </w:tc>
      </w:tr>
      <w:tr>
        <w:trPr>
          <w:trHeight w:val="351"/>
        </w:trPr>
        <w:tc>
          <w:tcPr>
            <w:tcW w:w="10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480" w:type="dxa"/>
            <w:vAlign w:val="bottom"/>
          </w:tcPr>
          <w:p>
            <w:pPr>
              <w:spacing w:after="0"/>
              <w:rPr>
                <w:sz w:val="24"/>
                <w:szCs w:val="24"/>
                <w:color w:val="auto"/>
              </w:rPr>
            </w:pPr>
          </w:p>
        </w:tc>
        <w:tc>
          <w:tcPr>
            <w:tcW w:w="9460" w:type="dxa"/>
            <w:vAlign w:val="bottom"/>
            <w:gridSpan w:val="8"/>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23"/>
        </w:trPr>
        <w:tc>
          <w:tcPr>
            <w:tcW w:w="700" w:type="dxa"/>
            <w:vAlign w:val="bottom"/>
            <w:tcBorders>
              <w:top w:val="single" w:sz="8" w:color="auto"/>
            </w:tcBorders>
          </w:tcPr>
          <w:p>
            <w:pPr>
              <w:jc w:val="center"/>
              <w:ind w:left="271"/>
              <w:spacing w:after="0"/>
              <w:rPr>
                <w:sz w:val="20"/>
                <w:szCs w:val="20"/>
                <w:color w:val="auto"/>
              </w:rPr>
            </w:pPr>
            <w:r>
              <w:rPr>
                <w:rFonts w:ascii="Times New Roman" w:cs="Times New Roman" w:eastAsia="Times New Roman" w:hAnsi="Times New Roman"/>
                <w:sz w:val="18"/>
                <w:szCs w:val="18"/>
                <w:color w:val="auto"/>
                <w:w w:val="97"/>
              </w:rPr>
              <w:t>4.1</w:t>
            </w: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60" w:type="dxa"/>
            <w:vAlign w:val="bottom"/>
            <w:gridSpan w:val="8"/>
          </w:tcPr>
          <w:p>
            <w:pPr>
              <w:spacing w:after="0"/>
              <w:rPr>
                <w:rFonts w:ascii="Times New Roman" w:cs="Times New Roman" w:eastAsia="Times New Roman" w:hAnsi="Times New Roman"/>
                <w:sz w:val="18"/>
                <w:szCs w:val="18"/>
                <w:color w:val="0000FF"/>
              </w:rPr>
            </w:pPr>
            <w:hyperlink r:id="rId45">
              <w:r>
                <w:rPr>
                  <w:rFonts w:ascii="Times New Roman" w:cs="Times New Roman" w:eastAsia="Times New Roman" w:hAnsi="Times New Roman"/>
                  <w:sz w:val="18"/>
                  <w:szCs w:val="18"/>
                  <w:color w:val="0000FF"/>
                </w:rPr>
                <w:t>Supplemental Indenture, dated April 3, 2024, between the Company and The Bank of New York Mellon Trust Company, N.A., as</w:t>
              </w:r>
            </w:hyperlink>
          </w:p>
        </w:tc>
      </w:tr>
      <w:tr>
        <w:trPr>
          <w:trHeight w:val="20"/>
        </w:trPr>
        <w:tc>
          <w:tcPr>
            <w:tcW w:w="7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9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8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9"/>
        </w:trPr>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60" w:type="dxa"/>
            <w:vAlign w:val="bottom"/>
            <w:gridSpan w:val="8"/>
          </w:tcPr>
          <w:p>
            <w:pPr>
              <w:spacing w:after="0" w:line="169" w:lineRule="exact"/>
              <w:rPr>
                <w:rFonts w:ascii="Times New Roman" w:cs="Times New Roman" w:eastAsia="Times New Roman" w:hAnsi="Times New Roman"/>
                <w:sz w:val="18"/>
                <w:szCs w:val="18"/>
                <w:color w:val="0000FF"/>
                <w:w w:val="99"/>
              </w:rPr>
            </w:pPr>
            <w:hyperlink r:id="rId45">
              <w:r>
                <w:rPr>
                  <w:rFonts w:ascii="Times New Roman" w:cs="Times New Roman" w:eastAsia="Times New Roman" w:hAnsi="Times New Roman"/>
                  <w:sz w:val="18"/>
                  <w:szCs w:val="18"/>
                  <w:color w:val="0000FF"/>
                  <w:w w:val="99"/>
                </w:rPr>
                <w:t>trustee (including the forms of note contained therein)</w:t>
              </w:r>
              <w:r>
                <w:rPr>
                  <w:rFonts w:ascii="Times New Roman" w:cs="Times New Roman" w:eastAsia="Times New Roman" w:hAnsi="Times New Roman"/>
                  <w:sz w:val="18"/>
                  <w:szCs w:val="18"/>
                  <w:color w:val="000000"/>
                  <w:w w:val="99"/>
                </w:rPr>
                <w:t xml:space="preserve">, filed as Exhibit 4.2 to the Company's Current Report on Form 8-K (File </w:t>
              </w:r>
            </w:hyperlink>
            <w:r>
              <w:rPr>
                <w:rFonts w:ascii="Times New Roman" w:cs="Times New Roman" w:eastAsia="Times New Roman" w:hAnsi="Times New Roman"/>
                <w:sz w:val="18"/>
                <w:szCs w:val="18"/>
                <w:color w:val="0000FF"/>
                <w:w w:val="99"/>
              </w:rPr>
              <w:t>No.</w:t>
            </w:r>
          </w:p>
        </w:tc>
      </w:tr>
      <w:tr>
        <w:trPr>
          <w:trHeight w:val="191"/>
        </w:trPr>
        <w:tc>
          <w:tcPr>
            <w:tcW w:w="7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900" w:type="dxa"/>
            <w:vAlign w:val="bottom"/>
            <w:tcBorders>
              <w:top w:val="single" w:sz="8" w:color="0000FF"/>
            </w:tcBorders>
          </w:tcPr>
          <w:p>
            <w:pPr>
              <w:spacing w:after="0" w:line="191" w:lineRule="exact"/>
              <w:rPr>
                <w:sz w:val="20"/>
                <w:szCs w:val="20"/>
                <w:color w:val="auto"/>
              </w:rPr>
            </w:pPr>
            <w:r>
              <w:rPr>
                <w:rFonts w:ascii="Times New Roman" w:cs="Times New Roman" w:eastAsia="Times New Roman" w:hAnsi="Times New Roman"/>
                <w:sz w:val="18"/>
                <w:szCs w:val="18"/>
                <w:color w:val="auto"/>
              </w:rPr>
              <w:t>001-07819) as filed with the Commission on April 3,</w:t>
            </w:r>
          </w:p>
        </w:tc>
        <w:tc>
          <w:tcPr>
            <w:tcW w:w="5560" w:type="dxa"/>
            <w:vAlign w:val="bottom"/>
            <w:gridSpan w:val="7"/>
          </w:tcPr>
          <w:p>
            <w:pPr>
              <w:spacing w:after="0" w:line="191" w:lineRule="exact"/>
              <w:rPr>
                <w:sz w:val="20"/>
                <w:szCs w:val="20"/>
                <w:color w:val="auto"/>
              </w:rPr>
            </w:pPr>
            <w:r>
              <w:rPr>
                <w:rFonts w:ascii="Times New Roman" w:cs="Times New Roman" w:eastAsia="Times New Roman" w:hAnsi="Times New Roman"/>
                <w:sz w:val="18"/>
                <w:szCs w:val="18"/>
                <w:color w:val="auto"/>
              </w:rPr>
              <w:t>2024 and incorporated herein by reference.</w:t>
            </w:r>
          </w:p>
        </w:tc>
      </w:tr>
      <w:tr>
        <w:trPr>
          <w:trHeight w:val="194"/>
        </w:trPr>
        <w:tc>
          <w:tcPr>
            <w:tcW w:w="1060" w:type="dxa"/>
            <w:vAlign w:val="bottom"/>
            <w:gridSpan w:val="2"/>
          </w:tcPr>
          <w:p>
            <w:pPr>
              <w:jc w:val="center"/>
              <w:spacing w:after="0" w:line="194" w:lineRule="exact"/>
              <w:rPr>
                <w:sz w:val="20"/>
                <w:szCs w:val="20"/>
                <w:color w:val="auto"/>
              </w:rPr>
            </w:pPr>
            <w:r>
              <w:rPr>
                <w:rFonts w:ascii="Times New Roman" w:cs="Times New Roman" w:eastAsia="Times New Roman" w:hAnsi="Times New Roman"/>
                <w:sz w:val="18"/>
                <w:szCs w:val="18"/>
                <w:color w:val="auto"/>
                <w:w w:val="98"/>
              </w:rPr>
              <w:t>31.1†</w:t>
            </w:r>
          </w:p>
        </w:tc>
        <w:tc>
          <w:tcPr>
            <w:tcW w:w="480" w:type="dxa"/>
            <w:vAlign w:val="bottom"/>
          </w:tcPr>
          <w:p>
            <w:pPr>
              <w:spacing w:after="0"/>
              <w:rPr>
                <w:sz w:val="16"/>
                <w:szCs w:val="16"/>
                <w:color w:val="auto"/>
              </w:rPr>
            </w:pPr>
          </w:p>
        </w:tc>
        <w:tc>
          <w:tcPr>
            <w:tcW w:w="9460" w:type="dxa"/>
            <w:vAlign w:val="bottom"/>
            <w:gridSpan w:val="8"/>
          </w:tcPr>
          <w:p>
            <w:pPr>
              <w:spacing w:after="0" w:line="194" w:lineRule="exact"/>
              <w:rPr>
                <w:sz w:val="20"/>
                <w:szCs w:val="20"/>
                <w:color w:val="auto"/>
              </w:rPr>
            </w:pPr>
            <w:r>
              <w:rPr>
                <w:rFonts w:ascii="Times New Roman" w:cs="Times New Roman" w:eastAsia="Times New Roman" w:hAnsi="Times New Roman"/>
                <w:sz w:val="18"/>
                <w:szCs w:val="18"/>
                <w:color w:val="0000FF"/>
              </w:rPr>
              <w:t>Certification Pursuant to Rule 13a-14(a) and 15d-14(a) of the Securities Exchange Act, as Adopted Pursuant to Section 302 of the</w:t>
            </w:r>
          </w:p>
        </w:tc>
      </w:tr>
      <w:tr>
        <w:trPr>
          <w:trHeight w:val="169"/>
        </w:trPr>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00" w:type="dxa"/>
            <w:vAlign w:val="bottom"/>
            <w:tcBorders>
              <w:top w:val="single" w:sz="8" w:color="0000FF"/>
              <w:bottom w:val="single" w:sz="8" w:color="0000FF"/>
            </w:tcBorders>
            <w:gridSpan w:val="3"/>
          </w:tcPr>
          <w:p>
            <w:pPr>
              <w:spacing w:after="0" w:line="169" w:lineRule="exact"/>
              <w:rPr>
                <w:sz w:val="20"/>
                <w:szCs w:val="20"/>
                <w:color w:val="auto"/>
              </w:rPr>
            </w:pPr>
            <w:r>
              <w:rPr>
                <w:rFonts w:ascii="Times New Roman" w:cs="Times New Roman" w:eastAsia="Times New Roman" w:hAnsi="Times New Roman"/>
                <w:sz w:val="18"/>
                <w:szCs w:val="18"/>
                <w:color w:val="0000FF"/>
                <w:w w:val="99"/>
              </w:rPr>
              <w:t>Sarbanes-Oxley Act of 2002 (Chief Executive Officer).</w:t>
            </w:r>
          </w:p>
        </w:tc>
        <w:tc>
          <w:tcPr>
            <w:tcW w:w="5360" w:type="dxa"/>
            <w:vAlign w:val="bottom"/>
            <w:tcBorders>
              <w:top w:val="single" w:sz="8" w:color="0000FF"/>
            </w:tcBorders>
            <w:gridSpan w:val="4"/>
          </w:tcPr>
          <w:p>
            <w:pPr>
              <w:spacing w:after="0"/>
              <w:rPr>
                <w:sz w:val="14"/>
                <w:szCs w:val="14"/>
                <w:color w:val="auto"/>
              </w:rPr>
            </w:pPr>
          </w:p>
        </w:tc>
        <w:tc>
          <w:tcPr>
            <w:tcW w:w="100" w:type="dxa"/>
            <w:vAlign w:val="bottom"/>
          </w:tcPr>
          <w:p>
            <w:pPr>
              <w:spacing w:after="0"/>
              <w:rPr>
                <w:sz w:val="14"/>
                <w:szCs w:val="14"/>
                <w:color w:val="auto"/>
              </w:rPr>
            </w:pPr>
          </w:p>
        </w:tc>
      </w:tr>
      <w:tr>
        <w:trPr>
          <w:trHeight w:val="209"/>
        </w:trPr>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31.2†</w:t>
            </w:r>
          </w:p>
        </w:tc>
        <w:tc>
          <w:tcPr>
            <w:tcW w:w="480" w:type="dxa"/>
            <w:vAlign w:val="bottom"/>
          </w:tcPr>
          <w:p>
            <w:pPr>
              <w:spacing w:after="0"/>
              <w:rPr>
                <w:sz w:val="18"/>
                <w:szCs w:val="18"/>
                <w:color w:val="auto"/>
              </w:rPr>
            </w:pPr>
          </w:p>
        </w:tc>
        <w:tc>
          <w:tcPr>
            <w:tcW w:w="946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Certification Pursuant to Rule 13a-14(a) and 15d-14(a) of the Securities Exchange Act, as Adopted Pursuant to Section 302 of the</w:t>
            </w:r>
          </w:p>
        </w:tc>
      </w:tr>
      <w:tr>
        <w:trPr>
          <w:trHeight w:val="169"/>
        </w:trPr>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360" w:type="dxa"/>
            <w:vAlign w:val="bottom"/>
            <w:tcBorders>
              <w:top w:val="single" w:sz="8" w:color="0000FF"/>
            </w:tcBorders>
            <w:gridSpan w:val="7"/>
          </w:tcPr>
          <w:p>
            <w:pPr>
              <w:spacing w:after="0" w:line="169" w:lineRule="exact"/>
              <w:rPr>
                <w:sz w:val="20"/>
                <w:szCs w:val="20"/>
                <w:color w:val="auto"/>
              </w:rPr>
            </w:pPr>
            <w:r>
              <w:rPr>
                <w:rFonts w:ascii="Times New Roman" w:cs="Times New Roman" w:eastAsia="Times New Roman" w:hAnsi="Times New Roman"/>
                <w:sz w:val="18"/>
                <w:szCs w:val="18"/>
                <w:color w:val="0000FF"/>
              </w:rPr>
              <w:t>Sarbanes-Oxley Act of 2002 (Chief Financial Officer).</w:t>
            </w:r>
          </w:p>
        </w:tc>
        <w:tc>
          <w:tcPr>
            <w:tcW w:w="100" w:type="dxa"/>
            <w:vAlign w:val="bottom"/>
          </w:tcPr>
          <w:p>
            <w:pPr>
              <w:spacing w:after="0"/>
              <w:rPr>
                <w:sz w:val="14"/>
                <w:szCs w:val="14"/>
                <w:color w:val="auto"/>
              </w:rPr>
            </w:pPr>
          </w:p>
        </w:tc>
      </w:tr>
      <w:tr>
        <w:trPr>
          <w:trHeight w:val="20"/>
        </w:trPr>
        <w:tc>
          <w:tcPr>
            <w:tcW w:w="10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940" w:type="dxa"/>
            <w:vAlign w:val="bottom"/>
            <w:gridSpan w:val="2"/>
            <w:shd w:val="clear" w:color="auto" w:fill="0000FF"/>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0" w:type="dxa"/>
            <w:vAlign w:val="bottom"/>
            <w:gridSpan w:val="3"/>
          </w:tcPr>
          <w:p>
            <w:pPr>
              <w:spacing w:after="0" w:line="20" w:lineRule="exact"/>
              <w:rPr>
                <w:sz w:val="1"/>
                <w:szCs w:val="1"/>
                <w:color w:val="auto"/>
              </w:rPr>
            </w:pPr>
          </w:p>
        </w:tc>
      </w:tr>
      <w:tr>
        <w:trPr>
          <w:trHeight w:val="210"/>
        </w:trPr>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32.1†*</w:t>
            </w:r>
          </w:p>
        </w:tc>
        <w:tc>
          <w:tcPr>
            <w:tcW w:w="480" w:type="dxa"/>
            <w:vAlign w:val="bottom"/>
          </w:tcPr>
          <w:p>
            <w:pPr>
              <w:spacing w:after="0"/>
              <w:rPr>
                <w:sz w:val="18"/>
                <w:szCs w:val="18"/>
                <w:color w:val="auto"/>
              </w:rPr>
            </w:pPr>
          </w:p>
        </w:tc>
        <w:tc>
          <w:tcPr>
            <w:tcW w:w="546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Certification Pursuant to 18 U.S.C. Section 1350 (Chief Executive Officer).</w:t>
            </w:r>
          </w:p>
        </w:tc>
        <w:tc>
          <w:tcPr>
            <w:tcW w:w="4000" w:type="dxa"/>
            <w:vAlign w:val="bottom"/>
            <w:gridSpan w:val="3"/>
          </w:tcPr>
          <w:p>
            <w:pPr>
              <w:spacing w:after="0"/>
              <w:rPr>
                <w:sz w:val="18"/>
                <w:szCs w:val="18"/>
                <w:color w:val="auto"/>
              </w:rPr>
            </w:pPr>
          </w:p>
        </w:tc>
      </w:tr>
      <w:tr>
        <w:trPr>
          <w:trHeight w:val="209"/>
        </w:trPr>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32.2†*</w:t>
            </w:r>
          </w:p>
        </w:tc>
        <w:tc>
          <w:tcPr>
            <w:tcW w:w="480" w:type="dxa"/>
            <w:vAlign w:val="bottom"/>
          </w:tcPr>
          <w:p>
            <w:pPr>
              <w:spacing w:after="0"/>
              <w:rPr>
                <w:sz w:val="18"/>
                <w:szCs w:val="18"/>
                <w:color w:val="auto"/>
              </w:rPr>
            </w:pPr>
          </w:p>
        </w:tc>
        <w:tc>
          <w:tcPr>
            <w:tcW w:w="946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Certification Pursuant to 18 U.S.C. Section 1350 (Chief Financial Officer).</w:t>
            </w:r>
          </w:p>
        </w:tc>
      </w:tr>
      <w:tr>
        <w:trPr>
          <w:trHeight w:val="20"/>
        </w:trPr>
        <w:tc>
          <w:tcPr>
            <w:tcW w:w="10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0" w:type="dxa"/>
            <w:vAlign w:val="bottom"/>
            <w:gridSpan w:val="4"/>
            <w:shd w:val="clear" w:color="auto" w:fill="0000FF"/>
          </w:tcPr>
          <w:p>
            <w:pPr>
              <w:spacing w:after="0" w:line="20" w:lineRule="exact"/>
              <w:rPr>
                <w:sz w:val="1"/>
                <w:szCs w:val="1"/>
                <w:color w:val="auto"/>
              </w:rPr>
            </w:pPr>
          </w:p>
        </w:tc>
        <w:tc>
          <w:tcPr>
            <w:tcW w:w="4060" w:type="dxa"/>
            <w:vAlign w:val="bottom"/>
            <w:gridSpan w:val="4"/>
          </w:tcPr>
          <w:p>
            <w:pPr>
              <w:spacing w:after="0" w:line="20" w:lineRule="exact"/>
              <w:rPr>
                <w:sz w:val="1"/>
                <w:szCs w:val="1"/>
                <w:color w:val="auto"/>
              </w:rPr>
            </w:pPr>
          </w:p>
        </w:tc>
      </w:tr>
      <w:tr>
        <w:trPr>
          <w:trHeight w:val="205"/>
        </w:trPr>
        <w:tc>
          <w:tcPr>
            <w:tcW w:w="1060" w:type="dxa"/>
            <w:vAlign w:val="bottom"/>
            <w:gridSpan w:val="2"/>
          </w:tcPr>
          <w:p>
            <w:pPr>
              <w:jc w:val="center"/>
              <w:spacing w:after="0" w:line="205" w:lineRule="exact"/>
              <w:rPr>
                <w:sz w:val="20"/>
                <w:szCs w:val="20"/>
                <w:color w:val="auto"/>
              </w:rPr>
            </w:pPr>
            <w:r>
              <w:rPr>
                <w:rFonts w:ascii="Times New Roman" w:cs="Times New Roman" w:eastAsia="Times New Roman" w:hAnsi="Times New Roman"/>
                <w:sz w:val="18"/>
                <w:szCs w:val="18"/>
                <w:color w:val="auto"/>
                <w:w w:val="99"/>
              </w:rPr>
              <w:t>101.INS</w:t>
            </w:r>
          </w:p>
        </w:tc>
        <w:tc>
          <w:tcPr>
            <w:tcW w:w="480" w:type="dxa"/>
            <w:vAlign w:val="bottom"/>
          </w:tcPr>
          <w:p>
            <w:pPr>
              <w:spacing w:after="0"/>
              <w:rPr>
                <w:sz w:val="17"/>
                <w:szCs w:val="17"/>
                <w:color w:val="auto"/>
              </w:rPr>
            </w:pPr>
          </w:p>
        </w:tc>
        <w:tc>
          <w:tcPr>
            <w:tcW w:w="9460" w:type="dxa"/>
            <w:vAlign w:val="bottom"/>
            <w:gridSpan w:val="8"/>
          </w:tcPr>
          <w:p>
            <w:pPr>
              <w:spacing w:after="0" w:line="205" w:lineRule="exact"/>
              <w:rPr>
                <w:sz w:val="20"/>
                <w:szCs w:val="20"/>
                <w:color w:val="auto"/>
              </w:rPr>
            </w:pPr>
            <w:r>
              <w:rPr>
                <w:rFonts w:ascii="Times New Roman" w:cs="Times New Roman" w:eastAsia="Times New Roman" w:hAnsi="Times New Roman"/>
                <w:sz w:val="18"/>
                <w:szCs w:val="18"/>
                <w:color w:val="auto"/>
              </w:rPr>
              <w:t>The instance document does not appear in the Interactive Data File because its XBRL tags are embedded within the inline XBRL</w:t>
            </w:r>
          </w:p>
        </w:tc>
      </w:tr>
      <w:tr>
        <w:trPr>
          <w:trHeight w:val="229"/>
        </w:trPr>
        <w:tc>
          <w:tcPr>
            <w:tcW w:w="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document.**</w:t>
            </w:r>
          </w:p>
        </w:tc>
      </w:tr>
      <w:tr>
        <w:trPr>
          <w:trHeight w:val="229"/>
        </w:trPr>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101.SCH</w:t>
            </w:r>
          </w:p>
        </w:tc>
        <w:tc>
          <w:tcPr>
            <w:tcW w:w="480" w:type="dxa"/>
            <w:vAlign w:val="bottom"/>
          </w:tcPr>
          <w:p>
            <w:pPr>
              <w:spacing w:after="0"/>
              <w:rPr>
                <w:sz w:val="19"/>
                <w:szCs w:val="19"/>
                <w:color w:val="auto"/>
              </w:rPr>
            </w:pPr>
          </w:p>
        </w:tc>
        <w:tc>
          <w:tcPr>
            <w:tcW w:w="94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Schema Document.**</w:t>
            </w:r>
          </w:p>
        </w:tc>
      </w:tr>
      <w:tr>
        <w:trPr>
          <w:trHeight w:val="230"/>
        </w:trPr>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101.CAL</w:t>
            </w:r>
          </w:p>
        </w:tc>
        <w:tc>
          <w:tcPr>
            <w:tcW w:w="480" w:type="dxa"/>
            <w:vAlign w:val="bottom"/>
          </w:tcPr>
          <w:p>
            <w:pPr>
              <w:spacing w:after="0"/>
              <w:rPr>
                <w:sz w:val="19"/>
                <w:szCs w:val="19"/>
                <w:color w:val="auto"/>
              </w:rPr>
            </w:pPr>
          </w:p>
        </w:tc>
        <w:tc>
          <w:tcPr>
            <w:tcW w:w="94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Calculation Linkbase Document.**</w:t>
            </w:r>
          </w:p>
        </w:tc>
      </w:tr>
      <w:tr>
        <w:trPr>
          <w:trHeight w:val="229"/>
        </w:trPr>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101.LAB</w:t>
            </w:r>
          </w:p>
        </w:tc>
        <w:tc>
          <w:tcPr>
            <w:tcW w:w="480" w:type="dxa"/>
            <w:vAlign w:val="bottom"/>
          </w:tcPr>
          <w:p>
            <w:pPr>
              <w:spacing w:after="0"/>
              <w:rPr>
                <w:sz w:val="19"/>
                <w:szCs w:val="19"/>
                <w:color w:val="auto"/>
              </w:rPr>
            </w:pPr>
          </w:p>
        </w:tc>
        <w:tc>
          <w:tcPr>
            <w:tcW w:w="94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Labels Linkbase Document.**</w:t>
            </w:r>
          </w:p>
        </w:tc>
      </w:tr>
      <w:tr>
        <w:trPr>
          <w:trHeight w:val="229"/>
        </w:trPr>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101.PRE</w:t>
            </w:r>
          </w:p>
        </w:tc>
        <w:tc>
          <w:tcPr>
            <w:tcW w:w="480" w:type="dxa"/>
            <w:vAlign w:val="bottom"/>
          </w:tcPr>
          <w:p>
            <w:pPr>
              <w:spacing w:after="0"/>
              <w:rPr>
                <w:sz w:val="19"/>
                <w:szCs w:val="19"/>
                <w:color w:val="auto"/>
              </w:rPr>
            </w:pPr>
          </w:p>
        </w:tc>
        <w:tc>
          <w:tcPr>
            <w:tcW w:w="94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Presentation Linkbase Document.**</w:t>
            </w:r>
          </w:p>
        </w:tc>
      </w:tr>
      <w:tr>
        <w:trPr>
          <w:trHeight w:val="234"/>
        </w:trPr>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101.DEF</w:t>
            </w:r>
          </w:p>
        </w:tc>
        <w:tc>
          <w:tcPr>
            <w:tcW w:w="480" w:type="dxa"/>
            <w:vAlign w:val="bottom"/>
          </w:tcPr>
          <w:p>
            <w:pPr>
              <w:spacing w:after="0"/>
              <w:rPr>
                <w:sz w:val="20"/>
                <w:szCs w:val="20"/>
                <w:color w:val="auto"/>
              </w:rPr>
            </w:pPr>
          </w:p>
        </w:tc>
        <w:tc>
          <w:tcPr>
            <w:tcW w:w="94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Definition Linkbase Document.**</w:t>
            </w:r>
          </w:p>
        </w:tc>
      </w:tr>
    </w:tbl>
    <w:p>
      <w:pPr>
        <w:ind w:left="1560" w:right="200" w:hanging="1140"/>
        <w:spacing w:after="0" w:line="242" w:lineRule="auto"/>
        <w:tabs>
          <w:tab w:leader="none" w:pos="15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with applicable taxonomy extension information contained in Exhibits 101).</w:t>
      </w:r>
    </w:p>
    <w:p>
      <w:pPr>
        <w:spacing w:after="0" w:line="1" w:lineRule="exact"/>
        <w:rPr>
          <w:sz w:val="20"/>
          <w:szCs w:val="20"/>
          <w:color w:val="auto"/>
        </w:rPr>
      </w:pPr>
    </w:p>
    <w:p>
      <w:pPr>
        <w:ind w:left="1560" w:hanging="1050"/>
        <w:spacing w:after="0"/>
        <w:tabs>
          <w:tab w:leader="none" w:pos="15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or furnished herewith.</w:t>
      </w:r>
    </w:p>
    <w:p>
      <w:pPr>
        <w:spacing w:after="0" w:line="23" w:lineRule="exact"/>
        <w:rPr>
          <w:sz w:val="20"/>
          <w:szCs w:val="20"/>
          <w:color w:val="auto"/>
        </w:rPr>
      </w:pPr>
    </w:p>
    <w:p>
      <w:pPr>
        <w:ind w:left="1560" w:right="120" w:hanging="1050"/>
        <w:spacing w:after="0" w:line="222" w:lineRule="auto"/>
        <w:tabs>
          <w:tab w:leader="none" w:pos="15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 furnished in each of Exhibits 32.1 and 32.2 hereto are deemed to accompany this Quarterly Report on Form 10-Q and will not be deemed “filed” for purposes of Section 18 of the Securities Exchange Act of 1934, as amended, except to the extent that the Registrant specifically incorporates each by reference. Such certification will not be deemed to be incorporated by reference into any filings under the Securities Act of 1933, as amended, or the Securities Exchange Act of 1934, as amended, except to the extent that the Registrant specifically incorporates it by reference.</w:t>
      </w:r>
    </w:p>
    <w:p>
      <w:pPr>
        <w:spacing w:after="0" w:line="1" w:lineRule="exact"/>
        <w:rPr>
          <w:sz w:val="20"/>
          <w:szCs w:val="20"/>
          <w:color w:val="auto"/>
        </w:rPr>
      </w:pPr>
    </w:p>
    <w:p>
      <w:pPr>
        <w:ind w:left="1560" w:hanging="1095"/>
        <w:spacing w:after="0"/>
        <w:tabs>
          <w:tab w:leader="none" w:pos="15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Submitted electronically herewith.</w:t>
      </w:r>
    </w:p>
    <w:p>
      <w:pPr>
        <w:spacing w:after="0" w:line="26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Attached as Exhibit 101 to this report are the following formatted in iXBRL (Inline Extensible Business Reporting Language): (i) Condensed Consolidated Statements of Income for the three- and six-months ended May 4, 2024 and April 29, 2023, (ii) Condensed Consolidated Statements of Comprehensive Income for the three- and six-months ended May 4, 2024 and April 29, 2023, (iii) Condensed Consolidated Balance Sheets at May 4, 2024 and October 28, 2023, (iv) Condensed Consolidated Statements of Shareholders' Equity for the three- and six-months ended May 4, 2024 and April 29, 2023,</w:t>
      </w:r>
    </w:p>
    <w:p>
      <w:pPr>
        <w:spacing w:after="0" w:line="3" w:lineRule="exact"/>
        <w:rPr>
          <w:sz w:val="20"/>
          <w:szCs w:val="20"/>
          <w:color w:val="auto"/>
        </w:rPr>
      </w:pPr>
    </w:p>
    <w:p>
      <w:pPr>
        <w:ind w:right="940" w:firstLine="8"/>
        <w:spacing w:after="0" w:line="260" w:lineRule="auto"/>
        <w:tabs>
          <w:tab w:leader="none" w:pos="2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Condensed Consolidated Statements of Cash Flows for the six months ended May 4, 2024 and April 29, 2023 and (vi) Notes to Condensed Consolidated Financial Statements for the three- and six-months ended May 4,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49" w:right="379" w:bottom="1440" w:gutter="0" w:footer="0" w:header="0"/>
        </w:sectPr>
      </w:pPr>
    </w:p>
    <w:bookmarkStart w:id="28" w:name="page29"/>
    <w:bookmarkEnd w:id="28"/>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right="200" w:firstLine="445"/>
        <w:spacing w:after="0" w:line="273"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3080" w:type="dxa"/>
            <w:vAlign w:val="bottom"/>
          </w:tcPr>
          <w:p>
            <w:pPr>
              <w:spacing w:after="0"/>
              <w:rPr>
                <w:sz w:val="20"/>
                <w:szCs w:val="20"/>
                <w:color w:val="auto"/>
              </w:rPr>
            </w:pPr>
          </w:p>
        </w:tc>
        <w:tc>
          <w:tcPr>
            <w:tcW w:w="7780" w:type="dxa"/>
            <w:vAlign w:val="bottom"/>
            <w:gridSpan w:val="2"/>
          </w:tcPr>
          <w:p>
            <w:pPr>
              <w:ind w:left="1620"/>
              <w:spacing w:after="0"/>
              <w:rPr>
                <w:sz w:val="20"/>
                <w:szCs w:val="20"/>
                <w:color w:val="auto"/>
              </w:rPr>
            </w:pPr>
            <w:r>
              <w:rPr>
                <w:rFonts w:ascii="Times New Roman" w:cs="Times New Roman" w:eastAsia="Times New Roman" w:hAnsi="Times New Roman"/>
                <w:sz w:val="18"/>
                <w:szCs w:val="18"/>
                <w:color w:val="auto"/>
              </w:rPr>
              <w:t>ANALOG DEVICES, INC.</w:t>
            </w:r>
          </w:p>
        </w:tc>
      </w:tr>
      <w:tr>
        <w:trPr>
          <w:trHeight w:val="499"/>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Date: May 22, 2024</w:t>
            </w:r>
          </w:p>
        </w:tc>
        <w:tc>
          <w:tcPr>
            <w:tcW w:w="2160" w:type="dxa"/>
            <w:vAlign w:val="bottom"/>
          </w:tcPr>
          <w:p>
            <w:pPr>
              <w:ind w:left="1620"/>
              <w:spacing w:after="0"/>
              <w:rPr>
                <w:sz w:val="20"/>
                <w:szCs w:val="20"/>
                <w:color w:val="auto"/>
              </w:rPr>
            </w:pPr>
            <w:r>
              <w:rPr>
                <w:rFonts w:ascii="Times New Roman" w:cs="Times New Roman" w:eastAsia="Times New Roman" w:hAnsi="Times New Roman"/>
                <w:sz w:val="18"/>
                <w:szCs w:val="18"/>
                <w:color w:val="auto"/>
              </w:rPr>
              <w:t>By:</w:t>
            </w:r>
          </w:p>
        </w:tc>
        <w:tc>
          <w:tcPr>
            <w:tcW w:w="56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 Vincent Roche</w:t>
            </w:r>
          </w:p>
        </w:tc>
      </w:tr>
      <w:tr>
        <w:trPr>
          <w:trHeight w:val="218"/>
        </w:trPr>
        <w:tc>
          <w:tcPr>
            <w:tcW w:w="308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5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Vincent Roche</w:t>
            </w:r>
          </w:p>
        </w:tc>
      </w:tr>
      <w:tr>
        <w:trPr>
          <w:trHeight w:val="229"/>
        </w:trPr>
        <w:tc>
          <w:tcPr>
            <w:tcW w:w="308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5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Chief Executive Officer and Chair of the Board of Directors</w:t>
            </w:r>
          </w:p>
        </w:tc>
      </w:tr>
      <w:tr>
        <w:trPr>
          <w:trHeight w:val="234"/>
        </w:trPr>
        <w:tc>
          <w:tcPr>
            <w:tcW w:w="308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5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99"/>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Date: May 22, 2024</w:t>
            </w:r>
          </w:p>
        </w:tc>
        <w:tc>
          <w:tcPr>
            <w:tcW w:w="2160" w:type="dxa"/>
            <w:vAlign w:val="bottom"/>
          </w:tcPr>
          <w:p>
            <w:pPr>
              <w:ind w:left="1620"/>
              <w:spacing w:after="0"/>
              <w:rPr>
                <w:sz w:val="20"/>
                <w:szCs w:val="20"/>
                <w:color w:val="auto"/>
              </w:rPr>
            </w:pPr>
            <w:r>
              <w:rPr>
                <w:rFonts w:ascii="Times New Roman" w:cs="Times New Roman" w:eastAsia="Times New Roman" w:hAnsi="Times New Roman"/>
                <w:sz w:val="18"/>
                <w:szCs w:val="18"/>
                <w:color w:val="auto"/>
              </w:rPr>
              <w:t>By:</w:t>
            </w:r>
          </w:p>
        </w:tc>
        <w:tc>
          <w:tcPr>
            <w:tcW w:w="56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 Richard C. Puccio, Jr.</w:t>
            </w:r>
          </w:p>
        </w:tc>
      </w:tr>
      <w:tr>
        <w:trPr>
          <w:trHeight w:val="218"/>
        </w:trPr>
        <w:tc>
          <w:tcPr>
            <w:tcW w:w="308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5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Richard C. Puccio, Jr.</w:t>
            </w:r>
          </w:p>
        </w:tc>
      </w:tr>
      <w:tr>
        <w:trPr>
          <w:trHeight w:val="229"/>
        </w:trPr>
        <w:tc>
          <w:tcPr>
            <w:tcW w:w="308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5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r>
        <w:trPr>
          <w:trHeight w:val="234"/>
        </w:trPr>
        <w:tc>
          <w:tcPr>
            <w:tcW w:w="308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5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0920"/>
          </w:cols>
          <w:pgMar w:left="320" w:top="1008" w:right="659" w:bottom="1440" w:gutter="0" w:footer="0" w:header="0"/>
        </w:sectPr>
      </w:pPr>
    </w:p>
    <w:bookmarkStart w:id="29" w:name="page30"/>
    <w:bookmarkEnd w:id="2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Vincent Roche, certify that:</w:t>
      </w:r>
    </w:p>
    <w:p>
      <w:pPr>
        <w:spacing w:after="0" w:line="63"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Analog Devices, Inc.;</w:t>
      </w:r>
    </w:p>
    <w:p>
      <w:pPr>
        <w:spacing w:after="0" w:line="63"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 w:lineRule="exact"/>
        <w:rPr>
          <w:rFonts w:ascii="Times New Roman" w:cs="Times New Roman" w:eastAsia="Times New Roman" w:hAnsi="Times New Roman"/>
          <w:sz w:val="18"/>
          <w:szCs w:val="18"/>
          <w:color w:val="auto"/>
        </w:rPr>
      </w:pPr>
    </w:p>
    <w:p>
      <w:pPr>
        <w:ind w:left="660" w:right="80" w:hanging="328"/>
        <w:spacing w:after="0" w:line="281"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 w:lineRule="exact"/>
        <w:rPr>
          <w:rFonts w:ascii="Times New Roman" w:cs="Times New Roman" w:eastAsia="Times New Roman" w:hAnsi="Times New Roman"/>
          <w:sz w:val="18"/>
          <w:szCs w:val="18"/>
          <w:color w:val="auto"/>
        </w:rPr>
      </w:pPr>
    </w:p>
    <w:p>
      <w:pPr>
        <w:ind w:left="1300" w:right="120" w:hanging="320"/>
        <w:spacing w:after="0" w:line="266" w:lineRule="auto"/>
        <w:tabs>
          <w:tab w:leader="none" w:pos="1291"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 w:lineRule="exact"/>
        <w:rPr>
          <w:rFonts w:ascii="Times New Roman" w:cs="Times New Roman" w:eastAsia="Times New Roman" w:hAnsi="Times New Roman"/>
          <w:sz w:val="18"/>
          <w:szCs w:val="18"/>
          <w:color w:val="auto"/>
        </w:rPr>
      </w:pPr>
    </w:p>
    <w:p>
      <w:pPr>
        <w:ind w:left="1300" w:right="40" w:hanging="320"/>
        <w:spacing w:after="0" w:line="266" w:lineRule="auto"/>
        <w:tabs>
          <w:tab w:leader="none" w:pos="1288"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 w:lineRule="exact"/>
        <w:rPr>
          <w:rFonts w:ascii="Times New Roman" w:cs="Times New Roman" w:eastAsia="Times New Roman" w:hAnsi="Times New Roman"/>
          <w:sz w:val="18"/>
          <w:szCs w:val="18"/>
          <w:color w:val="auto"/>
        </w:rPr>
      </w:pPr>
    </w:p>
    <w:p>
      <w:pPr>
        <w:jc w:val="both"/>
        <w:ind w:left="1300" w:right="220" w:hanging="320"/>
        <w:spacing w:after="0" w:line="298" w:lineRule="auto"/>
        <w:tabs>
          <w:tab w:leader="none" w:pos="1291" w:val="left"/>
        </w:tabs>
        <w:numPr>
          <w:ilvl w:val="1"/>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300" w:right="220" w:hanging="320"/>
        <w:spacing w:after="0" w:line="266" w:lineRule="auto"/>
        <w:tabs>
          <w:tab w:leader="none" w:pos="1288"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 w:lineRule="exact"/>
        <w:rPr>
          <w:rFonts w:ascii="Times New Roman" w:cs="Times New Roman" w:eastAsia="Times New Roman" w:hAnsi="Times New Roman"/>
          <w:sz w:val="18"/>
          <w:szCs w:val="18"/>
          <w:color w:val="auto"/>
        </w:rPr>
      </w:pPr>
    </w:p>
    <w:p>
      <w:pPr>
        <w:ind w:left="660" w:hanging="328"/>
        <w:spacing w:after="0" w:line="281"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Times New Roman" w:cs="Times New Roman" w:eastAsia="Times New Roman" w:hAnsi="Times New Roman"/>
          <w:sz w:val="18"/>
          <w:szCs w:val="18"/>
          <w:color w:val="auto"/>
        </w:rPr>
      </w:pPr>
    </w:p>
    <w:p>
      <w:pPr>
        <w:ind w:left="1300" w:right="460" w:hanging="320"/>
        <w:spacing w:after="0" w:line="281" w:lineRule="auto"/>
        <w:tabs>
          <w:tab w:leader="none" w:pos="1291"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Times New Roman" w:cs="Times New Roman" w:eastAsia="Times New Roman" w:hAnsi="Times New Roman"/>
          <w:sz w:val="18"/>
          <w:szCs w:val="18"/>
          <w:color w:val="auto"/>
        </w:rPr>
      </w:pPr>
    </w:p>
    <w:p>
      <w:pPr>
        <w:ind w:left="1300" w:right="160" w:hanging="320"/>
        <w:spacing w:after="0" w:line="282" w:lineRule="auto"/>
        <w:tabs>
          <w:tab w:leader="none" w:pos="1288"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29"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/s/ Vincent Roche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3879850</wp:posOffset>
            </wp:positionH>
            <wp:positionV relativeFrom="paragraph">
              <wp:posOffset>17145</wp:posOffset>
            </wp:positionV>
            <wp:extent cx="324866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3248660" cy="8255"/>
                    </a:xfrm>
                    <a:prstGeom prst="rect">
                      <a:avLst/>
                    </a:prstGeom>
                    <a:noFill/>
                  </pic:spPr>
                </pic:pic>
              </a:graphicData>
            </a:graphic>
          </wp:anchor>
        </w:drawing>
      </w:r>
    </w:p>
    <w:p>
      <w:pPr>
        <w:spacing w:after="0" w:line="16"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Vincent Roche</w:t>
      </w:r>
    </w:p>
    <w:p>
      <w:pPr>
        <w:spacing w:after="0" w:line="63"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Chief Executive Officer and Chair of the Board of</w:t>
      </w:r>
    </w:p>
    <w:p>
      <w:pPr>
        <w:spacing w:after="0" w:line="63"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Directors</w:t>
      </w:r>
    </w:p>
    <w:p>
      <w:pPr>
        <w:spacing w:after="0" w:line="63"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1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Date: May 22, 2024</w:t>
      </w:r>
    </w:p>
    <w:p>
      <w:pPr>
        <w:sectPr>
          <w:pgSz w:w="11900" w:h="16838" w:orient="portrait"/>
          <w:cols w:equalWidth="0" w:num="1">
            <w:col w:w="11240"/>
          </w:cols>
          <w:pgMar w:left="320" w:top="914" w:right="339"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Richard C. Puccio, Jr., certify that:</w:t>
      </w:r>
    </w:p>
    <w:p>
      <w:pPr>
        <w:spacing w:after="0" w:line="63"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Analog Devices, Inc.;</w:t>
      </w:r>
    </w:p>
    <w:p>
      <w:pPr>
        <w:spacing w:after="0" w:line="63"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 w:lineRule="exact"/>
        <w:rPr>
          <w:rFonts w:ascii="Times New Roman" w:cs="Times New Roman" w:eastAsia="Times New Roman" w:hAnsi="Times New Roman"/>
          <w:sz w:val="18"/>
          <w:szCs w:val="18"/>
          <w:color w:val="auto"/>
        </w:rPr>
      </w:pPr>
    </w:p>
    <w:p>
      <w:pPr>
        <w:ind w:left="660" w:right="80" w:hanging="328"/>
        <w:spacing w:after="0" w:line="281"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 w:lineRule="exact"/>
        <w:rPr>
          <w:rFonts w:ascii="Times New Roman" w:cs="Times New Roman" w:eastAsia="Times New Roman" w:hAnsi="Times New Roman"/>
          <w:sz w:val="18"/>
          <w:szCs w:val="18"/>
          <w:color w:val="auto"/>
        </w:rPr>
      </w:pPr>
    </w:p>
    <w:p>
      <w:pPr>
        <w:ind w:left="1300" w:right="120" w:hanging="320"/>
        <w:spacing w:after="0" w:line="266" w:lineRule="auto"/>
        <w:tabs>
          <w:tab w:leader="none" w:pos="1291"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 w:lineRule="exact"/>
        <w:rPr>
          <w:rFonts w:ascii="Times New Roman" w:cs="Times New Roman" w:eastAsia="Times New Roman" w:hAnsi="Times New Roman"/>
          <w:sz w:val="18"/>
          <w:szCs w:val="18"/>
          <w:color w:val="auto"/>
        </w:rPr>
      </w:pPr>
    </w:p>
    <w:p>
      <w:pPr>
        <w:ind w:left="1300" w:right="40" w:hanging="320"/>
        <w:spacing w:after="0" w:line="266" w:lineRule="auto"/>
        <w:tabs>
          <w:tab w:leader="none" w:pos="1288"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 w:lineRule="exact"/>
        <w:rPr>
          <w:rFonts w:ascii="Times New Roman" w:cs="Times New Roman" w:eastAsia="Times New Roman" w:hAnsi="Times New Roman"/>
          <w:sz w:val="18"/>
          <w:szCs w:val="18"/>
          <w:color w:val="auto"/>
        </w:rPr>
      </w:pPr>
    </w:p>
    <w:p>
      <w:pPr>
        <w:jc w:val="both"/>
        <w:ind w:left="1300" w:right="220" w:hanging="320"/>
        <w:spacing w:after="0" w:line="298" w:lineRule="auto"/>
        <w:tabs>
          <w:tab w:leader="none" w:pos="1291" w:val="left"/>
        </w:tabs>
        <w:numPr>
          <w:ilvl w:val="1"/>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300" w:right="220" w:hanging="320"/>
        <w:spacing w:after="0" w:line="266" w:lineRule="auto"/>
        <w:tabs>
          <w:tab w:leader="none" w:pos="1288"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 w:lineRule="exact"/>
        <w:rPr>
          <w:rFonts w:ascii="Times New Roman" w:cs="Times New Roman" w:eastAsia="Times New Roman" w:hAnsi="Times New Roman"/>
          <w:sz w:val="18"/>
          <w:szCs w:val="18"/>
          <w:color w:val="auto"/>
        </w:rPr>
      </w:pPr>
    </w:p>
    <w:p>
      <w:pPr>
        <w:ind w:left="660" w:hanging="328"/>
        <w:spacing w:after="0" w:line="281"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Times New Roman" w:cs="Times New Roman" w:eastAsia="Times New Roman" w:hAnsi="Times New Roman"/>
          <w:sz w:val="18"/>
          <w:szCs w:val="18"/>
          <w:color w:val="auto"/>
        </w:rPr>
      </w:pPr>
    </w:p>
    <w:p>
      <w:pPr>
        <w:ind w:left="1300" w:right="460" w:hanging="320"/>
        <w:spacing w:after="0" w:line="281" w:lineRule="auto"/>
        <w:tabs>
          <w:tab w:leader="none" w:pos="1291"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Times New Roman" w:cs="Times New Roman" w:eastAsia="Times New Roman" w:hAnsi="Times New Roman"/>
          <w:sz w:val="18"/>
          <w:szCs w:val="18"/>
          <w:color w:val="auto"/>
        </w:rPr>
      </w:pPr>
    </w:p>
    <w:p>
      <w:pPr>
        <w:ind w:left="1300" w:right="160" w:hanging="320"/>
        <w:spacing w:after="0" w:line="282" w:lineRule="auto"/>
        <w:tabs>
          <w:tab w:leader="none" w:pos="1288"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25"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20"/>
          <w:szCs w:val="20"/>
          <w:color w:val="auto"/>
        </w:rPr>
        <w:t xml:space="preserve">/s/ </w:t>
      </w:r>
      <w:r>
        <w:rPr>
          <w:rFonts w:ascii="Times New Roman" w:cs="Times New Roman" w:eastAsia="Times New Roman" w:hAnsi="Times New Roman"/>
          <w:sz w:val="17"/>
          <w:szCs w:val="17"/>
          <w:color w:val="auto"/>
        </w:rPr>
        <w:t>Richard C. Puccio,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3879850</wp:posOffset>
            </wp:positionH>
            <wp:positionV relativeFrom="paragraph">
              <wp:posOffset>22860</wp:posOffset>
            </wp:positionV>
            <wp:extent cx="324866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3248660" cy="8255"/>
                    </a:xfrm>
                    <a:prstGeom prst="rect">
                      <a:avLst/>
                    </a:prstGeom>
                    <a:noFill/>
                  </pic:spPr>
                </pic:pic>
              </a:graphicData>
            </a:graphic>
          </wp:anchor>
        </w:drawing>
      </w:r>
    </w:p>
    <w:p>
      <w:pPr>
        <w:spacing w:after="0" w:line="25"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Richard C. Puccio, Jr.</w:t>
      </w:r>
    </w:p>
    <w:p>
      <w:pPr>
        <w:spacing w:after="0" w:line="27"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23"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Date: May 22, 2024</w:t>
      </w:r>
    </w:p>
    <w:p>
      <w:pPr>
        <w:sectPr>
          <w:pgSz w:w="11900" w:h="16838" w:orient="portrait"/>
          <w:cols w:equalWidth="0" w:num="1">
            <w:col w:w="11240"/>
          </w:cols>
          <w:pgMar w:left="320" w:top="914" w:right="33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34"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Analog Devices, Inc. (the “Company”) for the period ended May 4, 2024 as filed with the Securities and Exchange Commission on the date hereof (the “Report”), the undersigned, Vincent Roche, Chief Executive Officer of the Company, hereby certifies, pursuant to 18 U.S.C. Section 1350, that:</w:t>
      </w:r>
    </w:p>
    <w:p>
      <w:pPr>
        <w:spacing w:after="0" w:line="14"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49" w:lineRule="exact"/>
        <w:rPr>
          <w:rFonts w:ascii="Times New Roman" w:cs="Times New Roman" w:eastAsia="Times New Roman" w:hAnsi="Times New Roman"/>
          <w:sz w:val="18"/>
          <w:szCs w:val="18"/>
          <w:color w:val="auto"/>
        </w:rPr>
      </w:pPr>
    </w:p>
    <w:p>
      <w:pPr>
        <w:ind w:left="6140" w:right="3860" w:hanging="40"/>
        <w:spacing w:after="0" w:line="31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/s/ Vincent Roche Vincent Roche</w:t>
      </w:r>
    </w:p>
    <w:p>
      <w:pPr>
        <w:spacing w:after="0" w:line="1" w:lineRule="exact"/>
        <w:rPr>
          <w:rFonts w:ascii="Times New Roman" w:cs="Times New Roman" w:eastAsia="Times New Roman" w:hAnsi="Times New Roman"/>
          <w:sz w:val="18"/>
          <w:szCs w:val="18"/>
          <w:color w:val="auto"/>
        </w:rPr>
      </w:pPr>
    </w:p>
    <w:p>
      <w:pPr>
        <w:ind w:left="61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-307975</wp:posOffset>
            </wp:positionV>
            <wp:extent cx="306006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31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Date: May 22, 2024</w:t>
      </w:r>
    </w:p>
    <w:p>
      <w:pPr>
        <w:sectPr>
          <w:pgSz w:w="11900" w:h="16838" w:orient="portrait"/>
          <w:cols w:equalWidth="0" w:num="1">
            <w:col w:w="11240"/>
          </w:cols>
          <w:pgMar w:left="320" w:top="914" w:right="33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34"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Analog Devices, Inc. (the “Company”) for the period ended May 4, 2024 as filed with the Securities and Exchange Commission on the date hereof (the “Report”), the undersigned, Richard C. Puccio, Jr., Chief Financial Officer of the Company, hereby certifies, pursuant to 18 U.S.C. Section 1350, that:</w:t>
      </w:r>
    </w:p>
    <w:p>
      <w:pPr>
        <w:spacing w:after="0" w:line="14"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63" w:lineRule="exact"/>
        <w:rPr>
          <w:rFonts w:ascii="Times New Roman" w:cs="Times New Roman" w:eastAsia="Times New Roman" w:hAnsi="Times New Roman"/>
          <w:sz w:val="18"/>
          <w:szCs w:val="18"/>
          <w:color w:val="auto"/>
        </w:rPr>
      </w:pPr>
    </w:p>
    <w:p>
      <w:pPr>
        <w:ind w:left="6100" w:right="140" w:hanging="5768"/>
        <w:spacing w:after="0" w:line="296" w:lineRule="auto"/>
        <w:tabs>
          <w:tab w:leader="none" w:pos="662"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information contained in the Report fairly presents, in all material respects, the financial condition and results of operations of the Company. </w:t>
      </w:r>
      <w:r>
        <w:rPr>
          <w:rFonts w:ascii="Times New Roman" w:cs="Times New Roman" w:eastAsia="Times New Roman" w:hAnsi="Times New Roman"/>
          <w:sz w:val="19"/>
          <w:szCs w:val="19"/>
          <w:color w:val="auto"/>
        </w:rPr>
        <w:t xml:space="preserve">/s/ </w:t>
      </w:r>
      <w:r>
        <w:rPr>
          <w:rFonts w:ascii="Times New Roman" w:cs="Times New Roman" w:eastAsia="Times New Roman" w:hAnsi="Times New Roman"/>
          <w:sz w:val="17"/>
          <w:szCs w:val="17"/>
          <w:color w:val="auto"/>
        </w:rPr>
        <w:t>Richard C. Puccio, Jr.</w:t>
      </w:r>
    </w:p>
    <w:p>
      <w:pPr>
        <w:spacing w:after="0" w:line="1" w:lineRule="exact"/>
        <w:rPr>
          <w:rFonts w:ascii="Times New Roman" w:cs="Times New Roman" w:eastAsia="Times New Roman" w:hAnsi="Times New Roman"/>
          <w:sz w:val="18"/>
          <w:szCs w:val="18"/>
          <w:color w:val="auto"/>
        </w:rPr>
      </w:pPr>
    </w:p>
    <w:p>
      <w:pPr>
        <w:ind w:left="6100" w:right="3480"/>
        <w:spacing w:after="0" w:line="32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Richard C. Puccio, Jr.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-345440</wp:posOffset>
            </wp:positionV>
            <wp:extent cx="306006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17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Date: May 22, 2024</w:t>
      </w:r>
    </w:p>
    <w:sectPr>
      <w:pgSz w:w="11900" w:h="16838" w:orient="portrait"/>
      <w:cols w:equalWidth="0" w:num="1">
        <w:col w:w="11240"/>
      </w:cols>
      <w:pgMar w:left="320" w:top="91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1)"/>
      <w:numFmt w:val="decimal"/>
      <w:start w:val="1"/>
    </w:lvl>
  </w:abstractNum>
  <w:abstractNum w:abstractNumId="3">
    <w:nsid w:val="216231B"/>
    <w:multiLevelType w:val="hybridMultilevel"/>
    <w:lvl w:ilvl="0">
      <w:lvlJc w:val="left"/>
      <w:lvlText w:val="(%1)"/>
      <w:numFmt w:val="decimal"/>
      <w:start w:val="1"/>
    </w:lvl>
  </w:abstractNum>
  <w:abstractNum w:abstractNumId="4">
    <w:nsid w:val="1F16E9E8"/>
    <w:multiLevelType w:val="hybridMultilevel"/>
    <w:lvl w:ilvl="0">
      <w:lvlJc w:val="left"/>
      <w:lvlText w:val="(%1)"/>
      <w:numFmt w:val="decimal"/>
      <w:start w:val="2"/>
    </w:lvl>
  </w:abstractNum>
  <w:abstractNum w:abstractNumId="5">
    <w:nsid w:val="1190CDE7"/>
    <w:multiLevelType w:val="hybridMultilevel"/>
    <w:lvl w:ilvl="0">
      <w:lvlJc w:val="left"/>
      <w:lvlText w:val="*"/>
      <w:numFmt w:val="bullet"/>
      <w:start w:val="1"/>
    </w:lvl>
  </w:abstractNum>
  <w:abstractNum w:abstractNumId="6">
    <w:nsid w:val="66EF438D"/>
    <w:multiLevelType w:val="hybridMultilevel"/>
    <w:lvl w:ilvl="0">
      <w:lvlJc w:val="left"/>
      <w:lvlText w:val="(%1)"/>
      <w:numFmt w:val="lowerLetter"/>
      <w:start w:val="1"/>
    </w:lvl>
  </w:abstractNum>
  <w:abstractNum w:abstractNumId="7">
    <w:nsid w:val="140E0F76"/>
    <w:multiLevelType w:val="hybridMultilevel"/>
    <w:lvl w:ilvl="0">
      <w:lvlJc w:val="left"/>
      <w:lvlText w:val="(%1)"/>
      <w:numFmt w:val="lowerLetter"/>
      <w:start w:val="1"/>
    </w:lvl>
  </w:abstractNum>
  <w:abstractNum w:abstractNumId="8">
    <w:nsid w:val="3352255A"/>
    <w:multiLevelType w:val="hybridMultilevel"/>
    <w:lvl w:ilvl="0">
      <w:lvlJc w:val="left"/>
      <w:lvlText w:val="%1"/>
      <w:numFmt w:val="decimal"/>
      <w:start w:val="104"/>
    </w:lvl>
  </w:abstractNum>
  <w:abstractNum w:abstractNumId="9">
    <w:nsid w:val="109CF92E"/>
    <w:multiLevelType w:val="hybridMultilevel"/>
    <w:lvl w:ilvl="0">
      <w:lvlJc w:val="left"/>
      <w:lvlText w:val="†"/>
      <w:numFmt w:val="bullet"/>
      <w:start w:val="1"/>
    </w:lvl>
  </w:abstractNum>
  <w:abstractNum w:abstractNumId="10">
    <w:nsid w:val="DED7263"/>
    <w:multiLevelType w:val="hybridMultilevel"/>
    <w:lvl w:ilvl="0">
      <w:lvlJc w:val="left"/>
      <w:lvlText w:val="*"/>
      <w:numFmt w:val="bullet"/>
      <w:start w:val="1"/>
    </w:lvl>
  </w:abstractNum>
  <w:abstractNum w:abstractNumId="11">
    <w:nsid w:val="7FDCC233"/>
    <w:multiLevelType w:val="hybridMultilevel"/>
    <w:lvl w:ilvl="0">
      <w:lvlJc w:val="left"/>
      <w:lvlText w:val="**"/>
      <w:numFmt w:val="bullet"/>
      <w:start w:val="1"/>
    </w:lvl>
  </w:abstractNum>
  <w:abstractNum w:abstractNumId="12">
    <w:nsid w:val="1BEFD79F"/>
    <w:multiLevelType w:val="hybridMultilevel"/>
    <w:lvl w:ilvl="0">
      <w:lvlJc w:val="left"/>
      <w:lvlText w:val="(%1)"/>
      <w:numFmt w:val="lowerRoman"/>
      <w:start w:val="5"/>
    </w:lvl>
  </w:abstractNum>
  <w:abstractNum w:abstractNumId="13">
    <w:nsid w:val="41A7C4C9"/>
    <w:multiLevelType w:val="hybridMultilevel"/>
    <w:lvl w:ilvl="0">
      <w:lvlJc w:val="left"/>
      <w:lvlText w:val="%1."/>
      <w:numFmt w:val="decimal"/>
      <w:start w:val="1"/>
    </w:lvl>
    <w:lvl w:ilvl="1">
      <w:lvlJc w:val="left"/>
      <w:lvlText w:val="%2)"/>
      <w:numFmt w:val="lowerLetter"/>
      <w:start w:val="1"/>
    </w:lvl>
  </w:abstractNum>
  <w:abstractNum w:abstractNumId="14">
    <w:nsid w:val="6B68079A"/>
    <w:multiLevelType w:val="hybridMultilevel"/>
    <w:lvl w:ilvl="0">
      <w:lvlJc w:val="left"/>
      <w:lvlText w:val="%1."/>
      <w:numFmt w:val="decimal"/>
      <w:start w:val="1"/>
    </w:lvl>
    <w:lvl w:ilvl="1">
      <w:lvlJc w:val="left"/>
      <w:lvlText w:val="%2)"/>
      <w:numFmt w:val="lowerLetter"/>
      <w:start w:val="1"/>
    </w:lvl>
  </w:abstractNum>
  <w:abstractNum w:abstractNumId="15">
    <w:nsid w:val="4E6AFB66"/>
    <w:multiLevelType w:val="hybridMultilevel"/>
    <w:lvl w:ilvl="0">
      <w:lvlJc w:val="left"/>
      <w:lvlText w:val="%1."/>
      <w:numFmt w:val="decimal"/>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45" Type="http://schemas.openxmlformats.org/officeDocument/2006/relationships/hyperlink" Target="https://www.sec.gov/Archives/edgar/data/6281/000119312524085997/d786555dex4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2024-05-22T06:14:55Z</dcterms:created>
  <dcterms:modified xsi:type="dcterms:W3CDTF">2024-05-22T06:14:55Z</dcterms:modified>
</cp:coreProperties>
</file>