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7 )*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032654105</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927,520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7,659,530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7,659,530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4.7%</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Technology Way</w:t>
      </w:r>
    </w:p>
    <w:p>
      <w:pPr>
        <w:ind w:left="740"/>
        <w:spacing w:after="0"/>
        <w:tabs>
          <w:tab w:leader="none" w:pos="210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02062-9106</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032654105</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939" w:hanging="535"/>
        <w:spacing w:after="0" w:line="235" w:lineRule="auto"/>
        <w:tabs>
          <w:tab w:leader="none" w:pos="149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619"/>
        <w:spacing w:after="0" w:line="238" w:lineRule="auto"/>
        <w:rPr>
          <w:sz w:val="20"/>
          <w:szCs w:val="20"/>
          <w:color w:val="auto"/>
        </w:rPr>
      </w:pPr>
      <w:r>
        <w:rPr>
          <w:rFonts w:ascii="Courier New" w:cs="Courier New" w:eastAsia="Courier New" w:hAnsi="Courier New"/>
          <w:sz w:val="18"/>
          <w:szCs w:val="18"/>
          <w:color w:val="auto"/>
        </w:rPr>
        <w:t>The Capital Group Companies,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The Capital Group Companies, Inc. does not have investment power or voting power over any of the securities reported herein; however, The Capital Group Companies, Inc. may be deemed to "beneficially own" such securities by virtue of Rule 13d-3 under the 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Shares reported by The Capital Group Companies, Inc., includes</w:t>
      </w:r>
    </w:p>
    <w:p>
      <w:pPr>
        <w:ind w:left="740"/>
        <w:spacing w:after="0" w:line="238" w:lineRule="auto"/>
        <w:rPr>
          <w:sz w:val="20"/>
          <w:szCs w:val="20"/>
          <w:color w:val="auto"/>
        </w:rPr>
      </w:pPr>
      <w:r>
        <w:rPr>
          <w:rFonts w:ascii="Courier New" w:cs="Courier New" w:eastAsia="Courier New" w:hAnsi="Courier New"/>
          <w:sz w:val="18"/>
          <w:szCs w:val="18"/>
          <w:color w:val="auto"/>
        </w:rPr>
        <w:t>271,040 shares resulting from the assumed conversion of</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$5,675,000 principal amount of the 3.50% Convertible Subordinate</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Note, due 2000.</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060" w:right="2619"/>
        <w:spacing w:after="0" w:line="236" w:lineRule="auto"/>
        <w:rPr>
          <w:sz w:val="20"/>
          <w:szCs w:val="20"/>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 which is a wholly owned subsidiary of The Capital Group Companies, Inc.</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Capital Group Companies, Inc.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8"/>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decimal"/>
      <w:start w:val="10"/>
    </w:lvl>
    <w:lvl w:ilvl="1">
      <w:lvlJc w:val="left"/>
      <w:lvlText w:val="*"/>
      <w:numFmt w:val="bullet"/>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2019-12-12T05:42:03Z</dcterms:created>
  <dcterms:modified xsi:type="dcterms:W3CDTF">2019-12-12T05:42:03Z</dcterms:modified>
</cp:coreProperties>
</file>