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October 30, 2000</w:t>
      </w:r>
    </w:p>
    <w:p>
      <w:pPr>
        <w:spacing w:after="0" w:line="169" w:lineRule="exact"/>
        <w:rPr>
          <w:sz w:val="24"/>
          <w:szCs w:val="24"/>
          <w:color w:val="auto"/>
        </w:rPr>
      </w:pPr>
    </w:p>
    <w:p>
      <w:pPr>
        <w:ind w:left="4050"/>
        <w:spacing w:after="0"/>
        <w:rPr>
          <w:sz w:val="20"/>
          <w:szCs w:val="20"/>
          <w:color w:val="auto"/>
        </w:rPr>
      </w:pPr>
      <w:r>
        <w:rPr>
          <w:rFonts w:ascii="Courier New" w:cs="Courier New" w:eastAsia="Courier New" w:hAnsi="Courier New"/>
          <w:sz w:val="15"/>
          <w:szCs w:val="15"/>
          <w:color w:val="auto"/>
        </w:rPr>
        <w:t>Registration Statement No. 333-</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FORM S-3</w:t>
      </w:r>
    </w:p>
    <w:p>
      <w:pPr>
        <w:jc w:val="center"/>
        <w:ind w:right="325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ANALOG DEVICES,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w:t>
      </w:r>
    </w:p>
    <w:p>
      <w:pPr>
        <w:sectPr>
          <w:pgSz w:w="11900" w:h="16866" w:orient="portrait"/>
          <w:cols w:equalWidth="0" w:num="1">
            <w:col w:w="10229"/>
          </w:cols>
          <w:pgMar w:left="230" w:top="565" w:right="1440" w:bottom="0" w:gutter="0" w:footer="0" w:header="0"/>
        </w:sectPr>
      </w:pPr>
    </w:p>
    <w:p>
      <w:pPr>
        <w:spacing w:after="0" w:line="169"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Massachusetts</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04-2348234</w:t>
      </w:r>
    </w:p>
    <w:p>
      <w:pPr>
        <w:spacing w:after="0" w:line="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(I.R.S. Employer Identification No.)</w:t>
      </w:r>
    </w:p>
    <w:p>
      <w:pPr>
        <w:spacing w:after="0" w:line="344" w:lineRule="exact"/>
        <w:rPr>
          <w:sz w:val="24"/>
          <w:szCs w:val="24"/>
          <w:color w:val="auto"/>
        </w:rPr>
      </w:pPr>
    </w:p>
    <w:p>
      <w:pPr>
        <w:sectPr>
          <w:pgSz w:w="11900" w:h="16866" w:orient="portrait"/>
          <w:cols w:equalWidth="0" w:num="2">
            <w:col w:w="2990" w:space="720"/>
            <w:col w:w="6519"/>
          </w:cols>
          <w:pgMar w:left="230" w:top="565" w:right="1440" w:bottom="0" w:gutter="0" w:footer="0" w:header="0"/>
          <w:type w:val="continuous"/>
        </w:sectPr>
      </w:pPr>
    </w:p>
    <w:p>
      <w:pPr>
        <w:ind w:left="2730"/>
        <w:spacing w:after="0"/>
        <w:rPr>
          <w:sz w:val="20"/>
          <w:szCs w:val="20"/>
          <w:color w:val="auto"/>
        </w:rPr>
      </w:pPr>
      <w:r>
        <w:rPr>
          <w:rFonts w:ascii="Courier New" w:cs="Courier New" w:eastAsia="Courier New" w:hAnsi="Courier New"/>
          <w:sz w:val="15"/>
          <w:szCs w:val="15"/>
          <w:color w:val="auto"/>
        </w:rPr>
        <w:t>One Technology Way</w:t>
      </w:r>
    </w:p>
    <w:p>
      <w:pPr>
        <w:jc w:val="center"/>
        <w:ind w:right="3250"/>
        <w:spacing w:after="0"/>
        <w:rPr>
          <w:sz w:val="20"/>
          <w:szCs w:val="20"/>
          <w:color w:val="auto"/>
        </w:rPr>
      </w:pPr>
      <w:r>
        <w:rPr>
          <w:rFonts w:ascii="Courier New" w:cs="Courier New" w:eastAsia="Courier New" w:hAnsi="Courier New"/>
          <w:sz w:val="15"/>
          <w:szCs w:val="15"/>
          <w:color w:val="auto"/>
        </w:rPr>
        <w:t>Norwood, Massachusetts 02062-9106</w:t>
      </w:r>
    </w:p>
    <w:p>
      <w:pPr>
        <w:jc w:val="center"/>
        <w:ind w:right="3170"/>
        <w:spacing w:after="0"/>
        <w:rPr>
          <w:sz w:val="20"/>
          <w:szCs w:val="20"/>
          <w:color w:val="auto"/>
        </w:rPr>
      </w:pPr>
      <w:r>
        <w:rPr>
          <w:rFonts w:ascii="Courier New" w:cs="Courier New" w:eastAsia="Courier New" w:hAnsi="Courier New"/>
          <w:sz w:val="15"/>
          <w:szCs w:val="15"/>
          <w:color w:val="auto"/>
        </w:rPr>
        <w:t>(781) 329-4700</w:t>
      </w:r>
    </w:p>
    <w:p>
      <w:pPr>
        <w:jc w:val="center"/>
        <w:ind w:right="3250"/>
        <w:spacing w:after="0" w:line="238" w:lineRule="auto"/>
        <w:rPr>
          <w:sz w:val="20"/>
          <w:szCs w:val="20"/>
          <w:color w:val="auto"/>
        </w:rPr>
      </w:pPr>
      <w:r>
        <w:rPr>
          <w:rFonts w:ascii="Courier New" w:cs="Courier New" w:eastAsia="Courier New" w:hAnsi="Courier New"/>
          <w:sz w:val="15"/>
          <w:szCs w:val="15"/>
          <w:color w:val="auto"/>
        </w:rPr>
        <w:t>(address, including zip code, and telephone number, including</w:t>
      </w:r>
    </w:p>
    <w:p>
      <w:pPr>
        <w:jc w:val="center"/>
        <w:ind w:right="3250"/>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Paul P. Brountas</w:t>
      </w:r>
    </w:p>
    <w:p>
      <w:pPr>
        <w:ind w:left="2730"/>
        <w:spacing w:after="0"/>
        <w:rPr>
          <w:sz w:val="20"/>
          <w:szCs w:val="20"/>
          <w:color w:val="auto"/>
        </w:rPr>
      </w:pPr>
      <w:r>
        <w:rPr>
          <w:rFonts w:ascii="Courier New" w:cs="Courier New" w:eastAsia="Courier New" w:hAnsi="Courier New"/>
          <w:sz w:val="15"/>
          <w:szCs w:val="15"/>
          <w:color w:val="auto"/>
        </w:rPr>
        <w:t>Hale and Dorr LLP</w:t>
      </w:r>
    </w:p>
    <w:p>
      <w:pPr>
        <w:ind w:left="2830"/>
        <w:spacing w:after="0"/>
        <w:rPr>
          <w:sz w:val="20"/>
          <w:szCs w:val="20"/>
          <w:color w:val="auto"/>
        </w:rPr>
      </w:pPr>
      <w:r>
        <w:rPr>
          <w:rFonts w:ascii="Courier New" w:cs="Courier New" w:eastAsia="Courier New" w:hAnsi="Courier New"/>
          <w:sz w:val="15"/>
          <w:szCs w:val="15"/>
          <w:color w:val="auto"/>
        </w:rPr>
        <w:t>60 State Street</w:t>
      </w:r>
    </w:p>
    <w:p>
      <w:pPr>
        <w:ind w:left="2290"/>
        <w:spacing w:after="0" w:line="238" w:lineRule="auto"/>
        <w:rPr>
          <w:sz w:val="20"/>
          <w:szCs w:val="20"/>
          <w:color w:val="auto"/>
        </w:rPr>
      </w:pPr>
      <w:r>
        <w:rPr>
          <w:rFonts w:ascii="Courier New" w:cs="Courier New" w:eastAsia="Courier New" w:hAnsi="Courier New"/>
          <w:sz w:val="15"/>
          <w:szCs w:val="15"/>
          <w:color w:val="auto"/>
        </w:rPr>
        <w:t>Boston, Massachusetts 02109</w:t>
      </w:r>
    </w:p>
    <w:p>
      <w:pPr>
        <w:ind w:left="2910"/>
        <w:spacing w:after="0"/>
        <w:rPr>
          <w:sz w:val="20"/>
          <w:szCs w:val="20"/>
          <w:color w:val="auto"/>
        </w:rPr>
      </w:pPr>
      <w:r>
        <w:rPr>
          <w:rFonts w:ascii="Courier New" w:cs="Courier New" w:eastAsia="Courier New" w:hAnsi="Courier New"/>
          <w:sz w:val="15"/>
          <w:szCs w:val="15"/>
          <w:color w:val="auto"/>
        </w:rPr>
        <w:t>(617) 526-6000</w:t>
      </w:r>
    </w:p>
    <w:p>
      <w:pPr>
        <w:ind w:left="970"/>
        <w:spacing w:after="0"/>
        <w:rPr>
          <w:sz w:val="20"/>
          <w:szCs w:val="20"/>
          <w:color w:val="auto"/>
        </w:rPr>
      </w:pPr>
      <w:r>
        <w:rPr>
          <w:rFonts w:ascii="Courier New" w:cs="Courier New" w:eastAsia="Courier New" w:hAnsi="Courier New"/>
          <w:sz w:val="15"/>
          <w:szCs w:val="15"/>
          <w:color w:val="auto"/>
        </w:rPr>
        <w:t>(name, address, including zip code, and telephone number,</w:t>
      </w:r>
    </w:p>
    <w:p>
      <w:pPr>
        <w:ind w:left="1670"/>
        <w:spacing w:after="0" w:line="238" w:lineRule="auto"/>
        <w:rPr>
          <w:sz w:val="20"/>
          <w:szCs w:val="20"/>
          <w:color w:val="auto"/>
        </w:rPr>
      </w:pPr>
      <w:r>
        <w:rPr>
          <w:rFonts w:ascii="Courier New" w:cs="Courier New" w:eastAsia="Courier New" w:hAnsi="Courier New"/>
          <w:sz w:val="15"/>
          <w:szCs w:val="15"/>
          <w:color w:val="auto"/>
        </w:rPr>
        <w:t>including area code, of agent for service)</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3699" w:firstLine="264"/>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public: As soon as practicable after this registration statement becomes effective.</w:t>
      </w:r>
    </w:p>
    <w:p>
      <w:pPr>
        <w:spacing w:after="0" w:line="176" w:lineRule="exact"/>
        <w:rPr>
          <w:sz w:val="24"/>
          <w:szCs w:val="24"/>
          <w:color w:val="auto"/>
        </w:rPr>
      </w:pPr>
    </w:p>
    <w:p>
      <w:pPr>
        <w:ind w:left="10" w:right="3259" w:firstLine="264"/>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5" w:lineRule="exact"/>
        <w:rPr>
          <w:sz w:val="24"/>
          <w:szCs w:val="24"/>
          <w:color w:val="auto"/>
        </w:rPr>
      </w:pPr>
    </w:p>
    <w:p>
      <w:pPr>
        <w:ind w:left="10" w:right="3359" w:firstLine="264"/>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left="10" w:right="3539" w:firstLine="264"/>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left="10" w:right="3439" w:firstLine="264"/>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0"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169"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4"/>
          <w:szCs w:val="24"/>
          <w:color w:val="auto"/>
        </w:rPr>
      </w:pPr>
    </w:p>
    <w:tbl>
      <w:tblPr>
        <w:tblLayout w:type="fixed"/>
        <w:tblInd w:w="9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Proposed</w:t>
            </w: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Maximum</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Proposed</w:t>
            </w:r>
          </w:p>
        </w:tc>
        <w:tc>
          <w:tcPr>
            <w:tcW w:w="1100" w:type="dxa"/>
            <w:vAlign w:val="bottom"/>
          </w:tcPr>
          <w:p>
            <w:pPr>
              <w:spacing w:after="0"/>
              <w:rPr>
                <w:sz w:val="14"/>
                <w:szCs w:val="14"/>
                <w:color w:val="auto"/>
              </w:rPr>
            </w:pP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Title of Each</w:t>
            </w:r>
          </w:p>
        </w:tc>
        <w:tc>
          <w:tcPr>
            <w:tcW w:w="1120" w:type="dxa"/>
            <w:vAlign w:val="bottom"/>
            <w:gridSpan w:val="2"/>
          </w:tcPr>
          <w:p>
            <w:pPr>
              <w:jc w:val="center"/>
              <w:ind w:right="227"/>
              <w:spacing w:after="0"/>
              <w:rPr>
                <w:sz w:val="20"/>
                <w:szCs w:val="20"/>
                <w:color w:val="auto"/>
              </w:rPr>
            </w:pPr>
            <w:r>
              <w:rPr>
                <w:rFonts w:ascii="Courier New" w:cs="Courier New" w:eastAsia="Courier New" w:hAnsi="Courier New"/>
                <w:sz w:val="15"/>
                <w:szCs w:val="15"/>
                <w:color w:val="auto"/>
                <w:w w:val="97"/>
              </w:rPr>
              <w:t>Class of</w:t>
            </w:r>
          </w:p>
        </w:tc>
        <w:tc>
          <w:tcPr>
            <w:tcW w:w="1480" w:type="dxa"/>
            <w:vAlign w:val="bottom"/>
          </w:tcPr>
          <w:p>
            <w:pPr>
              <w:ind w:left="520"/>
              <w:spacing w:after="0"/>
              <w:rPr>
                <w:sz w:val="20"/>
                <w:szCs w:val="20"/>
                <w:color w:val="auto"/>
              </w:rPr>
            </w:pPr>
            <w:r>
              <w:rPr>
                <w:rFonts w:ascii="Courier New" w:cs="Courier New" w:eastAsia="Courier New" w:hAnsi="Courier New"/>
                <w:sz w:val="15"/>
                <w:szCs w:val="15"/>
                <w:color w:val="auto"/>
              </w:rPr>
              <w:t>Amount</w:t>
            </w:r>
          </w:p>
        </w:tc>
        <w:tc>
          <w:tcPr>
            <w:tcW w:w="11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Aggregate</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Maximum</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Amount of</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8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be</w:t>
            </w:r>
          </w:p>
        </w:tc>
        <w:tc>
          <w:tcPr>
            <w:tcW w:w="1480" w:type="dxa"/>
            <w:vAlign w:val="bottom"/>
          </w:tcPr>
          <w:p>
            <w:pPr>
              <w:ind w:left="520"/>
              <w:spacing w:after="0"/>
              <w:rPr>
                <w:sz w:val="20"/>
                <w:szCs w:val="20"/>
                <w:color w:val="auto"/>
              </w:rPr>
            </w:pPr>
            <w:r>
              <w:rPr>
                <w:rFonts w:ascii="Courier New" w:cs="Courier New" w:eastAsia="Courier New" w:hAnsi="Courier New"/>
                <w:sz w:val="15"/>
                <w:szCs w:val="15"/>
                <w:color w:val="auto"/>
              </w:rPr>
              <w:t>to be</w:t>
            </w:r>
          </w:p>
        </w:tc>
        <w:tc>
          <w:tcPr>
            <w:tcW w:w="11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Price Per</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Aggregate</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Registration</w:t>
            </w:r>
          </w:p>
        </w:tc>
      </w:tr>
      <w:tr>
        <w:trPr>
          <w:trHeight w:val="170"/>
        </w:trPr>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Registered</w:t>
            </w:r>
          </w:p>
        </w:tc>
        <w:tc>
          <w:tcPr>
            <w:tcW w:w="84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rPr>
              <w:t>Registered</w:t>
            </w:r>
          </w:p>
        </w:tc>
        <w:tc>
          <w:tcPr>
            <w:tcW w:w="11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Unit(1)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Offering Price</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Fee(1)</w:t>
            </w: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4.75%</w:t>
            </w:r>
          </w:p>
        </w:tc>
        <w:tc>
          <w:tcPr>
            <w:tcW w:w="3780" w:type="dxa"/>
            <w:vAlign w:val="bottom"/>
          </w:tcPr>
          <w:p>
            <w:pPr>
              <w:jc w:val="right"/>
              <w:ind w:right="2065"/>
              <w:spacing w:after="0"/>
              <w:rPr>
                <w:sz w:val="20"/>
                <w:szCs w:val="20"/>
                <w:color w:val="auto"/>
              </w:rPr>
            </w:pPr>
            <w:r>
              <w:rPr>
                <w:rFonts w:ascii="Courier New" w:cs="Courier New" w:eastAsia="Courier New" w:hAnsi="Courier New"/>
                <w:sz w:val="15"/>
                <w:szCs w:val="15"/>
                <w:color w:val="auto"/>
              </w:rPr>
              <w:t>Convertible Subor-</w:t>
            </w: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gridSpan w:val="2"/>
          </w:tcPr>
          <w:p>
            <w:pPr>
              <w:jc w:val="right"/>
              <w:ind w:right="2585"/>
              <w:spacing w:after="0"/>
              <w:rPr>
                <w:sz w:val="20"/>
                <w:szCs w:val="20"/>
                <w:color w:val="auto"/>
              </w:rPr>
            </w:pPr>
            <w:r>
              <w:rPr>
                <w:rFonts w:ascii="Courier New" w:cs="Courier New" w:eastAsia="Courier New" w:hAnsi="Courier New"/>
                <w:sz w:val="15"/>
                <w:szCs w:val="15"/>
                <w:color w:val="auto"/>
              </w:rPr>
              <w:t>dinated Notes Due</w:t>
            </w: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3780" w:type="dxa"/>
            <w:vAlign w:val="bottom"/>
          </w:tcPr>
          <w:p>
            <w:pPr>
              <w:jc w:val="right"/>
              <w:ind w:right="125"/>
              <w:spacing w:after="0"/>
              <w:rPr>
                <w:sz w:val="20"/>
                <w:szCs w:val="20"/>
                <w:color w:val="auto"/>
              </w:rPr>
            </w:pPr>
            <w:r>
              <w:rPr>
                <w:rFonts w:ascii="Courier New" w:cs="Courier New" w:eastAsia="Courier New" w:hAnsi="Courier New"/>
                <w:sz w:val="15"/>
                <w:szCs w:val="15"/>
                <w:color w:val="auto"/>
                <w:w w:val="96"/>
              </w:rPr>
              <w:t>...................$1,200,000,000</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$1,200,000,000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$316,800</w:t>
            </w:r>
          </w:p>
        </w:tc>
      </w:tr>
    </w:tbl>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$0.16 2/3</w:t>
      </w:r>
    </w:p>
    <w:p>
      <w:pPr>
        <w:ind w:left="90"/>
        <w:spacing w:after="0"/>
        <w:tabs>
          <w:tab w:leader="none" w:pos="2269" w:val="left"/>
          <w:tab w:leader="none" w:pos="4389" w:val="left"/>
          <w:tab w:leader="none" w:pos="5969" w:val="left"/>
          <w:tab w:leader="none" w:pos="6949" w:val="left"/>
        </w:tabs>
        <w:rPr>
          <w:sz w:val="20"/>
          <w:szCs w:val="20"/>
          <w:color w:val="auto"/>
        </w:rPr>
      </w:pPr>
      <w:r>
        <w:rPr>
          <w:rFonts w:ascii="Courier New" w:cs="Courier New" w:eastAsia="Courier New" w:hAnsi="Courier New"/>
          <w:sz w:val="15"/>
          <w:szCs w:val="15"/>
          <w:color w:val="auto"/>
        </w:rPr>
        <w:t>par value per share....</w:t>
        <w:tab/>
        <w:t>9,246,720 shares (2)</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4"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sz w:val="24"/>
          <w:szCs w:val="24"/>
          <w:color w:val="auto"/>
        </w:rPr>
      </w:pPr>
    </w:p>
    <w:p>
      <w:pPr>
        <w:ind w:left="350" w:right="3359"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registered hereunder are issuable upon conversion of the 4.75% Convertible Subordinated Notes due 2005 registered hereunder. Pursuant to Rule 457(i) under the Securities Act, there is no filing fee with respect to the shares of Common Stock issuable upon conversion of the exercise of the conversion privilege.</w:t>
      </w:r>
    </w:p>
    <w:p>
      <w:pPr>
        <w:sectPr>
          <w:pgSz w:w="11900" w:h="16866" w:orient="portrait"/>
          <w:cols w:equalWidth="0" w:num="1">
            <w:col w:w="10229"/>
          </w:cols>
          <w:pgMar w:left="230" w:top="565" w:right="1440" w:bottom="0" w:gutter="0" w:footer="0" w:header="0"/>
          <w:type w:val="continuous"/>
        </w:sectPr>
      </w:pPr>
    </w:p>
    <w:bookmarkStart w:id="1" w:name="page2"/>
    <w:bookmarkEnd w:id="1"/>
    <w:p>
      <w:pPr>
        <w:ind w:left="350" w:right="3359"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such additional indeterminate number of shares as may become issuable upon conversion of the 4.75% Convertible Subordinated Notes due 2005 registered hereunder by means of adjustment to the conversion price applicable thereto.</w:t>
      </w:r>
    </w:p>
    <w:p>
      <w:pPr>
        <w:spacing w:after="0" w:line="171"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259" w:firstLine="264"/>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7"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+changed. These securities may</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not be sold until the registration statement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+filed with the Securities and</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Exchange Commission is effective. This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+preliminary prospectus is not</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an offer to sell these securities, and we 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 soliciting offers to buy these securities in any jurisdiction where the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+offer or sale is not permitted.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Subject to Completion. Dated October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$1,200,000,000</w:t>
      </w:r>
    </w:p>
    <w:p>
      <w:pPr>
        <w:jc w:val="center"/>
        <w:ind w:right="3259"/>
        <w:spacing w:after="0"/>
        <w:rPr>
          <w:sz w:val="20"/>
          <w:szCs w:val="20"/>
          <w:color w:val="auto"/>
        </w:rPr>
      </w:pPr>
      <w:r>
        <w:rPr>
          <w:rFonts w:ascii="Courier New" w:cs="Courier New" w:eastAsia="Courier New" w:hAnsi="Courier New"/>
          <w:sz w:val="15"/>
          <w:szCs w:val="15"/>
          <w:color w:val="auto"/>
        </w:rPr>
        <w:t>Principal Amount of 4.75% Convertible</w:t>
      </w:r>
    </w:p>
    <w:p>
      <w:pPr>
        <w:ind w:left="2280"/>
        <w:spacing w:after="0"/>
        <w:rPr>
          <w:sz w:val="20"/>
          <w:szCs w:val="20"/>
          <w:color w:val="auto"/>
        </w:rPr>
      </w:pPr>
      <w:r>
        <w:rPr>
          <w:rFonts w:ascii="Courier New" w:cs="Courier New" w:eastAsia="Courier New" w:hAnsi="Courier New"/>
          <w:sz w:val="15"/>
          <w:szCs w:val="15"/>
          <w:color w:val="auto"/>
        </w:rPr>
        <w:t>Subordinated Notes Due 2005</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9,246,720 Shares of Common Stock,</w:t>
      </w:r>
    </w:p>
    <w:p>
      <w:pPr>
        <w:jc w:val="center"/>
        <w:ind w:right="3259"/>
        <w:spacing w:after="0"/>
        <w:rPr>
          <w:sz w:val="20"/>
          <w:szCs w:val="20"/>
          <w:color w:val="auto"/>
        </w:rPr>
      </w:pPr>
      <w:r>
        <w:rPr>
          <w:rFonts w:ascii="Courier New" w:cs="Courier New" w:eastAsia="Courier New" w:hAnsi="Courier New"/>
          <w:sz w:val="15"/>
          <w:szCs w:val="15"/>
          <w:color w:val="auto"/>
        </w:rPr>
        <w:t>$0.16 2/3 Par Value Per Share</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This prospectus relates to $1,200,000,000 in aggregate principal amount of 4.75% Convertible Subordinated Notes due 2005 of Analog Devices, Inc. and 9,246,720 shares of common stock of Analog, which are initially issuable upon conversion of the notes, plus an indeterminate number of shares as may become issuable upon conversion as a result of adjustments to the conversion rate. The notes and shares are to be offered for the account of the holders thereof. The notes were originally issued and sold by Analog to Goldman, Sachs &amp; Co., SG Cowen Securities Corporation and Salomon Smith Barney Inc. in a private placement.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principal terms of the notes include the following:</w:t>
      </w:r>
    </w:p>
    <w:p>
      <w:pPr>
        <w:spacing w:after="0" w:line="169" w:lineRule="exact"/>
        <w:rPr>
          <w:sz w:val="20"/>
          <w:szCs w:val="20"/>
          <w:color w:val="auto"/>
        </w:rPr>
      </w:pPr>
    </w:p>
    <w:p>
      <w:pPr>
        <w:ind w:left="80"/>
        <w:spacing w:after="0"/>
        <w:tabs>
          <w:tab w:leader="none" w:pos="190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4"/>
          <w:szCs w:val="14"/>
          <w:color w:val="auto"/>
        </w:rPr>
        <w:t>accrues from October 2, 2000 at the</w:t>
      </w:r>
    </w:p>
    <w:p>
      <w:pPr>
        <w:ind w:left="1840"/>
        <w:spacing w:after="0"/>
        <w:rPr>
          <w:sz w:val="20"/>
          <w:szCs w:val="20"/>
          <w:color w:val="auto"/>
        </w:rPr>
      </w:pPr>
      <w:r>
        <w:rPr>
          <w:rFonts w:ascii="Courier New" w:cs="Courier New" w:eastAsia="Courier New" w:hAnsi="Courier New"/>
          <w:sz w:val="15"/>
          <w:szCs w:val="15"/>
          <w:color w:val="auto"/>
        </w:rPr>
        <w:t>rate of 4.75% per year, payable</w:t>
      </w:r>
    </w:p>
    <w:p>
      <w:pPr>
        <w:ind w:left="1840"/>
        <w:spacing w:after="0"/>
        <w:rPr>
          <w:sz w:val="20"/>
          <w:szCs w:val="20"/>
          <w:color w:val="auto"/>
        </w:rPr>
      </w:pPr>
      <w:r>
        <w:rPr>
          <w:rFonts w:ascii="Courier New" w:cs="Courier New" w:eastAsia="Courier New" w:hAnsi="Courier New"/>
          <w:sz w:val="15"/>
          <w:szCs w:val="15"/>
          <w:color w:val="auto"/>
        </w:rPr>
        <w:t>semi-annually on each April 1 and</w:t>
      </w:r>
    </w:p>
    <w:p>
      <w:pPr>
        <w:ind w:left="1840"/>
        <w:spacing w:after="0" w:line="238" w:lineRule="auto"/>
        <w:rPr>
          <w:sz w:val="20"/>
          <w:szCs w:val="20"/>
          <w:color w:val="auto"/>
        </w:rPr>
      </w:pPr>
      <w:r>
        <w:rPr>
          <w:rFonts w:ascii="Courier New" w:cs="Courier New" w:eastAsia="Courier New" w:hAnsi="Courier New"/>
          <w:sz w:val="15"/>
          <w:szCs w:val="15"/>
          <w:color w:val="auto"/>
        </w:rPr>
        <w:t>October 1, beginning April 1, 2001</w:t>
      </w:r>
    </w:p>
    <w:p>
      <w:pPr>
        <w:spacing w:after="0" w:line="169" w:lineRule="exact"/>
        <w:rPr>
          <w:sz w:val="20"/>
          <w:szCs w:val="20"/>
          <w:color w:val="auto"/>
        </w:rPr>
      </w:pPr>
    </w:p>
    <w:p>
      <w:pPr>
        <w:ind w:left="80"/>
        <w:spacing w:after="0"/>
        <w:tabs>
          <w:tab w:leader="none" w:pos="1900" w:val="left"/>
        </w:tabs>
        <w:rPr>
          <w:sz w:val="20"/>
          <w:szCs w:val="20"/>
          <w:color w:val="auto"/>
        </w:rPr>
      </w:pPr>
      <w:r>
        <w:rPr>
          <w:rFonts w:ascii="Courier New" w:cs="Courier New" w:eastAsia="Courier New" w:hAnsi="Courier New"/>
          <w:sz w:val="15"/>
          <w:szCs w:val="15"/>
          <w:color w:val="auto"/>
        </w:rPr>
        <w:t>.Maturity Date:...</w:t>
      </w:r>
      <w:r>
        <w:rPr>
          <w:sz w:val="20"/>
          <w:szCs w:val="20"/>
          <w:color w:val="auto"/>
        </w:rPr>
        <w:tab/>
      </w:r>
      <w:r>
        <w:rPr>
          <w:rFonts w:ascii="Courier New" w:cs="Courier New" w:eastAsia="Courier New" w:hAnsi="Courier New"/>
          <w:sz w:val="14"/>
          <w:szCs w:val="14"/>
          <w:color w:val="auto"/>
        </w:rPr>
        <w:t>October 1, 2005, unless earlier</w:t>
      </w:r>
    </w:p>
    <w:p>
      <w:pPr>
        <w:ind w:left="1840"/>
        <w:spacing w:after="0"/>
        <w:rPr>
          <w:sz w:val="20"/>
          <w:szCs w:val="20"/>
          <w:color w:val="auto"/>
        </w:rPr>
      </w:pPr>
      <w:r>
        <w:rPr>
          <w:rFonts w:ascii="Courier New" w:cs="Courier New" w:eastAsia="Courier New" w:hAnsi="Courier New"/>
          <w:sz w:val="15"/>
          <w:szCs w:val="15"/>
          <w:color w:val="auto"/>
        </w:rPr>
        <w:t>redeemed or repurchased</w:t>
      </w:r>
    </w:p>
    <w:p>
      <w:pPr>
        <w:sectPr>
          <w:pgSz w:w="11900" w:h="16838" w:orient="portrait"/>
          <w:cols w:equalWidth="0" w:num="1">
            <w:col w:w="10219"/>
          </w:cols>
          <w:pgMar w:left="240" w:top="627" w:right="1440" w:bottom="1440" w:gutter="0" w:footer="0" w:header="0"/>
        </w:sectPr>
      </w:pP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7.7056 shares of common stock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$1,000 principal amount of</w:t>
      </w:r>
    </w:p>
    <w:p>
      <w:pPr>
        <w:spacing w:after="0"/>
        <w:rPr>
          <w:sz w:val="20"/>
          <w:szCs w:val="20"/>
          <w:color w:val="auto"/>
        </w:rPr>
      </w:pPr>
      <w:r>
        <w:rPr>
          <w:rFonts w:ascii="Courier New" w:cs="Courier New" w:eastAsia="Courier New" w:hAnsi="Courier New"/>
          <w:sz w:val="15"/>
          <w:szCs w:val="15"/>
          <w:color w:val="auto"/>
        </w:rPr>
        <w:t>notes, subject to adjustment</w:t>
      </w:r>
    </w:p>
    <w:p>
      <w:pPr>
        <w:spacing w:after="0" w:line="169" w:lineRule="exact"/>
        <w:rPr>
          <w:sz w:val="20"/>
          <w:szCs w:val="20"/>
          <w:color w:val="auto"/>
        </w:rPr>
      </w:pPr>
    </w:p>
    <w:p>
      <w:pPr>
        <w:sectPr>
          <w:pgSz w:w="11900" w:h="16838" w:orient="portrait"/>
          <w:cols w:equalWidth="0" w:num="2">
            <w:col w:w="1580" w:space="260"/>
            <w:col w:w="8379"/>
          </w:cols>
          <w:pgMar w:left="240" w:top="627" w:right="1440" w:bottom="1440" w:gutter="0" w:footer="0" w:header="0"/>
          <w:type w:val="continuous"/>
        </w:sectPr>
      </w:pPr>
    </w:p>
    <w:p>
      <w:pPr>
        <w:ind w:left="80"/>
        <w:spacing w:after="0"/>
        <w:tabs>
          <w:tab w:leader="none" w:pos="1900" w:val="left"/>
        </w:tabs>
        <w:rPr>
          <w:sz w:val="20"/>
          <w:szCs w:val="20"/>
          <w:color w:val="auto"/>
        </w:rPr>
      </w:pPr>
      <w:r>
        <w:rPr>
          <w:rFonts w:ascii="Courier New" w:cs="Courier New" w:eastAsia="Courier New" w:hAnsi="Courier New"/>
          <w:sz w:val="15"/>
          <w:szCs w:val="15"/>
          <w:color w:val="auto"/>
        </w:rPr>
        <w:t>.Subordination:...</w:t>
      </w:r>
      <w:r>
        <w:rPr>
          <w:sz w:val="20"/>
          <w:szCs w:val="20"/>
          <w:color w:val="auto"/>
        </w:rPr>
        <w:tab/>
      </w:r>
      <w:r>
        <w:rPr>
          <w:rFonts w:ascii="Courier New" w:cs="Courier New" w:eastAsia="Courier New" w:hAnsi="Courier New"/>
          <w:sz w:val="14"/>
          <w:szCs w:val="14"/>
          <w:color w:val="auto"/>
        </w:rPr>
        <w:t>subordinated to our senior debt;</w:t>
      </w:r>
    </w:p>
    <w:p>
      <w:pPr>
        <w:ind w:left="1840"/>
        <w:spacing w:after="0"/>
        <w:rPr>
          <w:sz w:val="20"/>
          <w:szCs w:val="20"/>
          <w:color w:val="auto"/>
        </w:rPr>
      </w:pPr>
      <w:r>
        <w:rPr>
          <w:rFonts w:ascii="Courier New" w:cs="Courier New" w:eastAsia="Courier New" w:hAnsi="Courier New"/>
          <w:sz w:val="15"/>
          <w:szCs w:val="15"/>
          <w:color w:val="auto"/>
        </w:rPr>
        <w:t>effectively subordinated in right</w:t>
      </w:r>
    </w:p>
    <w:p>
      <w:pPr>
        <w:ind w:left="1840"/>
        <w:spacing w:after="0"/>
        <w:rPr>
          <w:sz w:val="20"/>
          <w:szCs w:val="20"/>
          <w:color w:val="auto"/>
        </w:rPr>
      </w:pPr>
      <w:r>
        <w:rPr>
          <w:rFonts w:ascii="Courier New" w:cs="Courier New" w:eastAsia="Courier New" w:hAnsi="Courier New"/>
          <w:sz w:val="15"/>
          <w:szCs w:val="15"/>
          <w:color w:val="auto"/>
        </w:rPr>
        <w:t>of payment to all indebtedness and</w:t>
      </w:r>
    </w:p>
    <w:p>
      <w:pPr>
        <w:ind w:left="1840"/>
        <w:spacing w:after="0" w:line="238" w:lineRule="auto"/>
        <w:rPr>
          <w:sz w:val="20"/>
          <w:szCs w:val="20"/>
          <w:color w:val="auto"/>
        </w:rPr>
      </w:pPr>
      <w:r>
        <w:rPr>
          <w:rFonts w:ascii="Courier New" w:cs="Courier New" w:eastAsia="Courier New" w:hAnsi="Courier New"/>
          <w:sz w:val="15"/>
          <w:szCs w:val="15"/>
          <w:color w:val="auto"/>
        </w:rPr>
        <w:t>other liabilities of our</w:t>
      </w:r>
    </w:p>
    <w:p>
      <w:pPr>
        <w:ind w:left="1840"/>
        <w:spacing w:after="0"/>
        <w:rPr>
          <w:sz w:val="20"/>
          <w:szCs w:val="20"/>
          <w:color w:val="auto"/>
        </w:rPr>
      </w:pPr>
      <w:r>
        <w:rPr>
          <w:rFonts w:ascii="Courier New" w:cs="Courier New" w:eastAsia="Courier New" w:hAnsi="Courier New"/>
          <w:sz w:val="15"/>
          <w:szCs w:val="15"/>
          <w:color w:val="auto"/>
        </w:rPr>
        <w:t>subsidiaries; no restriction on</w:t>
      </w:r>
    </w:p>
    <w:p>
      <w:pPr>
        <w:ind w:left="1840"/>
        <w:spacing w:after="0"/>
        <w:rPr>
          <w:sz w:val="20"/>
          <w:szCs w:val="20"/>
          <w:color w:val="auto"/>
        </w:rPr>
      </w:pPr>
      <w:r>
        <w:rPr>
          <w:rFonts w:ascii="Courier New" w:cs="Courier New" w:eastAsia="Courier New" w:hAnsi="Courier New"/>
          <w:sz w:val="15"/>
          <w:szCs w:val="15"/>
          <w:color w:val="auto"/>
        </w:rPr>
        <w:t>incurrence of additional</w:t>
      </w:r>
    </w:p>
    <w:p>
      <w:pPr>
        <w:ind w:left="1840"/>
        <w:spacing w:after="0" w:line="238" w:lineRule="auto"/>
        <w:rPr>
          <w:sz w:val="20"/>
          <w:szCs w:val="20"/>
          <w:color w:val="auto"/>
        </w:rPr>
      </w:pPr>
      <w:r>
        <w:rPr>
          <w:rFonts w:ascii="Courier New" w:cs="Courier New" w:eastAsia="Courier New" w:hAnsi="Courier New"/>
          <w:sz w:val="15"/>
          <w:szCs w:val="15"/>
          <w:color w:val="auto"/>
        </w:rPr>
        <w:t>indebtedness</w:t>
      </w:r>
    </w:p>
    <w:p>
      <w:pPr>
        <w:spacing w:after="0" w:line="169" w:lineRule="exact"/>
        <w:rPr>
          <w:sz w:val="20"/>
          <w:szCs w:val="20"/>
          <w:color w:val="auto"/>
        </w:rPr>
      </w:pPr>
    </w:p>
    <w:p>
      <w:pPr>
        <w:ind w:left="80"/>
        <w:spacing w:after="0"/>
        <w:tabs>
          <w:tab w:leader="none" w:pos="190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4"/>
          <w:szCs w:val="14"/>
          <w:color w:val="auto"/>
        </w:rPr>
        <w:t>redeemable by Analog or the holders</w:t>
      </w:r>
    </w:p>
    <w:p>
      <w:pPr>
        <w:spacing w:after="0" w:line="175"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The notes are currently designated for trading on the Private Offerings, Resales and Trading through Automated Linkages, or PORTAL, Market. The notes are issued in $1,000 principal amount and integral multiples of $1,000. Analog's common stock is traded on the New York Stock Exchange under the symbol "ADI". On October 25, 2000, the last reported sale price for the common stock on the New York Stock Exchange was $64.125 per share.</w:t>
      </w:r>
    </w:p>
    <w:p>
      <w:pPr>
        <w:spacing w:after="0" w:line="176" w:lineRule="exact"/>
        <w:rPr>
          <w:sz w:val="20"/>
          <w:szCs w:val="20"/>
          <w:color w:val="auto"/>
        </w:rPr>
      </w:pPr>
    </w:p>
    <w:p>
      <w:pPr>
        <w:ind w:right="3799" w:firstLine="176"/>
        <w:spacing w:after="0" w:line="260" w:lineRule="auto"/>
        <w:rPr>
          <w:sz w:val="20"/>
          <w:szCs w:val="20"/>
          <w:color w:val="auto"/>
        </w:rPr>
      </w:pPr>
      <w:r>
        <w:rPr>
          <w:rFonts w:ascii="Courier New" w:cs="Courier New" w:eastAsia="Courier New" w:hAnsi="Courier New"/>
          <w:sz w:val="14"/>
          <w:szCs w:val="14"/>
          <w:color w:val="auto"/>
        </w:rPr>
        <w:t>The securities offered by this prospectus may be offered in negotiated transactions, ordinary brokerage transactions or otherwise, at negotiated prices or at the market prices prevailing at the time of sale.</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INVESTING IN THE NOTES OR OUR COMMON STOCK INVOLVES RISKS. SEE "RISK FACTORS"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ON PAGE 4.</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439" w:firstLine="176"/>
        <w:spacing w:after="0" w:line="237" w:lineRule="auto"/>
        <w:rPr>
          <w:sz w:val="20"/>
          <w:szCs w:val="20"/>
          <w:color w:val="auto"/>
        </w:rPr>
      </w:pPr>
      <w:r>
        <w:rPr>
          <w:rFonts w:ascii="Courier New" w:cs="Courier New" w:eastAsia="Courier New" w:hAnsi="Courier New"/>
          <w:sz w:val="15"/>
          <w:szCs w:val="15"/>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1"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97"/>
              </w:rPr>
              <w:t>The date of this Prospectus</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ectPr>
          <w:pgSz w:w="11900" w:h="16838" w:orient="portrait"/>
          <w:cols w:equalWidth="0" w:num="1">
            <w:col w:w="10219"/>
          </w:cols>
          <w:pgMar w:left="240" w:top="627"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This prospectus incorporates important business information about Analog</w:t>
      </w:r>
    </w:p>
    <w:p>
      <w:pPr>
        <w:spacing w:after="0"/>
        <w:rPr>
          <w:sz w:val="20"/>
          <w:szCs w:val="20"/>
          <w:color w:val="auto"/>
        </w:rPr>
      </w:pPr>
      <w:r>
        <w:rPr>
          <w:rFonts w:ascii="Courier New" w:cs="Courier New" w:eastAsia="Courier New" w:hAnsi="Courier New"/>
          <w:sz w:val="15"/>
          <w:szCs w:val="15"/>
          <w:color w:val="auto"/>
        </w:rPr>
        <w:t>that is not included or delivered with this document. This information is</w:t>
      </w:r>
    </w:p>
    <w:p>
      <w:pPr>
        <w:spacing w:after="0"/>
        <w:rPr>
          <w:sz w:val="20"/>
          <w:szCs w:val="20"/>
          <w:color w:val="auto"/>
        </w:rPr>
      </w:pPr>
      <w:r>
        <w:rPr>
          <w:rFonts w:ascii="Courier New" w:cs="Courier New" w:eastAsia="Courier New" w:hAnsi="Courier New"/>
          <w:sz w:val="15"/>
          <w:szCs w:val="15"/>
          <w:color w:val="auto"/>
        </w:rPr>
        <w:t>available without charge to stockholders upon written or oral request. Please</w:t>
      </w:r>
    </w:p>
    <w:p>
      <w:pPr>
        <w:spacing w:after="0" w:line="238" w:lineRule="auto"/>
        <w:rPr>
          <w:sz w:val="20"/>
          <w:szCs w:val="20"/>
          <w:color w:val="auto"/>
        </w:rPr>
      </w:pPr>
      <w:r>
        <w:rPr>
          <w:rFonts w:ascii="Courier New" w:cs="Courier New" w:eastAsia="Courier New" w:hAnsi="Courier New"/>
          <w:sz w:val="15"/>
          <w:szCs w:val="15"/>
          <w:color w:val="auto"/>
        </w:rPr>
        <w:t>contact Analog at One Technology Way, Norwood, Massachusetts 02062, attention:</w:t>
      </w:r>
    </w:p>
    <w:p>
      <w:pPr>
        <w:spacing w:after="0"/>
        <w:rPr>
          <w:sz w:val="20"/>
          <w:szCs w:val="20"/>
          <w:color w:val="auto"/>
        </w:rPr>
      </w:pPr>
      <w:r>
        <w:rPr>
          <w:rFonts w:ascii="Courier New" w:cs="Courier New" w:eastAsia="Courier New" w:hAnsi="Courier New"/>
          <w:sz w:val="15"/>
          <w:szCs w:val="15"/>
          <w:color w:val="auto"/>
        </w:rPr>
        <w:t>Joseph E. McDonough, Vice President--Finance, (781) 329-4700. Also see "Where</w:t>
      </w:r>
    </w:p>
    <w:p>
      <w:pPr>
        <w:spacing w:after="0"/>
        <w:rPr>
          <w:sz w:val="20"/>
          <w:szCs w:val="20"/>
          <w:color w:val="auto"/>
        </w:rPr>
      </w:pPr>
      <w:r>
        <w:rPr>
          <w:rFonts w:ascii="Courier New" w:cs="Courier New" w:eastAsia="Courier New" w:hAnsi="Courier New"/>
          <w:sz w:val="15"/>
          <w:szCs w:val="15"/>
          <w:color w:val="auto"/>
        </w:rPr>
        <w:t>You Can Find More Information" in this prospectus.</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Analog Devices</w:t>
      </w:r>
      <w:r>
        <w:rPr>
          <w:sz w:val="20"/>
          <w:szCs w:val="20"/>
          <w:color w:val="auto"/>
        </w:rPr>
        <w:tab/>
      </w:r>
      <w:r>
        <w:rPr>
          <w:rFonts w:ascii="Courier New" w:cs="Courier New" w:eastAsia="Courier New" w:hAnsi="Courier New"/>
          <w:sz w:val="13"/>
          <w:szCs w:val="13"/>
          <w:color w:val="auto"/>
        </w:rPr>
        <w:t>3</w:t>
      </w:r>
    </w:p>
    <w:p>
      <w:pPr>
        <w:spacing w:after="0"/>
        <w:tabs>
          <w:tab w:leader="dot" w:pos="69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4</w:t>
      </w:r>
    </w:p>
    <w:p>
      <w:pPr>
        <w:spacing w:after="0"/>
        <w:tabs>
          <w:tab w:leader="dot" w:pos="69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8</w:t>
      </w:r>
    </w:p>
    <w:p>
      <w:pPr>
        <w:spacing w:after="0"/>
        <w:tabs>
          <w:tab w:leader="dot" w:pos="6940" w:val="left"/>
        </w:tabs>
        <w:rPr>
          <w:sz w:val="20"/>
          <w:szCs w:val="20"/>
          <w:color w:val="auto"/>
        </w:rPr>
      </w:pPr>
      <w:r>
        <w:rPr>
          <w:rFonts w:ascii="Courier New" w:cs="Courier New" w:eastAsia="Courier New" w:hAnsi="Courier New"/>
          <w:sz w:val="15"/>
          <w:szCs w:val="15"/>
          <w:color w:val="auto"/>
        </w:rPr>
        <w:t>Ratio of Earnings to Fixed Charges</w:t>
      </w:r>
      <w:r>
        <w:rPr>
          <w:sz w:val="20"/>
          <w:szCs w:val="20"/>
          <w:color w:val="auto"/>
        </w:rPr>
        <w:tab/>
      </w:r>
      <w:r>
        <w:rPr>
          <w:rFonts w:ascii="Courier New" w:cs="Courier New" w:eastAsia="Courier New" w:hAnsi="Courier New"/>
          <w:sz w:val="13"/>
          <w:szCs w:val="13"/>
          <w:color w:val="auto"/>
        </w:rPr>
        <w:t>8</w:t>
      </w:r>
    </w:p>
    <w:p>
      <w:pPr>
        <w:spacing w:after="0"/>
        <w:tabs>
          <w:tab w:leader="dot" w:pos="694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3"/>
          <w:szCs w:val="13"/>
          <w:color w:val="auto"/>
        </w:rPr>
        <w:t>9</w:t>
      </w:r>
    </w:p>
    <w:p>
      <w:pPr>
        <w:spacing w:after="0"/>
        <w:tabs>
          <w:tab w:leader="dot" w:pos="684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5"/>
          <w:szCs w:val="15"/>
          <w:color w:val="auto"/>
        </w:rPr>
        <w:t>10</w:t>
      </w:r>
    </w:p>
    <w:p>
      <w:pPr>
        <w:spacing w:after="0" w:line="238" w:lineRule="auto"/>
        <w:tabs>
          <w:tab w:leader="dot" w:pos="6840" w:val="left"/>
        </w:tabs>
        <w:rPr>
          <w:sz w:val="20"/>
          <w:szCs w:val="20"/>
          <w:color w:val="auto"/>
        </w:rPr>
      </w:pPr>
      <w:r>
        <w:rPr>
          <w:rFonts w:ascii="Courier New" w:cs="Courier New" w:eastAsia="Courier New" w:hAnsi="Courier New"/>
          <w:sz w:val="15"/>
          <w:szCs w:val="15"/>
          <w:color w:val="auto"/>
        </w:rPr>
        <w:t>Material United States Federal Income Tax Considerations</w:t>
      </w:r>
      <w:r>
        <w:rPr>
          <w:sz w:val="20"/>
          <w:szCs w:val="20"/>
          <w:color w:val="auto"/>
        </w:rPr>
        <w:tab/>
      </w:r>
      <w:r>
        <w:rPr>
          <w:rFonts w:ascii="Courier New" w:cs="Courier New" w:eastAsia="Courier New" w:hAnsi="Courier New"/>
          <w:sz w:val="15"/>
          <w:szCs w:val="15"/>
          <w:color w:val="auto"/>
        </w:rPr>
        <w:t>26</w:t>
      </w:r>
    </w:p>
    <w:p>
      <w:pPr>
        <w:spacing w:after="0"/>
        <w:tabs>
          <w:tab w:leader="dot" w:pos="684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36</w:t>
      </w:r>
    </w:p>
    <w:p>
      <w:pPr>
        <w:spacing w:after="0"/>
        <w:tabs>
          <w:tab w:leader="dot" w:pos="684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39</w:t>
      </w:r>
    </w:p>
    <w:p>
      <w:pPr>
        <w:spacing w:after="0"/>
        <w:tabs>
          <w:tab w:leader="dot" w:pos="684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41</w:t>
      </w:r>
    </w:p>
    <w:p>
      <w:pPr>
        <w:spacing w:after="0" w:line="238" w:lineRule="auto"/>
        <w:tabs>
          <w:tab w:leader="dot" w:pos="68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43</w:t>
      </w:r>
    </w:p>
    <w:p>
      <w:pPr>
        <w:spacing w:after="0"/>
        <w:tabs>
          <w:tab w:leader="dot" w:pos="68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43</w:t>
      </w:r>
    </w:p>
    <w:p>
      <w:pPr>
        <w:spacing w:after="0"/>
        <w:tabs>
          <w:tab w:leader="dot" w:pos="6840" w:val="left"/>
        </w:tabs>
        <w:rPr>
          <w:sz w:val="20"/>
          <w:szCs w:val="20"/>
          <w:color w:val="auto"/>
        </w:rPr>
      </w:pPr>
      <w:r>
        <w:rPr>
          <w:rFonts w:ascii="Courier New" w:cs="Courier New" w:eastAsia="Courier New" w:hAnsi="Courier New"/>
          <w:sz w:val="15"/>
          <w:szCs w:val="15"/>
          <w:color w:val="auto"/>
        </w:rPr>
        <w:t>Additional Filings and Company Information</w:t>
      </w:r>
      <w:r>
        <w:rPr>
          <w:sz w:val="20"/>
          <w:szCs w:val="20"/>
          <w:color w:val="auto"/>
        </w:rPr>
        <w:tab/>
      </w:r>
      <w:r>
        <w:rPr>
          <w:rFonts w:ascii="Courier New" w:cs="Courier New" w:eastAsia="Courier New" w:hAnsi="Courier New"/>
          <w:sz w:val="15"/>
          <w:szCs w:val="15"/>
          <w:color w:val="auto"/>
        </w:rPr>
        <w:t>43</w:t>
      </w:r>
    </w:p>
    <w:p>
      <w:pPr>
        <w:spacing w:after="0" w:line="238" w:lineRule="auto"/>
        <w:tabs>
          <w:tab w:leader="dot" w:pos="684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44</w:t>
      </w:r>
    </w:p>
    <w:p>
      <w:pPr>
        <w:spacing w:after="0"/>
        <w:tabs>
          <w:tab w:leader="dot" w:pos="6840" w:val="left"/>
        </w:tabs>
        <w:rPr>
          <w:sz w:val="20"/>
          <w:szCs w:val="20"/>
          <w:color w:val="auto"/>
        </w:rPr>
      </w:pPr>
      <w:r>
        <w:rPr>
          <w:rFonts w:ascii="Courier New" w:cs="Courier New" w:eastAsia="Courier New" w:hAnsi="Courier New"/>
          <w:sz w:val="15"/>
          <w:szCs w:val="15"/>
          <w:color w:val="auto"/>
        </w:rPr>
        <w:t>Cautionary Statement Concerning Forward-looking Information</w:t>
      </w:r>
      <w:r>
        <w:rPr>
          <w:sz w:val="20"/>
          <w:szCs w:val="20"/>
          <w:color w:val="auto"/>
        </w:rPr>
        <w:tab/>
      </w:r>
      <w:r>
        <w:rPr>
          <w:rFonts w:ascii="Courier New" w:cs="Courier New" w:eastAsia="Courier New" w:hAnsi="Courier New"/>
          <w:sz w:val="15"/>
          <w:szCs w:val="15"/>
          <w:color w:val="auto"/>
        </w:rPr>
        <w:t>44</w:t>
      </w:r>
    </w:p>
    <w:p>
      <w:pPr>
        <w:sectPr>
          <w:pgSz w:w="11900" w:h="16838" w:orient="portrait"/>
          <w:cols w:equalWidth="0" w:num="1">
            <w:col w:w="10219"/>
          </w:cols>
          <w:pgMar w:left="240" w:top="622" w:right="1440" w:bottom="1440" w:gutter="0" w:footer="0" w:header="0"/>
        </w:sectPr>
      </w:pPr>
    </w:p>
    <w:bookmarkStart w:id="4" w:name="page5"/>
    <w:bookmarkEnd w:id="4"/>
    <w:p>
      <w:pPr>
        <w:jc w:val="center"/>
        <w:ind w:right="3179"/>
        <w:spacing w:after="0"/>
        <w:rPr>
          <w:sz w:val="20"/>
          <w:szCs w:val="20"/>
          <w:color w:val="auto"/>
        </w:rPr>
      </w:pPr>
      <w:r>
        <w:rPr>
          <w:rFonts w:ascii="Courier New" w:cs="Courier New" w:eastAsia="Courier New" w:hAnsi="Courier New"/>
          <w:sz w:val="15"/>
          <w:szCs w:val="15"/>
          <w:color w:val="auto"/>
        </w:rPr>
        <w:t>ANALOG DEVICES</w:t>
      </w:r>
    </w:p>
    <w:p>
      <w:pPr>
        <w:spacing w:after="0" w:line="175" w:lineRule="exact"/>
        <w:rPr>
          <w:sz w:val="20"/>
          <w:szCs w:val="20"/>
          <w:color w:val="auto"/>
        </w:rPr>
      </w:pPr>
    </w:p>
    <w:p>
      <w:pPr>
        <w:ind w:right="3699" w:firstLine="264"/>
        <w:spacing w:after="0" w:line="237" w:lineRule="auto"/>
        <w:rPr>
          <w:sz w:val="20"/>
          <w:szCs w:val="20"/>
          <w:color w:val="auto"/>
        </w:rPr>
      </w:pPr>
      <w:r>
        <w:rPr>
          <w:rFonts w:ascii="Courier New" w:cs="Courier New" w:eastAsia="Courier New" w:hAnsi="Courier New"/>
          <w:sz w:val="15"/>
          <w:szCs w:val="15"/>
          <w:color w:val="auto"/>
        </w:rPr>
        <w:t>We are a world leader in the design, manufacture and marketing of high-performance analog, mixed-signal and digital signal processing integrated circuits used in signal processing applications.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During the first nine months of fiscal 2000, approximately 40-45% of our net sales came from the communications market, making it our largest and fastest growing served market. Communications applications include wireless handsets and base stations, as well as products used for high-speed access to the Internet, including integrated circuits used in asynchronous digital subscriber lines, which are broadband telecommunications lines, cable modems and central office networking equipment.</w:t>
      </w:r>
    </w:p>
    <w:p>
      <w:pPr>
        <w:spacing w:after="0" w:line="177"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We serve the personal computer market with products that monitor and manage power usage, process signals used in flat panel displays and LCD projectors and enable personal computers to provide high-quality digital audio. We also serve the high-end consumer market with products used in digital cameras and camcorders, DVD players and surround sound audio systems. We provide a broad array of products to the industrial market, including products for automatic test equipment and for the digital speed control of AC motors.</w:t>
      </w:r>
    </w:p>
    <w:p>
      <w:pPr>
        <w:spacing w:after="0" w:line="167"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Our products are sold worldwide through a direct sales force, third-party industrial distributors and independent sales representatives. We have direct sales offices in 18 countries, including the United States. In the first nine months of fiscal 2000, approximately 44% of net sales came from customers in North America, while most of the balance came from customers in Western Europe and Asia.</w:t>
      </w:r>
    </w:p>
    <w:p>
      <w:pPr>
        <w:spacing w:after="0" w:line="176"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are headquartered near Boston, in Norwood, Massachusetts, and have manufacturing facilities in Massachusetts, California, North Carolina, Ireland, the Philippines and Taiwan. Founded in 1965, we employ approximately 8,600 people worldwide. Our stock is listed on the New York Stock Exchange under the symbol ADI and is included in the Standard &amp; Poor's 500 Index.</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5" w:name="page6"/>
    <w:bookmarkEnd w:id="5"/>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You should carefully consider the following risks before making an investment decision. You should also refer to the other information set forth in this prospectus and incorporated by reference in this prospectus. This prospectus contains forward-looking statements that involve risks and uncertainties. Our actual results could vary significantly from the results discussed in the forward-looking statements. Some risks that could cause our results to vary are disclosed below.</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experience material fluctuations in future operating results.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Our future success depends upon our ability to develop and market new products and enter new markets.</w:t>
      </w:r>
    </w:p>
    <w:p>
      <w:pPr>
        <w:spacing w:after="0" w:line="176"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6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We may not be able to compete successfully in the semiconductor industry in the future.</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17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We may not be able to satisfy increasing demand for our products, and increased production may lead to overcapacity and lower prices.</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fiscal 1999 and during the current fiscal year. We have increased our manufacturing capacity over the past three years through both expansion of our production facilities and increased access to third-party foundries. However,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6" w:name="page7"/>
    <w:bookmarkEnd w:id="6"/>
    <w:p>
      <w:pPr>
        <w:ind w:right="3259"/>
        <w:spacing w:after="0" w:line="238" w:lineRule="auto"/>
        <w:rPr>
          <w:sz w:val="20"/>
          <w:szCs w:val="20"/>
          <w:color w:val="auto"/>
        </w:rPr>
      </w:pPr>
      <w:r>
        <w:rPr>
          <w:rFonts w:ascii="Courier New" w:cs="Courier New" w:eastAsia="Courier New" w:hAnsi="Courier New"/>
          <w:sz w:val="15"/>
          <w:szCs w:val="15"/>
          <w:color w:val="auto"/>
        </w:rPr>
        <w:t>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17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We rely on third-party subcontractors and manufacturers for some industry-standard wafers and therefore cannot control their availability or conditions of supply.</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Also, noncompliance with "take or pay" covenants in supply agreements could adversely impact our operating results.</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Our revenues may not increase enough to offset the expense of additional capacity.</w:t>
      </w:r>
    </w:p>
    <w:p>
      <w:pPr>
        <w:spacing w:after="0" w:line="176"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7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We rely on manufacturing capacity located in geologically unstable areas, which could affect the availability of supplies and services.</w:t>
      </w:r>
    </w:p>
    <w:p>
      <w:pPr>
        <w:spacing w:after="0" w:line="176" w:lineRule="exact"/>
        <w:rPr>
          <w:sz w:val="20"/>
          <w:szCs w:val="20"/>
          <w:color w:val="auto"/>
        </w:rPr>
      </w:pPr>
    </w:p>
    <w:p>
      <w:pPr>
        <w:ind w:right="3359" w:firstLine="264"/>
        <w:spacing w:after="0" w:line="257" w:lineRule="auto"/>
        <w:rPr>
          <w:sz w:val="20"/>
          <w:szCs w:val="20"/>
          <w:color w:val="auto"/>
        </w:rPr>
      </w:pPr>
      <w:r>
        <w:rPr>
          <w:rFonts w:ascii="Courier New" w:cs="Courier New" w:eastAsia="Courier New" w:hAnsi="Courier New"/>
          <w:sz w:val="14"/>
          <w:szCs w:val="14"/>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67"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We are exposed to economic and political risks through our significant international operations.</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 the first nine months of fiscal 2000, 56% of our revenues were derived from customers in international markets. We have manufacturing facilities outside the U.S. in Ireland,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8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are involved in frequent litigation regarding intellectual property rights, which could be costly to undertake and could require us to redesign products or pay significant royalties.</w:t>
      </w:r>
    </w:p>
    <w:p>
      <w:pPr>
        <w:spacing w:after="0" w:line="175" w:lineRule="exact"/>
        <w:rPr>
          <w:sz w:val="20"/>
          <w:szCs w:val="20"/>
          <w:color w:val="auto"/>
        </w:rPr>
      </w:pPr>
    </w:p>
    <w:p>
      <w:pPr>
        <w:ind w:right="3539" w:firstLine="264"/>
        <w:spacing w:after="0" w:line="259" w:lineRule="auto"/>
        <w:rPr>
          <w:sz w:val="20"/>
          <w:szCs w:val="20"/>
          <w:color w:val="auto"/>
        </w:rPr>
      </w:pPr>
      <w:r>
        <w:rPr>
          <w:rFonts w:ascii="Courier New" w:cs="Courier New" w:eastAsia="Courier New" w:hAnsi="Courier New"/>
          <w:sz w:val="14"/>
          <w:szCs w:val="14"/>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7" w:name="page8"/>
    <w:bookmarkEnd w:id="7"/>
    <w:p>
      <w:pPr>
        <w:ind w:right="3259"/>
        <w:spacing w:after="0" w:line="238" w:lineRule="auto"/>
        <w:rPr>
          <w:sz w:val="20"/>
          <w:szCs w:val="20"/>
          <w:color w:val="auto"/>
        </w:rPr>
      </w:pPr>
      <w:r>
        <w:rPr>
          <w:rFonts w:ascii="Courier New" w:cs="Courier New" w:eastAsia="Courier New" w:hAnsi="Courier New"/>
          <w:sz w:val="15"/>
          <w:szCs w:val="15"/>
          <w:color w:val="auto"/>
        </w:rPr>
        <w:t>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contained in our Form 10-K for the fiscal year ended October 30, 1999 incorporated by reference in this prospectus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184" w:lineRule="exact"/>
        <w:rPr>
          <w:sz w:val="20"/>
          <w:szCs w:val="20"/>
          <w:color w:val="auto"/>
        </w:rPr>
      </w:pPr>
    </w:p>
    <w:p>
      <w:pPr>
        <w:ind w:right="4059"/>
        <w:spacing w:after="0" w:line="265" w:lineRule="auto"/>
        <w:rPr>
          <w:sz w:val="20"/>
          <w:szCs w:val="20"/>
          <w:color w:val="auto"/>
        </w:rPr>
      </w:pPr>
      <w:r>
        <w:rPr>
          <w:rFonts w:ascii="Courier New" w:cs="Courier New" w:eastAsia="Courier New" w:hAnsi="Courier New"/>
          <w:sz w:val="14"/>
          <w:szCs w:val="14"/>
          <w:color w:val="auto"/>
        </w:rPr>
        <w:t>The price of our common stock and therefore the price of our notes may fluctuate significantly, which may result in losses for investors.</w:t>
      </w:r>
    </w:p>
    <w:p>
      <w:pPr>
        <w:spacing w:after="0" w:line="158"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The market price for our common stock has been and may continue to be volatile. For example, during the 52-week period ended October 25, 2000, the closing prices of our common stock as reported on the New York Stock Exchange ranged from a high of $103.00 to a low of $23.31. We expect our stock price to be subject to fluctuations as a result of a variety of factors, including factors beyond our control. These factors include: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actual or anticipated variations in our quarterly operating results;</w:t>
      </w:r>
    </w:p>
    <w:p>
      <w:pPr>
        <w:spacing w:after="0" w:line="175" w:lineRule="exact"/>
        <w:rPr>
          <w:sz w:val="20"/>
          <w:szCs w:val="20"/>
          <w:color w:val="auto"/>
        </w:rPr>
      </w:pPr>
    </w:p>
    <w:p>
      <w:pPr>
        <w:ind w:left="340" w:right="3439" w:hanging="173"/>
        <w:spacing w:after="0" w:line="235" w:lineRule="auto"/>
        <w:tabs>
          <w:tab w:leader="none" w:pos="3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products or services by us or our competitors;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announcements relating to strategic relationships or acquisitions;</w:t>
      </w:r>
    </w:p>
    <w:p>
      <w:pPr>
        <w:spacing w:after="0" w:line="175" w:lineRule="exact"/>
        <w:rPr>
          <w:sz w:val="20"/>
          <w:szCs w:val="20"/>
          <w:color w:val="auto"/>
        </w:rPr>
      </w:pPr>
    </w:p>
    <w:p>
      <w:pPr>
        <w:ind w:left="340" w:right="4239" w:hanging="173"/>
        <w:spacing w:after="0" w:line="235" w:lineRule="auto"/>
        <w:tabs>
          <w:tab w:leader="none" w:pos="3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or other statements by securities analysts;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changes in general economic conditions;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conditions or trends affecting the semiconductor industry; and</w:t>
      </w:r>
    </w:p>
    <w:p>
      <w:pPr>
        <w:spacing w:after="0" w:line="175" w:lineRule="exact"/>
        <w:rPr>
          <w:sz w:val="20"/>
          <w:szCs w:val="20"/>
          <w:color w:val="auto"/>
        </w:rPr>
      </w:pPr>
    </w:p>
    <w:p>
      <w:pPr>
        <w:ind w:left="340" w:right="3799" w:hanging="173"/>
        <w:spacing w:after="0" w:line="235" w:lineRule="auto"/>
        <w:tabs>
          <w:tab w:leader="none" w:pos="3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economic performance and/or market valuations of other semiconductor and high-technology companies.</w:t>
      </w:r>
    </w:p>
    <w:p>
      <w:pPr>
        <w:spacing w:after="0" w:line="176" w:lineRule="exact"/>
        <w:rPr>
          <w:sz w:val="20"/>
          <w:szCs w:val="20"/>
          <w:color w:val="auto"/>
        </w:rPr>
      </w:pPr>
    </w:p>
    <w:p>
      <w:pPr>
        <w:jc w:val="both"/>
        <w:ind w:right="3619" w:firstLine="264"/>
        <w:spacing w:after="0" w:line="260" w:lineRule="auto"/>
        <w:rPr>
          <w:sz w:val="20"/>
          <w:szCs w:val="20"/>
          <w:color w:val="auto"/>
        </w:rPr>
      </w:pPr>
      <w:r>
        <w:rPr>
          <w:rFonts w:ascii="Courier New" w:cs="Courier New" w:eastAsia="Courier New" w:hAnsi="Courier New"/>
          <w:sz w:val="14"/>
          <w:szCs w:val="14"/>
          <w:color w:val="auto"/>
        </w:rPr>
        <w:t>Because of this volatility, we may fail to meet the expectations of our stockholders or of securities analysts at some time in the future, and our stock price and therefore the price of our notes could decline as a result.</w:t>
      </w:r>
    </w:p>
    <w:p>
      <w:pPr>
        <w:spacing w:after="0" w:line="163"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In addition, the stock market has experienced significant price and volume fluctuations that have particularly affected the trading prices of equity securities of many high technology companies. These fluctuations have often been unrelated or disproportionate to changes in the operating performance of these companies. Any negative change in the public's perception of semiconductor companies could depress our stock price regardless of our operating results.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and debt service obligations may adversely affect our cash flow.</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have a substantial amount of outstanding indebtedness as a result of the issuance of the notes. There is the possibility that we may be unable to generate cash sufficient to pay the principal of, interest on and other amounts due in respect of the notes when due.</w:t>
      </w:r>
    </w:p>
    <w:p>
      <w:pPr>
        <w:spacing w:after="0" w:line="176" w:lineRule="exact"/>
        <w:rPr>
          <w:sz w:val="20"/>
          <w:szCs w:val="20"/>
          <w:color w:val="auto"/>
        </w:rPr>
      </w:pPr>
    </w:p>
    <w:p>
      <w:pPr>
        <w:ind w:right="3799" w:firstLine="264"/>
        <w:spacing w:after="0" w:line="235" w:lineRule="auto"/>
        <w:rPr>
          <w:sz w:val="20"/>
          <w:szCs w:val="20"/>
          <w:color w:val="auto"/>
        </w:rPr>
      </w:pPr>
      <w:r>
        <w:rPr>
          <w:rFonts w:ascii="Courier New" w:cs="Courier New" w:eastAsia="Courier New" w:hAnsi="Courier New"/>
          <w:sz w:val="15"/>
          <w:szCs w:val="15"/>
          <w:color w:val="auto"/>
        </w:rPr>
        <w:t>Our substantial leverage could have significant negative consequences, including:</w:t>
      </w:r>
    </w:p>
    <w:p>
      <w:pPr>
        <w:spacing w:after="0" w:line="176" w:lineRule="exact"/>
        <w:rPr>
          <w:sz w:val="20"/>
          <w:szCs w:val="20"/>
          <w:color w:val="auto"/>
        </w:rPr>
      </w:pPr>
    </w:p>
    <w:p>
      <w:pPr>
        <w:ind w:left="340" w:right="3799" w:hanging="173"/>
        <w:spacing w:after="0" w:line="235" w:lineRule="auto"/>
        <w:tabs>
          <w:tab w:leader="none" w:pos="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vulnerability to general adverse economic and industry conditions;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8" w:name="page9"/>
    <w:bookmarkEnd w:id="8"/>
    <w:p>
      <w:pPr>
        <w:ind w:left="340" w:right="3539" w:hanging="173"/>
        <w:spacing w:after="0" w:line="237"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dedication of a substantial portion of our expected cash flow from operations to service our indebtedness, thereby reducing the amount of our expected cash flow available for other purposes, including capital expenditures; and</w:t>
      </w:r>
    </w:p>
    <w:p>
      <w:pPr>
        <w:spacing w:after="0" w:line="176" w:lineRule="exact"/>
        <w:rPr>
          <w:sz w:val="20"/>
          <w:szCs w:val="20"/>
          <w:color w:val="auto"/>
        </w:rPr>
      </w:pPr>
    </w:p>
    <w:p>
      <w:pPr>
        <w:ind w:left="340" w:right="3539" w:hanging="173"/>
        <w:spacing w:after="0" w:line="235"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in planning for, or reacting to, changes in our business and the industry in which we compete.</w:t>
      </w:r>
    </w:p>
    <w:p>
      <w:pPr>
        <w:spacing w:after="0" w:line="176"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The notes rank below our senior debt, and we may be unable to repay our obligations under the notes.</w:t>
      </w:r>
    </w:p>
    <w:p>
      <w:pPr>
        <w:spacing w:after="0" w:line="176"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The notes are unsecured and subordinated in right of payment to all of our senior debt. Because the notes are subordinate to our senior debt, if we experience: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 bankruptcy, liquidation or reorganization;</w:t>
      </w:r>
    </w:p>
    <w:p>
      <w:pPr>
        <w:spacing w:after="0" w:line="175" w:lineRule="exact"/>
        <w:rPr>
          <w:sz w:val="20"/>
          <w:szCs w:val="20"/>
          <w:color w:val="auto"/>
        </w:rPr>
      </w:pPr>
    </w:p>
    <w:p>
      <w:pPr>
        <w:ind w:left="340" w:right="4139" w:hanging="173"/>
        <w:spacing w:after="0" w:line="235" w:lineRule="auto"/>
        <w:tabs>
          <w:tab w:leader="none" w:pos="3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acceleration of the notes due to an event of default under the indenture; or</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other specified events;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will be permitted to make payments on the notes only after we have satisfied all of our senior debt obligations. Therefore, we may not have sufficient assets remaining to pay amounts due on any or all of the notes. In addition, the notes effectively are subordinate to all liabilities, including trade payables, of our subsidiaries and any subsidiaries that we may in the future acquire or establish. Consequently, our right to receive assets of any subsidiaries upon their liquidation or reorganization, and the rights of the holders of the notes to share in those assets, would be subordinate to the claims of the subsidiaries' creditors.</w:t>
      </w:r>
    </w:p>
    <w:p>
      <w:pPr>
        <w:spacing w:after="0" w:line="179"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The notes are our obligations exclusively. The indenture for the notes does not limit our ability, or that of any of our presently existing or future subsidiaries, to incur senior debt, other indebtedness and other liabilities. We may have difficulty paying what we owe under the notes if we, or any of our subsidiaries, incur additional indebtedness or other liabilities. As of July 29, 2000, we had senior debt outstanding of approximately $5 million, and our subsidiaries had approximately $385 million of outstanding liabilities, excluding intercompany liabilities. From time to time we and our subsidiaries may incur additional indebtedness, including senior debt, which could adversely affect our ability to pay our obligations under the notes.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repay or repurchase the notes.</w:t>
      </w:r>
    </w:p>
    <w:p>
      <w:pPr>
        <w:spacing w:after="0" w:line="175" w:lineRule="exact"/>
        <w:rPr>
          <w:sz w:val="20"/>
          <w:szCs w:val="20"/>
          <w:color w:val="auto"/>
        </w:rPr>
      </w:pPr>
    </w:p>
    <w:p>
      <w:pPr>
        <w:ind w:right="3259" w:firstLine="264"/>
        <w:spacing w:after="0" w:line="256" w:lineRule="auto"/>
        <w:rPr>
          <w:sz w:val="20"/>
          <w:szCs w:val="20"/>
          <w:color w:val="auto"/>
        </w:rPr>
      </w:pPr>
      <w:r>
        <w:rPr>
          <w:rFonts w:ascii="Courier New" w:cs="Courier New" w:eastAsia="Courier New" w:hAnsi="Courier New"/>
          <w:sz w:val="14"/>
          <w:szCs w:val="14"/>
          <w:color w:val="auto"/>
        </w:rPr>
        <w:t>At maturity, the entire outstanding principal amount of the notes will become due and payable. In addition, if we experience a change in control, as described in "Description of the Notes--Repurchase at Option of Holders Upon a Change in Control", each holder of the notes may require us to repurchase all or a portion of that holder's notes. At maturity or if a change in control occurs, we may not have sufficient funds or may be unable to arrange for additional financing to pay the principal amount or repurchase price due. Under the terms of the indenture for the notes, we may elect, if we meet some conditions, to pay the repurchase price with shares of common stock. Any future borrowing arrangements or agreements relating to senior debt to which we become a party may contain restrictions on, or prohibitions against, our repayments or repurchases of the notes. If the maturity date or change in control occurs at a time when our other arrangements prohibit us from repaying or repurchasing the notes, we could try to obtain the consent of the lenders under those arrangements, or we could attempt to refinance the borrowings that contain the restrictions. If we do not obtain the necessary consents or refinance these borrowings, we will be unable to repay or repurchase the notes. In that case, our failure to repurchase any tendered notes or repay the notes due upon maturity would constitute an event of default under the indenture. Any such default, in turn, may cause a default under the terms of our senior debt. As a result, in those circumstances, the subordination provisions of the indenture would, absent a waiver, prohibit any repayment or repurchase of the notes until we pay the senior debt in full.</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9" w:name="page10"/>
    <w:bookmarkEnd w:id="9"/>
    <w:p>
      <w:pPr>
        <w:jc w:val="center"/>
        <w:ind w:right="3259"/>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All of the notes and the shares of our common stock issuable upon conversion of the notes are being sold by the selling securityholders or by their pledgees, donees, transferees or other successors in interest. We will not receive any proceeds from the sale of the notes or the shares of our common stock issuable upon conversion of the notes.</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200" w:lineRule="exact"/>
        <w:rPr>
          <w:sz w:val="20"/>
          <w:szCs w:val="20"/>
          <w:color w:val="auto"/>
        </w:rPr>
      </w:pPr>
    </w:p>
    <w:p>
      <w:pPr>
        <w:spacing w:after="0" w:line="308"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 Year Ended</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Nine Months Ended</w:t>
            </w:r>
          </w:p>
        </w:tc>
      </w:tr>
      <w:tr>
        <w:trPr>
          <w:trHeight w:val="170"/>
        </w:trPr>
        <w:tc>
          <w:tcPr>
            <w:tcW w:w="524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4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7"/>
              </w:rPr>
              <w:t>October 28, November 2, November 1, October 31, October 30,</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July 31, July 29,</w:t>
            </w:r>
          </w:p>
        </w:tc>
      </w:tr>
      <w:tr>
        <w:trPr>
          <w:trHeight w:val="170"/>
        </w:trPr>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24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7"/>
              </w:rPr>
              <w:t>----------- ----------- ----------- ----------- -----------</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39"/>
        </w:trPr>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15.0</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28.2</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141.1</w:t>
            </w:r>
          </w:p>
        </w:tc>
      </w:tr>
    </w:tbl>
    <w:p>
      <w:pPr>
        <w:spacing w:after="0" w:line="344"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ratio of earnings to fixed charges is computed by dividing income before taxes, net of dividends and income/loss on WaferTech, adjusted for fixed charges by fixed charges. Fixed charges consist of interest expense, whether expensed or capitalized, plus the portion of rent expense under operating leases that we consider to be representative of the interest factor, plus amortization of debt issuance costs.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10" w:name="page11"/>
    <w:bookmarkEnd w:id="10"/>
    <w:p>
      <w:pPr>
        <w:ind w:left="1930"/>
        <w:spacing w:after="0"/>
        <w:rPr>
          <w:sz w:val="20"/>
          <w:szCs w:val="20"/>
          <w:color w:val="auto"/>
        </w:rPr>
      </w:pPr>
      <w:r>
        <w:rPr>
          <w:rFonts w:ascii="Courier New" w:cs="Courier New" w:eastAsia="Courier New" w:hAnsi="Courier New"/>
          <w:sz w:val="15"/>
          <w:szCs w:val="15"/>
          <w:color w:val="auto"/>
        </w:rPr>
        <w:t>SELECTED CONSOLIDATED FINANCIAL DATA</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10" w:right="3259" w:firstLine="264"/>
        <w:spacing w:after="0" w:line="238" w:lineRule="auto"/>
        <w:rPr>
          <w:sz w:val="20"/>
          <w:szCs w:val="20"/>
          <w:color w:val="auto"/>
        </w:rPr>
      </w:pPr>
      <w:r>
        <w:rPr>
          <w:rFonts w:ascii="Courier New" w:cs="Courier New" w:eastAsia="Courier New" w:hAnsi="Courier New"/>
          <w:sz w:val="15"/>
          <w:szCs w:val="15"/>
          <w:color w:val="auto"/>
        </w:rPr>
        <w:t>The selected consolidated financial data set forth below for each of the fiscal years in the three-year period ended October 30, 1999 and as at October 31, 1998 and October 30, 1999 have been derived from our audited consolidated financial statements in the Annual Report on Form 10-K for the fiscal year ended October 30, 1999, incorporated by reference into this prospectus. We have prepared our consolidated financial statements in accordance with U.S. generally accepted accounting principles, and our financial statements have been audited by Ernst &amp; Young LLP, independent auditors.The following data should be read in conjunction with our audited consolidated financial statements and notes thereto and "Management Analysis" in the Annual Report on Form 10-K for the fiscal year ended October 30, 1999, incorporated by reference into this prospectus.</w:t>
      </w:r>
    </w:p>
    <w:p>
      <w:pPr>
        <w:spacing w:after="0" w:line="200" w:lineRule="exact"/>
        <w:rPr>
          <w:sz w:val="20"/>
          <w:szCs w:val="20"/>
          <w:color w:val="auto"/>
        </w:rPr>
      </w:pPr>
    </w:p>
    <w:p>
      <w:pPr>
        <w:spacing w:after="0" w:line="315"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Year Ended</w:t>
            </w:r>
          </w:p>
        </w:tc>
        <w:tc>
          <w:tcPr>
            <w:tcW w:w="1060" w:type="dxa"/>
            <w:vAlign w:val="bottom"/>
          </w:tcPr>
          <w:p>
            <w:pPr>
              <w:spacing w:after="0"/>
              <w:rPr>
                <w:sz w:val="14"/>
                <w:szCs w:val="14"/>
                <w:color w:val="auto"/>
              </w:rPr>
            </w:pPr>
          </w:p>
        </w:tc>
      </w:tr>
      <w:tr>
        <w:trPr>
          <w:trHeight w:val="170"/>
        </w:trPr>
        <w:tc>
          <w:tcPr>
            <w:tcW w:w="388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80" w:type="dxa"/>
            <w:vAlign w:val="bottom"/>
          </w:tcPr>
          <w:p>
            <w:pPr>
              <w:spacing w:after="0"/>
              <w:rPr>
                <w:sz w:val="14"/>
                <w:szCs w:val="14"/>
                <w:color w:val="auto"/>
              </w:rPr>
            </w:pPr>
          </w:p>
        </w:tc>
        <w:tc>
          <w:tcPr>
            <w:tcW w:w="2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November 1, October 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October 30,</w:t>
            </w:r>
          </w:p>
        </w:tc>
      </w:tr>
      <w:tr>
        <w:trPr>
          <w:trHeight w:val="170"/>
        </w:trPr>
        <w:tc>
          <w:tcPr>
            <w:tcW w:w="38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$1,243,494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$1,230,571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$1,450,379</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 before cumulative effect of</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change in accounting principle...........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178,219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119,488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196,819</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principle................................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(37,080)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 after cumulative effect of</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change in accounting principle...........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178,219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82,408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196,819</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 per share (1):</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0.58</w:t>
            </w: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0.55</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Pro forma amounts with the change in</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accounting principle related to revenue</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recognition applied retroactively:</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$1,214,602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$1,230,571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167,515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119,488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 per share (1):</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October 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October 30,</w:t>
            </w:r>
          </w:p>
        </w:tc>
      </w:tr>
      <w:tr>
        <w:trPr>
          <w:trHeight w:val="170"/>
        </w:trPr>
        <w:tc>
          <w:tcPr>
            <w:tcW w:w="3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$1,861,730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$2,218,354</w:t>
            </w:r>
          </w:p>
        </w:tc>
      </w:tr>
      <w:tr>
        <w:trPr>
          <w:trHeight w:val="170"/>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and non-current obligations under</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 leases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340,758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16,214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50" w:right="3439" w:hanging="350"/>
        <w:spacing w:after="0" w:line="237"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 and per share information gives effect to our two-for-one stock split, distributed to stockholders as a 100% stock dividend, on March 15, 2000.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2" w:right="1440" w:bottom="1440" w:gutter="0" w:footer="0" w:header="0"/>
        </w:sectPr>
      </w:pPr>
    </w:p>
    <w:bookmarkStart w:id="11" w:name="page12"/>
    <w:bookmarkEnd w:id="11"/>
    <w:p>
      <w:pPr>
        <w:jc w:val="center"/>
        <w:ind w:right="3179"/>
        <w:spacing w:after="0"/>
        <w:rPr>
          <w:sz w:val="20"/>
          <w:szCs w:val="20"/>
          <w:color w:val="auto"/>
        </w:rPr>
      </w:pPr>
      <w:r>
        <w:rPr>
          <w:rFonts w:ascii="Courier New" w:cs="Courier New" w:eastAsia="Courier New" w:hAnsi="Courier New"/>
          <w:sz w:val="15"/>
          <w:szCs w:val="15"/>
          <w:color w:val="auto"/>
        </w:rPr>
        <w:t>DESCRIPTION OF NOTES</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We issued the notes under a document called the "Indenture". The Indenture is a contract between us and State Street Bank and Trust Company, as Trustee. The Indenture and the notes are governed by New York law. Because this section is a summary, it does not describe every aspect of the notes and the Indenture that may be important to you. In this section, we use capitalized words to signify defined terms that have been given special meaning in the Indenture. We describe the meaning of only the more important terms. You should read the Indenture itself for a full description of the terms of the notes. Wherever we refer to particular defined terms, those defined terms are incorporated by reference here. In this section, references to "Analog", "we", "our" or "us" refer solely to Analog Devices, Inc. and not its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The notes are general, unsecured obligations of Analog. The notes are subordinated, which means that they rank behind some of our indebtedness as described below. The notes are limited to $1,200,000,000 aggregate principal amount. We are required to repay the principal amount of the notes in full on October 1, 2005. The notes bear interest at the rate of 4.75% per annum. Interest is computed on the basis of a 360 day year of twelve thirty day months. We will pay interest on the notes on April 1 and October 1 of each year, commencing on April 1, 2001.</w:t>
      </w:r>
    </w:p>
    <w:p>
      <w:pPr>
        <w:spacing w:after="0" w:line="178" w:lineRule="exact"/>
        <w:rPr>
          <w:sz w:val="20"/>
          <w:szCs w:val="20"/>
          <w:color w:val="auto"/>
        </w:rPr>
      </w:pPr>
    </w:p>
    <w:p>
      <w:pPr>
        <w:ind w:right="3439" w:firstLine="264"/>
        <w:spacing w:after="0" w:line="258" w:lineRule="auto"/>
        <w:rPr>
          <w:sz w:val="20"/>
          <w:szCs w:val="20"/>
          <w:color w:val="auto"/>
        </w:rPr>
      </w:pPr>
      <w:r>
        <w:rPr>
          <w:rFonts w:ascii="Courier New" w:cs="Courier New" w:eastAsia="Courier New" w:hAnsi="Courier New"/>
          <w:sz w:val="14"/>
          <w:szCs w:val="14"/>
          <w:color w:val="auto"/>
        </w:rPr>
        <w:t>A holder of notes may convert the notes into shares of our common stock initially at the conversion rate of 7.7056 shares per $1,000 in principal amount of the notes at any time before the close of business on the business day preceding October 1, 2005, unless the notes have been previously redeemed or repurchased. The conversion rate may be adjusted as described below.</w:t>
      </w:r>
    </w:p>
    <w:p>
      <w:pPr>
        <w:spacing w:after="0" w:line="165"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We may redeem the notes at our option at any time on or after October 1, 2003, in whole or in part, at the redemption prices set forth below under "-- Optional Redemption by Analog", plus accrued and unpaid interest to the redemption date. If there is a Change in Control of Analog, a holder of notes may have the right to require us to repurchase its notes as described below under "--Repurchase at Option of Holders Upon a Change in Control".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Denomination, Transfer, Exchange and Book-Entry Procedures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notes are issued:</w:t>
      </w:r>
    </w:p>
    <w:p>
      <w:pPr>
        <w:spacing w:after="0" w:line="169" w:lineRule="exact"/>
        <w:rPr>
          <w:sz w:val="20"/>
          <w:szCs w:val="20"/>
          <w:color w:val="auto"/>
        </w:rPr>
      </w:pPr>
    </w:p>
    <w:p>
      <w:pPr>
        <w:ind w:left="340" w:hanging="173"/>
        <w:spacing w:after="0"/>
        <w:tabs>
          <w:tab w:leader="none" w:pos="3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in fully registered form;</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interest coupons; and</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denominations of $1,000 and greater multiples.</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The notes are evidenced by one or more global notes which were deposited with the Trustee as custodian for DTC and registered in the name of Cede &amp; Co., which we refer to as Cede, as nominee of DTC. The global note and any notes issued in exchange for the global note are subject to restrictions on transfer and will bear legends regarding those restrictions. Except as set forth below, record ownership of the global note may be transferred, in whole or in part, only to another nominee of DTC or to a successor of DTC or its nominee.</w:t>
      </w:r>
    </w:p>
    <w:p>
      <w:pPr>
        <w:spacing w:after="0" w:line="167"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The global note will not be registered in the name of any person, or exchanged for notes that are registered in the name of any person, other than DTC or its nominee unless either of the following occurs:</w:t>
      </w:r>
    </w:p>
    <w:p>
      <w:pPr>
        <w:spacing w:after="0" w:line="175" w:lineRule="exact"/>
        <w:rPr>
          <w:sz w:val="20"/>
          <w:szCs w:val="20"/>
          <w:color w:val="auto"/>
        </w:rPr>
      </w:pPr>
    </w:p>
    <w:p>
      <w:pPr>
        <w:ind w:left="340" w:right="3699" w:hanging="173"/>
        <w:spacing w:after="0" w:line="235" w:lineRule="auto"/>
        <w:tabs>
          <w:tab w:leader="none" w:pos="3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 notifies us that it is unwilling, unable or no longer qualified to continue acting as the depositary for the global note; or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2" w:name="page13"/>
    <w:bookmarkEnd w:id="12"/>
    <w:p>
      <w:pPr>
        <w:ind w:left="340" w:right="3619" w:hanging="173"/>
        <w:spacing w:after="0" w:line="235" w:lineRule="auto"/>
        <w:tabs>
          <w:tab w:leader="none" w:pos="3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with respect to the notes represented by the global note has occurred and is continuing.</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 those circumstances, DTC will determine in whose names any securities issued in exchange for the global note will be registered.</w:t>
      </w:r>
    </w:p>
    <w:p>
      <w:pPr>
        <w:spacing w:after="0" w:line="176" w:lineRule="exact"/>
        <w:rPr>
          <w:sz w:val="20"/>
          <w:szCs w:val="20"/>
          <w:color w:val="auto"/>
        </w:rPr>
      </w:pPr>
    </w:p>
    <w:p>
      <w:pPr>
        <w:ind w:right="3799" w:firstLine="264"/>
        <w:spacing w:after="0" w:line="235" w:lineRule="auto"/>
        <w:rPr>
          <w:sz w:val="20"/>
          <w:szCs w:val="20"/>
          <w:color w:val="auto"/>
        </w:rPr>
      </w:pPr>
      <w:r>
        <w:rPr>
          <w:rFonts w:ascii="Courier New" w:cs="Courier New" w:eastAsia="Courier New" w:hAnsi="Courier New"/>
          <w:sz w:val="15"/>
          <w:szCs w:val="15"/>
          <w:color w:val="auto"/>
        </w:rPr>
        <w:t>DTC or its nominee will be considered the sole owner and holder of the global note for all purposes, and as a result:</w:t>
      </w:r>
    </w:p>
    <w:p>
      <w:pPr>
        <w:spacing w:after="0" w:line="176" w:lineRule="exact"/>
        <w:rPr>
          <w:sz w:val="20"/>
          <w:szCs w:val="20"/>
          <w:color w:val="auto"/>
        </w:rPr>
      </w:pPr>
    </w:p>
    <w:p>
      <w:pPr>
        <w:ind w:left="340" w:right="3799" w:hanging="173"/>
        <w:spacing w:after="0" w:line="235" w:lineRule="auto"/>
        <w:tabs>
          <w:tab w:leader="none" w:pos="3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notes cannot get notes registered in its name if they are represented by the global note;</w:t>
      </w:r>
    </w:p>
    <w:p>
      <w:pPr>
        <w:spacing w:after="0" w:line="176" w:lineRule="exact"/>
        <w:rPr>
          <w:sz w:val="20"/>
          <w:szCs w:val="20"/>
          <w:color w:val="auto"/>
        </w:rPr>
      </w:pPr>
    </w:p>
    <w:p>
      <w:pPr>
        <w:ind w:left="340" w:right="4139" w:hanging="173"/>
        <w:spacing w:after="0" w:line="235" w:lineRule="auto"/>
        <w:tabs>
          <w:tab w:leader="none" w:pos="3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notes cannot receive certificated (physical) notes in exchange for its beneficial interest in the global notes;</w:t>
      </w:r>
    </w:p>
    <w:p>
      <w:pPr>
        <w:spacing w:after="0" w:line="176" w:lineRule="exact"/>
        <w:rPr>
          <w:sz w:val="20"/>
          <w:szCs w:val="20"/>
          <w:color w:val="auto"/>
        </w:rPr>
      </w:pPr>
    </w:p>
    <w:p>
      <w:pPr>
        <w:ind w:left="340" w:right="3439" w:hanging="173"/>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notes will not be considered to be the owner or holder of the global note or any note it represents for any purpose; and</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all payments on the global note will be made to DTC or its nominee.</w:t>
      </w:r>
    </w:p>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The laws of some jurisdictions require that some kinds of purchasers (for example, some insurance companies) can only own securities in definitive (certificated) form. These laws may limit the ability of a holder of notes to transfer its beneficial interests in the global note to these types of purchasers.</w:t>
      </w:r>
    </w:p>
    <w:p>
      <w:pPr>
        <w:spacing w:after="0" w:line="178"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Only institutions (such as a securities broker or dealer) that have accounts with DTC or its nominee, which are referred to as participants, and persons that may hold beneficial interests through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178"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76" w:lineRule="exact"/>
        <w:rPr>
          <w:sz w:val="20"/>
          <w:szCs w:val="20"/>
          <w:color w:val="auto"/>
        </w:rPr>
      </w:pPr>
    </w:p>
    <w:p>
      <w:pPr>
        <w:ind w:right="3539" w:firstLine="264"/>
        <w:spacing w:after="0" w:line="237" w:lineRule="auto"/>
        <w:rPr>
          <w:sz w:val="20"/>
          <w:szCs w:val="20"/>
          <w:color w:val="auto"/>
        </w:rPr>
      </w:pPr>
      <w:r>
        <w:rPr>
          <w:rFonts w:ascii="Courier New" w:cs="Courier New" w:eastAsia="Courier New" w:hAnsi="Courier New"/>
          <w:sz w:val="15"/>
          <w:szCs w:val="15"/>
          <w:color w:val="auto"/>
        </w:rPr>
        <w:t>We will make cash payments of interest on and principal of and the redemption or repurchase price of the global note, as well as any payment of Liquidated Damages, to Cede, the nominee for DTC, as the registered owner of the global note. We will make these payments by wire transfer of immediately available funds on each payment date.</w:t>
      </w:r>
    </w:p>
    <w:p>
      <w:pPr>
        <w:spacing w:after="0" w:line="178"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w:t>
      </w:r>
    </w:p>
    <w:p>
      <w:pPr>
        <w:spacing w:after="0" w:line="177"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will send any redemption notices to Cede. We understand that if less than all the notes are being redeemed, DTC's practice is to determine by lot the amount of the holdings of each participant to be redeemed.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3" w:name="page14"/>
    <w:bookmarkEnd w:id="13"/>
    <w:p>
      <w:pPr>
        <w:ind w:right="3259" w:firstLine="264"/>
        <w:spacing w:after="0" w:line="238" w:lineRule="auto"/>
        <w:rPr>
          <w:sz w:val="20"/>
          <w:szCs w:val="20"/>
          <w:color w:val="auto"/>
        </w:rPr>
      </w:pPr>
      <w:r>
        <w:rPr>
          <w:rFonts w:ascii="Courier New" w:cs="Courier New" w:eastAsia="Courier New" w:hAnsi="Courier New"/>
          <w:sz w:val="15"/>
          <w:szCs w:val="15"/>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176"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76"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DTC has advised us that it will take any action permitted to be taken by a holder of notes (including the presentation of notes for exchange) only at the direction of one or more participants to whose account DTC interests in the global note are credited and only in respect of the portion of the principal amount of the notes represented by the global note as to which the participant or participants has or have given the direction.</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DTC has also advised us as follows: 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other organizations. Some of these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w:t>
      </w:r>
    </w:p>
    <w:p>
      <w:pPr>
        <w:spacing w:after="0" w:line="184" w:lineRule="exact"/>
        <w:rPr>
          <w:sz w:val="20"/>
          <w:szCs w:val="20"/>
          <w:color w:val="auto"/>
        </w:rPr>
      </w:pPr>
    </w:p>
    <w:p>
      <w:pPr>
        <w:ind w:right="3539" w:firstLine="264"/>
        <w:spacing w:after="0" w:line="257" w:lineRule="auto"/>
        <w:rPr>
          <w:sz w:val="20"/>
          <w:szCs w:val="20"/>
          <w:color w:val="auto"/>
        </w:rPr>
      </w:pPr>
      <w:r>
        <w:rPr>
          <w:rFonts w:ascii="Courier New" w:cs="Courier New" w:eastAsia="Courier New" w:hAnsi="Courier New"/>
          <w:sz w:val="14"/>
          <w:szCs w:val="14"/>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 holder of notes may, at its option, convert any portion of the principal amount of any note that is an integral multiple of $1,000 into shares of our common stock at any time on or prior to the close of business on the business day prior to the maturity date, unless the notes have been previously redeemed or repurchased, at a conversion rate of 7.7056 shares of common stock per $1,000 principal amount of notes. The conversion rate is equivalent to a conversion price of approximately $129.78. The right of a holder of notes to convert a note called for redemption or delivered for repurchase will terminate at the close of business on the business day prior to the redemption date or repurchase date for that note, unless we default in making the payment due upon redemption or repurchase.</w:t>
      </w:r>
    </w:p>
    <w:p>
      <w:pPr>
        <w:spacing w:after="0" w:line="181"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 holder of notes may convert all or part of any note by delivering the note at the Corporate Trust Office of the Trustee in the Borough of Manhattan, The City of New York, accompanied by a duly signed and completed notice of conversion, a copy of which may be obtained by the Trustee. The conversion date will be the date on which the note and the duly signed and completed notice of conversion are so delivered.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4" w:name="page15"/>
    <w:bookmarkEnd w:id="14"/>
    <w:p>
      <w:pPr>
        <w:ind w:right="3259" w:firstLine="264"/>
        <w:spacing w:after="0" w:line="257" w:lineRule="auto"/>
        <w:rPr>
          <w:sz w:val="20"/>
          <w:szCs w:val="20"/>
          <w:color w:val="auto"/>
        </w:rPr>
      </w:pPr>
      <w:r>
        <w:rPr>
          <w:rFonts w:ascii="Courier New" w:cs="Courier New" w:eastAsia="Courier New" w:hAnsi="Courier New"/>
          <w:sz w:val="14"/>
          <w:szCs w:val="14"/>
          <w:color w:val="auto"/>
        </w:rPr>
        <w:t>As promptly as practicable on or after the conversion date, we will issue and deliver to the Trustee a certificate or certificates for the number of full shares of our common stock issuable upon conversion, together with payment in lieu of any fraction of a share. The certificate will then be sent by the Trustee to the conversion agent for delivery to the holder. The shares of our common stock issuable upon conversion of the notes will be fully paid and nonassessable and will rank equally with the other shares of our common stock.</w:t>
      </w:r>
    </w:p>
    <w:p>
      <w:pPr>
        <w:spacing w:after="0" w:line="167"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If a holder of notes surrenders a note for conversion on a date that is not an Interest Payment Date, the holder will not be entitled to receive any interest for the period from the next preceding Interest Payment Date to the conversion date, except as described below in this paragraph. Any note surrendered for conversion during the period from the close of business on any Regular Record Date to the opening of business on the next succeeding Interest Payment Date (except notes (or portions thereof) called for redemption on a redemption date for which the right to convert would terminate during that period) must be accompanied by payment of an amount equal to the interest payable on the Interest Payment Date on the principal amount of notes being surrendered for conversion. In the case of any note which has been converted after any Regular Record Date (as described below under "--Payment and Conversion") but before the next succeeding Interest Payment Date, interest payable on the Interest Payment Date shall be payable on the Interest Payment Date notwithstanding the conversion, and the interest shall be paid to the holder of the note on the Regular Record Date.</w:t>
      </w:r>
    </w:p>
    <w:p>
      <w:pPr>
        <w:spacing w:after="0" w:line="186"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No other payment or adjustment for interest, or for any dividends in respect of our common stock, will be made upon conversion. Holders of our common stock issued upon conversion will not be entitled to receive any dividends payable to holders of our common stock as of any record time or date before the close of business on the conversion date. We will not issue fractional shares upon conversion. Instead, we will pay cash based on the market price of our common stock at the close of business on the conversion date.</w:t>
      </w:r>
    </w:p>
    <w:p>
      <w:pPr>
        <w:spacing w:after="0" w:line="167"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 holder of notes will not be required to pay any taxes or duties relating to the issue or delivery of our common stock on conversion but will be required to pay any tax or duty relating to any transfer involved in the issue or delivery of our common stock in a name other than that of the holder. Certificates representing shares of our common stock will not be issued or delivered unless all taxes and duties, if any, payable by the holder have been paid.</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conversion rate will be subject to adjustment for, among other things:</w:t>
      </w:r>
    </w:p>
    <w:p>
      <w:pPr>
        <w:spacing w:after="0" w:line="175" w:lineRule="exact"/>
        <w:rPr>
          <w:sz w:val="20"/>
          <w:szCs w:val="20"/>
          <w:color w:val="auto"/>
        </w:rPr>
      </w:pPr>
    </w:p>
    <w:p>
      <w:pPr>
        <w:ind w:left="340" w:right="3439" w:hanging="173"/>
        <w:spacing w:after="0" w:line="235" w:lineRule="auto"/>
        <w:tabs>
          <w:tab w:leader="none" w:pos="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other distributions) payable in our common stock on shares of our capital stock,</w:t>
      </w:r>
    </w:p>
    <w:p>
      <w:pPr>
        <w:spacing w:after="0" w:line="176" w:lineRule="exact"/>
        <w:rPr>
          <w:sz w:val="20"/>
          <w:szCs w:val="20"/>
          <w:color w:val="auto"/>
        </w:rPr>
      </w:pPr>
    </w:p>
    <w:p>
      <w:pPr>
        <w:ind w:left="340" w:right="3539" w:hanging="173"/>
        <w:spacing w:after="0" w:line="237" w:lineRule="auto"/>
        <w:tabs>
          <w:tab w:leader="none" w:pos="3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our common stock of rights, options or warrants entitling them to subscribe for or purchase our common stock at less than the then Current Market Price of the common stock (determined as provided in the Indenture) as of the record date for shareholders entitled to receive those rights, options or warrants,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subdivisions, combinations and reclassifications of our common stock,</w:t>
      </w:r>
    </w:p>
    <w:p>
      <w:pPr>
        <w:spacing w:after="0" w:line="175" w:lineRule="exact"/>
        <w:rPr>
          <w:sz w:val="20"/>
          <w:szCs w:val="20"/>
          <w:color w:val="auto"/>
        </w:rPr>
      </w:pPr>
    </w:p>
    <w:p>
      <w:pPr>
        <w:ind w:left="340" w:right="3439" w:hanging="173"/>
        <w:spacing w:after="0" w:line="238"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to all holders of our common stock of evidences of indebtedness of Analog, shares of capital stock, cash or assets (including securities, but excluding those dividends, rights, options, warrants and distributions referred to above, dividends and distributions paid exclusively in cash and distributions upon mergers or consolidations),</w:t>
      </w:r>
    </w:p>
    <w:p>
      <w:pPr>
        <w:spacing w:after="0" w:line="176" w:lineRule="exact"/>
        <w:rPr>
          <w:sz w:val="20"/>
          <w:szCs w:val="20"/>
          <w:color w:val="auto"/>
        </w:rPr>
      </w:pPr>
    </w:p>
    <w:p>
      <w:pPr>
        <w:ind w:left="340" w:right="3439" w:hanging="173"/>
        <w:spacing w:after="0" w:line="237" w:lineRule="auto"/>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consisting exclusively of cash (excluding any cash portion of distributions referred to in the immediately preceding clause, or cash distributed upon a merger or consolidation 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5" w:name="page16"/>
    <w:bookmarkEnd w:id="15"/>
    <w:p>
      <w:pPr>
        <w:ind w:left="260" w:right="3439"/>
        <w:spacing w:after="0" w:line="257" w:lineRule="auto"/>
        <w:rPr>
          <w:sz w:val="20"/>
          <w:szCs w:val="20"/>
          <w:color w:val="auto"/>
        </w:rPr>
      </w:pPr>
      <w:r>
        <w:rPr>
          <w:rFonts w:ascii="Courier New" w:cs="Courier New" w:eastAsia="Courier New" w:hAnsi="Courier New"/>
          <w:sz w:val="14"/>
          <w:szCs w:val="14"/>
          <w:color w:val="auto"/>
        </w:rPr>
        <w:t>discussed below) to all holders of our common stock in an aggregate amount that, combined together with (1) other all-cash distributions made within the preceding 365-day period in respect of which no adjustment has been made and (2) any cash and the fair market value of other consideration payable in connection with any tender offer by us or any of our subsidiaries for our common stock concluded within the preceding 365-day period in respect of which no adjustment has been made, exceeds 12.5% of our market capitalization (being the product of the Current Market Price per share of the common stock on the record date for the distribution and the number of shares of common stock then outstanding), and</w:t>
      </w:r>
    </w:p>
    <w:p>
      <w:pPr>
        <w:spacing w:after="0" w:line="166" w:lineRule="exact"/>
        <w:rPr>
          <w:sz w:val="20"/>
          <w:szCs w:val="20"/>
          <w:color w:val="auto"/>
        </w:rPr>
      </w:pPr>
    </w:p>
    <w:p>
      <w:pPr>
        <w:ind w:left="340" w:right="3439" w:hanging="173"/>
        <w:spacing w:after="0" w:line="257" w:lineRule="auto"/>
        <w:tabs>
          <w:tab w:leader="none" w:pos="3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successful completion of a tender offer made by us or any of our subsidiaries for our common stock which involves an aggregate consideration that, together with any cash and other consideration payable in a tender offer by us or any of our subsidiaries for our common stock expiring within the 365-day period preceding the expiration of the tender offer in respect of which no adjustment has been made, exceeds 15% of our market capitalization on the expiration of the tender offer.</w:t>
      </w:r>
    </w:p>
    <w:p>
      <w:pPr>
        <w:spacing w:after="0" w:line="167" w:lineRule="exact"/>
        <w:rPr>
          <w:sz w:val="20"/>
          <w:szCs w:val="20"/>
          <w:color w:val="auto"/>
        </w:rPr>
      </w:pPr>
    </w:p>
    <w:p>
      <w:pPr>
        <w:ind w:right="3359" w:firstLine="264"/>
        <w:spacing w:after="0" w:line="257" w:lineRule="auto"/>
        <w:rPr>
          <w:sz w:val="20"/>
          <w:szCs w:val="20"/>
          <w:color w:val="auto"/>
        </w:rPr>
      </w:pPr>
      <w:r>
        <w:rPr>
          <w:rFonts w:ascii="Courier New" w:cs="Courier New" w:eastAsia="Courier New" w:hAnsi="Courier New"/>
          <w:sz w:val="14"/>
          <w:szCs w:val="14"/>
          <w:color w:val="auto"/>
        </w:rPr>
        <w:t>We reserve the right to effect increases in the conversion rate in addition to those required by the foregoing provisions as we consider to be advisable in order that any event treated for United States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adjustments.</w:t>
      </w:r>
    </w:p>
    <w:p>
      <w:pPr>
        <w:spacing w:after="0" w:line="167"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In case of any consolidation or merger of Analog with or into another entity or any merger of another entity into Analog (other than a merger which does not result in any reclassification, conversion, exchange or cancellation of our common stock), or in case of any sale or transfer of all or substantially all of our assets, each note then outstanding will become convertible only into the kind and amount of securities, cash and other property receivable upon the consolidation, merger, sale or transfer by a holder of the number of shares of common stock into which the notes were convertible immediately prior to the consolidation or merger or sale or transfer.</w:t>
      </w:r>
    </w:p>
    <w:p>
      <w:pPr>
        <w:spacing w:after="0" w:line="180"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We may increase the conversion rate for any period of at least 20 days, upon at least 15 days' notice, if our Board of Directors determines that the increase would be in our best interest. The Board of Directors' determination in this regard will be conclusive. We will give holders of notes at least 15 days' notice of such an increase in the conversion rate. Any increase, however, will not be taken into account for purposes of determining whether the closing price of our common stock exceeds the conversion price by 105% in connection with an event which otherwise would be a Change in Control as defined below.</w:t>
      </w:r>
    </w:p>
    <w:p>
      <w:pPr>
        <w:spacing w:after="0" w:line="179" w:lineRule="exact"/>
        <w:rPr>
          <w:sz w:val="20"/>
          <w:szCs w:val="20"/>
          <w:color w:val="auto"/>
        </w:rPr>
      </w:pPr>
    </w:p>
    <w:p>
      <w:pPr>
        <w:ind w:right="3359" w:firstLine="264"/>
        <w:spacing w:after="0" w:line="257" w:lineRule="auto"/>
        <w:rPr>
          <w:sz w:val="20"/>
          <w:szCs w:val="20"/>
          <w:color w:val="auto"/>
        </w:rPr>
      </w:pPr>
      <w:r>
        <w:rPr>
          <w:rFonts w:ascii="Courier New" w:cs="Courier New" w:eastAsia="Courier New" w:hAnsi="Courier New"/>
          <w:sz w:val="14"/>
          <w:szCs w:val="14"/>
          <w:color w:val="auto"/>
        </w:rPr>
        <w:t>We may also increase the conversion rate for the remaining term of the notes or any shorter period in order to avoid or diminish any income tax to any holders of shares of common stock resulting from any dividend or distribution of stock or issuance of rights or warrants to purchase or subscribe for stock or from any event treated as such for income tax purposes. If at any time we make a distribution of property to our stockholders that would be taxable to stockholders as a dividend for United States federal income tax purposes, such as distributions of evidences of indebtedness or assets of Analog, but generally not stock dividends on common stock or rights to subscribe for common stock, and, pursuant to the adjustment provisions of the Indenture, the number of shares into which notes are convertible is increased, that increase may be deemed for United States federal income tax purposes to be the payment of a taxable dividend to holders of notes. See "Material United States Federal Income Tax Consequences--U.S. 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The notes are subordinated and, as a result, the payment of the principal, any premium and interest (including Liquidated Damages) on the notes, including amounts payable on any redemption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16" w:name="page17"/>
    <w:bookmarkEnd w:id="16"/>
    <w:p>
      <w:pPr>
        <w:ind w:right="3359"/>
        <w:spacing w:after="0" w:line="238" w:lineRule="auto"/>
        <w:rPr>
          <w:sz w:val="20"/>
          <w:szCs w:val="20"/>
          <w:color w:val="auto"/>
        </w:rPr>
      </w:pPr>
      <w:r>
        <w:rPr>
          <w:rFonts w:ascii="Courier New" w:cs="Courier New" w:eastAsia="Courier New" w:hAnsi="Courier New"/>
          <w:sz w:val="15"/>
          <w:szCs w:val="15"/>
          <w:color w:val="auto"/>
        </w:rPr>
        <w:t>or repurchase, will be subordinated to the prior payment in full, in cash or other payment satisfactory to holders of Senior Debt, of all of our Senior Debt. The notes are also effectively subordinated to any debt or other liabilities of our subsidiaries. On July 29, 2000 we had approximately $5 million outstanding Senior Debt and the aggregate amount of liabilities of our subsidiaries was approximately $385 million, excluding intercompany liabilities.</w:t>
      </w:r>
    </w:p>
    <w:p>
      <w:pPr>
        <w:spacing w:after="0" w:line="177"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"Senior Debt" is defined in the Indenture to mean: the principal of (and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the following, whether absolute or contingent, secured or unsecured, due or to become due, outstanding on the date of the Indenture or thereafter created, incurred or assumed:</w:t>
      </w:r>
    </w:p>
    <w:p>
      <w:pPr>
        <w:spacing w:after="0" w:line="178" w:lineRule="exact"/>
        <w:rPr>
          <w:sz w:val="20"/>
          <w:szCs w:val="20"/>
          <w:color w:val="auto"/>
        </w:rPr>
      </w:pPr>
    </w:p>
    <w:p>
      <w:pPr>
        <w:ind w:left="340" w:right="3799" w:hanging="173"/>
        <w:spacing w:after="0" w:line="235"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indebtedness evidenced by a credit or loan agreement, note, bond, debenture or other written obligation,</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all of our obligations for money borrowed,</w:t>
      </w:r>
    </w:p>
    <w:p>
      <w:pPr>
        <w:spacing w:after="0" w:line="175" w:lineRule="exact"/>
        <w:rPr>
          <w:sz w:val="20"/>
          <w:szCs w:val="20"/>
          <w:color w:val="auto"/>
        </w:rPr>
      </w:pPr>
    </w:p>
    <w:p>
      <w:pPr>
        <w:ind w:left="340" w:right="3439" w:hanging="173"/>
        <w:spacing w:after="0" w:line="237"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evidenced by a note or similar instrument given in connection with the acquisition of any businesses, properties or assets of any kind,</w:t>
      </w:r>
    </w:p>
    <w:p>
      <w:pPr>
        <w:spacing w:after="0" w:line="175" w:lineRule="exact"/>
        <w:rPr>
          <w:sz w:val="20"/>
          <w:szCs w:val="20"/>
          <w:color w:val="auto"/>
        </w:rPr>
      </w:pPr>
    </w:p>
    <w:p>
      <w:pPr>
        <w:ind w:left="340" w:right="3539" w:hanging="173"/>
        <w:spacing w:after="0" w:line="237" w:lineRule="auto"/>
        <w:tabs>
          <w:tab w:leader="none" w:pos="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obligations (1) as lessee under leases required to be capitalized on the balance sheet of the lessee under generally accepted accounting principles or (2) as lessee under other leases for facilities, capital equipment or related assets, whether or not capitalized, entered into or leased for financing purposes,</w:t>
      </w:r>
    </w:p>
    <w:p>
      <w:pPr>
        <w:spacing w:after="0" w:line="178" w:lineRule="exact"/>
        <w:rPr>
          <w:sz w:val="20"/>
          <w:szCs w:val="20"/>
          <w:color w:val="auto"/>
        </w:rPr>
      </w:pPr>
    </w:p>
    <w:p>
      <w:pPr>
        <w:ind w:left="340" w:right="3879" w:hanging="173"/>
        <w:spacing w:after="0" w:line="237" w:lineRule="auto"/>
        <w:tabs>
          <w:tab w:leader="none" w:pos="3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under interest rate and currency swaps, caps, floors, collars, hedge agreements, forward contracts or similar agreements or arrangements,</w:t>
      </w:r>
    </w:p>
    <w:p>
      <w:pPr>
        <w:spacing w:after="0" w:line="175" w:lineRule="exact"/>
        <w:rPr>
          <w:sz w:val="20"/>
          <w:szCs w:val="20"/>
          <w:color w:val="auto"/>
        </w:rPr>
      </w:pPr>
    </w:p>
    <w:p>
      <w:pPr>
        <w:ind w:left="340" w:right="3619" w:hanging="173"/>
        <w:spacing w:after="0" w:line="237" w:lineRule="auto"/>
        <w:tabs>
          <w:tab w:leader="none" w:pos="3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with respect to letters of credit, bankers' acceptances and similar facilities (including reimbursement obligations with respect to the foregoing),</w:t>
      </w:r>
    </w:p>
    <w:p>
      <w:pPr>
        <w:spacing w:after="0" w:line="175" w:lineRule="exact"/>
        <w:rPr>
          <w:sz w:val="20"/>
          <w:szCs w:val="20"/>
          <w:color w:val="auto"/>
        </w:rPr>
      </w:pPr>
    </w:p>
    <w:p>
      <w:pPr>
        <w:ind w:left="340" w:right="3439" w:hanging="173"/>
        <w:spacing w:after="0" w:line="237"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issued or assumed as the deferred purchase price of property or services (but excluding trade accounts payable and accrued liabilities arising in the ordinary course of business),</w:t>
      </w:r>
    </w:p>
    <w:p>
      <w:pPr>
        <w:spacing w:after="0" w:line="175" w:lineRule="exact"/>
        <w:rPr>
          <w:sz w:val="20"/>
          <w:szCs w:val="20"/>
          <w:color w:val="auto"/>
        </w:rPr>
      </w:pPr>
    </w:p>
    <w:p>
      <w:pPr>
        <w:ind w:left="340" w:right="3619" w:hanging="173"/>
        <w:spacing w:after="0" w:line="238" w:lineRule="auto"/>
        <w:tabs>
          <w:tab w:leader="none" w:pos="3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the above clauses of another person and all dividends of another person, the payment of which, in either case, we have assumed or guaranteed, or for which we are responsible or liable, directly or indirectly, jointly or severally, as obligor, guarantor or otherwise, or which are secured by a lien on our property, and</w:t>
      </w:r>
    </w:p>
    <w:p>
      <w:pPr>
        <w:spacing w:after="0" w:line="176" w:lineRule="exact"/>
        <w:rPr>
          <w:sz w:val="20"/>
          <w:szCs w:val="20"/>
          <w:color w:val="auto"/>
        </w:rPr>
      </w:pPr>
    </w:p>
    <w:p>
      <w:pPr>
        <w:ind w:left="340" w:right="3539" w:hanging="173"/>
        <w:spacing w:after="0" w:line="237" w:lineRule="auto"/>
        <w:tabs>
          <w:tab w:leader="none" w:pos="3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renewals, extensions, modifications, replacements, restatements and refundings of, or any indebtedness or obligation issued in exchange for, any indebtedness or obligation described in the above clauses of this definition.</w:t>
      </w:r>
    </w:p>
    <w:p>
      <w:pPr>
        <w:spacing w:after="0" w:line="176"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Senior Debt will not include the notes or any other indebtedness or obligation if its terms or the terms of the instrument under which or pursuant to which it is issued expressly provide that it is not superior in right of payment to the notes.</w:t>
      </w:r>
    </w:p>
    <w:p>
      <w:pPr>
        <w:spacing w:after="0" w:line="176" w:lineRule="exact"/>
        <w:rPr>
          <w:sz w:val="20"/>
          <w:szCs w:val="20"/>
          <w:color w:val="auto"/>
        </w:rPr>
      </w:pPr>
    </w:p>
    <w:p>
      <w:pPr>
        <w:ind w:right="3619" w:firstLine="264"/>
        <w:spacing w:after="0" w:line="237" w:lineRule="auto"/>
        <w:rPr>
          <w:sz w:val="20"/>
          <w:szCs w:val="20"/>
          <w:color w:val="auto"/>
        </w:rPr>
      </w:pPr>
      <w:r>
        <w:rPr>
          <w:rFonts w:ascii="Courier New" w:cs="Courier New" w:eastAsia="Courier New" w:hAnsi="Courier New"/>
          <w:sz w:val="15"/>
          <w:szCs w:val="15"/>
          <w:color w:val="auto"/>
        </w:rPr>
        <w:t>We may not make any payment on account of principal, premium or interest (including Liquidated Damages, if any) on the notes, or redemption or repurchase of the notes, if either of the following occurs:</w:t>
      </w:r>
    </w:p>
    <w:p>
      <w:pPr>
        <w:spacing w:after="0" w:line="175" w:lineRule="exact"/>
        <w:rPr>
          <w:sz w:val="20"/>
          <w:szCs w:val="20"/>
          <w:color w:val="auto"/>
        </w:rPr>
      </w:pPr>
    </w:p>
    <w:p>
      <w:pPr>
        <w:ind w:left="340" w:right="3439" w:hanging="173"/>
        <w:spacing w:after="0" w:line="237" w:lineRule="auto"/>
        <w:tabs>
          <w:tab w:leader="none" w:pos="3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default on our obligations to pay principal, premium, interest or other amounts on our Senior Debt, including a default under any redemption or repurchase obligation, and the default continues beyond any grace period that we may have to make those payments; 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7" w:name="page18"/>
    <w:bookmarkEnd w:id="17"/>
    <w:p>
      <w:pPr>
        <w:ind w:left="340" w:right="3439" w:hanging="173"/>
        <w:spacing w:after="0" w:line="238" w:lineRule="auto"/>
        <w:tabs>
          <w:tab w:leader="none" w:pos="3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default occurs and is continuing on any Designated Senior Debt (as described below) and (1) the default permits the holders of the Designated Senior Debt to accelerate its maturity and (2) the Trustee has received a notice, which is referred to as a Payment Blockage Notice, of the default from Analog, the holder of the debt or any other person permitted to give this notice under the Indenture.</w:t>
      </w:r>
    </w:p>
    <w:p>
      <w:pPr>
        <w:spacing w:after="0" w:line="176"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If payments on the notes have been blocked by a payment default on Senior Debt, payments on the notes may resume when the payment default has been cured or waived or ceases to exist. If payments on the notes have been blocked by a nonpayment default, payments on the notes may resume on the earlier of (1) the date the nonpayment default is cured or waived or ceases to exist or (2) 179 days after the Payment Blockage Notice is received.</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No nonpayment default that existed on the day a Payment Blockage Notice was delivered to the Trustee can be used as the basis for any subsequent Payment Blockage Notice. In addition, once a holder of Designated Senior Debt has blocked payment on the notes by giving a Payment Blockage Notice, no new period of payment blockage can be commenced pursuant to a subsequent Payment Blockage Notice until both of the following are satisfied:</w:t>
      </w:r>
    </w:p>
    <w:p>
      <w:pPr>
        <w:spacing w:after="0" w:line="176" w:lineRule="exact"/>
        <w:rPr>
          <w:sz w:val="20"/>
          <w:szCs w:val="20"/>
          <w:color w:val="auto"/>
        </w:rPr>
      </w:pPr>
    </w:p>
    <w:p>
      <w:pPr>
        <w:ind w:left="340" w:right="3699" w:hanging="173"/>
        <w:spacing w:after="0" w:line="235" w:lineRule="auto"/>
        <w:tabs>
          <w:tab w:leader="none" w:pos="3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365 days have elapsed since the effectiveness of the immediately prior Payment Blockage Notice; and</w:t>
      </w:r>
    </w:p>
    <w:p>
      <w:pPr>
        <w:spacing w:after="0" w:line="176" w:lineRule="exact"/>
        <w:rPr>
          <w:sz w:val="20"/>
          <w:szCs w:val="20"/>
          <w:color w:val="auto"/>
        </w:rPr>
      </w:pPr>
    </w:p>
    <w:p>
      <w:pPr>
        <w:ind w:left="340" w:right="3619" w:hanging="173"/>
        <w:spacing w:after="0" w:line="265" w:lineRule="auto"/>
        <w:tabs>
          <w:tab w:leader="none" w:pos="3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scheduled payments of principal, any premium and interest with respect to the notes that have come due have been paid in full in cash.</w:t>
      </w:r>
    </w:p>
    <w:p>
      <w:pPr>
        <w:spacing w:after="0" w:line="158"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"Designated Senior Debt" means our obligations under any particular Senior Debt in which the instrument creating or evidencing the same or the assumption or guarantee thereof (or related agreements or documents to which we are a party), whether or not executed contemporaneously with the incurrence of that Senior Debt, expressly provides that the indebtedness shall be "Designated Senior Debt" for purposes of the Indenture. The instrument, agreement or other document evidencing any Designated Senior Debt may place limitations and conditions on the right of that Senior Debt to exercise the rights of Designated Senior Debt.</w:t>
      </w:r>
    </w:p>
    <w:p>
      <w:pPr>
        <w:spacing w:after="0" w:line="179"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In addition, upon any acceleration of the principal due on the notes as a result of an Event of Default or upon any payment or distribution of our assets to creditors upon any dissolution, winding up, liquidation or reorganization, whether voluntary or involuntary, marshaling of assets, assignment for the benefit of creditors, or in bankruptcy, insolvency, receivership or other similar proceedings, all principal, premium, if any, interest and other amounts due on all Senior Debt must be paid in full before a holder of notes is entitled to receive any payment. By reason of this subordination, in the event of insolvency, our creditors who are holders of Senior Debt are likely to recover more, ratably, than a holder of notes is, and a holder of notes will likely experience a reduction or elimination of payments on the notes.</w:t>
      </w:r>
    </w:p>
    <w:p>
      <w:pPr>
        <w:spacing w:after="0" w:line="16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 addition, the notes are "structurally subordinated" to all indebtedness and other liabilities, including trade payables and lease obligations, of our subsidiaries. This occurs because any right of Analog to receive any assets of any of our subsidiaries upon the subsidiary's liquidation or reorganization, and the right of the holders of the notes to participate in those assets, will be effectively subordinated to the claims of that subsidiary's creditors, including trade creditors, except to the extent that Analog itself is recognized as a creditor of that subsidiary, in which case the claims of Analog would still be subordinate to any security interest in the assets of the subsidiary and any indebtedness of the subsidiary senior to that held by Analog.</w:t>
      </w:r>
    </w:p>
    <w:p>
      <w:pPr>
        <w:spacing w:after="0" w:line="181" w:lineRule="exact"/>
        <w:rPr>
          <w:sz w:val="20"/>
          <w:szCs w:val="20"/>
          <w:color w:val="auto"/>
        </w:rPr>
      </w:pPr>
    </w:p>
    <w:p>
      <w:pPr>
        <w:ind w:right="3259" w:firstLine="264"/>
        <w:spacing w:after="0" w:line="235" w:lineRule="auto"/>
        <w:rPr>
          <w:sz w:val="20"/>
          <w:szCs w:val="20"/>
          <w:color w:val="auto"/>
        </w:rPr>
      </w:pPr>
      <w:r>
        <w:rPr>
          <w:rFonts w:ascii="Courier New" w:cs="Courier New" w:eastAsia="Courier New" w:hAnsi="Courier New"/>
          <w:sz w:val="15"/>
          <w:szCs w:val="15"/>
          <w:color w:val="auto"/>
        </w:rPr>
        <w:t>The Indenture does not limit our ability to incur Senior Debt or our ability or the ability of our subsidiaries to incur any other indebtedness.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8" w:name="page19"/>
    <w:bookmarkEnd w:id="18"/>
    <w:p>
      <w:pPr>
        <w:ind w:left="10"/>
        <w:spacing w:after="0"/>
        <w:rPr>
          <w:sz w:val="20"/>
          <w:szCs w:val="20"/>
          <w:color w:val="auto"/>
        </w:rPr>
      </w:pPr>
      <w:r>
        <w:rPr>
          <w:rFonts w:ascii="Courier New" w:cs="Courier New" w:eastAsia="Courier New" w:hAnsi="Courier New"/>
          <w:sz w:val="15"/>
          <w:szCs w:val="15"/>
          <w:color w:val="auto"/>
        </w:rPr>
        <w:t>Optional Redemption by Analog</w:t>
      </w:r>
    </w:p>
    <w:p>
      <w:pPr>
        <w:spacing w:after="0" w:line="175" w:lineRule="exact"/>
        <w:rPr>
          <w:sz w:val="20"/>
          <w:szCs w:val="20"/>
          <w:color w:val="auto"/>
        </w:rPr>
      </w:pPr>
    </w:p>
    <w:p>
      <w:pPr>
        <w:ind w:left="10" w:right="3259" w:firstLine="264"/>
        <w:spacing w:after="0" w:line="260" w:lineRule="auto"/>
        <w:rPr>
          <w:sz w:val="20"/>
          <w:szCs w:val="20"/>
          <w:color w:val="auto"/>
        </w:rPr>
      </w:pPr>
      <w:r>
        <w:rPr>
          <w:rFonts w:ascii="Courier New" w:cs="Courier New" w:eastAsia="Courier New" w:hAnsi="Courier New"/>
          <w:sz w:val="14"/>
          <w:szCs w:val="14"/>
          <w:color w:val="auto"/>
        </w:rPr>
        <w:t>On or after October 1, 2003 we may redeem the notes, in whole or in part, at the prices set forth below. If we elect to redeem all or part of the notes, we will give at least 30 but no more than 60 days notice to the holders of notes.</w:t>
      </w:r>
    </w:p>
    <w:p>
      <w:pPr>
        <w:spacing w:after="0" w:line="163" w:lineRule="exact"/>
        <w:rPr>
          <w:sz w:val="20"/>
          <w:szCs w:val="20"/>
          <w:color w:val="auto"/>
        </w:rPr>
      </w:pPr>
    </w:p>
    <w:p>
      <w:pPr>
        <w:ind w:left="10" w:right="3259" w:firstLine="264"/>
        <w:spacing w:after="0" w:line="265" w:lineRule="auto"/>
        <w:rPr>
          <w:sz w:val="20"/>
          <w:szCs w:val="20"/>
          <w:color w:val="auto"/>
        </w:rPr>
      </w:pPr>
      <w:r>
        <w:rPr>
          <w:rFonts w:ascii="Courier New" w:cs="Courier New" w:eastAsia="Courier New" w:hAnsi="Courier New"/>
          <w:sz w:val="14"/>
          <w:szCs w:val="14"/>
          <w:color w:val="auto"/>
        </w:rPr>
        <w:t>The redemption price, expressed as a percentage of principal amount, is as follows for the 12-month periods beginning on October 1 of the following years:</w:t>
      </w:r>
    </w:p>
    <w:p>
      <w:pPr>
        <w:spacing w:after="0" w:line="200" w:lineRule="exact"/>
        <w:rPr>
          <w:sz w:val="20"/>
          <w:szCs w:val="20"/>
          <w:color w:val="auto"/>
        </w:rPr>
      </w:pPr>
    </w:p>
    <w:p>
      <w:pPr>
        <w:spacing w:after="0" w:line="292"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Redemption</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w w:val="98"/>
              </w:rPr>
              <w:t>2003..............................................................</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8"/>
              </w:rPr>
              <w:t>101.90%</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w w:val="98"/>
              </w:rPr>
              <w:t>2004..............................................................</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8"/>
              </w:rPr>
              <w:t>100.95%</w:t>
            </w:r>
          </w:p>
        </w:tc>
      </w:tr>
    </w:tbl>
    <w:p>
      <w:pPr>
        <w:spacing w:after="0" w:line="344"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and thereafter is equal to 100% of the principal amount, in each case together with accrued interest to the date of redemption.</w:t>
      </w:r>
    </w:p>
    <w:p>
      <w:pPr>
        <w:spacing w:after="0" w:line="176" w:lineRule="exact"/>
        <w:rPr>
          <w:sz w:val="20"/>
          <w:szCs w:val="20"/>
          <w:color w:val="auto"/>
        </w:rPr>
      </w:pPr>
    </w:p>
    <w:p>
      <w:pPr>
        <w:ind w:left="10" w:right="3539" w:firstLine="264"/>
        <w:spacing w:after="0" w:line="235" w:lineRule="auto"/>
        <w:rPr>
          <w:sz w:val="20"/>
          <w:szCs w:val="20"/>
          <w:color w:val="auto"/>
        </w:rPr>
      </w:pPr>
      <w:r>
        <w:rPr>
          <w:rFonts w:ascii="Courier New" w:cs="Courier New" w:eastAsia="Courier New" w:hAnsi="Courier New"/>
          <w:sz w:val="15"/>
          <w:szCs w:val="15"/>
          <w:color w:val="auto"/>
        </w:rPr>
        <w:t>No sinking fund is provided for the notes, which means that the Indenture does not require us to redeem or retire the notes periodically.</w:t>
      </w:r>
    </w:p>
    <w:p>
      <w:pPr>
        <w:spacing w:after="0" w:line="176" w:lineRule="exact"/>
        <w:rPr>
          <w:sz w:val="20"/>
          <w:szCs w:val="20"/>
          <w:color w:val="auto"/>
        </w:rPr>
      </w:pPr>
    </w:p>
    <w:p>
      <w:pPr>
        <w:ind w:left="10" w:right="3259" w:firstLine="264"/>
        <w:spacing w:after="0" w:line="238" w:lineRule="auto"/>
        <w:rPr>
          <w:sz w:val="20"/>
          <w:szCs w:val="20"/>
          <w:color w:val="auto"/>
        </w:rPr>
      </w:pPr>
      <w:r>
        <w:rPr>
          <w:rFonts w:ascii="Courier New" w:cs="Courier New" w:eastAsia="Courier New" w:hAnsi="Courier New"/>
          <w:sz w:val="15"/>
          <w:szCs w:val="15"/>
          <w:color w:val="auto"/>
        </w:rPr>
        <w:t>We may, to the extent permitted by applicable law, at any time purchase notes in the open market, by tender at any price or by private agreement. Any note that we purchase may, to the extent permitted by applicable law and subject to restrictions contained in the purchase agreement with the initial purchasers, be re-issued or resold or may, at our option, be surrendered to the Trustee for cancellation. Any notes surrendered for cancellation may not be re-issued or resold and will be canceled promptly.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Payment and Conversion</w:t>
      </w:r>
    </w:p>
    <w:p>
      <w:pPr>
        <w:spacing w:after="0" w:line="175" w:lineRule="exact"/>
        <w:rPr>
          <w:sz w:val="20"/>
          <w:szCs w:val="20"/>
          <w:color w:val="auto"/>
        </w:rPr>
      </w:pPr>
    </w:p>
    <w:p>
      <w:pPr>
        <w:ind w:left="10" w:right="3259" w:firstLine="264"/>
        <w:spacing w:after="0" w:line="238" w:lineRule="auto"/>
        <w:rPr>
          <w:sz w:val="20"/>
          <w:szCs w:val="20"/>
          <w:color w:val="auto"/>
        </w:rPr>
      </w:pPr>
      <w:r>
        <w:rPr>
          <w:rFonts w:ascii="Courier New" w:cs="Courier New" w:eastAsia="Courier New" w:hAnsi="Courier New"/>
          <w:sz w:val="15"/>
          <w:szCs w:val="15"/>
          <w:color w:val="auto"/>
        </w:rPr>
        <w:t>We will make all payments of principal and interest on registered notes by U.S. dollar check drawn on an account maintained at a bank in The City of New York. If a holder of notes holds registered notes with a face value greater than $2,000,000, at the request of the holder we will make payments of principal or interest to the holder by wire transfer to an account maintained by the holder at a bank in The City of New York. Payment of any interest on the notes will be made to the person in whose name the note, or any predecessor note, is registered at the close of business on the March 15 or the September 15 (whether or not a business day) immediately preceding the relevant Interest Payment Date, referred to as a Regular Record Date. If a holder of notes holds registered notes with a face value in excess of $2,000,000 and the holder would like to receive payments by wire transfer, the holder will be required to provide the Trustee with wire transfer instructions at least 15 days prior to the relevant payment date.</w:t>
      </w:r>
    </w:p>
    <w:p>
      <w:pPr>
        <w:spacing w:after="0" w:line="184" w:lineRule="exact"/>
        <w:rPr>
          <w:sz w:val="20"/>
          <w:szCs w:val="20"/>
          <w:color w:val="auto"/>
        </w:rPr>
      </w:pPr>
    </w:p>
    <w:p>
      <w:pPr>
        <w:ind w:left="10" w:right="3259" w:firstLine="264"/>
        <w:spacing w:after="0" w:line="256" w:lineRule="auto"/>
        <w:rPr>
          <w:sz w:val="20"/>
          <w:szCs w:val="20"/>
          <w:color w:val="auto"/>
        </w:rPr>
      </w:pPr>
      <w:r>
        <w:rPr>
          <w:rFonts w:ascii="Courier New" w:cs="Courier New" w:eastAsia="Courier New" w:hAnsi="Courier New"/>
          <w:sz w:val="14"/>
          <w:szCs w:val="14"/>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 (1) 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4" w:lineRule="exact"/>
        <w:rPr>
          <w:sz w:val="20"/>
          <w:szCs w:val="20"/>
          <w:color w:val="auto"/>
        </w:rPr>
      </w:pPr>
    </w:p>
    <w:p>
      <w:pPr>
        <w:ind w:left="10" w:right="3259" w:hanging="10"/>
        <w:spacing w:after="0" w:line="235" w:lineRule="auto"/>
        <w:tabs>
          <w:tab w:leader="none" w:pos="3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relating to the actions and practices of DTC or any of its participants or indirect participants.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22" w:right="1440" w:bottom="1440" w:gutter="0" w:footer="0" w:header="0"/>
        </w:sectPr>
      </w:pPr>
    </w:p>
    <w:bookmarkStart w:id="19" w:name="page20"/>
    <w:bookmarkEnd w:id="19"/>
    <w:p>
      <w:pPr>
        <w:ind w:right="3259" w:firstLine="264"/>
        <w:spacing w:after="0" w:line="237" w:lineRule="auto"/>
        <w:rPr>
          <w:sz w:val="20"/>
          <w:szCs w:val="20"/>
          <w:color w:val="auto"/>
        </w:rPr>
      </w:pPr>
      <w:r>
        <w:rPr>
          <w:rFonts w:ascii="Courier New" w:cs="Courier New" w:eastAsia="Courier New" w:hAnsi="Courier New"/>
          <w:sz w:val="15"/>
          <w:szCs w:val="15"/>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178"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Notes may be surrendered for conversion at the Corporate Trust Office of the Trustee in the Borough of Manhattan, The City of New York. Notes surrendered for conversion must be accompanied by appropriate notices and any payments in respect of interest or taxes, as applicable, as described above under "-- Conversion Rights".</w:t>
      </w:r>
    </w:p>
    <w:p>
      <w:pPr>
        <w:spacing w:after="0" w:line="178"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The City of New York for surrender of notes for conversion. Notice of any termination or appointment and of any change in the office through which any paying agent or conversion agent will act will be given in accordance with "--Notices" below.</w:t>
      </w:r>
    </w:p>
    <w:p>
      <w:pPr>
        <w:spacing w:after="0" w:line="181"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a holder of notes will then look only to us for payment.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Option of Holders Upon a Change in Control</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If a Change in Control as defined below occurs, a holder of notes will have the right, at its option, to require us to repurchase all of its notes not previously called for redemption, or any portion of the principal amount thereof, that is equal to $1,000 or an integral multiple of $1,000. The price we are required to pay is 100% of the principal amount of the notes to be repurchased, together with interest accrued to, but excluding, the repurchase date.</w:t>
      </w:r>
    </w:p>
    <w:p>
      <w:pPr>
        <w:spacing w:after="0" w:line="177"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At our option, instead of paying the repurchase price in cash, we may pay the repurchase price in our common stock valued at 95% of the average of the closing prices of our common stock for the five trading days immediately preceding and including the fifth trading day prior to the repurchase date. We may only pay the repurchase price in our common stock if we satisfy conditions provided in the Indenture.</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Within 30 days after the occurrence of a Change in Control, we are obligated to give to the holders of notes notice of the Change in Control and of the repurchase right arising as a result of the Change in Control. We must also deliver a copy of this notice to the Trustee. To exercise the repurchase right, a holder of notes must deliver on or before the 30th day after the date of our notice irrevocable written notice to the Trustee of the holder's exercise of its repurchase right, together with the notes with respect to which the right is being exercised. We are required to repurchase the notes on the date that is 45 days after the date of our notice.</w:t>
      </w:r>
    </w:p>
    <w:p>
      <w:pPr>
        <w:spacing w:after="0" w:line="179" w:lineRule="exact"/>
        <w:rPr>
          <w:sz w:val="20"/>
          <w:szCs w:val="20"/>
          <w:color w:val="auto"/>
        </w:rPr>
      </w:pPr>
    </w:p>
    <w:p>
      <w:pPr>
        <w:ind w:right="3539" w:firstLine="264"/>
        <w:spacing w:after="0" w:line="235" w:lineRule="auto"/>
        <w:rPr>
          <w:sz w:val="20"/>
          <w:szCs w:val="20"/>
          <w:color w:val="auto"/>
        </w:rPr>
      </w:pPr>
      <w:r>
        <w:rPr>
          <w:rFonts w:ascii="Courier New" w:cs="Courier New" w:eastAsia="Courier New" w:hAnsi="Courier New"/>
          <w:sz w:val="15"/>
          <w:szCs w:val="15"/>
          <w:color w:val="auto"/>
        </w:rPr>
        <w:t>A Change in Control will be deemed to have occurred at the time after the notes are originally issued that any of the following occurs:</w:t>
      </w:r>
    </w:p>
    <w:p>
      <w:pPr>
        <w:spacing w:after="0" w:line="176" w:lineRule="exact"/>
        <w:rPr>
          <w:sz w:val="20"/>
          <w:szCs w:val="20"/>
          <w:color w:val="auto"/>
        </w:rPr>
      </w:pPr>
    </w:p>
    <w:p>
      <w:pPr>
        <w:ind w:left="160" w:right="3439" w:firstLine="271"/>
        <w:spacing w:after="0" w:line="237" w:lineRule="auto"/>
        <w:tabs>
          <w:tab w:leader="none" w:pos="77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any syndicate or group deemed to be a "person" under Section 13(d)(3) of the Exchange Act, acquires beneficial ownership, directly or indirectly, through a purchase, merger or other acquisition transaction or series of transactions, of shares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20" w:name="page21"/>
    <w:bookmarkEnd w:id="20"/>
    <w:p>
      <w:pPr>
        <w:ind w:left="170" w:right="3539"/>
        <w:spacing w:after="0" w:line="237" w:lineRule="auto"/>
        <w:rPr>
          <w:sz w:val="20"/>
          <w:szCs w:val="20"/>
          <w:color w:val="auto"/>
        </w:rPr>
      </w:pPr>
      <w:r>
        <w:rPr>
          <w:rFonts w:ascii="Courier New" w:cs="Courier New" w:eastAsia="Courier New" w:hAnsi="Courier New"/>
          <w:sz w:val="15"/>
          <w:szCs w:val="15"/>
          <w:color w:val="auto"/>
        </w:rPr>
        <w:t>of our capital stock entitling the person to exercise 50% or more of the total voting power of all shares of our capital stock that is entitled to vote generally in elections of directors, other than an acquisition by us, any of our subsidiaries or any of our employee benefit plans; or</w:t>
      </w:r>
    </w:p>
    <w:p>
      <w:pPr>
        <w:spacing w:after="0" w:line="176" w:lineRule="exact"/>
        <w:rPr>
          <w:sz w:val="20"/>
          <w:szCs w:val="20"/>
          <w:color w:val="auto"/>
        </w:rPr>
      </w:pPr>
    </w:p>
    <w:p>
      <w:pPr>
        <w:ind w:left="170" w:right="3439" w:firstLine="271"/>
        <w:spacing w:after="0" w:line="237" w:lineRule="auto"/>
        <w:tabs>
          <w:tab w:leader="none" w:pos="7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merge or consolidate with or into any other person, any merger of another person into us, or we convey, sell, transfer or lease all or substantially all of our assets to another person, other than any transaction:</w:t>
      </w:r>
    </w:p>
    <w:p>
      <w:pPr>
        <w:spacing w:after="0" w:line="176" w:lineRule="exact"/>
        <w:rPr>
          <w:sz w:val="20"/>
          <w:szCs w:val="20"/>
          <w:color w:val="auto"/>
        </w:rPr>
      </w:pPr>
    </w:p>
    <w:p>
      <w:pPr>
        <w:ind w:left="350" w:right="3799" w:hanging="173"/>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does not result in any reclassification, conversion, exchange or cancellation of outstanding shares of our capital stock, or</w:t>
      </w:r>
    </w:p>
    <w:p>
      <w:pPr>
        <w:spacing w:after="0" w:line="176" w:lineRule="exact"/>
        <w:rPr>
          <w:sz w:val="20"/>
          <w:szCs w:val="20"/>
          <w:color w:val="auto"/>
        </w:rPr>
      </w:pPr>
    </w:p>
    <w:p>
      <w:pPr>
        <w:ind w:left="350" w:right="3439" w:hanging="173"/>
        <w:spacing w:after="0" w:line="258" w:lineRule="auto"/>
        <w:tabs>
          <w:tab w:leader="none" w:pos="3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which the holders of our common stock immediately prior to the transaction have the entitlement to exercise, directly or indirectly, 50% or more of the total voting power of all shares of capital stock entitled to vote generally in the election of directors of the continuing or surviving corporation immediately after the transaction, or</w:t>
      </w:r>
    </w:p>
    <w:p>
      <w:pPr>
        <w:spacing w:after="0" w:line="165" w:lineRule="exact"/>
        <w:rPr>
          <w:sz w:val="20"/>
          <w:szCs w:val="20"/>
          <w:color w:val="auto"/>
        </w:rPr>
      </w:pPr>
    </w:p>
    <w:p>
      <w:pPr>
        <w:ind w:left="350" w:right="3539" w:hanging="173"/>
        <w:spacing w:after="0" w:line="237"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effected solely to change our jurisdiction of incorporation and results in a reclassification, conversion or exchange of outstanding shares of our common stock solely into shares of common stock of the surviving entity.</w:t>
      </w:r>
    </w:p>
    <w:p>
      <w:pPr>
        <w:spacing w:after="0" w:line="176"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However, a Change in Control will not be deemed to have occurred if either</w:t>
      </w:r>
    </w:p>
    <w:p>
      <w:pPr>
        <w:spacing w:after="0" w:line="11" w:lineRule="exact"/>
        <w:rPr>
          <w:sz w:val="20"/>
          <w:szCs w:val="20"/>
          <w:color w:val="auto"/>
        </w:rPr>
      </w:pPr>
    </w:p>
    <w:p>
      <w:pPr>
        <w:ind w:left="10" w:right="3359" w:hanging="10"/>
        <w:spacing w:after="0" w:line="238" w:lineRule="auto"/>
        <w:tabs>
          <w:tab w:leader="none" w:pos="36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Change in Control relating to a merger, consolidation or asset sale, equals or exceeds 105% of the conversion price of the notes in effect on each of those trading days or (B) all of the consideration (excluding cash payments for fractional shares and cash payments made pursuant to dissenters' appraisal rights) in a merger or consolidation otherwise constituting a Change in Control under clause (1) and/or clause (2) above consists of shares of common stock traded on a national securities exchange or quoted on the Nasdaq National Market (or will be so traded or quoted immediately following the merger or consolidation) and as a result of the merger or consolidation the notes become convertible into such common stock.</w:t>
      </w:r>
    </w:p>
    <w:p>
      <w:pPr>
        <w:spacing w:after="0" w:line="180"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For purposes of these provisions:</w:t>
      </w:r>
    </w:p>
    <w:p>
      <w:pPr>
        <w:spacing w:after="0" w:line="169" w:lineRule="exact"/>
        <w:rPr>
          <w:sz w:val="20"/>
          <w:szCs w:val="20"/>
          <w:color w:val="auto"/>
        </w:rPr>
      </w:pPr>
    </w:p>
    <w:p>
      <w:pPr>
        <w:ind w:left="450" w:hanging="273"/>
        <w:spacing w:after="0"/>
        <w:tabs>
          <w:tab w:leader="none" w:pos="4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is equal to $1,000 divided by the conversion rate;</w:t>
      </w:r>
    </w:p>
    <w:p>
      <w:pPr>
        <w:spacing w:after="0" w:line="175" w:lineRule="exact"/>
        <w:rPr>
          <w:sz w:val="20"/>
          <w:szCs w:val="20"/>
          <w:color w:val="auto"/>
        </w:rPr>
      </w:pPr>
    </w:p>
    <w:p>
      <w:pPr>
        <w:ind w:left="450" w:right="4319" w:hanging="273"/>
        <w:spacing w:after="0" w:line="235" w:lineRule="auto"/>
        <w:tabs>
          <w:tab w:leader="none" w:pos="4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 person is a "beneficial owner" will be determined in accordance with Rule 13d-3 under the Exchange Act; and</w:t>
      </w:r>
    </w:p>
    <w:p>
      <w:pPr>
        <w:spacing w:after="0" w:line="176" w:lineRule="exact"/>
        <w:rPr>
          <w:sz w:val="20"/>
          <w:szCs w:val="20"/>
          <w:color w:val="auto"/>
        </w:rPr>
      </w:pPr>
    </w:p>
    <w:p>
      <w:pPr>
        <w:ind w:left="450" w:right="3699" w:hanging="273"/>
        <w:spacing w:after="0" w:line="235" w:lineRule="auto"/>
        <w:tabs>
          <w:tab w:leader="none" w:pos="4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includes any syndicate or group that would be deemed to be a "person" under Section 13(d)(3) of the Exchange Act.</w:t>
      </w:r>
    </w:p>
    <w:p>
      <w:pPr>
        <w:spacing w:after="0" w:line="176" w:lineRule="exact"/>
        <w:rPr>
          <w:sz w:val="20"/>
          <w:szCs w:val="20"/>
          <w:color w:val="auto"/>
        </w:rPr>
      </w:pPr>
    </w:p>
    <w:p>
      <w:pPr>
        <w:jc w:val="both"/>
        <w:ind w:left="10" w:right="3359" w:firstLine="264"/>
        <w:spacing w:after="0" w:line="259" w:lineRule="auto"/>
        <w:rPr>
          <w:sz w:val="20"/>
          <w:szCs w:val="20"/>
          <w:color w:val="auto"/>
        </w:rPr>
      </w:pPr>
      <w:r>
        <w:rPr>
          <w:rFonts w:ascii="Courier New" w:cs="Courier New" w:eastAsia="Courier New" w:hAnsi="Courier New"/>
          <w:sz w:val="14"/>
          <w:szCs w:val="14"/>
          <w:color w:val="auto"/>
        </w:rPr>
        <w:t>Rule 13e-4 under the Exchange Act requires the dissemination of prescribed information to security holders in the event of an issuer tender offer and may apply in the event that the repurchase option becomes available to the holders of notes. We will comply with this rule to the extent it applies at that time.</w:t>
      </w:r>
    </w:p>
    <w:p>
      <w:pPr>
        <w:spacing w:after="0" w:line="163" w:lineRule="exact"/>
        <w:rPr>
          <w:sz w:val="20"/>
          <w:szCs w:val="20"/>
          <w:color w:val="auto"/>
        </w:rPr>
      </w:pPr>
    </w:p>
    <w:p>
      <w:pPr>
        <w:ind w:left="10" w:right="3359" w:firstLine="264"/>
        <w:spacing w:after="0" w:line="238" w:lineRule="auto"/>
        <w:rPr>
          <w:sz w:val="20"/>
          <w:szCs w:val="20"/>
          <w:color w:val="auto"/>
        </w:rPr>
      </w:pPr>
      <w:r>
        <w:rPr>
          <w:rFonts w:ascii="Courier New" w:cs="Courier New" w:eastAsia="Courier New" w:hAnsi="Courier New"/>
          <w:sz w:val="15"/>
          <w:szCs w:val="15"/>
          <w:color w:val="auto"/>
        </w:rPr>
        <w:t>The definition of Change in Control includes a phrase relating to the conveyance, transfer, sale, lease or disposition of "all or substantially all" of our assets. There is no precise, established definition of the phrase "substantially all" under applicable law. Accordingly, the ability of a holder of notes to require us to repurchase its notes as a result of the conveyance, transfer, sale, lease or other disposition of less than all of our assets may be uncertain.</w:t>
      </w:r>
    </w:p>
    <w:p>
      <w:pPr>
        <w:spacing w:after="0" w:line="177" w:lineRule="exact"/>
        <w:rPr>
          <w:sz w:val="20"/>
          <w:szCs w:val="20"/>
          <w:color w:val="auto"/>
        </w:rPr>
      </w:pPr>
    </w:p>
    <w:p>
      <w:pPr>
        <w:jc w:val="both"/>
        <w:ind w:left="10" w:right="3359" w:firstLine="264"/>
        <w:spacing w:after="0" w:line="237" w:lineRule="auto"/>
        <w:rPr>
          <w:sz w:val="20"/>
          <w:szCs w:val="20"/>
          <w:color w:val="auto"/>
        </w:rPr>
      </w:pPr>
      <w:r>
        <w:rPr>
          <w:rFonts w:ascii="Courier New" w:cs="Courier New" w:eastAsia="Courier New" w:hAnsi="Courier New"/>
          <w:sz w:val="15"/>
          <w:szCs w:val="15"/>
          <w:color w:val="auto"/>
        </w:rPr>
        <w:t>The foregoing provisions would not necessarily provide the holders of notes with protection if we are involved in a highly leveraged or other transaction that may adversely affect the holders.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627" w:right="1440" w:bottom="1440" w:gutter="0" w:footer="0" w:header="0"/>
        </w:sectPr>
      </w:pPr>
    </w:p>
    <w:bookmarkStart w:id="21" w:name="page22"/>
    <w:bookmarkEnd w:id="21"/>
    <w:p>
      <w:pPr>
        <w:ind w:left="10" w:right="3259" w:firstLine="264"/>
        <w:spacing w:after="0" w:line="257" w:lineRule="auto"/>
        <w:rPr>
          <w:sz w:val="20"/>
          <w:szCs w:val="20"/>
          <w:color w:val="auto"/>
        </w:rPr>
      </w:pPr>
      <w:r>
        <w:rPr>
          <w:rFonts w:ascii="Courier New" w:cs="Courier New" w:eastAsia="Courier New" w:hAnsi="Courier New"/>
          <w:sz w:val="14"/>
          <w:szCs w:val="14"/>
          <w:color w:val="auto"/>
        </w:rPr>
        <w:t>Our ability to repurchase notes upon the occurrence of a Change in Control is subject to important limitations. Some of the events constituting a Change in Control could result in an event of default under our Senior Debt. Moreover, a Change in Control could cause an event of default under, or be prohibited or limited by, the terms of our Senior Debt. As a result, unless we were to obtain a waiver, a repurchase of the notes in cash could be prohibited under the subordination provisions of the Indenture until the Senior Debt is paid in full. Although we have the right to repurchase the notes with our common stock, subject to certain conditions, we cannot assure the holders of notes that we would have the financial resources, or would be able to arrange financing, to pay the repurchase price in cash for all the notes that might be delivered by holders of notes seeking to exercise the repurchase right. If we were to fail to repurchase the notes when required following a Change in Control, an Event of Default under the Indenture would occur, whether or not the repurchase is permitted by the subordination provisions of the Indenture. Any such default may, in turn, cause a default under our Senior Debt. See "--Subordination".</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Mergers and Sales of Assets</w:t>
      </w:r>
    </w:p>
    <w:p>
      <w:pPr>
        <w:spacing w:after="0" w:line="175" w:lineRule="exact"/>
        <w:rPr>
          <w:sz w:val="20"/>
          <w:szCs w:val="20"/>
          <w:color w:val="auto"/>
        </w:rPr>
      </w:pPr>
    </w:p>
    <w:p>
      <w:pPr>
        <w:ind w:left="10" w:right="3359" w:firstLine="264"/>
        <w:spacing w:after="0" w:line="256" w:lineRule="auto"/>
        <w:rPr>
          <w:sz w:val="20"/>
          <w:szCs w:val="20"/>
          <w:color w:val="auto"/>
        </w:rPr>
      </w:pPr>
      <w:r>
        <w:rPr>
          <w:rFonts w:ascii="Courier New" w:cs="Courier New" w:eastAsia="Courier New" w:hAnsi="Courier New"/>
          <w:sz w:val="14"/>
          <w:szCs w:val="14"/>
          <w:color w:val="auto"/>
        </w:rPr>
        <w:t>We may not (1) consolidate with or merge into any other person or convey, transfer, sell or lease our properties and assets substantially as an entirety to any person, (2) permit any person to consolidate with or merge into us or</w:t>
      </w:r>
    </w:p>
    <w:p>
      <w:pPr>
        <w:spacing w:after="0" w:line="1" w:lineRule="exact"/>
        <w:rPr>
          <w:sz w:val="20"/>
          <w:szCs w:val="20"/>
          <w:color w:val="auto"/>
        </w:rPr>
      </w:pPr>
    </w:p>
    <w:p>
      <w:pPr>
        <w:ind w:left="10" w:right="4059" w:hanging="10"/>
        <w:spacing w:after="0" w:line="265" w:lineRule="auto"/>
        <w:tabs>
          <w:tab w:leader="none" w:pos="36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person to convey, transfer, sell or lease that person's properties and assets substantially as an entirety to us unless:</w:t>
      </w:r>
    </w:p>
    <w:p>
      <w:pPr>
        <w:spacing w:after="0" w:line="158" w:lineRule="exact"/>
        <w:rPr>
          <w:sz w:val="20"/>
          <w:szCs w:val="20"/>
          <w:color w:val="auto"/>
        </w:rPr>
      </w:pPr>
    </w:p>
    <w:p>
      <w:pPr>
        <w:ind w:left="350" w:right="3539" w:hanging="173"/>
        <w:spacing w:after="0" w:line="238" w:lineRule="auto"/>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(1) and (2) above, the person formed by the consolidation or into which we are merged or the person to which our properties and assets are so conveyed, transferred, sold or leased, shall be a corporation, limited liability company, partnership or trust organized and existing under the laws of the United States, any State within the United States or the District of Columbia and, if we are not the surviving person, the surviving person assumes the payment of the principal of, premium, if any, and interest on the notes and the performance of our other covenants under the Indenture, and</w:t>
      </w:r>
    </w:p>
    <w:p>
      <w:pPr>
        <w:spacing w:after="0" w:line="179" w:lineRule="exact"/>
        <w:rPr>
          <w:sz w:val="20"/>
          <w:szCs w:val="20"/>
          <w:color w:val="auto"/>
        </w:rPr>
      </w:pPr>
    </w:p>
    <w:p>
      <w:pPr>
        <w:ind w:left="350" w:right="3799" w:hanging="173"/>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cases, immediately after giving effect to the transaction, no Event of Default, and no event that, after notice or lapse of time or both, would become an Event of Default, will have occurred and be continuing.</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Events of Default</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The following will be Events of Default under the Indenture:</w:t>
      </w:r>
    </w:p>
    <w:p>
      <w:pPr>
        <w:spacing w:after="0" w:line="175" w:lineRule="exact"/>
        <w:rPr>
          <w:sz w:val="20"/>
          <w:szCs w:val="20"/>
          <w:color w:val="auto"/>
        </w:rPr>
      </w:pPr>
    </w:p>
    <w:p>
      <w:pPr>
        <w:ind w:left="350" w:right="3799" w:hanging="173"/>
        <w:spacing w:after="0" w:line="237"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pay principal of or premium, if any, on any note when due, whether or not prohibited by the subordination provisions of the Indenture;</w:t>
      </w:r>
    </w:p>
    <w:p>
      <w:pPr>
        <w:spacing w:after="0" w:line="175" w:lineRule="exact"/>
        <w:rPr>
          <w:sz w:val="20"/>
          <w:szCs w:val="20"/>
          <w:color w:val="auto"/>
        </w:rPr>
      </w:pPr>
    </w:p>
    <w:p>
      <w:pPr>
        <w:ind w:left="350" w:right="3799" w:hanging="173"/>
        <w:spacing w:after="0" w:line="237" w:lineRule="auto"/>
        <w:tabs>
          <w:tab w:leader="none" w:pos="3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pay any interest, including any Liquidated Damages, on any note when due, which failure continues for 30 days, whether or not prohibited by the subordination provisions of the Indenture;</w:t>
      </w:r>
    </w:p>
    <w:p>
      <w:pPr>
        <w:spacing w:after="0" w:line="175" w:lineRule="exact"/>
        <w:rPr>
          <w:sz w:val="20"/>
          <w:szCs w:val="20"/>
          <w:color w:val="auto"/>
        </w:rPr>
      </w:pPr>
    </w:p>
    <w:p>
      <w:pPr>
        <w:ind w:left="350" w:right="3699" w:hanging="173"/>
        <w:spacing w:after="0" w:line="265" w:lineRule="auto"/>
        <w:tabs>
          <w:tab w:leader="none" w:pos="3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notice of a Change in Control, whether or not the notice is prohibited by the subordination provisions of the Indenture;</w:t>
      </w:r>
    </w:p>
    <w:p>
      <w:pPr>
        <w:spacing w:after="0" w:line="158" w:lineRule="exact"/>
        <w:rPr>
          <w:sz w:val="20"/>
          <w:szCs w:val="20"/>
          <w:color w:val="auto"/>
        </w:rPr>
      </w:pPr>
    </w:p>
    <w:p>
      <w:pPr>
        <w:ind w:left="350" w:right="3539" w:hanging="173"/>
        <w:spacing w:after="0" w:line="265" w:lineRule="auto"/>
        <w:tabs>
          <w:tab w:leader="none" w:pos="3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any other covenant in the Indenture, which failure continues for 60 days after written notice as provided in the Indenture;</w:t>
      </w:r>
    </w:p>
    <w:p>
      <w:pPr>
        <w:spacing w:after="0" w:line="158" w:lineRule="exact"/>
        <w:rPr>
          <w:sz w:val="20"/>
          <w:szCs w:val="20"/>
          <w:color w:val="auto"/>
        </w:rPr>
      </w:pPr>
    </w:p>
    <w:p>
      <w:pPr>
        <w:ind w:left="350" w:right="3439" w:hanging="173"/>
        <w:spacing w:after="0" w:line="238"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under any bonds, debentures, notes or other evidences of indebtedness for money borrowed (or any guarantee thereof) by us or any of our significant subsidiaries in an aggregate principal amount in excess of $45,000,000 is not paid when due either at its stated maturity or upon acceleration thereof, and the indebtedness is not discharged, or the acceleration is not rescinded or annulled, within a period of 30 days after notice as provided in the Indenture; and</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27" w:right="1440" w:bottom="1440" w:gutter="0" w:footer="0" w:header="0"/>
        </w:sectPr>
      </w:pPr>
    </w:p>
    <w:bookmarkStart w:id="22" w:name="page23"/>
    <w:bookmarkEnd w:id="22"/>
    <w:p>
      <w:pPr>
        <w:ind w:left="340" w:right="3619" w:hanging="173"/>
        <w:spacing w:after="0" w:line="235" w:lineRule="auto"/>
        <w:tabs>
          <w:tab w:leader="none" w:pos="3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insolvency or reorganization involving us or any of our significant subsidiaries.</w:t>
      </w:r>
    </w:p>
    <w:p>
      <w:pPr>
        <w:spacing w:after="0" w:line="176"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167"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If an Event of Default other than an Event of Default arising from events of insolvency, bankruptcy or reorganization with respect to Analog occurs and is continuing, either the Trustee or the holders of at least 25% in principal amount of the outstanding notes may, subject to the subordination provisions of the Indenture, accelerate the maturity of all notes. However, after an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which have become due solely by the declaration of acceleration, have been cured or waived as provided in the Indenture. If an Event of Default arising from events of insolvency, bankruptcy or reorganization with respect to Analog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w:t>
      </w:r>
    </w:p>
    <w:p>
      <w:pPr>
        <w:spacing w:after="0" w:line="164"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 holder of notes will not have any right to institute any proceeding with respect to the Indenture, or for any remedy under the Indenture, unless the holder gives the Trustee written notice of a continuing Event of Default and the holders of at least 25% in aggregate principal amount of the outstanding notes have made written request, and offered reasonable indemnity, to the Trustee to institute proceedings, and the Trustee has not received from the holders of a majority in aggregate principal amount of the outstanding notes direction inconsistent with the written request and shall have failed to institute the proceeding within 60 days. However, these limitations do not apply to a suit instituted by a holder of notes for the enforcement of payment of the principal of, premium, if any, or interest, including Liquidated Damages, on the holder's note on or after the respective due dates expressed in its note or the holder's right to convert its note in accordance with the Indenture.</w:t>
      </w:r>
    </w:p>
    <w:p>
      <w:pPr>
        <w:spacing w:after="0" w:line="184"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will be required to furnish to the Trustee annually a statement as to our performance of some of our obligations under the Indenture and as to any default in such performance.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75" w:lineRule="exact"/>
        <w:rPr>
          <w:sz w:val="20"/>
          <w:szCs w:val="20"/>
          <w:color w:val="auto"/>
        </w:rPr>
      </w:pPr>
    </w:p>
    <w:p>
      <w:pPr>
        <w:ind w:right="3439" w:firstLine="264"/>
        <w:spacing w:after="0" w:line="235" w:lineRule="auto"/>
        <w:rPr>
          <w:sz w:val="20"/>
          <w:szCs w:val="20"/>
          <w:color w:val="auto"/>
        </w:rPr>
      </w:pPr>
      <w:r>
        <w:rPr>
          <w:rFonts w:ascii="Courier New" w:cs="Courier New" w:eastAsia="Courier New" w:hAnsi="Courier New"/>
          <w:sz w:val="15"/>
          <w:szCs w:val="15"/>
          <w:color w:val="auto"/>
        </w:rPr>
        <w:t>The Indenture contains provisions for convening meetings of the holders of notes to consider matters affecting their interests.</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Certain limited modifications of the Indenture may be made without the necessity of obtaining the consent of the holders of the notes. Other modifications and amendments of the Indenture may be made, and certain past defaults by us may be waived, either (i) with the written consent of the holders of not less than a majority in aggregate principal amount of the notes at the time outstanding or (ii) by the adoption of a resolution, at a meeting of holders of the notes at which a quorum is present, by the holders of at least 66 2/3% in aggregate principal amount of the notes represented at the meeting or, if less, holders of not less than a majority in aggregate principal amount of the notes at the time outstanding. The quorum at any meeting called to adopt a resolution will be persons holding or representing a majority in aggregate principal amount of the notes at the time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3" w:name="page24"/>
    <w:bookmarkEnd w:id="23"/>
    <w:p>
      <w:pPr>
        <w:ind w:right="3359"/>
        <w:spacing w:after="0" w:line="235" w:lineRule="auto"/>
        <w:rPr>
          <w:sz w:val="20"/>
          <w:szCs w:val="20"/>
          <w:color w:val="auto"/>
        </w:rPr>
      </w:pPr>
      <w:r>
        <w:rPr>
          <w:rFonts w:ascii="Courier New" w:cs="Courier New" w:eastAsia="Courier New" w:hAnsi="Courier New"/>
          <w:sz w:val="15"/>
          <w:szCs w:val="15"/>
          <w:color w:val="auto"/>
        </w:rPr>
        <w:t>outstanding and, at any reconvened meeting adjourned for lack of a quorum, 25% of the aggregate principal amount.</w:t>
      </w:r>
    </w:p>
    <w:p>
      <w:pPr>
        <w:spacing w:after="0" w:line="176" w:lineRule="exact"/>
        <w:rPr>
          <w:sz w:val="20"/>
          <w:szCs w:val="20"/>
          <w:color w:val="auto"/>
        </w:rPr>
      </w:pPr>
    </w:p>
    <w:p>
      <w:pPr>
        <w:ind w:right="3439" w:firstLine="264"/>
        <w:spacing w:after="0" w:line="235" w:lineRule="auto"/>
        <w:rPr>
          <w:sz w:val="20"/>
          <w:szCs w:val="20"/>
          <w:color w:val="auto"/>
        </w:rPr>
      </w:pPr>
      <w:r>
        <w:rPr>
          <w:rFonts w:ascii="Courier New" w:cs="Courier New" w:eastAsia="Courier New" w:hAnsi="Courier New"/>
          <w:sz w:val="15"/>
          <w:szCs w:val="15"/>
          <w:color w:val="auto"/>
        </w:rPr>
        <w:t>However, a modification or amendment requires the consent of the holder of each outstanding note affected if it would:</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change the stated maturity of the principal or interest of a note;</w:t>
      </w:r>
    </w:p>
    <w:p>
      <w:pPr>
        <w:spacing w:after="0" w:line="169" w:lineRule="exact"/>
        <w:rPr>
          <w:sz w:val="20"/>
          <w:szCs w:val="20"/>
          <w:color w:val="auto"/>
        </w:rPr>
      </w:pPr>
    </w:p>
    <w:p>
      <w:pPr>
        <w:ind w:left="340" w:hanging="173"/>
        <w:spacing w:after="0"/>
        <w:tabs>
          <w:tab w:leader="none" w:pos="3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or any premium or interest on, any note;</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payable upon a redemption or mandatory repurchase;</w:t>
      </w:r>
    </w:p>
    <w:p>
      <w:pPr>
        <w:spacing w:after="0" w:line="175" w:lineRule="exact"/>
        <w:rPr>
          <w:sz w:val="20"/>
          <w:szCs w:val="20"/>
          <w:color w:val="auto"/>
        </w:rPr>
      </w:pPr>
    </w:p>
    <w:p>
      <w:pPr>
        <w:ind w:left="340" w:right="3439" w:hanging="173"/>
        <w:spacing w:after="0" w:line="235" w:lineRule="auto"/>
        <w:tabs>
          <w:tab w:leader="none" w:pos="3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with respect to the repurchase rights of holders of notes in a manner adverse to the holders;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change the place or currency of payment on a note;</w:t>
      </w:r>
    </w:p>
    <w:p>
      <w:pPr>
        <w:spacing w:after="0" w:line="175" w:lineRule="exact"/>
        <w:rPr>
          <w:sz w:val="20"/>
          <w:szCs w:val="20"/>
          <w:color w:val="auto"/>
        </w:rPr>
      </w:pPr>
    </w:p>
    <w:p>
      <w:pPr>
        <w:ind w:left="340" w:right="3539" w:hanging="173"/>
        <w:spacing w:after="0" w:line="235" w:lineRule="auto"/>
        <w:tabs>
          <w:tab w:leader="none" w:pos="3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any note;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modify our obligation to maintain an office or agency in New York City;</w:t>
      </w:r>
    </w:p>
    <w:p>
      <w:pPr>
        <w:spacing w:after="0" w:line="175" w:lineRule="exact"/>
        <w:rPr>
          <w:sz w:val="20"/>
          <w:szCs w:val="20"/>
          <w:color w:val="auto"/>
        </w:rPr>
      </w:pPr>
    </w:p>
    <w:p>
      <w:pPr>
        <w:ind w:left="340" w:right="3699" w:hanging="173"/>
        <w:spacing w:after="0" w:line="235" w:lineRule="auto"/>
        <w:tabs>
          <w:tab w:leader="none" w:pos="3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subordination provisions in a manner that is adverse to the holders of the notes;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adversely affect the right to convert the notes;</w:t>
      </w:r>
    </w:p>
    <w:p>
      <w:pPr>
        <w:spacing w:after="0" w:line="175" w:lineRule="exact"/>
        <w:rPr>
          <w:sz w:val="20"/>
          <w:szCs w:val="20"/>
          <w:color w:val="auto"/>
        </w:rPr>
      </w:pPr>
    </w:p>
    <w:p>
      <w:pPr>
        <w:ind w:left="340" w:right="3539" w:hanging="173"/>
        <w:spacing w:after="0" w:line="237" w:lineRule="auto"/>
        <w:tabs>
          <w:tab w:leader="none" w:pos="3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our obligation to deliver information required under Rule 144A to permit resales of the notes and common stock issued upon conversion of the notes if we cease to be subject to the reporting requirements under the Exchange Act;</w:t>
      </w:r>
    </w:p>
    <w:p>
      <w:pPr>
        <w:spacing w:after="0" w:line="176" w:lineRule="exact"/>
        <w:rPr>
          <w:sz w:val="20"/>
          <w:szCs w:val="20"/>
          <w:color w:val="auto"/>
        </w:rPr>
      </w:pPr>
    </w:p>
    <w:p>
      <w:pPr>
        <w:ind w:left="340" w:right="3439" w:hanging="173"/>
        <w:spacing w:after="0" w:line="235" w:lineRule="auto"/>
        <w:tabs>
          <w:tab w:leader="none" w:pos="3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above-stated percentage of the principal amount of the holders whose consent is needed to modify or amend the Indenture;</w:t>
      </w:r>
    </w:p>
    <w:p>
      <w:pPr>
        <w:spacing w:after="0" w:line="176" w:lineRule="exact"/>
        <w:rPr>
          <w:sz w:val="20"/>
          <w:szCs w:val="20"/>
          <w:color w:val="auto"/>
        </w:rPr>
      </w:pPr>
    </w:p>
    <w:p>
      <w:pPr>
        <w:ind w:left="340" w:right="3879" w:hanging="173"/>
        <w:spacing w:after="0" w:line="237" w:lineRule="auto"/>
        <w:tabs>
          <w:tab w:leader="none" w:pos="3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the principal amount of the holders whose consent is needed to waive compliance with certain provisions of the Indenture or to waive certain defaults; or</w:t>
      </w:r>
    </w:p>
    <w:p>
      <w:pPr>
        <w:spacing w:after="0" w:line="175" w:lineRule="exact"/>
        <w:rPr>
          <w:sz w:val="20"/>
          <w:szCs w:val="20"/>
          <w:color w:val="auto"/>
        </w:rPr>
      </w:pPr>
    </w:p>
    <w:p>
      <w:pPr>
        <w:ind w:left="340" w:right="3539" w:hanging="173"/>
        <w:spacing w:after="0" w:line="237" w:lineRule="auto"/>
        <w:tabs>
          <w:tab w:leader="none" w:pos="3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required for the adoption of a resolution or the quorum required at any meeting of holders of notes at which a resolution is adopted.</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notes may waive compliance by us with certain restrictive provisions of the Indenture by written consent. Holders of at least 66 2/3% in aggregate principal amount of notes represented at a meeting or, if less, holders of not less than a majority in aggregate principal amount of the notes at the time outstanding may also waive compliance by us with certain restrictive provisions of the Indenture by the adoption of a resolution at the meeting if a quorum of holders is present and certain other conditions are met. The holders of a majority in aggregate principal amount of the outstanding notes also may waive by written consent any past default under the Indenture, except a default in the payment of principal, premium, if any, or interest which has not been cured.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registration statement of which this prospectus forms a part has been filed under the terms of a Registration Rights Agreement, which we entered into with the initial purchasers of the notes. In the Registration Rights Agreement we agreed, for the benefit of the holders of the notes and the shares of common stock issuable upon conversion of the notes, which we refer to together as the Registrable Securities, that we would, at our expense:</w:t>
      </w:r>
    </w:p>
    <w:p>
      <w:pPr>
        <w:spacing w:after="0" w:line="176" w:lineRule="exact"/>
        <w:rPr>
          <w:sz w:val="20"/>
          <w:szCs w:val="20"/>
          <w:color w:val="auto"/>
        </w:rPr>
      </w:pPr>
    </w:p>
    <w:p>
      <w:pPr>
        <w:ind w:left="340" w:right="3439" w:hanging="173"/>
        <w:spacing w:after="0" w:line="237" w:lineRule="auto"/>
        <w:tabs>
          <w:tab w:leader="none" w:pos="3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SEC, within 90 days after the date the notes were originally issued, a shelf registration statement covering resales of the Registrable Securities, subject to our right to postpone the filing of the shelf registration statement for an additional 90 days in limited circumstances;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4" w:name="page25"/>
    <w:bookmarkEnd w:id="24"/>
    <w:p>
      <w:pPr>
        <w:ind w:left="340" w:right="3539" w:hanging="173"/>
        <w:spacing w:after="0" w:line="237" w:lineRule="auto"/>
        <w:tabs>
          <w:tab w:leader="none" w:pos="3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reasonable efforts to cause the shelf registration statement to be declared effective under the Securities Act within 180 days after the date the notes are originally issued, subject to our right to postpone having the shelf registration statement declared effective for an additional 90 days in limited circumstances; and</w:t>
      </w:r>
    </w:p>
    <w:p>
      <w:pPr>
        <w:spacing w:after="0" w:line="178" w:lineRule="exact"/>
        <w:rPr>
          <w:sz w:val="20"/>
          <w:szCs w:val="20"/>
          <w:color w:val="auto"/>
        </w:rPr>
      </w:pPr>
    </w:p>
    <w:p>
      <w:pPr>
        <w:ind w:left="340" w:right="3539" w:hanging="173"/>
        <w:spacing w:after="0" w:line="237" w:lineRule="auto"/>
        <w:tabs>
          <w:tab w:leader="none" w:pos="3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reasonable efforts to keep effective the shelf registration statement until two years after the date the notes are issued or, if earlier, until there are no outstanding Registrable Securities, which is referred to as the Effectiveness Period.</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will be permitted to suspend the use of this prospectus, which is part of the shelf registration statement, in connection with the sales of Registrable Securities during prescribed periods of time for reasons relating to pending corporate developments, public filings with the SEC and other events. Following the effectiveness of the registration statement of which this prospectus forms a part, we will provide to each holder of Registrable Securities copies of this prospectus, notify each holder that the shelf registration statement has become effective and take certain other actions required to permit public resales of the Registrable Securities.</w:t>
      </w:r>
    </w:p>
    <w:p>
      <w:pPr>
        <w:spacing w:after="0" w:line="179"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may, upon written notice to all the holders of Registrable Securities, postpone having the shelf registration statement declared effective for a reasonable period not to exceed 90 days if we possess material non-public information the disclosure of which would have a material adverse effect on us and our subsidiaries taken as a whole. Notwithstanding any such postponement, additional interest, which is referred to as Liquidated Damages, will accrue on the notes (or on the common stock into which any notes have been converted) if either of the following events, which are referred to as Registration Defaults, occurs:</w:t>
      </w:r>
    </w:p>
    <w:p>
      <w:pPr>
        <w:spacing w:after="0" w:line="179" w:lineRule="exact"/>
        <w:rPr>
          <w:sz w:val="20"/>
          <w:szCs w:val="20"/>
          <w:color w:val="auto"/>
        </w:rPr>
      </w:pPr>
    </w:p>
    <w:p>
      <w:pPr>
        <w:ind w:left="340" w:right="3619" w:hanging="173"/>
        <w:spacing w:after="0" w:line="237" w:lineRule="auto"/>
        <w:tabs>
          <w:tab w:leader="none" w:pos="3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90 days following the date the notes were originally issued, a shelf registration statement has not been filed with the SEC; or</w:t>
      </w:r>
    </w:p>
    <w:p>
      <w:pPr>
        <w:spacing w:after="0" w:line="175" w:lineRule="exact"/>
        <w:rPr>
          <w:sz w:val="20"/>
          <w:szCs w:val="20"/>
          <w:color w:val="auto"/>
        </w:rPr>
      </w:pPr>
    </w:p>
    <w:p>
      <w:pPr>
        <w:ind w:left="340" w:right="3879" w:hanging="173"/>
        <w:spacing w:after="0" w:line="265" w:lineRule="auto"/>
        <w:tabs>
          <w:tab w:leader="none" w:pos="3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180 days following the date the notes were originally issued, the shelf registration statement is not declared effective.</w:t>
      </w:r>
    </w:p>
    <w:p>
      <w:pPr>
        <w:spacing w:after="0" w:line="158"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In that case, Liquidated Damages will accrue on the Registrable Securities from and including the day following the Registration Default to but excluding the day on which the Registration Default has been cured. Liquidated Damages will be paid semi-annually in arrears, with the first semi-annual payment due on the first Interest Payment Date following the date on which the Liquidated Damages began to accrue. Liquidated Damages accrue either on the principal amount of the notes or based on the conversion price of common stock issued upon conversion of the notes.</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rates at which Liquidated Damages will accrue will be as follows:</w:t>
      </w:r>
    </w:p>
    <w:p>
      <w:pPr>
        <w:spacing w:after="0" w:line="175" w:lineRule="exact"/>
        <w:rPr>
          <w:sz w:val="20"/>
          <w:szCs w:val="20"/>
          <w:color w:val="auto"/>
        </w:rPr>
      </w:pPr>
    </w:p>
    <w:p>
      <w:pPr>
        <w:ind w:left="340" w:right="3539" w:hanging="173"/>
        <w:spacing w:after="0" w:line="235" w:lineRule="auto"/>
        <w:tabs>
          <w:tab w:leader="none" w:pos="3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0.25% of the principal amount (or the conversion price) per annum to and including the 90th day after the Registration Default; and</w:t>
      </w:r>
    </w:p>
    <w:p>
      <w:pPr>
        <w:spacing w:after="0" w:line="176" w:lineRule="exact"/>
        <w:rPr>
          <w:sz w:val="20"/>
          <w:szCs w:val="20"/>
          <w:color w:val="auto"/>
        </w:rPr>
      </w:pPr>
    </w:p>
    <w:p>
      <w:pPr>
        <w:ind w:left="340" w:right="3699" w:hanging="173"/>
        <w:spacing w:after="0" w:line="235" w:lineRule="auto"/>
        <w:tabs>
          <w:tab w:leader="none" w:pos="3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0.50% of the principal amount (or the conversion price) per annum from and after the 91st day after the Registration Default.</w:t>
      </w:r>
    </w:p>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addition, Liquidated Damages will accrue if:</w:t>
      </w:r>
    </w:p>
    <w:p>
      <w:pPr>
        <w:spacing w:after="0" w:line="175" w:lineRule="exact"/>
        <w:rPr>
          <w:sz w:val="20"/>
          <w:szCs w:val="20"/>
          <w:color w:val="auto"/>
        </w:rPr>
      </w:pPr>
    </w:p>
    <w:p>
      <w:pPr>
        <w:ind w:left="340" w:right="3439" w:hanging="173"/>
        <w:spacing w:after="0" w:line="237" w:lineRule="auto"/>
        <w:tabs>
          <w:tab w:leader="none" w:pos="3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ceases to be effective, or we otherwise prevent or restrict holders of Registrable Securities from making sales under the shelf registration statement, for more than 45 days, whether or not consecutive, during any 90-day period; or</w:t>
      </w:r>
    </w:p>
    <w:p>
      <w:pPr>
        <w:spacing w:after="0" w:line="176" w:lineRule="exact"/>
        <w:rPr>
          <w:sz w:val="20"/>
          <w:szCs w:val="20"/>
          <w:color w:val="auto"/>
        </w:rPr>
      </w:pPr>
    </w:p>
    <w:p>
      <w:pPr>
        <w:ind w:left="340" w:right="3439" w:hanging="173"/>
        <w:spacing w:after="0" w:line="237" w:lineRule="auto"/>
        <w:tabs>
          <w:tab w:leader="none" w:pos="3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25" w:name="page26"/>
    <w:bookmarkEnd w:id="25"/>
    <w:p>
      <w:pPr>
        <w:ind w:right="3439" w:firstLine="264"/>
        <w:spacing w:after="0" w:line="237" w:lineRule="auto"/>
        <w:rPr>
          <w:sz w:val="20"/>
          <w:szCs w:val="20"/>
          <w:color w:val="auto"/>
        </w:rPr>
      </w:pPr>
      <w:r>
        <w:rPr>
          <w:rFonts w:ascii="Courier New" w:cs="Courier New" w:eastAsia="Courier New" w:hAnsi="Courier New"/>
          <w:sz w:val="15"/>
          <w:szCs w:val="15"/>
          <w:color w:val="auto"/>
        </w:rPr>
        <w:t>In either event, the interest rate on the notes will increase by an additional 0.50% per annum from the 46th day of the 90-day period or the 91st day of the 12-month period. The Liquidated Damages will continue to accrue until the earlier of the following:</w:t>
      </w:r>
    </w:p>
    <w:p>
      <w:pPr>
        <w:spacing w:after="0" w:line="176" w:lineRule="exact"/>
        <w:rPr>
          <w:sz w:val="20"/>
          <w:szCs w:val="20"/>
          <w:color w:val="auto"/>
        </w:rPr>
      </w:pPr>
    </w:p>
    <w:p>
      <w:pPr>
        <w:ind w:left="340" w:right="3539" w:hanging="173"/>
        <w:spacing w:after="0" w:line="237" w:lineRule="auto"/>
        <w:tabs>
          <w:tab w:leader="none" w:pos="3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the shelf registration statement again becomes effective or the holders of Registrable Securities are again able to make sales under the shelf registration statement, depending on which event triggered the increase in interest rate; or</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the date the Effectiveness Period expires.</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A holder who elects to sell any Registrable Securities pursuant to the shelf registration statement of which this prospectus forms a part is required to be named as a selling securityholder in this prospectus, may be required to deliver a prospectus to purchasers, may be subject to certain civil liability provisions under the Securities Act in connection with those sales and is bound by the provisions of the Registration Rights Agreement that apply to a holder making this election, including indemnification provisions.</w:t>
      </w:r>
    </w:p>
    <w:p>
      <w:pPr>
        <w:spacing w:after="0" w:line="167"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No holder of Registrable Securities is entitled to be named as a selling securityholder in this prospectus and no holder of Registrable Securities is entitled to use this prospectus for offers and resales of Registrable Securities at any time, unless the holder has returned a completed and signed Notice and Questionnaire to us.</w:t>
      </w:r>
    </w:p>
    <w:p>
      <w:pPr>
        <w:spacing w:after="0" w:line="178"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Beneficial owners of Registrable Securities who have not returned a Notice and Questionnaire to us may receive another Notice and Questionnaire from us upon request. Following our receipt of a completed and signed Notice and Questionnaire, we will include the Registrable Securities covered thereby in the shelf registration statement, subject to restrictions on the timing and number of supplements to the shelf registration statement provided in the Registration Rights Agreement.</w:t>
      </w:r>
    </w:p>
    <w:p>
      <w:pPr>
        <w:spacing w:after="0" w:line="177"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We agreed in the Registration Rights Agreement to use our reasonable efforts to cause the shares of common stock issuable upon conversion of the notes to be listed on the New York Stock Exchange. However, if the common stock is not then listed on the New York Stock Exchange, we will use our reasonable efforts to cause the shares of common stock issuable upon conversion of the notes to be quoted or listed on whichever market or exchange the common stock is then quoted or listed, upon effectiveness of the shelf registration statement.</w:t>
      </w:r>
    </w:p>
    <w:p>
      <w:pPr>
        <w:spacing w:after="0" w:line="167" w:lineRule="exact"/>
        <w:rPr>
          <w:sz w:val="20"/>
          <w:szCs w:val="20"/>
          <w:color w:val="auto"/>
        </w:rPr>
      </w:pPr>
    </w:p>
    <w:p>
      <w:pPr>
        <w:jc w:val="both"/>
        <w:ind w:right="3359" w:firstLine="264"/>
        <w:spacing w:after="0" w:line="260" w:lineRule="auto"/>
        <w:rPr>
          <w:sz w:val="20"/>
          <w:szCs w:val="20"/>
          <w:color w:val="auto"/>
        </w:rPr>
      </w:pPr>
      <w:r>
        <w:rPr>
          <w:rFonts w:ascii="Courier New" w:cs="Courier New" w:eastAsia="Courier New" w:hAnsi="Courier New"/>
          <w:sz w:val="14"/>
          <w:szCs w:val="14"/>
          <w:color w:val="auto"/>
        </w:rPr>
        <w:t>This summary of certain provisions of the Registration Rights Agreement may not contain all the information important to the holders of notes. Holders of notes may request from us a copy of the Registration Rights Agreement.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5" w:lineRule="exact"/>
        <w:rPr>
          <w:sz w:val="20"/>
          <w:szCs w:val="20"/>
          <w:color w:val="auto"/>
        </w:rPr>
      </w:pPr>
    </w:p>
    <w:p>
      <w:pPr>
        <w:ind w:right="3539" w:firstLine="264"/>
        <w:spacing w:after="0" w:line="237" w:lineRule="auto"/>
        <w:rPr>
          <w:sz w:val="20"/>
          <w:szCs w:val="20"/>
          <w:color w:val="auto"/>
        </w:rPr>
      </w:pPr>
      <w:r>
        <w:rPr>
          <w:rFonts w:ascii="Courier New" w:cs="Courier New" w:eastAsia="Courier New" w:hAnsi="Courier New"/>
          <w:sz w:val="15"/>
          <w:szCs w:val="15"/>
          <w:color w:val="auto"/>
        </w:rPr>
        <w:t>Notice to holders of the registered notes will be given by mail to the addresses as they appear in the security register. Notices will be deemed to have been given on the date of mailing.</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Notice of a redemption of notes will be given not less than 30 nor more than</w:t>
      </w:r>
    </w:p>
    <w:p>
      <w:pPr>
        <w:spacing w:after="0" w:line="11"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60 days prior to the redemption date and will specify the redemption date. A notice of redemption of the notes will be irrevocable.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Notes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Payment of Stamp and Other Taxes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have paid all stamp and other duties, if any, which may have been imposed by the United States or any political subdivision thereof or taxing authority thereof or therein with respect to the issuance of the notes. We were not required to make any payment with respect to any other tax, assessment or governmental charge imposed by any government or any political subdivision thereof or taxing authority thereof or therein.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5" w:lineRule="exact"/>
        <w:rPr>
          <w:sz w:val="20"/>
          <w:szCs w:val="20"/>
          <w:color w:val="auto"/>
        </w:rPr>
      </w:pPr>
    </w:p>
    <w:p>
      <w:pPr>
        <w:ind w:right="3259" w:firstLine="264"/>
        <w:spacing w:after="0" w:line="235" w:lineRule="auto"/>
        <w:rPr>
          <w:sz w:val="20"/>
          <w:szCs w:val="20"/>
          <w:color w:val="auto"/>
        </w:rPr>
      </w:pPr>
      <w:r>
        <w:rPr>
          <w:rFonts w:ascii="Courier New" w:cs="Courier New" w:eastAsia="Courier New" w:hAnsi="Courier New"/>
          <w:sz w:val="15"/>
          <w:szCs w:val="15"/>
          <w:color w:val="auto"/>
        </w:rPr>
        <w:t>The Indenture and the notes are governed by and construed in accordance with the laws of the State of New York, United States of America.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If an Event of Default occurs and is continuing, the Trustee will be required to use the degree of care of a prudent person in the conduct of his own affairs in the exercise of its powers. Subject to these provisions, the Trustee will be under no obligation to exercise any of its rights or powers under the Indenture at the request of any of the holders of notes, unless they shall have offered to the Trustee reasonable security or indemnity.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2" w:right="1440" w:bottom="1440" w:gutter="0" w:footer="0" w:header="0"/>
        </w:sectPr>
      </w:pPr>
    </w:p>
    <w:bookmarkStart w:id="27" w:name="page28"/>
    <w:bookmarkEnd w:id="27"/>
    <w:p>
      <w:pPr>
        <w:ind w:left="1040"/>
        <w:spacing w:after="0"/>
        <w:rPr>
          <w:sz w:val="20"/>
          <w:szCs w:val="20"/>
          <w:color w:val="auto"/>
        </w:rPr>
      </w:pPr>
      <w:r>
        <w:rPr>
          <w:rFonts w:ascii="Courier New" w:cs="Courier New" w:eastAsia="Courier New" w:hAnsi="Courier New"/>
          <w:sz w:val="15"/>
          <w:szCs w:val="15"/>
          <w:color w:val="auto"/>
        </w:rPr>
        <w:t>MATERIAL UNITED STATES FEDERAL INCOME TAX CONSIDERATIONS</w:t>
      </w:r>
    </w:p>
    <w:p>
      <w:pPr>
        <w:spacing w:after="0" w:line="175" w:lineRule="exact"/>
        <w:rPr>
          <w:sz w:val="20"/>
          <w:szCs w:val="20"/>
          <w:color w:val="auto"/>
        </w:rPr>
      </w:pPr>
    </w:p>
    <w:p>
      <w:pPr>
        <w:ind w:right="3259" w:firstLine="264"/>
        <w:spacing w:after="0" w:line="259" w:lineRule="auto"/>
        <w:rPr>
          <w:sz w:val="20"/>
          <w:szCs w:val="20"/>
          <w:color w:val="auto"/>
        </w:rPr>
      </w:pPr>
      <w:r>
        <w:rPr>
          <w:rFonts w:ascii="Courier New" w:cs="Courier New" w:eastAsia="Courier New" w:hAnsi="Courier New"/>
          <w:sz w:val="14"/>
          <w:szCs w:val="14"/>
          <w:color w:val="auto"/>
        </w:rPr>
        <w:t>The following is a summary of material United States federal income tax considerations relating to the purchase, ownership and disposition of the notes and the common stock into which the notes may be converted. This summary is not a complete analysis of all the potential tax considerations relating thereto.</w:t>
      </w:r>
    </w:p>
    <w:p>
      <w:pPr>
        <w:spacing w:after="0" w:line="163"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have based this summary on the provisions of the Internal Revenue Code of 1986, as amended, or the Code, the applicable U.S. Treasury regulations promulgated or proposed thereunder, judicial authority and current administrative rulings and practice, all of which are subject to change, possibly on a retroactive basis, or to different interpretations.</w:t>
      </w:r>
    </w:p>
    <w:p>
      <w:pPr>
        <w:spacing w:after="0" w:line="178" w:lineRule="exact"/>
        <w:rPr>
          <w:sz w:val="20"/>
          <w:szCs w:val="20"/>
          <w:color w:val="auto"/>
        </w:rPr>
      </w:pPr>
    </w:p>
    <w:p>
      <w:pPr>
        <w:ind w:right="3439" w:firstLine="264"/>
        <w:spacing w:after="0" w:line="258" w:lineRule="auto"/>
        <w:rPr>
          <w:sz w:val="20"/>
          <w:szCs w:val="20"/>
          <w:color w:val="auto"/>
        </w:rPr>
      </w:pPr>
      <w:r>
        <w:rPr>
          <w:rFonts w:ascii="Courier New" w:cs="Courier New" w:eastAsia="Courier New" w:hAnsi="Courier New"/>
          <w:sz w:val="14"/>
          <w:szCs w:val="14"/>
          <w:color w:val="auto"/>
        </w:rPr>
        <w:t>This summary applies to you only if you hold the notes and common stock as capital assets. A capital asset is generally an asset held for investment rather than as inventory or as property used in a trade or business. This summary also does not discuss the particular tax consequences that might be relevant to you if you are subject to special rules under the federal income tax laws. Special rules apply, for example, if you are:</w:t>
      </w:r>
    </w:p>
    <w:p>
      <w:pPr>
        <w:spacing w:after="0" w:line="164" w:lineRule="exact"/>
        <w:rPr>
          <w:sz w:val="20"/>
          <w:szCs w:val="20"/>
          <w:color w:val="auto"/>
        </w:rPr>
      </w:pPr>
    </w:p>
    <w:p>
      <w:pPr>
        <w:ind w:left="340" w:right="3439" w:hanging="173"/>
        <w:spacing w:after="0" w:line="235" w:lineRule="auto"/>
        <w:tabs>
          <w:tab w:leader="none" w:pos="3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 thrift, insurance company, regulated investment company, or other financial institution or financial service company,</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 broker or dealer in securities or foreign currency,</w:t>
      </w:r>
    </w:p>
    <w:p>
      <w:pPr>
        <w:spacing w:after="0" w:line="169" w:lineRule="exact"/>
        <w:rPr>
          <w:sz w:val="20"/>
          <w:szCs w:val="20"/>
          <w:color w:val="auto"/>
        </w:rPr>
      </w:pPr>
    </w:p>
    <w:p>
      <w:pPr>
        <w:ind w:left="340" w:hanging="173"/>
        <w:spacing w:after="0"/>
        <w:tabs>
          <w:tab w:leader="none" w:pos="3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that has a functional currency other than the U.S. dollar,</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partnership or other flow-through entity,</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subchapter S corporation,</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subject to alternative minimum tax,</w:t>
      </w:r>
    </w:p>
    <w:p>
      <w:pPr>
        <w:spacing w:after="0" w:line="175" w:lineRule="exact"/>
        <w:rPr>
          <w:sz w:val="20"/>
          <w:szCs w:val="20"/>
          <w:color w:val="auto"/>
        </w:rPr>
      </w:pPr>
    </w:p>
    <w:p>
      <w:pPr>
        <w:ind w:left="340" w:right="4059" w:hanging="173"/>
        <w:spacing w:after="0" w:line="260" w:lineRule="auto"/>
        <w:tabs>
          <w:tab w:leader="none" w:pos="3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who owns the notes or common stock as part of a straddle, hedging transaction, conversion transaction, constructive sale transaction or other risk-reduction transaction,</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a tax-exempt entity,</w:t>
      </w:r>
    </w:p>
    <w:p>
      <w:pPr>
        <w:spacing w:after="0" w:line="175" w:lineRule="exact"/>
        <w:rPr>
          <w:sz w:val="20"/>
          <w:szCs w:val="20"/>
          <w:color w:val="auto"/>
        </w:rPr>
      </w:pPr>
    </w:p>
    <w:p>
      <w:pPr>
        <w:ind w:left="340" w:right="3439" w:hanging="173"/>
        <w:spacing w:after="0" w:line="235" w:lineRule="auto"/>
        <w:tabs>
          <w:tab w:leader="none" w:pos="3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has ceased to be a United States citizen or to be taxed as a resident alien, or</w:t>
      </w:r>
    </w:p>
    <w:p>
      <w:pPr>
        <w:spacing w:after="0" w:line="176" w:lineRule="exact"/>
        <w:rPr>
          <w:sz w:val="20"/>
          <w:szCs w:val="20"/>
          <w:color w:val="auto"/>
        </w:rPr>
      </w:pPr>
    </w:p>
    <w:p>
      <w:pPr>
        <w:ind w:left="340" w:right="3619" w:hanging="173"/>
        <w:spacing w:after="0" w:line="235" w:lineRule="auto"/>
        <w:tabs>
          <w:tab w:leader="none" w:pos="3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acquires the notes or common stock in connection with your employment or other performance of services.</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 addition, the following summary does not address all possible tax consequences. In particular, except as specifically provided, it does not discuss any estate, gift, generation-skipping, transfer, state, local or foreign tax consequences. We have not sought any ruling from the Internal Revenue Service, or IRS, with respect to the statements made and the conclusions reached in the following summary, and there can be no assurance that the IRS will agree with these statements and conclusions. For all these reasons, we urge you to consult with your tax advisor about the federal income tax and other tax consequences of the acquisition, ownership and disposition of the notes and common stock.</w:t>
      </w:r>
    </w:p>
    <w:p>
      <w:pPr>
        <w:spacing w:after="0" w:line="180"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INVESTORS CONSIDERING THE PURCHASE OF THE NOTES SHOULD CONSULT THEIR OWN TAX ADVISORS WITH RESPECT TO THE APPLICATION OF THE UNITED STATES FEDERAL INCOME TAX LAWS TO THEIR PARTICULAR SITUATIONS AS WELL AS ANY TAX CONSEQUENCES ARISING UNDER THE LAWS OF ANY STATE, LOCAL OR FOREIGN TAXING JURISDICTION OR UNDER ANY APPLICABLE TAX TREATY.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General</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have treated the notes as indebtedness for federal income tax purposes.</w:t>
      </w:r>
    </w:p>
    <w:p>
      <w:pPr>
        <w:spacing w:after="0"/>
        <w:rPr>
          <w:sz w:val="20"/>
          <w:szCs w:val="20"/>
          <w:color w:val="auto"/>
        </w:rPr>
      </w:pPr>
      <w:r>
        <w:rPr>
          <w:rFonts w:ascii="Courier New" w:cs="Courier New" w:eastAsia="Courier New" w:hAnsi="Courier New"/>
          <w:sz w:val="15"/>
          <w:szCs w:val="15"/>
          <w:color w:val="auto"/>
        </w:rPr>
        <w:t>This summary assumes that the IRS will respect this classification.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U.S. Holders</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As explained below, the federal income tax consequences of acquiring, owning and disposing of the notes and common stock depend on whether or not you are a U.S. holder. For purposes of this summary, you are a U.S. holder if you are a beneficial owner of the notes or common stock and for federal income tax purposes are:</w:t>
      </w:r>
    </w:p>
    <w:p>
      <w:pPr>
        <w:spacing w:after="0" w:line="178" w:lineRule="exact"/>
        <w:rPr>
          <w:sz w:val="20"/>
          <w:szCs w:val="20"/>
          <w:color w:val="auto"/>
        </w:rPr>
      </w:pPr>
    </w:p>
    <w:p>
      <w:pPr>
        <w:ind w:left="340" w:right="3439" w:hanging="173"/>
        <w:spacing w:after="0" w:line="260" w:lineRule="auto"/>
        <w:tabs>
          <w:tab w:leader="none" w:pos="3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citizen or resident of the United States, including an alien individual who is a lawful permanent resident of the United States or who meets the substantial presence residency test under the federal income tax laws,</w:t>
      </w:r>
    </w:p>
    <w:p>
      <w:pPr>
        <w:spacing w:after="0" w:line="163" w:lineRule="exact"/>
        <w:rPr>
          <w:sz w:val="20"/>
          <w:szCs w:val="20"/>
          <w:color w:val="auto"/>
        </w:rPr>
      </w:pPr>
    </w:p>
    <w:p>
      <w:pPr>
        <w:ind w:left="340" w:right="3439" w:hanging="173"/>
        <w:spacing w:after="0" w:line="259" w:lineRule="auto"/>
        <w:tabs>
          <w:tab w:leader="none" w:pos="3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partnership or other entity treated as a corporation or partnership for federal income tax purposes, that is created or organized in or under the laws of the United States, any of the fifty states or the District of Columbia, unless otherwise provided by Treasury regulations,</w:t>
      </w:r>
    </w:p>
    <w:p>
      <w:pPr>
        <w:spacing w:after="0" w:line="163" w:lineRule="exact"/>
        <w:rPr>
          <w:sz w:val="20"/>
          <w:szCs w:val="20"/>
          <w:color w:val="auto"/>
        </w:rPr>
      </w:pPr>
    </w:p>
    <w:p>
      <w:pPr>
        <w:ind w:left="340" w:right="3979" w:hanging="173"/>
        <w:spacing w:after="0" w:line="235" w:lineRule="auto"/>
        <w:tabs>
          <w:tab w:leader="none" w:pos="3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federal income taxation regardless of its source, or</w:t>
      </w:r>
    </w:p>
    <w:p>
      <w:pPr>
        <w:spacing w:after="0" w:line="176" w:lineRule="exact"/>
        <w:rPr>
          <w:sz w:val="20"/>
          <w:szCs w:val="20"/>
          <w:color w:val="auto"/>
        </w:rPr>
      </w:pPr>
    </w:p>
    <w:p>
      <w:pPr>
        <w:ind w:left="340" w:right="3439" w:hanging="173"/>
        <w:spacing w:after="0" w:line="237" w:lineRule="auto"/>
        <w:tabs>
          <w:tab w:leader="none" w:pos="3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United States persons have the authority to control all substantial decisions of the trust,</w:t>
      </w:r>
    </w:p>
    <w:p>
      <w:pPr>
        <w:spacing w:after="0" w:line="176"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and if your status as a U.S. holder is not overridden under the provisions of an applicable tax treaty. Conversely, you are a non-U.S. holder if you are a beneficial owner of the notes or common stock and are not a U.S. holder.</w:t>
      </w:r>
    </w:p>
    <w:p>
      <w:pPr>
        <w:spacing w:after="0" w:line="163"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If a partnership holds notes or common stock, the tax treatment of a partner will generally depend upon the status of the partner and upon the activities of the partnership. If you are a partner in that partnership, you should consult your tax advisor.</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Payment of Interest</w:t>
      </w:r>
    </w:p>
    <w:p>
      <w:pPr>
        <w:spacing w:after="0" w:line="175" w:lineRule="exact"/>
        <w:rPr>
          <w:sz w:val="20"/>
          <w:szCs w:val="20"/>
          <w:color w:val="auto"/>
        </w:rPr>
      </w:pPr>
    </w:p>
    <w:p>
      <w:pPr>
        <w:ind w:right="3359" w:firstLine="264"/>
        <w:spacing w:after="0" w:line="265" w:lineRule="auto"/>
        <w:rPr>
          <w:sz w:val="20"/>
          <w:szCs w:val="20"/>
          <w:color w:val="auto"/>
        </w:rPr>
      </w:pPr>
      <w:r>
        <w:rPr>
          <w:rFonts w:ascii="Courier New" w:cs="Courier New" w:eastAsia="Courier New" w:hAnsi="Courier New"/>
          <w:sz w:val="14"/>
          <w:szCs w:val="14"/>
          <w:color w:val="auto"/>
        </w:rPr>
        <w:t>All of the notes bear interest at a stated fixed rate. You generally must include this stated interest in your gross income as ordinary interest income:</w:t>
      </w:r>
    </w:p>
    <w:p>
      <w:pPr>
        <w:spacing w:after="0" w:line="158" w:lineRule="exact"/>
        <w:rPr>
          <w:sz w:val="20"/>
          <w:szCs w:val="20"/>
          <w:color w:val="auto"/>
        </w:rPr>
      </w:pPr>
    </w:p>
    <w:p>
      <w:pPr>
        <w:ind w:left="340" w:right="3439" w:hanging="173"/>
        <w:spacing w:after="0" w:line="235" w:lineRule="auto"/>
        <w:tabs>
          <w:tab w:leader="none" w:pos="3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you receive it, if you use the cash method of accounting for federal income tax purposes, or</w:t>
      </w:r>
    </w:p>
    <w:p>
      <w:pPr>
        <w:spacing w:after="0" w:line="176" w:lineRule="exact"/>
        <w:rPr>
          <w:sz w:val="20"/>
          <w:szCs w:val="20"/>
          <w:color w:val="auto"/>
        </w:rPr>
      </w:pPr>
    </w:p>
    <w:p>
      <w:pPr>
        <w:ind w:left="340" w:right="3539" w:hanging="173"/>
        <w:spacing w:after="0" w:line="235" w:lineRule="auto"/>
        <w:tabs>
          <w:tab w:leader="none" w:pos="3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it accrues, if you use the accrual method of accounting for federal income tax purposes.</w:t>
      </w:r>
    </w:p>
    <w:p>
      <w:pPr>
        <w:spacing w:after="0" w:line="176" w:lineRule="exact"/>
        <w:rPr>
          <w:sz w:val="20"/>
          <w:szCs w:val="20"/>
          <w:color w:val="auto"/>
        </w:rPr>
      </w:pPr>
    </w:p>
    <w:p>
      <w:pPr>
        <w:ind w:right="3259" w:firstLine="264"/>
        <w:spacing w:after="0" w:line="239" w:lineRule="auto"/>
        <w:rPr>
          <w:sz w:val="20"/>
          <w:szCs w:val="20"/>
          <w:color w:val="auto"/>
        </w:rPr>
      </w:pPr>
      <w:r>
        <w:rPr>
          <w:rFonts w:ascii="Courier New" w:cs="Courier New" w:eastAsia="Courier New" w:hAnsi="Courier New"/>
          <w:sz w:val="15"/>
          <w:szCs w:val="15"/>
          <w:color w:val="auto"/>
        </w:rPr>
        <w:t>In some circumstances, we may be obligated to pay you amounts in excess of stated interest or principal on the notes. For example, we would have to pay liquidated damages in some circumstances described in "Description of Notes-- Registration Rights". In addition, in some cases we will be able to call the notes for redemption at a price that will include an additional amount in excess of the principal of the notes. According to Treasury regulations, the possibility of liquidated damages being paid to you will not affect the amount of interest income you recognize, in advance of the payment of any liquidated damages, if there is only a remote chance as of the date the notes were issued that you will receive liquidated damages. We believe that the likelihood that we will pay liquidated damages is remote. Therefore, we do not intend to treat the potential payment of liquidated damages as part of the yield to maturity of any notes. Similarly, we intend to take the position that the likelihood of a redemption or repurchase of the notes is remote and likewise do not intend to treat the possibility of any premium payable on a redemption or repurchase as affecting the yield to maturity of any notes. Our determination that these contingencies are remote is binding on you unless you disclose your contrary position in the manner required by applicable Treasury regulations. Our determination is not, however, binding on the IRS. In the event a contingency occurs, it would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2" w:right="1440" w:bottom="1440" w:gutter="0" w:footer="0" w:header="0"/>
        </w:sectPr>
      </w:pPr>
    </w:p>
    <w:bookmarkStart w:id="29" w:name="page30"/>
    <w:bookmarkEnd w:id="29"/>
    <w:p>
      <w:pPr>
        <w:ind w:right="3259"/>
        <w:spacing w:after="0" w:line="237" w:lineRule="auto"/>
        <w:rPr>
          <w:sz w:val="20"/>
          <w:szCs w:val="20"/>
          <w:color w:val="auto"/>
        </w:rPr>
      </w:pPr>
      <w:r>
        <w:rPr>
          <w:rFonts w:ascii="Courier New" w:cs="Courier New" w:eastAsia="Courier New" w:hAnsi="Courier New"/>
          <w:sz w:val="15"/>
          <w:szCs w:val="15"/>
          <w:color w:val="auto"/>
        </w:rPr>
        <w:t>affect the amount and timing of the income that you must recognize. If we pay liquidated damages on the notes, you will be required to recognize additional income. If we pay a redemption premium, the premium could be treated as capital gain under the rules described under "--Sale, Exchange or Redemption of Notes or Shares of Common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Amortizable Bond Premium on Notes</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If you acquire a note and your adjusted tax basis in the note upon acquisition is greater than its principal amount, then you will be treated as having acquired that note with bond premium equal to the excess. Amortizable bond premium, however, will not include any premium attributable to the value of the note's conversion feature. You generally may elect to amortize the bond premium over the remaining term of the note on a constant yield method. The amount amortized in any year will be treated as a reduction of your interest income from the note for that year. If you do not make the election, your bond premium on a note will decrease the gain or increase the loss that you otherwise recognize on the note's disposition. Any election to amortize bond premium applies to all debt obligations, other than debt obligations the interest on which is excludable from gross income, that you hold at the beginning of the first taxable year to which the election applies or that you thereafter acquire. You may not revoke an election to amortize bond premium without the consent of the IRS. We urge you to consult with your tax advisor regarding this election.</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Discount on Notes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If you acquire a note and your adjusted tax basis upon acquisition is less than its principal amount, then you will be treated as having acquired that note at a market discount equal to the difference. The foregoing does not apply if the amount of the market discount is less than the de minimis amount specified under the Code. Under the market discount rules, you will be required to treat any gain on the sale, exchange, redemption, retirement or other taxable disposition of a note, or any appreciation in a note in the case of a nontaxable disposition, such as a gift, as ordinary income to the extent of the market discount that has not previously been included in income and that is treated as having accrued on the note at the time of the payment or disposition. In addition, you may be required to defer, until the maturity of the note or earlier taxable disposition, the deduction of all or a portion of interest expense on any indebtedness incurred or continued to purchase or carry the note.</w:t>
      </w:r>
    </w:p>
    <w:p>
      <w:pPr>
        <w:spacing w:after="0" w:line="184"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Any market discount will be considered to accrue evenly during the period from the day after your acquisition to the maturity date of the note, unless you elect to accrue the market discount on a constant yield method. You may also elect to include market discount in income currently as it accrues, on either an even or constant yield method. In that event, your basis in the note will increase by the amounts you so include in your income. If you make this election, the rules described above regarding ordinary income on dispositions and deferral of interest deductions will not apply. This election to include market discount in income currently, once made, applies to all market discount obligations acquired on or after the first taxable year to which the election applies. You may not revoke a market discount election without the consent of the IRS. We urge you to consult with your tax advisor regarding these market discount elections.</w:t>
      </w:r>
    </w:p>
    <w:p>
      <w:pPr>
        <w:spacing w:after="0" w:line="183" w:lineRule="exact"/>
        <w:rPr>
          <w:sz w:val="20"/>
          <w:szCs w:val="20"/>
          <w:color w:val="auto"/>
        </w:rPr>
      </w:pPr>
    </w:p>
    <w:p>
      <w:pPr>
        <w:ind w:right="3539" w:firstLine="264"/>
        <w:spacing w:after="0" w:line="235" w:lineRule="auto"/>
        <w:rPr>
          <w:sz w:val="20"/>
          <w:szCs w:val="20"/>
          <w:color w:val="auto"/>
        </w:rPr>
      </w:pPr>
      <w:r>
        <w:rPr>
          <w:rFonts w:ascii="Courier New" w:cs="Courier New" w:eastAsia="Courier New" w:hAnsi="Courier New"/>
          <w:sz w:val="15"/>
          <w:szCs w:val="15"/>
          <w:color w:val="auto"/>
        </w:rPr>
        <w:t>You should consult your own tax advisors concerning the existence of, and tax consequences of, market discount and amortizable bond premium.</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Conversion of Notes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You generally will not recognize gain or loss on the conversion of the notes solely into common stock, except with respect to cash received in lieu of fractional shares. Your tax basis in the shares of common stock received upon conversion of the notes will be equal to your adjusted tax basis in the notes exchanged for those shares, less any portion thereof allocable to cash received in lieu of a fractional share of common stock. The holding period of the common stock will generally include the period during which you held the notes prior to conversion.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30" w:name="page31"/>
    <w:bookmarkEnd w:id="30"/>
    <w:p>
      <w:pPr>
        <w:ind w:right="3259" w:firstLine="264"/>
        <w:spacing w:after="0" w:line="257" w:lineRule="auto"/>
        <w:rPr>
          <w:sz w:val="20"/>
          <w:szCs w:val="20"/>
          <w:color w:val="auto"/>
        </w:rPr>
      </w:pPr>
      <w:r>
        <w:rPr>
          <w:rFonts w:ascii="Courier New" w:cs="Courier New" w:eastAsia="Courier New" w:hAnsi="Courier New"/>
          <w:sz w:val="14"/>
          <w:szCs w:val="14"/>
          <w:color w:val="auto"/>
        </w:rPr>
        <w:t>Under the current ruling policy of the IRS, cash received in lieu of a fractional share of common stock generally should be treated as a payment in exchange for the fractional share rather than as a dividend. Accordingly, the receipt of cash in lieu of a fractional share of common stock generally will result in gain or loss (measured by the difference between the cash you receive for the fractional share and your adjusted tax basis in the fractional share). Any gain would be ordinary income to the extent of any accrued market discount on your notes that you have not previously included in your income, and otherwise would be capital gain. Any accrued market discount not previously included in income as of the date of the conversion of the notes will carry over to the common stock received on conversion and will give rise to ordinary income upon the subsequent disposition of that stock.</w:t>
      </w:r>
    </w:p>
    <w:p>
      <w:pPr>
        <w:spacing w:after="0" w:line="16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Exchange or Redemption of Notes or Shares of Common Stock</w:t>
      </w:r>
    </w:p>
    <w:p>
      <w:pPr>
        <w:spacing w:after="0" w:line="175"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You generally will recognize gain or loss upon the sale, exchange, redemption, retirement or other disposition of notes (other than a conversion) measured by the difference between:</w:t>
      </w:r>
    </w:p>
    <w:p>
      <w:pPr>
        <w:spacing w:after="0" w:line="175" w:lineRule="exact"/>
        <w:rPr>
          <w:sz w:val="20"/>
          <w:szCs w:val="20"/>
          <w:color w:val="auto"/>
        </w:rPr>
      </w:pPr>
    </w:p>
    <w:p>
      <w:pPr>
        <w:ind w:left="440" w:right="3439" w:hanging="273"/>
        <w:spacing w:after="0" w:line="238" w:lineRule="auto"/>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proceeds and the fair market value of any property you receive (except to the extent attributable to accrued interest income and market discount not previously included in income, which will generally be taxable as ordinary income, or attributable to accrued interest previously included in income, which amount may be received without generating further income), and</w:t>
      </w:r>
    </w:p>
    <w:p>
      <w:pPr>
        <w:spacing w:after="0" w:line="170" w:lineRule="exact"/>
        <w:rPr>
          <w:sz w:val="20"/>
          <w:szCs w:val="20"/>
          <w:color w:val="auto"/>
        </w:rPr>
      </w:pPr>
    </w:p>
    <w:p>
      <w:pPr>
        <w:ind w:left="520" w:hanging="353"/>
        <w:spacing w:after="0"/>
        <w:tabs>
          <w:tab w:leader="none" w:pos="5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adjusted tax basis in the notes.</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Your adjusted tax basis in the notes generally will equal your acquisition cost of the notes after reduction for amounts allocated to prior accrued stated interest, increased by any market discount included in your income, and reduced by any bond premium you amortized and principal payments you received. Subject to the market discount rules described above, the capital gain or loss will be long-term if your holding period is more than 12 months and will be short-term if your holding period is equal to or less than 12 months. In general, for individuals, long-term capital gains are taxed at a maximum rate of 20% and short-term capital gains are taxed at a maximum rate of 39.6%.</w:t>
      </w:r>
    </w:p>
    <w:p>
      <w:pPr>
        <w:spacing w:after="0" w:line="16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Constructive Dividends on Notes</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Under Treasury regulations, an adjustment in the conversion price, or the failure to make an adjustment, may, under particular circumstances, be treated as a constructive taxable dividend to the extent of our current or accumulated earnings and profits. Adjustments to the conversion price made pursuant to a bona fide reasonable adjustment formula which has the effect of preventing the dilution of your interest as a holder of the notes generally will not be considered to result in a constructive distribution of stock where the adjustment does not compensate you for taxable distributions to other stockholders. However, if at any time</w:t>
      </w:r>
    </w:p>
    <w:p>
      <w:pPr>
        <w:spacing w:after="0" w:line="179" w:lineRule="exact"/>
        <w:rPr>
          <w:sz w:val="20"/>
          <w:szCs w:val="20"/>
          <w:color w:val="auto"/>
        </w:rPr>
      </w:pPr>
    </w:p>
    <w:p>
      <w:pPr>
        <w:ind w:left="440" w:right="3619" w:hanging="273"/>
        <w:spacing w:after="0" w:line="238"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make a distribution of cash or property to our stockholders or a purchase of common stock and the distribution or purchase would be taxable to our stockholders as a dividend for United States federal income tax purposes (e.g., distributions of evidences of our indebtedness or assets, but generally not stock dividends or rights to subscribe for common stock) and, pursuant to the anti-dilution provisions of the Indenture, the conversion price (as defined in the Indenture) of the notes is reduced,</w:t>
      </w:r>
    </w:p>
    <w:p>
      <w:pPr>
        <w:spacing w:after="0" w:line="178" w:lineRule="exact"/>
        <w:rPr>
          <w:sz w:val="20"/>
          <w:szCs w:val="20"/>
          <w:color w:val="auto"/>
        </w:rPr>
      </w:pPr>
    </w:p>
    <w:p>
      <w:pPr>
        <w:ind w:left="440" w:right="3439" w:hanging="273"/>
        <w:spacing w:after="0" w:line="235"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is reduced pursuant to a formula that is not a bona fide reasonable adjustment formula, or</w:t>
      </w:r>
    </w:p>
    <w:p>
      <w:pPr>
        <w:spacing w:after="0" w:line="170" w:lineRule="exact"/>
        <w:rPr>
          <w:sz w:val="20"/>
          <w:szCs w:val="20"/>
          <w:color w:val="auto"/>
        </w:rPr>
      </w:pPr>
    </w:p>
    <w:p>
      <w:pPr>
        <w:ind w:left="440" w:hanging="273"/>
        <w:spacing w:after="0"/>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of the notes is reduced at our discretion,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this reduction in conversion price may be deemed to be the payment of a taxable dividend to you as a holder of the notes (pursuant to Section 305 of the Code). You could therefore have taxable income as a result of an event pursuant to which you received no cash or property. Your tax basis in a note, however, generally will be increased by the amount of any constructive dividend included in your income.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sectPr>
      </w:pPr>
    </w:p>
    <w:bookmarkStart w:id="31" w:name="page32"/>
    <w:bookmarkEnd w:id="31"/>
    <w:p>
      <w:pPr>
        <w:ind w:left="80"/>
        <w:spacing w:after="0"/>
        <w:rPr>
          <w:sz w:val="20"/>
          <w:szCs w:val="20"/>
          <w:color w:val="auto"/>
        </w:rPr>
      </w:pPr>
      <w:r>
        <w:rPr>
          <w:rFonts w:ascii="Courier New" w:cs="Courier New" w:eastAsia="Courier New" w:hAnsi="Courier New"/>
          <w:sz w:val="15"/>
          <w:szCs w:val="15"/>
          <w:color w:val="auto"/>
        </w:rPr>
        <w:t>Distributions on Common Stock</w:t>
      </w:r>
    </w:p>
    <w:p>
      <w:pPr>
        <w:spacing w:after="0" w:line="175" w:lineRule="exact"/>
        <w:rPr>
          <w:sz w:val="20"/>
          <w:szCs w:val="20"/>
          <w:color w:val="auto"/>
        </w:rPr>
      </w:pPr>
    </w:p>
    <w:p>
      <w:pPr>
        <w:ind w:right="3359" w:firstLine="264"/>
        <w:spacing w:after="0" w:line="260" w:lineRule="auto"/>
        <w:rPr>
          <w:sz w:val="20"/>
          <w:szCs w:val="20"/>
          <w:color w:val="auto"/>
        </w:rPr>
      </w:pPr>
      <w:r>
        <w:rPr>
          <w:rFonts w:ascii="Courier New" w:cs="Courier New" w:eastAsia="Courier New" w:hAnsi="Courier New"/>
          <w:sz w:val="14"/>
          <w:szCs w:val="14"/>
          <w:color w:val="auto"/>
        </w:rPr>
        <w:t>The amount of any distribution by us on the common stock will be equal to the amount of cash and the fair market value, on the date of distribution, of any property distributed. Generally, distributions will be treated as follows:</w:t>
      </w:r>
    </w:p>
    <w:p>
      <w:pPr>
        <w:spacing w:after="0" w:line="163" w:lineRule="exact"/>
        <w:rPr>
          <w:sz w:val="20"/>
          <w:szCs w:val="20"/>
          <w:color w:val="auto"/>
        </w:rPr>
      </w:pPr>
    </w:p>
    <w:p>
      <w:pPr>
        <w:ind w:left="340" w:right="3619" w:hanging="173"/>
        <w:spacing w:after="0" w:line="235" w:lineRule="auto"/>
        <w:tabs>
          <w:tab w:leader="none" w:pos="3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as ordinary dividend income to the extent paid out of our current or accumulated earnings and profits,</w:t>
      </w:r>
    </w:p>
    <w:p>
      <w:pPr>
        <w:spacing w:after="0" w:line="176" w:lineRule="exact"/>
        <w:rPr>
          <w:sz w:val="20"/>
          <w:szCs w:val="20"/>
          <w:color w:val="auto"/>
        </w:rPr>
      </w:pPr>
    </w:p>
    <w:p>
      <w:pPr>
        <w:jc w:val="both"/>
        <w:ind w:left="340" w:right="3799" w:hanging="173"/>
        <w:spacing w:after="0" w:line="265" w:lineRule="auto"/>
        <w:tabs>
          <w:tab w:leader="none" w:pos="3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 as a nontaxable return of capital that reduces your basis in the stock dollar-for-dollar until the basis has been reduced to zero, and</w:t>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finally as capital gain from the sale or exchange of the stock.</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 general, if you are a corporate U.S. holder, you will qualify for the 70% dividends-received deduction if you own less than 20% of the voting power and value of our stock (other than any non-voting, non-convertible, non-participating preferred stock). If you are a corporate U.S. holder that owns 20% or more of the voting power and value of our stock (other than any non-voting, non-convertible, non-participating preferred stock), generally you will qualify for an 80% dividends-received deduction. The dividends-received deduction is subject, however, to holding period requirements and taxable income and other limitations.</w:t>
      </w:r>
    </w:p>
    <w:p>
      <w:pPr>
        <w:spacing w:after="0" w:line="179"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A failure to adjust fully the conversion price of the notes to reflect a stock dividend or other event increasing the proportionate interest of holders of common stock in our earnings and profits or assets could, in some circumstances, be deemed to result in the payment of a taxable dividend to holders of common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of Common Stock</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Subject to the market discount rules discussed above, your sale or other taxable disposition of common stock will generally result in capital gain or loss equal to the difference between the amount of cash or property you receive and your adjusted tax basis in the stock. Such capital gain or loss will be long-term if your holding period is more than 12 months and will be short-term is your holding period is equal to or less than 12 months. In general, for individuals, long-term capital gains are taxed at a maximum rate of 20% and short-term capital gains are taxed at a maximum rate of 39.6%. Your basis and holding period in common stock received upon conversion of a convertible note are determined as discussed above under "-Conversion of Notes."</w:t>
      </w:r>
    </w:p>
    <w:p>
      <w:pPr>
        <w:spacing w:after="0" w:line="16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Information Reporting and Backup Withholding Tax</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 general, information reporting requirements will apply to "reportable payments" to certain noncorporate U.S. holders of principal and interest on a note, dividends on common stock, the proceeds of the sale of a note and the proceeds of the sale of common stock. If you are a noncorporate U.S. holder you may be subject to backup withholding at a 31% rate when you receive interest and dividends with respect to the notes or common stock, or when you receive proceeds upon the sale, exchange, redemption, retirement or other disposition of the notes or common stock. In general, you can avoid this backup withholding by properly executing under penalties of perjury an IRS Form W-9 or substantially similar form that provides: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your correct taxpayer identification number, and</w:t>
      </w:r>
    </w:p>
    <w:p>
      <w:pPr>
        <w:spacing w:after="0" w:line="175" w:lineRule="exact"/>
        <w:rPr>
          <w:sz w:val="20"/>
          <w:szCs w:val="20"/>
          <w:color w:val="auto"/>
        </w:rPr>
      </w:pPr>
    </w:p>
    <w:p>
      <w:pPr>
        <w:ind w:left="340" w:right="3539" w:hanging="173"/>
        <w:spacing w:after="0" w:line="256" w:lineRule="auto"/>
        <w:tabs>
          <w:tab w:leader="none" w:pos="3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certification that (a) you are exempt from backup withholding because you are a corporation or come within another enumerated exempt category,</w:t>
      </w:r>
    </w:p>
    <w:p>
      <w:pPr>
        <w:ind w:left="340" w:right="3539" w:firstLine="3"/>
        <w:spacing w:after="0" w:line="237" w:lineRule="auto"/>
        <w:tabs>
          <w:tab w:leader="none" w:pos="693"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not been notified by the IRS that you are subject to backup withholding, or (c) you have been notified by the IRS that you are no longer subject to backup withholding.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2" w:right="1440" w:bottom="1440" w:gutter="0" w:footer="0" w:header="0"/>
        </w:sectPr>
      </w:pPr>
    </w:p>
    <w:bookmarkStart w:id="32" w:name="page33"/>
    <w:bookmarkEnd w:id="32"/>
    <w:p>
      <w:pPr>
        <w:jc w:val="both"/>
        <w:ind w:right="3259" w:firstLine="264"/>
        <w:spacing w:after="0" w:line="237" w:lineRule="auto"/>
        <w:rPr>
          <w:sz w:val="20"/>
          <w:szCs w:val="20"/>
          <w:color w:val="auto"/>
        </w:rPr>
      </w:pPr>
      <w:r>
        <w:rPr>
          <w:rFonts w:ascii="Courier New" w:cs="Courier New" w:eastAsia="Courier New" w:hAnsi="Courier New"/>
          <w:sz w:val="15"/>
          <w:szCs w:val="15"/>
          <w:color w:val="auto"/>
        </w:rPr>
        <w:t>If you do not provide your correct taxpayer identification number on the IRS Form W-9 or substantially similar form, you may be subject to penalties imposed by the IRS.</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Backup withholding will not apply, however, with respect to payments made to certain holders, including corporations, tax exempt organizations and certain foreign persons, provided their exemptions from backup withholding are properly established.</w:t>
      </w:r>
    </w:p>
    <w:p>
      <w:pPr>
        <w:spacing w:after="0" w:line="176"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Amounts withheld are generally not an additional tax and may be refunded or credited against your federal income tax liability, provided you furnish the required information to the IRS.</w:t>
      </w:r>
    </w:p>
    <w:p>
      <w:pPr>
        <w:spacing w:after="0" w:line="175" w:lineRule="exact"/>
        <w:rPr>
          <w:sz w:val="20"/>
          <w:szCs w:val="20"/>
          <w:color w:val="auto"/>
        </w:rPr>
      </w:pPr>
    </w:p>
    <w:p>
      <w:pPr>
        <w:jc w:val="both"/>
        <w:ind w:right="3359" w:firstLine="264"/>
        <w:spacing w:after="0" w:line="237" w:lineRule="auto"/>
        <w:rPr>
          <w:sz w:val="20"/>
          <w:szCs w:val="20"/>
          <w:color w:val="auto"/>
        </w:rPr>
      </w:pPr>
      <w:r>
        <w:rPr>
          <w:rFonts w:ascii="Courier New" w:cs="Courier New" w:eastAsia="Courier New" w:hAnsi="Courier New"/>
          <w:sz w:val="15"/>
          <w:szCs w:val="15"/>
          <w:color w:val="auto"/>
        </w:rPr>
        <w:t>We will report to the U.S. holders of notes and common stock and to the IRS the amount of any "reportable payments" for each calendar year and the amount of tax withheld, if any, with respect to these payments.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75" w:lineRule="exact"/>
        <w:rPr>
          <w:sz w:val="20"/>
          <w:szCs w:val="20"/>
          <w:color w:val="auto"/>
        </w:rPr>
      </w:pPr>
    </w:p>
    <w:p>
      <w:pPr>
        <w:ind w:right="3439" w:firstLine="264"/>
        <w:spacing w:after="0" w:line="235" w:lineRule="auto"/>
        <w:rPr>
          <w:sz w:val="20"/>
          <w:szCs w:val="20"/>
          <w:color w:val="auto"/>
        </w:rPr>
      </w:pPr>
      <w:r>
        <w:rPr>
          <w:rFonts w:ascii="Courier New" w:cs="Courier New" w:eastAsia="Courier New" w:hAnsi="Courier New"/>
          <w:sz w:val="15"/>
          <w:szCs w:val="15"/>
          <w:color w:val="auto"/>
        </w:rPr>
        <w:t>As used herein, the term "non-U.S. holder" means any beneficial owner of a note or common stock that is not a U.S. holder.</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Payment of Interest</w:t>
      </w:r>
    </w:p>
    <w:p>
      <w:pPr>
        <w:spacing w:after="0" w:line="175" w:lineRule="exact"/>
        <w:rPr>
          <w:sz w:val="20"/>
          <w:szCs w:val="20"/>
          <w:color w:val="auto"/>
        </w:rPr>
      </w:pPr>
    </w:p>
    <w:p>
      <w:pPr>
        <w:ind w:right="3699" w:firstLine="264"/>
        <w:spacing w:after="0" w:line="237" w:lineRule="auto"/>
        <w:rPr>
          <w:sz w:val="20"/>
          <w:szCs w:val="20"/>
          <w:color w:val="auto"/>
        </w:rPr>
      </w:pPr>
      <w:r>
        <w:rPr>
          <w:rFonts w:ascii="Courier New" w:cs="Courier New" w:eastAsia="Courier New" w:hAnsi="Courier New"/>
          <w:sz w:val="15"/>
          <w:szCs w:val="15"/>
          <w:color w:val="auto"/>
        </w:rPr>
        <w:t>Generally, if you are a non-U.S. holder, interest income that is not effectively connected with a United States trade or business will not be subject to a U.S. withholding tax under the "portfolio interest exemption" provided that:</w:t>
      </w:r>
    </w:p>
    <w:p>
      <w:pPr>
        <w:spacing w:after="0" w:line="176" w:lineRule="exact"/>
        <w:rPr>
          <w:sz w:val="20"/>
          <w:szCs w:val="20"/>
          <w:color w:val="auto"/>
        </w:rPr>
      </w:pPr>
    </w:p>
    <w:p>
      <w:pPr>
        <w:jc w:val="both"/>
        <w:ind w:left="440" w:right="3699" w:hanging="273"/>
        <w:spacing w:after="0" w:line="260" w:lineRule="auto"/>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do not actually or constructively own (pursuant to the conversion feature of the notes or otherwise) 10% or more of the combined voting power of all of our classes of stock entitled to vote,</w:t>
      </w:r>
    </w:p>
    <w:p>
      <w:pPr>
        <w:spacing w:after="0" w:line="163" w:lineRule="exact"/>
        <w:rPr>
          <w:sz w:val="20"/>
          <w:szCs w:val="20"/>
          <w:color w:val="auto"/>
        </w:rPr>
      </w:pPr>
    </w:p>
    <w:p>
      <w:pPr>
        <w:ind w:left="440" w:right="3619" w:hanging="273"/>
        <w:spacing w:after="0" w:line="235" w:lineRule="auto"/>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not a controlled foreign corporation related to us actually or constructively through stock ownership,</w:t>
      </w:r>
    </w:p>
    <w:p>
      <w:pPr>
        <w:spacing w:after="0" w:line="176" w:lineRule="exact"/>
        <w:rPr>
          <w:sz w:val="20"/>
          <w:szCs w:val="20"/>
          <w:color w:val="auto"/>
        </w:rPr>
      </w:pPr>
    </w:p>
    <w:p>
      <w:pPr>
        <w:ind w:left="440" w:right="3699" w:hanging="273"/>
        <w:spacing w:after="0" w:line="237" w:lineRule="auto"/>
        <w:tabs>
          <w:tab w:leader="none" w:pos="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not a bank which acquired the notes in consideration for an extension of credit made pursuant to a loan agreement entered into in the ordinary course of business, and</w:t>
      </w:r>
    </w:p>
    <w:p>
      <w:pPr>
        <w:spacing w:after="0" w:line="175" w:lineRule="exact"/>
        <w:rPr>
          <w:sz w:val="20"/>
          <w:szCs w:val="20"/>
          <w:color w:val="auto"/>
        </w:rPr>
      </w:pPr>
    </w:p>
    <w:p>
      <w:pPr>
        <w:ind w:left="440" w:right="3619" w:hanging="273"/>
        <w:spacing w:after="0" w:line="257" w:lineRule="auto"/>
        <w:tabs>
          <w:tab w:leader="none" w:pos="4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you provide a Form W-8BEN (or a suitable substitution form) signed under penalties of perjury that includes your name and address and certifies as to your non-United States status, or (b) a securities clearing organization, bank or other financial institution that holds customers' securities in the ordinary course of its trade or business, provides a statement to us or our agent under penalties of perjury in which it certifies that a Form W-8BEN or W-8IMY (or a suitable substitute) has been received by it from you or a qualifying intermediary and furnishes us or our agent with a copy of such form.</w:t>
      </w:r>
    </w:p>
    <w:p>
      <w:pPr>
        <w:spacing w:after="0" w:line="167"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Interest on notes not exempted from U.S. withholding tax as described above and not effectively connected with a United States trade or business generally will be subject to U.S. withholding tax at a 30% rate, except where an applicable tax treaty provides for the reduction or elimination of that withholding tax. We may be required to report annually to the IRS and to each non-U.S. holder the amount of interest paid to, and the tax withheld, if any, with respect to, each non-U.S. holder.</w:t>
      </w:r>
    </w:p>
    <w:p>
      <w:pPr>
        <w:spacing w:after="0" w:line="177"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Except to the extent that an applicable treaty otherwise provides, generally you will be taxed in the same manner as a U.S. holder with respect to interest if the interest income is effectively connected with your conduct of a United States trade or business. If you are a corporate non-U.S. holder, you may also, under certain circumstances, be subject to an additional "branch profits tax" at a 30% rate (or, if applicable, a lower treaty rate). Even though the effectively connected interest is subject to income tax, and may be subject to the branch profits tax, it may not be subject to withholding tax if you deliver a properly executed IRS Form W-8ECI to the payor.</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7" w:right="1440" w:bottom="1440" w:gutter="0" w:footer="0" w:header="0"/>
        </w:sectPr>
      </w:pPr>
    </w:p>
    <w:bookmarkStart w:id="33" w:name="page34"/>
    <w:bookmarkEnd w:id="33"/>
    <w:p>
      <w:pPr>
        <w:ind w:right="3359" w:firstLine="264"/>
        <w:spacing w:after="0" w:line="257" w:lineRule="auto"/>
        <w:rPr>
          <w:sz w:val="20"/>
          <w:szCs w:val="20"/>
          <w:color w:val="auto"/>
        </w:rPr>
      </w:pPr>
      <w:r>
        <w:rPr>
          <w:rFonts w:ascii="Courier New" w:cs="Courier New" w:eastAsia="Courier New" w:hAnsi="Courier New"/>
          <w:sz w:val="14"/>
          <w:szCs w:val="14"/>
          <w:color w:val="auto"/>
        </w:rPr>
        <w:t>To claim the benefit of a tax treaty or to claim exemption from withholding because the income is U.S. trade or business income, the non-U.S. holder must provide a properly executed IRS Form 1001 or IRS Form 4224 (or any successor forms that the IRS designates), as applicable, prior to the payment of interest. Under recently issued Treasury regulations that generally will be effective on and after January 1, 2001, the non-U.S. holder must provide a properly executed Form W-8BEN or W-8ECI in order to continue to claim such benefit or exemption for payments made after December 31, 2000. Under the new regulations, a non-U.S. holder may in some circumstances be required to obtain a U.S. taxpayer identification number and make some certifications to us. Special procedures are provided in the new regulations for payments through qualified intermediaries. Prospective investors should consult their tax advisors regarding the effect, if any, of the new regulations.</w:t>
      </w:r>
    </w:p>
    <w:p>
      <w:pPr>
        <w:spacing w:after="0" w:line="16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Exchange or Redemption of Notes</w:t>
      </w:r>
    </w:p>
    <w:p>
      <w:pPr>
        <w:spacing w:after="0" w:line="175" w:lineRule="exact"/>
        <w:rPr>
          <w:sz w:val="20"/>
          <w:szCs w:val="20"/>
          <w:color w:val="auto"/>
        </w:rPr>
      </w:pPr>
    </w:p>
    <w:p>
      <w:pPr>
        <w:jc w:val="both"/>
        <w:ind w:right="3259" w:firstLine="264"/>
        <w:spacing w:after="0" w:line="259" w:lineRule="auto"/>
        <w:rPr>
          <w:sz w:val="20"/>
          <w:szCs w:val="20"/>
          <w:color w:val="auto"/>
        </w:rPr>
      </w:pPr>
      <w:r>
        <w:rPr>
          <w:rFonts w:ascii="Courier New" w:cs="Courier New" w:eastAsia="Courier New" w:hAnsi="Courier New"/>
          <w:sz w:val="14"/>
          <w:szCs w:val="14"/>
          <w:color w:val="auto"/>
        </w:rPr>
        <w:t>If you are a non-U.S. holder of a note, generally you will not be subject to United States federal income tax or withholding tax on any gain realized on the sale, exchange or redemption of the note, including the receipt of cash in lieu of fractional shares upon conversion of a note into common stock, unless</w:t>
      </w:r>
    </w:p>
    <w:p>
      <w:pPr>
        <w:spacing w:after="0" w:line="163" w:lineRule="exact"/>
        <w:rPr>
          <w:sz w:val="20"/>
          <w:szCs w:val="20"/>
          <w:color w:val="auto"/>
        </w:rPr>
      </w:pPr>
    </w:p>
    <w:p>
      <w:pPr>
        <w:ind w:left="440" w:right="3619" w:hanging="273"/>
        <w:spacing w:after="0" w:line="235" w:lineRule="auto"/>
        <w:tabs>
          <w:tab w:leader="none" w:pos="4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your conduct of a United States trade or business,</w:t>
      </w:r>
    </w:p>
    <w:p>
      <w:pPr>
        <w:spacing w:after="0" w:line="176" w:lineRule="exact"/>
        <w:rPr>
          <w:sz w:val="20"/>
          <w:szCs w:val="20"/>
          <w:color w:val="auto"/>
        </w:rPr>
      </w:pPr>
    </w:p>
    <w:p>
      <w:pPr>
        <w:ind w:left="440" w:right="3539" w:hanging="273"/>
        <w:spacing w:after="0" w:line="237" w:lineRule="auto"/>
        <w:tabs>
          <w:tab w:leader="none" w:pos="4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an individual and are present in the United States for a period or periods aggregating 183 days or more during the taxable year of the disposition and certain other conditions are met,</w:t>
      </w:r>
    </w:p>
    <w:p>
      <w:pPr>
        <w:spacing w:after="0" w:line="175" w:lineRule="exact"/>
        <w:rPr>
          <w:sz w:val="20"/>
          <w:szCs w:val="20"/>
          <w:color w:val="auto"/>
        </w:rPr>
      </w:pPr>
    </w:p>
    <w:p>
      <w:pPr>
        <w:ind w:left="440" w:right="3439" w:hanging="273"/>
        <w:spacing w:after="0" w:line="235" w:lineRule="auto"/>
        <w:tabs>
          <w:tab w:leader="none" w:pos="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subject to tax pursuant to the provisions of the Code applicable to certain United States expatriates, or</w:t>
      </w:r>
    </w:p>
    <w:p>
      <w:pPr>
        <w:spacing w:after="0" w:line="176" w:lineRule="exact"/>
        <w:rPr>
          <w:sz w:val="20"/>
          <w:szCs w:val="20"/>
          <w:color w:val="auto"/>
        </w:rPr>
      </w:pPr>
    </w:p>
    <w:p>
      <w:pPr>
        <w:ind w:left="440" w:right="3439" w:hanging="273"/>
        <w:spacing w:after="0" w:line="238" w:lineRule="auto"/>
        <w:tabs>
          <w:tab w:leader="none" w:pos="4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or have been at any time, within the shorter of the five year period preceding the sale or other disposition and the period you held the note, a United States real property holding corporation within the meaning of Section 897 of the Code. We do not believe that we are currently a "United States real property holding corporation" within the meaning of Section 897 of the Code and do not expect that we will become one in the future. See "--United States Real Property Holding Corporations" below.</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Conversion of Notes</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In general, if you are a non-U.S. holder, no United States federal income tax or withholding tax will be imposed upon the conversion of a note into common stock. However, cash (if any) received in lieu of a fractional share will be subject to U.S. federal income tax if it is U.S. trade or business income. Cash received in lieu of a fractional share may give rise to gain that would be subject to the rules described above for the sale of notes.</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or Exchange of Common Stock</w:t>
      </w:r>
    </w:p>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As a non-U.S. holder, generally you will not be subject to United States federal income tax or withholding tax on the sale or exchange of common stock unless any of the conditions described above under "--Sale, Exchange or Redemption of Notes" are satisfied.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If you are a non-U.S. holder, you will be subject to United States federal withholding tax at a 30% rate (or lower rate provided under any applicable income tax treaty) on distributions by us with respect to the common stock that are treated as dividends paid (or dividends deemed paid on the</w:t>
      </w:r>
    </w:p>
    <w:p>
      <w:pPr>
        <w:spacing w:after="0" w:line="7"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notes or common stock, as described above under "U.S. Holders--Constructive Dividends on Notes"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34" w:name="page35"/>
    <w:bookmarkEnd w:id="34"/>
    <w:p>
      <w:pPr>
        <w:ind w:right="3259"/>
        <w:spacing w:after="0" w:line="256" w:lineRule="auto"/>
        <w:rPr>
          <w:sz w:val="20"/>
          <w:szCs w:val="20"/>
          <w:color w:val="auto"/>
        </w:rPr>
      </w:pPr>
      <w:r>
        <w:rPr>
          <w:rFonts w:ascii="Courier New" w:cs="Courier New" w:eastAsia="Courier New" w:hAnsi="Courier New"/>
          <w:sz w:val="14"/>
          <w:szCs w:val="14"/>
          <w:color w:val="auto"/>
        </w:rPr>
        <w:t>and "U.S. Holders--Distributions on Common Stock") (excluding dividends that are effectively connected with the conduct by you of a trade or business in the</w:t>
      </w:r>
    </w:p>
    <w:tbl>
      <w:tblPr>
        <w:tblLayout w:type="fixed"/>
        <w:tblInd w:w="0" w:type="dxa"/>
        <w:tblCellMar>
          <w:top w:w="0" w:type="dxa"/>
          <w:left w:w="0" w:type="dxa"/>
          <w:bottom w:w="0" w:type="dxa"/>
          <w:right w:w="0" w:type="dxa"/>
        </w:tblCellMar>
      </w:tblPr>
      <w:tr>
        <w:trPr>
          <w:trHeight w:val="165"/>
        </w:trPr>
        <w:tc>
          <w:tcPr>
            <w:tcW w:w="560" w:type="dxa"/>
            <w:vAlign w:val="bottom"/>
          </w:tcPr>
          <w:p>
            <w:pPr>
              <w:spacing w:after="0" w:line="165" w:lineRule="exact"/>
              <w:rPr>
                <w:sz w:val="20"/>
                <w:szCs w:val="20"/>
                <w:color w:val="auto"/>
              </w:rPr>
            </w:pPr>
            <w:r>
              <w:rPr>
                <w:rFonts w:ascii="Courier New" w:cs="Courier New" w:eastAsia="Courier New" w:hAnsi="Courier New"/>
                <w:sz w:val="15"/>
                <w:szCs w:val="15"/>
                <w:color w:val="auto"/>
                <w:w w:val="99"/>
              </w:rPr>
              <w:t>United</w:t>
            </w:r>
          </w:p>
        </w:tc>
        <w:tc>
          <w:tcPr>
            <w:tcW w:w="6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States</w:t>
            </w:r>
          </w:p>
        </w:tc>
        <w:tc>
          <w:tcPr>
            <w:tcW w:w="458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w w:val="98"/>
              </w:rPr>
              <w:t>and that are taxable as described below). Except to</w:t>
            </w:r>
          </w:p>
        </w:tc>
        <w:tc>
          <w:tcPr>
            <w:tcW w:w="120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the extent</w:t>
            </w: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that an applicable</w:t>
            </w:r>
          </w:p>
        </w:tc>
        <w:tc>
          <w:tcPr>
            <w:tcW w:w="5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tax treaty otherwise provides, generally you will be taxed</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 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manner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as a</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8"/>
              </w:rPr>
              <w:t>U.S. holder on dividends paid (or deemed paid)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are</w:t>
            </w:r>
          </w:p>
        </w:tc>
      </w:tr>
      <w:tr>
        <w:trPr>
          <w:trHeight w:val="170"/>
        </w:trPr>
        <w:tc>
          <w:tcPr>
            <w:tcW w:w="5760" w:type="dxa"/>
            <w:vAlign w:val="bottom"/>
            <w:gridSpan w:val="4"/>
          </w:tcPr>
          <w:p>
            <w:pPr>
              <w:spacing w:after="0"/>
              <w:rPr>
                <w:sz w:val="20"/>
                <w:szCs w:val="20"/>
                <w:color w:val="auto"/>
              </w:rPr>
            </w:pPr>
            <w:r>
              <w:rPr>
                <w:rFonts w:ascii="Courier New" w:cs="Courier New" w:eastAsia="Courier New" w:hAnsi="Courier New"/>
                <w:sz w:val="15"/>
                <w:szCs w:val="15"/>
                <w:color w:val="auto"/>
                <w:w w:val="98"/>
              </w:rPr>
              <w:t>effectively connected with your conduct of a trade or business in</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United</w:t>
            </w: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States. If you are</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8"/>
              </w:rPr>
              <w:t>a foreign corporation, you may also be subject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to a</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United</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States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branch</w:t>
            </w:r>
          </w:p>
        </w:tc>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profits tax on such effectively connected income at</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 30% rate or</w:t>
            </w: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such lower rate as</w:t>
            </w:r>
          </w:p>
        </w:tc>
        <w:tc>
          <w:tcPr>
            <w:tcW w:w="5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may be specified in an applicable income tax treaty. Even</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though</w:t>
            </w:r>
          </w:p>
        </w:tc>
        <w:tc>
          <w:tcPr>
            <w:tcW w:w="52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such effectively connected dividends are subject to income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tax,</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and may</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be subject to</w:t>
            </w:r>
          </w:p>
        </w:tc>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the branch profits tax, they will not be subject 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U.S.</w:t>
            </w:r>
          </w:p>
        </w:tc>
        <w:tc>
          <w:tcPr>
            <w:tcW w:w="760" w:type="dxa"/>
            <w:vAlign w:val="bottom"/>
          </w:tcPr>
          <w:p>
            <w:pPr>
              <w:spacing w:after="0"/>
              <w:rPr>
                <w:sz w:val="14"/>
                <w:szCs w:val="14"/>
                <w:color w:val="auto"/>
              </w:rPr>
            </w:pP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withholding tax if</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8"/>
              </w:rPr>
              <w:t>you deliver the appropriate IRS Form W-8ECI to</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the payor, as</w:t>
            </w: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rPr>
              <w:t>discussed above.</w:t>
            </w:r>
          </w:p>
        </w:tc>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75"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Under Treasury regulations applicable for payments made after December 31, 2000, if you are a non-U.S. holder of common stock and wish to claim the benefit of an applicable treaty rate, you will be required to satisfy certain certification requirements.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Death of a Non-U.S. Holder</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If you are an individual who is not a citizen or resident of the United States and you hold a note at the time of your death, it will not be includable in your gross estate for United States estate tax purposes, provided that you do not at the time of death actually or constructively own 10% or more of the combined voting power of all of our classes of stock entitled to vote, and provided that, at the time of death, payments with respect to that note would not have been effectively connected with your conduct of a trade or business within the United States.</w:t>
      </w:r>
    </w:p>
    <w:p>
      <w:pPr>
        <w:spacing w:after="0" w:line="178" w:lineRule="exact"/>
        <w:rPr>
          <w:sz w:val="20"/>
          <w:szCs w:val="20"/>
          <w:color w:val="auto"/>
        </w:rPr>
      </w:pPr>
    </w:p>
    <w:p>
      <w:pPr>
        <w:jc w:val="both"/>
        <w:ind w:right="3359" w:firstLine="264"/>
        <w:spacing w:after="0" w:line="237" w:lineRule="auto"/>
        <w:rPr>
          <w:sz w:val="20"/>
          <w:szCs w:val="20"/>
          <w:color w:val="auto"/>
        </w:rPr>
      </w:pPr>
      <w:r>
        <w:rPr>
          <w:rFonts w:ascii="Courier New" w:cs="Courier New" w:eastAsia="Courier New" w:hAnsi="Courier New"/>
          <w:sz w:val="15"/>
          <w:szCs w:val="15"/>
          <w:color w:val="auto"/>
        </w:rPr>
        <w:t>Common stock actually or beneficially held by you at the time of your death (or previously transferred subject to certain retained rights or powers) will be subject to United States federal estate tax unless otherwise provided by an applicable estate tax treaty.</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Information Reporting and Backup Withholding Tax</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If you are a non-U.S. holder, United States information reporting requirements and backup withholding tax will not apply to payments of interest on a note if you provide the statement described under "--Payment of Interest", provided that the payor does not have actual knowledge that you are a United States person.</w:t>
      </w:r>
    </w:p>
    <w:p>
      <w:pPr>
        <w:spacing w:after="0" w:line="178"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Information reporting will not apply to any payment of the proceeds of the sale of a note, or any payment of the proceeds of the sale of common stock effected outside the United States by a foreign office of a "broker" (as defined in applicable Treasury regulations), unless the broker</w:t>
      </w:r>
    </w:p>
    <w:p>
      <w:pPr>
        <w:spacing w:after="0" w:line="171" w:lineRule="exact"/>
        <w:rPr>
          <w:sz w:val="20"/>
          <w:szCs w:val="20"/>
          <w:color w:val="auto"/>
        </w:rPr>
      </w:pPr>
    </w:p>
    <w:p>
      <w:pPr>
        <w:ind w:left="780" w:hanging="349"/>
        <w:spacing w:after="0"/>
        <w:tabs>
          <w:tab w:leader="none" w:pos="7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United States person,</w:t>
      </w:r>
    </w:p>
    <w:p>
      <w:pPr>
        <w:spacing w:after="0" w:line="174" w:lineRule="exact"/>
        <w:rPr>
          <w:rFonts w:ascii="Courier New" w:cs="Courier New" w:eastAsia="Courier New" w:hAnsi="Courier New"/>
          <w:sz w:val="15"/>
          <w:szCs w:val="15"/>
          <w:color w:val="auto"/>
        </w:rPr>
      </w:pPr>
    </w:p>
    <w:p>
      <w:pPr>
        <w:ind w:left="160" w:right="3439" w:firstLine="271"/>
        <w:spacing w:after="0" w:line="237" w:lineRule="auto"/>
        <w:tabs>
          <w:tab w:leader="none" w:pos="77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foreign person that derives 50% or more of its gross income for certain periods from the conduct of a trade or business in the United States,</w:t>
      </w:r>
    </w:p>
    <w:p>
      <w:pPr>
        <w:spacing w:after="0" w:line="174" w:lineRule="exact"/>
        <w:rPr>
          <w:rFonts w:ascii="Courier New" w:cs="Courier New" w:eastAsia="Courier New" w:hAnsi="Courier New"/>
          <w:sz w:val="15"/>
          <w:szCs w:val="15"/>
          <w:color w:val="auto"/>
        </w:rPr>
      </w:pPr>
    </w:p>
    <w:p>
      <w:pPr>
        <w:ind w:left="160" w:right="3439" w:firstLine="271"/>
        <w:spacing w:after="0" w:line="235" w:lineRule="auto"/>
        <w:tabs>
          <w:tab w:leader="none" w:pos="77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controlled foreign corporation for United States federal income tax purposes, or</w:t>
      </w:r>
    </w:p>
    <w:p>
      <w:pPr>
        <w:spacing w:after="0" w:line="175" w:lineRule="exact"/>
        <w:rPr>
          <w:rFonts w:ascii="Courier New" w:cs="Courier New" w:eastAsia="Courier New" w:hAnsi="Courier New"/>
          <w:sz w:val="15"/>
          <w:szCs w:val="15"/>
          <w:color w:val="auto"/>
        </w:rPr>
      </w:pPr>
    </w:p>
    <w:p>
      <w:pPr>
        <w:ind w:left="160" w:right="3439" w:firstLine="271"/>
        <w:spacing w:after="0" w:line="238" w:lineRule="auto"/>
        <w:tabs>
          <w:tab w:leader="none" w:pos="77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payments made after December 31, 2000, is a foreign partnership, if at any time during its tax year, one or more of its partners are U.S. persons (as defined in Treasury regulations) who in the aggregate hold more than 50% of the income or capital interests in the partnership or if, at any time during its tax year, the foreign partnership is engaged in a United States trade or business.</w:t>
      </w:r>
    </w:p>
    <w:p>
      <w:pPr>
        <w:spacing w:after="0" w:line="176"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Payment of the proceeds of any such sale effected outside the United States by a foreign office of any broker that is described in (1), (2), (3) or (4) of the preceding sentence will be subject to information reporting requirements unless the broker has documentary evidence in its records that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35" w:name="page36"/>
    <w:bookmarkEnd w:id="35"/>
    <w:p>
      <w:pPr>
        <w:ind w:right="3259"/>
        <w:spacing w:after="0" w:line="238" w:lineRule="auto"/>
        <w:rPr>
          <w:sz w:val="20"/>
          <w:szCs w:val="20"/>
          <w:color w:val="auto"/>
        </w:rPr>
      </w:pPr>
      <w:r>
        <w:rPr>
          <w:rFonts w:ascii="Courier New" w:cs="Courier New" w:eastAsia="Courier New" w:hAnsi="Courier New"/>
          <w:sz w:val="15"/>
          <w:szCs w:val="15"/>
          <w:color w:val="auto"/>
        </w:rPr>
        <w:t>you are a non-U.S. holder and certain other conditions are met, or you otherwise establish an exemption. Temporary Treasury regulations indicate that these payments are not currently subject to backup withholding. Payment of the proceeds of any such sale to or through the United States office of a broker is subject to information reporting and backup withholding requirements, unless you provide the statement described in "--Payment of Interest" or otherwise establish an exemption.</w:t>
      </w:r>
    </w:p>
    <w:p>
      <w:pPr>
        <w:spacing w:after="0" w:line="177" w:lineRule="exact"/>
        <w:rPr>
          <w:sz w:val="20"/>
          <w:szCs w:val="20"/>
          <w:color w:val="auto"/>
        </w:rPr>
      </w:pPr>
    </w:p>
    <w:p>
      <w:pPr>
        <w:ind w:right="3259" w:firstLine="264"/>
        <w:spacing w:after="0" w:line="258" w:lineRule="auto"/>
        <w:rPr>
          <w:sz w:val="20"/>
          <w:szCs w:val="20"/>
          <w:color w:val="auto"/>
        </w:rPr>
      </w:pPr>
      <w:r>
        <w:rPr>
          <w:rFonts w:ascii="Courier New" w:cs="Courier New" w:eastAsia="Courier New" w:hAnsi="Courier New"/>
          <w:sz w:val="14"/>
          <w:szCs w:val="14"/>
          <w:color w:val="auto"/>
        </w:rPr>
        <w:t>If paid to an address outside the United States, dividends on common stock held by you as a non-U.S. holder will generally not be subject to the information reporting and backup withholding requirements described in this section. However, under recently issued Treasury regulations, dividend payments made after December 31, 2000 will be subject to information reporting and backup withholding unless applicable certification requirements are satisfied.</w:t>
      </w:r>
    </w:p>
    <w:p>
      <w:pPr>
        <w:spacing w:after="0" w:line="164"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Treasury regulations that apply to payments made after December 31, 2000 will modify current information reporting and backup withholding procedures and requirements. These regulations provide presumptions regarding the status of holders when payments to the holders cannot be reliably associated with appropriate documentation provided to the payor. For payments made after December 31, 2000, a holder must provide certification, if applicable, that conforms to the requirements of the regulations. Holders of a note or common stock should consult with their tax advisors regarding the application of the backup withholding rules to their particular situation, the availability of an exemption, the procedure for obtaining any available exemption and the impact of these new regulations on payments made with respect to notes or common stock after December 31, 2000.</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United States Real Property Holding Corporations</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The discussion of the United States taxation of non-U.S. holders of notes and common stock assumes that we are at no time a United States real property holding corporation within the meaning of Section 897(c) of the Code. Under present law, we would not be a United States real property holding corporation so long as the fair market value of our United States real property interests is less than 50% of the sum of</w:t>
      </w:r>
    </w:p>
    <w:p>
      <w:pPr>
        <w:spacing w:after="0" w:line="170" w:lineRule="exact"/>
        <w:rPr>
          <w:sz w:val="20"/>
          <w:szCs w:val="20"/>
          <w:color w:val="auto"/>
        </w:rPr>
      </w:pPr>
    </w:p>
    <w:p>
      <w:pPr>
        <w:ind w:left="520" w:hanging="265"/>
        <w:spacing w:after="0"/>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our United States real property interests,</w:t>
      </w:r>
    </w:p>
    <w:p>
      <w:pPr>
        <w:spacing w:after="0" w:line="169" w:lineRule="exact"/>
        <w:rPr>
          <w:rFonts w:ascii="Courier New" w:cs="Courier New" w:eastAsia="Courier New" w:hAnsi="Courier New"/>
          <w:sz w:val="15"/>
          <w:szCs w:val="15"/>
          <w:color w:val="auto"/>
        </w:rPr>
      </w:pPr>
    </w:p>
    <w:p>
      <w:pPr>
        <w:ind w:left="520" w:hanging="265"/>
        <w:spacing w:after="0"/>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interests in real property located outside the United States, and</w:t>
      </w:r>
    </w:p>
    <w:p>
      <w:pPr>
        <w:spacing w:after="0" w:line="169" w:lineRule="exact"/>
        <w:rPr>
          <w:rFonts w:ascii="Courier New" w:cs="Courier New" w:eastAsia="Courier New" w:hAnsi="Courier New"/>
          <w:sz w:val="15"/>
          <w:szCs w:val="15"/>
          <w:color w:val="auto"/>
        </w:rPr>
      </w:pPr>
    </w:p>
    <w:p>
      <w:pPr>
        <w:ind w:left="520" w:hanging="265"/>
        <w:spacing w:after="0"/>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other assets which are used or held for use in a trade or business.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believe that we are not a United States real property holding corporation and do not expect to become one. If we become a United States real property holding corporation, gain recognized by you as a non-U.S. holder on a disposition of notes or common stock would be subject to United States federal income tax unless</w:t>
      </w:r>
    </w:p>
    <w:p>
      <w:pPr>
        <w:spacing w:after="0" w:line="178" w:lineRule="exact"/>
        <w:rPr>
          <w:sz w:val="20"/>
          <w:szCs w:val="20"/>
          <w:color w:val="auto"/>
        </w:rPr>
      </w:pPr>
    </w:p>
    <w:p>
      <w:pPr>
        <w:ind w:left="440" w:right="3979" w:hanging="273"/>
        <w:spacing w:after="0" w:line="235" w:lineRule="auto"/>
        <w:tabs>
          <w:tab w:leader="none" w:pos="4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common stock is "regularly traded on an established securities market" within the meaning of the Code and</w:t>
      </w:r>
    </w:p>
    <w:p>
      <w:pPr>
        <w:spacing w:after="0" w:line="176" w:lineRule="exact"/>
        <w:rPr>
          <w:sz w:val="20"/>
          <w:szCs w:val="20"/>
          <w:color w:val="auto"/>
        </w:rPr>
      </w:pPr>
    </w:p>
    <w:p>
      <w:pPr>
        <w:ind w:left="440" w:right="3619" w:hanging="273"/>
        <w:spacing w:after="0" w:line="238" w:lineRule="auto"/>
        <w:tabs>
          <w:tab w:leader="none" w:pos="4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you do not own, actually or constructively, at any time during the five-year period preceding the disposition, more than 5% of the common stock, or (B) in the case of a disposition of notes, you do not own, actually or constructively, notes which, as of any date on which you acquired notes, had a fair market value greater than that of 5% of the common stock.</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Our Deductions for Interest on the Notes</w:t>
      </w:r>
    </w:p>
    <w:p>
      <w:pPr>
        <w:spacing w:after="0" w:line="175" w:lineRule="exact"/>
        <w:rPr>
          <w:sz w:val="20"/>
          <w:szCs w:val="20"/>
          <w:color w:val="auto"/>
        </w:rPr>
      </w:pPr>
    </w:p>
    <w:p>
      <w:pPr>
        <w:ind w:right="3359" w:firstLine="264"/>
        <w:spacing w:after="0" w:line="258" w:lineRule="auto"/>
        <w:rPr>
          <w:sz w:val="20"/>
          <w:szCs w:val="20"/>
          <w:color w:val="auto"/>
        </w:rPr>
      </w:pPr>
      <w:r>
        <w:rPr>
          <w:rFonts w:ascii="Courier New" w:cs="Courier New" w:eastAsia="Courier New" w:hAnsi="Courier New"/>
          <w:sz w:val="14"/>
          <w:szCs w:val="14"/>
          <w:color w:val="auto"/>
        </w:rPr>
        <w:t>Under Section 279 of the Code, deductions otherwise allowable to a corporation for interest may be reduced or eliminated in the case of corporate acquisition indebtedness. This is defined generally to include subordinated convertible debt issued to provide consideration for the acquisition of stock or a substantial portion of the assets of another corporation, if either</w:t>
      </w:r>
    </w:p>
    <w:p>
      <w:pPr>
        <w:spacing w:after="0" w:line="165" w:lineRule="exact"/>
        <w:rPr>
          <w:sz w:val="20"/>
          <w:szCs w:val="20"/>
          <w:color w:val="auto"/>
        </w:rPr>
      </w:pPr>
    </w:p>
    <w:p>
      <w:pPr>
        <w:ind w:left="440" w:right="3439" w:hanging="273"/>
        <w:spacing w:after="0" w:line="235" w:lineRule="auto"/>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acquiring corporation has a debt to equity ratio that exceeds 2 to 1 or</w:t>
      </w:r>
    </w:p>
    <w:p>
      <w:pPr>
        <w:spacing w:after="0" w:line="176" w:lineRule="exact"/>
        <w:rPr>
          <w:sz w:val="20"/>
          <w:szCs w:val="20"/>
          <w:color w:val="auto"/>
        </w:rPr>
      </w:pPr>
    </w:p>
    <w:p>
      <w:pPr>
        <w:jc w:val="both"/>
        <w:ind w:left="440" w:right="3619" w:hanging="273"/>
        <w:spacing w:after="0" w:line="237" w:lineRule="auto"/>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projected earnings of the corporation (the average annual earnings for the three-year period ending on the test date) do not exceed three times the annual interest costs of the corporation.</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Our deductions for interest on the notes could be reduced or eliminated if the notes meet the definition of corporate acquisition indebtedness in the year of issue. We believe that, based upon a preliminary analysis, we did not fail either the debt/equity or the earnings coverage test for the year ended October 28, 2000 and accordingly that interest deductions on the notes will not be disallowed. However, there can be no assurance that, based upon all of the facts, including events that took place between the date of issuance of the notes and the end of the taxable year of issuance, that interest deductions on the notes may not be disallowed in whole or in part in the year of issuance or in the future. In addition, the notes could become corporate acquisition indebtedness in a subsequent year if we initially meet the debt/equity ratio and earnings coverage tests, but later fail one or both tests in a year during which we issue additional indebtedness for corporate acquisitions. Our ability to deduct all of the interest payable on the notes will depend on the application of the foregoing tests to us. The availability of an interest deduction with respect to the notes was not determinative on our issuance of the notes.</w:t>
      </w:r>
    </w:p>
    <w:p>
      <w:pPr>
        <w:spacing w:after="0" w:line="187"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Under Section 163(l) of the Code, no deduction is permitted for interest paid or accrued or any indebtedness of a corporation that is "payable in equity" of the issuer or a related party. Debt is treated as debt payable in equity of the issuer if the debt is part of an arrangement designed to result in payment of the instrument with or by reference to the equity. Such arrangements could include debt instruments that are convertible at the holder's option if it is substantially certain that the option will be exercised. The legislative history indicates that it is not expected the provision will affect debt with a conversion feature where the conversion price is significantly higher than the market price of the stock on the date of the debt issuance. Accordingly, we do not believe that our interest deduction with respect to interest payments on the notes will be adversely affected by the application of these rules to the holder's option to convert the notes. Similarly, we do not believe that our interest deduction with respect to interest payments on the notes will be adversely affected by the application of these rules to our option to satisfy our obligation under the repurchase right triggered by a Change in Control with common stock.</w:t>
      </w:r>
    </w:p>
    <w:p>
      <w:pPr>
        <w:spacing w:after="0" w:line="187" w:lineRule="exact"/>
        <w:rPr>
          <w:sz w:val="20"/>
          <w:szCs w:val="20"/>
          <w:color w:val="auto"/>
        </w:rPr>
      </w:pPr>
    </w:p>
    <w:p>
      <w:pPr>
        <w:ind w:right="3259" w:firstLine="264"/>
        <w:spacing w:after="0" w:line="258" w:lineRule="auto"/>
        <w:rPr>
          <w:sz w:val="20"/>
          <w:szCs w:val="20"/>
          <w:color w:val="auto"/>
        </w:rPr>
      </w:pPr>
      <w:r>
        <w:rPr>
          <w:rFonts w:ascii="Courier New" w:cs="Courier New" w:eastAsia="Courier New" w:hAnsi="Courier New"/>
          <w:sz w:val="14"/>
          <w:szCs w:val="14"/>
          <w:color w:val="auto"/>
        </w:rPr>
        <w:t>The preceding discussion of material United States federal income tax consequences is for general information only and is not tax advice. Accordingly, each investor should consult its own tax advisor as to particular tax consequences to it of purchasing, holding and disposing of the notes and the common stock, including the applicability and effect of any state, local or foreign tax laws, and of any proposed changes in applicable laws.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2" w:right="1440" w:bottom="1440" w:gutter="0" w:footer="0" w:header="0"/>
        </w:sectPr>
      </w:pPr>
    </w:p>
    <w:bookmarkStart w:id="37" w:name="page38"/>
    <w:bookmarkEnd w:id="37"/>
    <w:p>
      <w:pPr>
        <w:jc w:val="center"/>
        <w:ind w:right="3179"/>
        <w:spacing w:after="0"/>
        <w:rPr>
          <w:sz w:val="20"/>
          <w:szCs w:val="20"/>
          <w:color w:val="auto"/>
        </w:rPr>
      </w:pPr>
      <w:r>
        <w:rPr>
          <w:rFonts w:ascii="Courier New" w:cs="Courier New" w:eastAsia="Courier New" w:hAnsi="Courier New"/>
          <w:sz w:val="15"/>
          <w:szCs w:val="15"/>
          <w:color w:val="auto"/>
        </w:rPr>
        <w:t>DESCRIPTION OF CAPITAL STOCK</w:t>
      </w:r>
    </w:p>
    <w:p>
      <w:pPr>
        <w:spacing w:after="0" w:line="175" w:lineRule="exact"/>
        <w:rPr>
          <w:sz w:val="20"/>
          <w:szCs w:val="20"/>
          <w:color w:val="auto"/>
        </w:rPr>
      </w:pPr>
    </w:p>
    <w:p>
      <w:pPr>
        <w:jc w:val="both"/>
        <w:ind w:right="3619" w:firstLine="264"/>
        <w:spacing w:after="0" w:line="237" w:lineRule="auto"/>
        <w:rPr>
          <w:sz w:val="20"/>
          <w:szCs w:val="20"/>
          <w:color w:val="auto"/>
        </w:rPr>
      </w:pPr>
      <w:r>
        <w:rPr>
          <w:rFonts w:ascii="Courier New" w:cs="Courier New" w:eastAsia="Courier New" w:hAnsi="Courier New"/>
          <w:sz w:val="15"/>
          <w:szCs w:val="15"/>
          <w:color w:val="auto"/>
        </w:rPr>
        <w:t>We are authorized to issue up to 600,000,000 shares of common stock, par value $.16 2/3 per share, and 471,934 shares of preferred stock, par value $1.00 per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539" w:firstLine="264"/>
        <w:spacing w:after="0" w:line="265" w:lineRule="auto"/>
        <w:rPr>
          <w:sz w:val="20"/>
          <w:szCs w:val="20"/>
          <w:color w:val="auto"/>
        </w:rPr>
      </w:pPr>
      <w:r>
        <w:rPr>
          <w:rFonts w:ascii="Courier New" w:cs="Courier New" w:eastAsia="Courier New" w:hAnsi="Courier New"/>
          <w:sz w:val="14"/>
          <w:szCs w:val="14"/>
          <w:color w:val="auto"/>
        </w:rPr>
        <w:t>As of October 25, 2000, there were 357,905,514 shares of our common stock outstanding that were held of record by approximately 4,359 stockholders.</w:t>
      </w:r>
    </w:p>
    <w:p>
      <w:pPr>
        <w:spacing w:after="0" w:line="158"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We have no present plans to issue any shares of preferred stock.</w:t>
      </w:r>
    </w:p>
    <w:p>
      <w:pPr>
        <w:spacing w:after="0" w:line="166" w:lineRule="exact"/>
        <w:rPr>
          <w:sz w:val="20"/>
          <w:szCs w:val="20"/>
          <w:color w:val="auto"/>
        </w:rPr>
      </w:pPr>
    </w:p>
    <w:p>
      <w:pPr>
        <w:ind w:right="4239"/>
        <w:spacing w:after="0" w:line="235" w:lineRule="auto"/>
        <w:rPr>
          <w:sz w:val="20"/>
          <w:szCs w:val="20"/>
          <w:color w:val="auto"/>
        </w:rPr>
      </w:pPr>
      <w:r>
        <w:rPr>
          <w:rFonts w:ascii="Courier New" w:cs="Courier New" w:eastAsia="Courier New" w:hAnsi="Courier New"/>
          <w:sz w:val="15"/>
          <w:szCs w:val="15"/>
          <w:color w:val="auto"/>
        </w:rPr>
        <w:t>Massachusetts Law and Certain Provisions of Our Restated Articles of Organization and By-Laws</w:t>
      </w:r>
    </w:p>
    <w:p>
      <w:pPr>
        <w:spacing w:after="0" w:line="176"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176" w:lineRule="exact"/>
        <w:rPr>
          <w:sz w:val="20"/>
          <w:szCs w:val="20"/>
          <w:color w:val="auto"/>
        </w:rPr>
      </w:pPr>
    </w:p>
    <w:p>
      <w:pPr>
        <w:ind w:left="340" w:right="3439" w:hanging="173"/>
        <w:spacing w:after="0" w:line="235" w:lineRule="auto"/>
        <w:tabs>
          <w:tab w:leader="none" w:pos="3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stockholder obtains the approval of the Board of Directors prior to becoming an interested stockholder,</w:t>
      </w:r>
    </w:p>
    <w:p>
      <w:pPr>
        <w:spacing w:after="0" w:line="176" w:lineRule="exact"/>
        <w:rPr>
          <w:sz w:val="20"/>
          <w:szCs w:val="20"/>
          <w:color w:val="auto"/>
        </w:rPr>
      </w:pPr>
    </w:p>
    <w:p>
      <w:pPr>
        <w:ind w:left="340" w:right="3619" w:hanging="173"/>
        <w:spacing w:after="0" w:line="237" w:lineRule="auto"/>
        <w:tabs>
          <w:tab w:leader="none" w:pos="3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stockholder acquires 90% of the outstanding voting stock of the corporation (excluding shares held by some affiliates of the corporation) at the time it becomes an interested stockholder, or</w:t>
      </w:r>
    </w:p>
    <w:p>
      <w:pPr>
        <w:spacing w:after="0" w:line="175" w:lineRule="exact"/>
        <w:rPr>
          <w:sz w:val="20"/>
          <w:szCs w:val="20"/>
          <w:color w:val="auto"/>
        </w:rPr>
      </w:pPr>
    </w:p>
    <w:p>
      <w:pPr>
        <w:ind w:left="340" w:right="3619" w:hanging="173"/>
        <w:spacing w:after="0" w:line="237"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both the Board of Directors and the holders of two-thirds of the outstanding voting stock of the corporation (excluding shares held by the interested stockholder).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2" w:right="1440" w:bottom="1440" w:gutter="0" w:footer="0" w:header="0"/>
        </w:sectPr>
      </w:pPr>
    </w:p>
    <w:bookmarkStart w:id="38" w:name="page39"/>
    <w:bookmarkEnd w:id="38"/>
    <w:p>
      <w:pPr>
        <w:ind w:right="3439" w:firstLine="264"/>
        <w:spacing w:after="0" w:line="258" w:lineRule="auto"/>
        <w:rPr>
          <w:sz w:val="20"/>
          <w:szCs w:val="20"/>
          <w:color w:val="auto"/>
        </w:rPr>
      </w:pPr>
      <w:r>
        <w:rPr>
          <w:rFonts w:ascii="Courier New" w:cs="Courier New" w:eastAsia="Courier New" w:hAnsi="Courier New"/>
          <w:sz w:val="14"/>
          <w:szCs w:val="14"/>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6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178"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177"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Our Restated Articles of Organization, as amended, provide that we shall indemnify our directors and officers to the fullest extent authorized by Massachusetts law, as it now exists or may in the future be amended, against all liabilities and expenses incurred in connection with service for us or on our behalf. In addition, the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Rights Plan</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 March 1998, the Board of Directors adopted a Stockholder Rights Plan that replaced a plan adopted by the Board in 1988. Pursuant to the Stockholder Rights Plan, each share of common stock has an associated right. Under certain circumstances, each right would entitle the registered holder to purchase from us one one-thousandth share of Series A Junior Participating Preferred Stock at a purchase price of $90 in cash, subject to adjustment.</w:t>
      </w:r>
    </w:p>
    <w:p>
      <w:pPr>
        <w:spacing w:after="0" w:line="176"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business days (or such later date as may be determined by the Board of Directors) after</w:t>
      </w:r>
    </w:p>
    <w:p>
      <w:pPr>
        <w:spacing w:after="0" w:line="175" w:lineRule="exact"/>
        <w:rPr>
          <w:sz w:val="20"/>
          <w:szCs w:val="20"/>
          <w:color w:val="auto"/>
        </w:rPr>
      </w:pPr>
    </w:p>
    <w:p>
      <w:pPr>
        <w:jc w:val="both"/>
        <w:ind w:left="340" w:right="4319" w:hanging="173"/>
        <w:spacing w:after="0" w:line="260" w:lineRule="auto"/>
        <w:tabs>
          <w:tab w:leader="none" w:pos="3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public announcement that a person or group of affiliated or associated persons has acquired (or obtained rights to acquire) beneficial ownership of 15% or more of our common stock or</w:t>
      </w:r>
    </w:p>
    <w:p>
      <w:pPr>
        <w:spacing w:after="0" w:line="163" w:lineRule="exact"/>
        <w:rPr>
          <w:sz w:val="20"/>
          <w:szCs w:val="20"/>
          <w:color w:val="auto"/>
        </w:rPr>
      </w:pPr>
    </w:p>
    <w:p>
      <w:pPr>
        <w:ind w:left="340" w:right="3439" w:hanging="173"/>
        <w:spacing w:after="0" w:line="237" w:lineRule="auto"/>
        <w:tabs>
          <w:tab w:leader="none" w:pos="3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tender offer or exchange offer that would result in a person or group beneficially owning 20% or more of the outstanding common stock.</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If and when the rights become exercisable, each holder of a right shall have the right to receive, upon exercise, that number of common stock (or in certain circumstances, cash, property or other of our securities) that equals the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177" w:lineRule="exact"/>
        <w:rPr>
          <w:sz w:val="20"/>
          <w:szCs w:val="20"/>
          <w:color w:val="auto"/>
        </w:rPr>
      </w:pPr>
    </w:p>
    <w:p>
      <w:pPr>
        <w:jc w:val="both"/>
        <w:ind w:left="440" w:right="3439" w:hanging="273"/>
        <w:spacing w:after="0" w:line="259" w:lineRule="auto"/>
        <w:tabs>
          <w:tab w:leader="none" w:pos="4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63" w:lineRule="exact"/>
        <w:rPr>
          <w:sz w:val="20"/>
          <w:szCs w:val="20"/>
          <w:color w:val="auto"/>
        </w:rPr>
      </w:pPr>
    </w:p>
    <w:p>
      <w:pPr>
        <w:ind w:left="3420" w:right="4059" w:hanging="3253"/>
        <w:spacing w:after="0" w:line="471" w:lineRule="auto"/>
        <w:tabs>
          <w:tab w:leader="none" w:pos="33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or more of our assets or earning power is sold or transferred, 37</w:t>
      </w:r>
    </w:p>
    <w:p>
      <w:pPr>
        <w:sectPr>
          <w:pgSz w:w="11900" w:h="16838" w:orient="portrait"/>
          <w:cols w:equalWidth="0" w:num="1">
            <w:col w:w="10219"/>
          </w:cols>
          <w:pgMar w:left="240" w:top="627" w:right="1440" w:bottom="1440" w:gutter="0" w:footer="0" w:header="0"/>
        </w:sectPr>
      </w:pPr>
    </w:p>
    <w:bookmarkStart w:id="39" w:name="page40"/>
    <w:bookmarkEnd w:id="39"/>
    <w:p>
      <w:pPr>
        <w:ind w:right="3259"/>
        <w:spacing w:after="0" w:line="237" w:lineRule="auto"/>
        <w:rPr>
          <w:sz w:val="20"/>
          <w:szCs w:val="20"/>
          <w:color w:val="auto"/>
        </w:rPr>
      </w:pPr>
      <w:r>
        <w:rPr>
          <w:rFonts w:ascii="Courier New" w:cs="Courier New" w:eastAsia="Courier New" w:hAnsi="Courier New"/>
          <w:sz w:val="15"/>
          <w:szCs w:val="15"/>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$.0005 per right at any time prior to the tenth day following a person's acquisition of 15% or more of our then outstanding common stock. So long as the rights are not separately transferable, each new share of common stock issued will have a right associated with it.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7" w:right="1440" w:bottom="1440" w:gutter="0" w:footer="0" w:header="0"/>
        </w:sectPr>
      </w:pPr>
    </w:p>
    <w:bookmarkStart w:id="40" w:name="page41"/>
    <w:bookmarkEnd w:id="40"/>
    <w:p>
      <w:pPr>
        <w:jc w:val="center"/>
        <w:ind w:right="3259"/>
        <w:spacing w:after="0"/>
        <w:rPr>
          <w:sz w:val="20"/>
          <w:szCs w:val="20"/>
          <w:color w:val="auto"/>
        </w:rPr>
      </w:pPr>
      <w:r>
        <w:rPr>
          <w:rFonts w:ascii="Courier New" w:cs="Courier New" w:eastAsia="Courier New" w:hAnsi="Courier New"/>
          <w:sz w:val="15"/>
          <w:szCs w:val="15"/>
          <w:color w:val="auto"/>
        </w:rPr>
        <w:t>SELLING SECURITYHOLDERS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179"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176" w:lineRule="exact"/>
        <w:rPr>
          <w:sz w:val="20"/>
          <w:szCs w:val="20"/>
          <w:color w:val="auto"/>
        </w:rPr>
      </w:pPr>
    </w:p>
    <w:p>
      <w:pPr>
        <w:ind w:left="520" w:right="3439" w:hanging="353"/>
        <w:spacing w:after="0" w:line="235" w:lineRule="auto"/>
        <w:tabs>
          <w:tab w:leader="none" w:pos="5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the securities registered under the registration rights agreement;</w:t>
      </w:r>
    </w:p>
    <w:p>
      <w:pPr>
        <w:spacing w:after="0" w:line="175" w:lineRule="exact"/>
        <w:rPr>
          <w:rFonts w:ascii="Courier New" w:cs="Courier New" w:eastAsia="Courier New" w:hAnsi="Courier New"/>
          <w:sz w:val="15"/>
          <w:szCs w:val="15"/>
          <w:color w:val="auto"/>
        </w:rPr>
      </w:pPr>
    </w:p>
    <w:p>
      <w:pPr>
        <w:ind w:left="520" w:right="3539" w:hanging="353"/>
        <w:spacing w:after="0" w:line="237" w:lineRule="auto"/>
        <w:tabs>
          <w:tab w:leader="none" w:pos="5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the holding period applicable to these securities under Rule 144(k) under the Securities Act with respect to persons who are not our affiliates; and</w:t>
      </w:r>
    </w:p>
    <w:p>
      <w:pPr>
        <w:spacing w:after="0" w:line="174" w:lineRule="exact"/>
        <w:rPr>
          <w:rFonts w:ascii="Courier New" w:cs="Courier New" w:eastAsia="Courier New" w:hAnsi="Courier New"/>
          <w:sz w:val="15"/>
          <w:szCs w:val="15"/>
          <w:color w:val="auto"/>
        </w:rPr>
      </w:pPr>
    </w:p>
    <w:p>
      <w:pPr>
        <w:ind w:left="520" w:right="4239" w:hanging="353"/>
        <w:spacing w:after="0" w:line="235" w:lineRule="auto"/>
        <w:tabs>
          <w:tab w:leader="none" w:pos="5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years from the date the registration statement is declared effective.</w:t>
      </w:r>
    </w:p>
    <w:p>
      <w:pPr>
        <w:spacing w:after="0" w:line="176"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The selling securityholders may choose to sell notes and/or the shares of common stock issuable upon conversion of the notes from time to time. See "Plan of Distribution".</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 sets forth:</w:t>
      </w:r>
    </w:p>
    <w:p>
      <w:pPr>
        <w:spacing w:after="0" w:line="175" w:lineRule="exact"/>
        <w:rPr>
          <w:sz w:val="20"/>
          <w:szCs w:val="20"/>
          <w:color w:val="auto"/>
        </w:rPr>
      </w:pPr>
    </w:p>
    <w:p>
      <w:pPr>
        <w:ind w:left="520" w:right="3439" w:hanging="353"/>
        <w:spacing w:after="0" w:line="237" w:lineRule="auto"/>
        <w:tabs>
          <w:tab w:leader="none" w:pos="5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securityholder who has provided us with notice as of the date of this prospectus pursuant to the registration rights agreement of their intent to sell or otherwise dispose of notes and/or shares of common stock issuable upon conversion of the notes pursuant to the registration statement,</w:t>
      </w:r>
    </w:p>
    <w:p>
      <w:pPr>
        <w:spacing w:after="0" w:line="178" w:lineRule="exact"/>
        <w:rPr>
          <w:rFonts w:ascii="Courier New" w:cs="Courier New" w:eastAsia="Courier New" w:hAnsi="Courier New"/>
          <w:sz w:val="15"/>
          <w:szCs w:val="15"/>
          <w:color w:val="auto"/>
        </w:rPr>
      </w:pPr>
    </w:p>
    <w:p>
      <w:pPr>
        <w:jc w:val="both"/>
        <w:ind w:left="520" w:right="3699" w:hanging="353"/>
        <w:spacing w:after="0" w:line="237" w:lineRule="auto"/>
        <w:tabs>
          <w:tab w:leader="none" w:pos="5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notes and the number of shares of our common stock issuable upon conversion of the notes which they may sell from time to time pursuant to the registration statement, and</w:t>
      </w:r>
    </w:p>
    <w:p>
      <w:pPr>
        <w:spacing w:after="0" w:line="174" w:lineRule="exact"/>
        <w:rPr>
          <w:rFonts w:ascii="Courier New" w:cs="Courier New" w:eastAsia="Courier New" w:hAnsi="Courier New"/>
          <w:sz w:val="15"/>
          <w:szCs w:val="15"/>
          <w:color w:val="auto"/>
        </w:rPr>
      </w:pPr>
    </w:p>
    <w:p>
      <w:pPr>
        <w:ind w:left="520" w:right="3439" w:hanging="353"/>
        <w:spacing w:after="0" w:line="237" w:lineRule="auto"/>
        <w:tabs>
          <w:tab w:leader="none" w:pos="5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outstanding notes and our common stock beneficially owned by the selling securityholder prior to the offering, assuming no conversion of the notes.</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179"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2" w:right="1440" w:bottom="1440" w:gutter="0" w:footer="0" w:header="0"/>
        </w:sectPr>
      </w:pPr>
    </w:p>
    <w:bookmarkStart w:id="41" w:name="page42"/>
    <w:bookmarkEnd w:id="41"/>
    <w:tbl>
      <w:tblPr>
        <w:tblLayout w:type="fixed"/>
        <w:tblInd w:w="123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020" w:type="dxa"/>
            <w:vAlign w:val="bottom"/>
          </w:tcPr>
          <w:p>
            <w:pPr>
              <w:spacing w:after="0"/>
              <w:rPr>
                <w:sz w:val="14"/>
                <w:szCs w:val="14"/>
                <w:color w:val="auto"/>
              </w:rPr>
            </w:pPr>
          </w:p>
        </w:tc>
        <w:tc>
          <w:tcPr>
            <w:tcW w:w="1680" w:type="dxa"/>
            <w:vAlign w:val="bottom"/>
          </w:tcPr>
          <w:p>
            <w:pPr>
              <w:ind w:left="740"/>
              <w:spacing w:after="0"/>
              <w:rPr>
                <w:sz w:val="20"/>
                <w:szCs w:val="20"/>
                <w:color w:val="auto"/>
              </w:rPr>
            </w:pPr>
            <w:r>
              <w:rPr>
                <w:rFonts w:ascii="Courier New" w:cs="Courier New" w:eastAsia="Courier New" w:hAnsi="Courier New"/>
                <w:sz w:val="15"/>
                <w:szCs w:val="15"/>
                <w:color w:val="auto"/>
              </w:rPr>
              <w:t>Amount Of</w:t>
            </w:r>
          </w:p>
        </w:tc>
        <w:tc>
          <w:tcPr>
            <w:tcW w:w="1060" w:type="dxa"/>
            <w:vAlign w:val="bottom"/>
          </w:tcPr>
          <w:p>
            <w:pPr>
              <w:spacing w:after="0"/>
              <w:rPr>
                <w:sz w:val="14"/>
                <w:szCs w:val="14"/>
                <w:color w:val="auto"/>
              </w:rPr>
            </w:pP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Common</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02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5"/>
                <w:szCs w:val="15"/>
                <w:color w:val="auto"/>
              </w:rPr>
              <w:t>Notes Owned</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 Of</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Stock Owned</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020" w:type="dxa"/>
            <w:vAlign w:val="bottom"/>
          </w:tcPr>
          <w:p>
            <w:pPr>
              <w:spacing w:after="0"/>
              <w:rPr>
                <w:sz w:val="14"/>
                <w:szCs w:val="14"/>
                <w:color w:val="auto"/>
              </w:rPr>
            </w:pPr>
          </w:p>
        </w:tc>
        <w:tc>
          <w:tcPr>
            <w:tcW w:w="1680" w:type="dxa"/>
            <w:vAlign w:val="bottom"/>
          </w:tcPr>
          <w:p>
            <w:pPr>
              <w:ind w:left="840"/>
              <w:spacing w:after="0"/>
              <w:rPr>
                <w:sz w:val="20"/>
                <w:szCs w:val="20"/>
                <w:color w:val="auto"/>
              </w:rPr>
            </w:pPr>
            <w:r>
              <w:rPr>
                <w:rFonts w:ascii="Courier New" w:cs="Courier New" w:eastAsia="Courier New" w:hAnsi="Courier New"/>
                <w:sz w:val="15"/>
                <w:szCs w:val="15"/>
                <w:color w:val="auto"/>
              </w:rPr>
              <w:t>Before</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Notes That</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Before</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Shares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That</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80" w:type="dxa"/>
            <w:vAlign w:val="bottom"/>
          </w:tcPr>
          <w:p>
            <w:pPr>
              <w:ind w:left="740"/>
              <w:spacing w:after="0"/>
              <w:rPr>
                <w:sz w:val="20"/>
                <w:szCs w:val="20"/>
                <w:color w:val="auto"/>
              </w:rPr>
            </w:pPr>
            <w:r>
              <w:rPr>
                <w:rFonts w:ascii="Courier New" w:cs="Courier New" w:eastAsia="Courier New" w:hAnsi="Courier New"/>
                <w:sz w:val="15"/>
                <w:szCs w:val="15"/>
                <w:color w:val="auto"/>
              </w:rPr>
              <w:t>Offering</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May Be Sold</w:t>
            </w:r>
          </w:p>
        </w:tc>
        <w:tc>
          <w:tcPr>
            <w:tcW w:w="10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Offering</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May Be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Sold</w:t>
            </w:r>
          </w:p>
        </w:tc>
      </w:tr>
    </w:tbl>
    <w:p>
      <w:pPr>
        <w:spacing w:after="0" w:line="5" w:lineRule="exact"/>
        <w:rPr>
          <w:sz w:val="20"/>
          <w:szCs w:val="20"/>
          <w:color w:val="auto"/>
        </w:rPr>
      </w:pPr>
    </w:p>
    <w:p>
      <w:pPr>
        <w:ind w:left="2910" w:hanging="1676"/>
        <w:spacing w:after="0"/>
        <w:tabs>
          <w:tab w:leader="none" w:pos="291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80" w:lineRule="exact"/>
        <w:rPr>
          <w:rFonts w:ascii="Courier New" w:cs="Courier New" w:eastAsia="Courier New" w:hAnsi="Courier New"/>
          <w:sz w:val="14"/>
          <w:szCs w:val="14"/>
          <w:color w:val="auto"/>
        </w:rPr>
      </w:pPr>
    </w:p>
    <w:p>
      <w:pPr>
        <w:ind w:left="10" w:right="5739"/>
        <w:spacing w:after="0" w:line="47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[Details on selling securityholders to be inserted] Unknown (1).....................</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0" w:right="3259" w:hanging="350"/>
        <w:spacing w:after="0" w:line="237" w:lineRule="auto"/>
        <w:tabs>
          <w:tab w:leader="none" w:pos="35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"Unknown" represents the remaining selling securityholders. We are unable to provide the names of these securityholders because certain of these notes are currently evidenced by a global note which has been deposited with DTC and registered in the name of Cede &amp; Co. as DTC's nominee.</w:t>
      </w:r>
    </w:p>
    <w:p>
      <w:pPr>
        <w:spacing w:after="0" w:line="178" w:lineRule="exact"/>
        <w:rPr>
          <w:sz w:val="20"/>
          <w:szCs w:val="20"/>
          <w:color w:val="auto"/>
        </w:rPr>
      </w:pPr>
    </w:p>
    <w:p>
      <w:pPr>
        <w:ind w:left="10" w:right="3259" w:firstLine="264"/>
        <w:spacing w:after="0" w:line="237" w:lineRule="auto"/>
        <w:rPr>
          <w:sz w:val="20"/>
          <w:szCs w:val="20"/>
          <w:color w:val="auto"/>
        </w:rPr>
      </w:pPr>
      <w:r>
        <w:rPr>
          <w:rFonts w:ascii="Courier New" w:cs="Courier New" w:eastAsia="Courier New" w:hAnsi="Courier New"/>
          <w:sz w:val="15"/>
          <w:szCs w:val="15"/>
          <w:color w:val="auto"/>
        </w:rPr>
        <w:t>If, after the date of this prospectus, a securityholder notifies us pursuant to the registration rights agreement of its intent to dispose of notes pursuant to the registration statement, we may supplement this prospectus to include that information.</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961" w:right="1440" w:bottom="1440" w:gutter="0" w:footer="0" w:header="0"/>
        </w:sectPr>
      </w:pPr>
    </w:p>
    <w:bookmarkStart w:id="42" w:name="page43"/>
    <w:bookmarkEnd w:id="42"/>
    <w:p>
      <w:pPr>
        <w:jc w:val="center"/>
        <w:ind w:right="3179"/>
        <w:spacing w:after="0"/>
        <w:rPr>
          <w:sz w:val="20"/>
          <w:szCs w:val="20"/>
          <w:color w:val="auto"/>
        </w:rPr>
      </w:pPr>
      <w:r>
        <w:rPr>
          <w:rFonts w:ascii="Courier New" w:cs="Courier New" w:eastAsia="Courier New" w:hAnsi="Courier New"/>
          <w:sz w:val="15"/>
          <w:szCs w:val="15"/>
          <w:color w:val="auto"/>
        </w:rPr>
        <w:t>PLAN OF DISTRIBUTION</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We are registering the notes and the shares of our common stock issuable upon conversion of the notes to permit public secondary trading of these securities by the holders from time to time after the date of this prospectus. We have agreed, among other things, to bear all expenses, other than underwriting discounts and selling commissions, in connection with the registration and sale of the notes and the shares of our common stock issuable upon conversion of the notes covered by this prospectus.</w:t>
      </w:r>
    </w:p>
    <w:p>
      <w:pPr>
        <w:spacing w:after="0" w:line="177"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will not receive any of the proceeds from the offering of the notes or the shares of our common stock issuable upon conversion of the notes by the selling securityholders. The notes and shares of common stock issuable upon conversion of the notes may be sold from time to time directly by any selling securityholder or, alternatively, through underwriters, broker-dealers or agents. If notes or shares of common stock issuable upon conversion of the notes are sold through underwriters or broker-dealers, the selling securityholder will be responsible for underwriting discounts or commissions or agents' commissions.</w:t>
      </w:r>
    </w:p>
    <w:p>
      <w:pPr>
        <w:spacing w:after="0" w:line="179" w:lineRule="exact"/>
        <w:rPr>
          <w:sz w:val="20"/>
          <w:szCs w:val="20"/>
          <w:color w:val="auto"/>
        </w:rPr>
      </w:pPr>
    </w:p>
    <w:p>
      <w:pPr>
        <w:ind w:right="3539" w:firstLine="264"/>
        <w:spacing w:after="0" w:line="235" w:lineRule="auto"/>
        <w:rPr>
          <w:sz w:val="20"/>
          <w:szCs w:val="20"/>
          <w:color w:val="auto"/>
        </w:rPr>
      </w:pPr>
      <w:r>
        <w:rPr>
          <w:rFonts w:ascii="Courier New" w:cs="Courier New" w:eastAsia="Courier New" w:hAnsi="Courier New"/>
          <w:sz w:val="15"/>
          <w:szCs w:val="15"/>
          <w:color w:val="auto"/>
        </w:rPr>
        <w:t>The notes or shares of common stock issuable upon conversion of the notes may be sold:</w:t>
      </w:r>
    </w:p>
    <w:p>
      <w:pPr>
        <w:spacing w:after="0" w:line="170" w:lineRule="exact"/>
        <w:rPr>
          <w:sz w:val="20"/>
          <w:szCs w:val="20"/>
          <w:color w:val="auto"/>
        </w:rPr>
      </w:pPr>
    </w:p>
    <w:p>
      <w:pPr>
        <w:ind w:left="440" w:hanging="273"/>
        <w:spacing w:after="0"/>
        <w:tabs>
          <w:tab w:leader="none" w:pos="4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one or more transactions at fixed prices,</w:t>
      </w:r>
    </w:p>
    <w:p>
      <w:pPr>
        <w:spacing w:after="0" w:line="169" w:lineRule="exact"/>
        <w:rPr>
          <w:sz w:val="20"/>
          <w:szCs w:val="20"/>
          <w:color w:val="auto"/>
        </w:rPr>
      </w:pPr>
    </w:p>
    <w:p>
      <w:pPr>
        <w:ind w:left="440" w:hanging="273"/>
        <w:spacing w:after="0"/>
        <w:tabs>
          <w:tab w:leader="none" w:pos="4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prevailing market prices at the time of sale,</w:t>
      </w:r>
    </w:p>
    <w:p>
      <w:pPr>
        <w:spacing w:after="0" w:line="169" w:lineRule="exact"/>
        <w:rPr>
          <w:sz w:val="20"/>
          <w:szCs w:val="20"/>
          <w:color w:val="auto"/>
        </w:rPr>
      </w:pPr>
    </w:p>
    <w:p>
      <w:pPr>
        <w:ind w:left="440" w:hanging="273"/>
        <w:spacing w:after="0"/>
        <w:tabs>
          <w:tab w:leader="none" w:pos="4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varying prices determined at the time of sale or</w:t>
      </w:r>
    </w:p>
    <w:p>
      <w:pPr>
        <w:spacing w:after="0" w:line="169"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negotiated prices.</w:t>
      </w:r>
    </w:p>
    <w:p>
      <w:pPr>
        <w:spacing w:after="0" w:line="175" w:lineRule="exact"/>
        <w:rPr>
          <w:sz w:val="20"/>
          <w:szCs w:val="20"/>
          <w:color w:val="auto"/>
        </w:rPr>
      </w:pPr>
    </w:p>
    <w:p>
      <w:pPr>
        <w:ind w:right="3259" w:firstLine="264"/>
        <w:spacing w:after="0" w:line="265" w:lineRule="auto"/>
        <w:rPr>
          <w:sz w:val="20"/>
          <w:szCs w:val="20"/>
          <w:color w:val="auto"/>
        </w:rPr>
      </w:pPr>
      <w:r>
        <w:rPr>
          <w:rFonts w:ascii="Courier New" w:cs="Courier New" w:eastAsia="Courier New" w:hAnsi="Courier New"/>
          <w:sz w:val="14"/>
          <w:szCs w:val="14"/>
          <w:color w:val="auto"/>
        </w:rPr>
        <w:t>These sales may be effected in transactions, which may involve block trades or transactions in which the broker acts as agent for the seller and the buyer:</w:t>
      </w:r>
    </w:p>
    <w:p>
      <w:pPr>
        <w:spacing w:after="0" w:line="158" w:lineRule="exact"/>
        <w:rPr>
          <w:sz w:val="20"/>
          <w:szCs w:val="20"/>
          <w:color w:val="auto"/>
        </w:rPr>
      </w:pPr>
    </w:p>
    <w:p>
      <w:pPr>
        <w:jc w:val="both"/>
        <w:ind w:left="440" w:right="3699" w:hanging="273"/>
        <w:spacing w:after="0" w:line="237" w:lineRule="auto"/>
        <w:tabs>
          <w:tab w:leader="none" w:pos="4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quotation service on which the notes or shares of common stock issuable upon conversion of the notes may be listed or quoted at the time of sale,</w:t>
      </w:r>
    </w:p>
    <w:p>
      <w:pPr>
        <w:spacing w:after="0" w:line="169" w:lineRule="exact"/>
        <w:rPr>
          <w:sz w:val="20"/>
          <w:szCs w:val="20"/>
          <w:color w:val="auto"/>
        </w:rPr>
      </w:pPr>
    </w:p>
    <w:p>
      <w:pPr>
        <w:ind w:left="440" w:hanging="273"/>
        <w:spacing w:after="0"/>
        <w:tabs>
          <w:tab w:leader="none" w:pos="4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over-the-counter market,</w:t>
      </w:r>
    </w:p>
    <w:p>
      <w:pPr>
        <w:spacing w:after="0" w:line="175" w:lineRule="exact"/>
        <w:rPr>
          <w:sz w:val="20"/>
          <w:szCs w:val="20"/>
          <w:color w:val="auto"/>
        </w:rPr>
      </w:pPr>
    </w:p>
    <w:p>
      <w:pPr>
        <w:ind w:left="440" w:right="3879" w:hanging="273"/>
        <w:spacing w:after="0" w:line="235"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transactions otherwise than on a national securities exchange or quotation service or in the over-the-counter market or</w:t>
      </w:r>
    </w:p>
    <w:p>
      <w:pPr>
        <w:spacing w:after="0" w:line="170" w:lineRule="exact"/>
        <w:rPr>
          <w:sz w:val="20"/>
          <w:szCs w:val="20"/>
          <w:color w:val="auto"/>
        </w:rPr>
      </w:pPr>
    </w:p>
    <w:p>
      <w:pPr>
        <w:ind w:left="440" w:hanging="273"/>
        <w:spacing w:after="0"/>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writing of options.</w:t>
      </w:r>
    </w:p>
    <w:p>
      <w:pPr>
        <w:spacing w:after="0" w:line="175" w:lineRule="exact"/>
        <w:rPr>
          <w:sz w:val="20"/>
          <w:szCs w:val="20"/>
          <w:color w:val="auto"/>
        </w:rPr>
      </w:pPr>
    </w:p>
    <w:p>
      <w:pPr>
        <w:ind w:right="3619" w:firstLine="264"/>
        <w:spacing w:after="0" w:line="265" w:lineRule="auto"/>
        <w:rPr>
          <w:sz w:val="20"/>
          <w:szCs w:val="20"/>
          <w:color w:val="auto"/>
        </w:rPr>
      </w:pPr>
      <w:r>
        <w:rPr>
          <w:rFonts w:ascii="Courier New" w:cs="Courier New" w:eastAsia="Courier New" w:hAnsi="Courier New"/>
          <w:sz w:val="14"/>
          <w:szCs w:val="14"/>
          <w:color w:val="auto"/>
        </w:rPr>
        <w:t>In connection with sales of the notes or shares of common stock issuable upon conversion of the notes or otherwise, any selling securityholder may:</w:t>
      </w:r>
    </w:p>
    <w:p>
      <w:pPr>
        <w:spacing w:after="0" w:line="158" w:lineRule="exact"/>
        <w:rPr>
          <w:sz w:val="20"/>
          <w:szCs w:val="20"/>
          <w:color w:val="auto"/>
        </w:rPr>
      </w:pPr>
    </w:p>
    <w:p>
      <w:pPr>
        <w:ind w:left="440" w:right="3439" w:hanging="273"/>
        <w:spacing w:after="0" w:line="237" w:lineRule="auto"/>
        <w:tabs>
          <w:tab w:leader="none" w:pos="4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hedging transactions with broker-dealers, which may in turn engage in short sales of the notes or shares of common stock issuable upon conversion of the notes in the course of hedging the positions they assume,</w:t>
      </w:r>
    </w:p>
    <w:p>
      <w:pPr>
        <w:spacing w:after="0" w:line="176" w:lineRule="exact"/>
        <w:rPr>
          <w:sz w:val="20"/>
          <w:szCs w:val="20"/>
          <w:color w:val="auto"/>
        </w:rPr>
      </w:pPr>
    </w:p>
    <w:p>
      <w:pPr>
        <w:ind w:left="440" w:right="3799" w:hanging="273"/>
        <w:spacing w:after="0" w:line="235" w:lineRule="auto"/>
        <w:tabs>
          <w:tab w:leader="none" w:pos="4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short and deliver notes or shares of common stock issuable upon conversion of the notes to close out the short positions or</w:t>
      </w:r>
    </w:p>
    <w:p>
      <w:pPr>
        <w:spacing w:after="0" w:line="176" w:lineRule="exact"/>
        <w:rPr>
          <w:sz w:val="20"/>
          <w:szCs w:val="20"/>
          <w:color w:val="auto"/>
        </w:rPr>
      </w:pPr>
    </w:p>
    <w:p>
      <w:pPr>
        <w:ind w:left="440" w:right="3539" w:hanging="273"/>
        <w:spacing w:after="0" w:line="265" w:lineRule="auto"/>
        <w:tabs>
          <w:tab w:leader="none" w:pos="4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or pledge notes or shares of common stock issuable upon conversion of the notes to broker-dealers that in turn may sell the securities.</w:t>
      </w:r>
    </w:p>
    <w:p>
      <w:pPr>
        <w:spacing w:after="0" w:line="158"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The outstanding common stock is publicly traded on the New York Stock Exchange. The initial purchasers of the notes have advised us that certain of the initial purchasers are making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2" w:right="1440" w:bottom="1440" w:gutter="0" w:footer="0" w:header="0"/>
        </w:sectPr>
      </w:pPr>
    </w:p>
    <w:bookmarkStart w:id="43" w:name="page44"/>
    <w:bookmarkEnd w:id="43"/>
    <w:p>
      <w:pPr>
        <w:ind w:right="3439"/>
        <w:spacing w:after="0" w:line="238" w:lineRule="auto"/>
        <w:rPr>
          <w:sz w:val="20"/>
          <w:szCs w:val="20"/>
          <w:color w:val="auto"/>
        </w:rPr>
      </w:pPr>
      <w:r>
        <w:rPr>
          <w:rFonts w:ascii="Courier New" w:cs="Courier New" w:eastAsia="Courier New" w:hAnsi="Courier New"/>
          <w:sz w:val="15"/>
          <w:szCs w:val="15"/>
          <w:color w:val="auto"/>
        </w:rPr>
        <w:t>currently intend to continue making a market in the notes; however, they are not obligated to do so and any market-making of this type may be discontinued at any time without notice, in the sole discretion of the initial purchasers. We do not intend to apply for listing of the notes on the New York Stock Exchange or any securities exchange. Accordingly, we cannot assure that any trading market will develop or have any liquidity.</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selling securityholders and any broker-dealers, agents or underwriters that participate with the selling securityholders in the distribution of the notes or the shares of common stock issuable upon conversion of the notes may be deemed to be "underwriters" within the meaning of the Securities Act, in which event any commissions received by these broker-dealers, agents or underwriters and any profits realized by the selling securityholders on the resales of the notes or the shares may be deemed to be underwriting commissions or discounts under the Securities Act.</w:t>
      </w:r>
    </w:p>
    <w:p>
      <w:pPr>
        <w:spacing w:after="0" w:line="178" w:lineRule="exact"/>
        <w:rPr>
          <w:sz w:val="20"/>
          <w:szCs w:val="20"/>
          <w:color w:val="auto"/>
        </w:rPr>
      </w:pPr>
    </w:p>
    <w:p>
      <w:pPr>
        <w:ind w:right="3359" w:firstLine="264"/>
        <w:spacing w:after="0" w:line="259" w:lineRule="auto"/>
        <w:rPr>
          <w:sz w:val="20"/>
          <w:szCs w:val="20"/>
          <w:color w:val="auto"/>
        </w:rPr>
      </w:pPr>
      <w:r>
        <w:rPr>
          <w:rFonts w:ascii="Courier New" w:cs="Courier New" w:eastAsia="Courier New" w:hAnsi="Courier New"/>
          <w:sz w:val="14"/>
          <w:szCs w:val="14"/>
          <w:color w:val="auto"/>
        </w:rPr>
        <w:t>In addition, any securities covered by this prospectus which qualify for sale pursuant to Rule 144, Rule 144A or any other available exemption from registration under the Securities Act may be sold under Rule 144, Rule 144A or any of the other available exemptions rather than pursuant to this prospectus.</w:t>
      </w:r>
    </w:p>
    <w:p>
      <w:pPr>
        <w:spacing w:after="0" w:line="163" w:lineRule="exact"/>
        <w:rPr>
          <w:sz w:val="20"/>
          <w:szCs w:val="20"/>
          <w:color w:val="auto"/>
        </w:rPr>
      </w:pPr>
    </w:p>
    <w:p>
      <w:pPr>
        <w:ind w:right="3359" w:firstLine="264"/>
        <w:spacing w:after="0" w:line="259" w:lineRule="auto"/>
        <w:rPr>
          <w:sz w:val="20"/>
          <w:szCs w:val="20"/>
          <w:color w:val="auto"/>
        </w:rPr>
      </w:pPr>
      <w:r>
        <w:rPr>
          <w:rFonts w:ascii="Courier New" w:cs="Courier New" w:eastAsia="Courier New" w:hAnsi="Courier New"/>
          <w:sz w:val="14"/>
          <w:szCs w:val="14"/>
          <w:color w:val="auto"/>
        </w:rPr>
        <w:t>There is no assurance that any selling securityholder will sell any or all of the notes or shares of common stock issuable upon conversion of the notes described in this prospectus, and any selling securityholder may transfer, devise or gift the securities by other means not described in this prospectus.</w:t>
      </w:r>
    </w:p>
    <w:p>
      <w:pPr>
        <w:spacing w:after="0" w:line="163"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originally sold the notes to the initial purchasers in October 2000 in a private placement. We agreed to indemnify and hold the initial purchasers of the notes harmless against certain liabilities under the Securities Act that could arise in connection with the sale of the notes by the initial purchasers. The registration rights agreement provides for us and the selling securityholders to indemnify each other against certain liabilities arising under the Securities Act.</w:t>
      </w:r>
    </w:p>
    <w:p>
      <w:pPr>
        <w:spacing w:after="0" w:line="177"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agreed pursuant to the registration rights agreement to use reasonable efforts to cause the registration statement to which this prospectus relates to become effective within 180 days after the date the notes were originally issued and to keep the registration statement effective until the earlier of:</w:t>
      </w:r>
    </w:p>
    <w:p>
      <w:pPr>
        <w:spacing w:after="0" w:line="176" w:lineRule="exact"/>
        <w:rPr>
          <w:sz w:val="20"/>
          <w:szCs w:val="20"/>
          <w:color w:val="auto"/>
        </w:rPr>
      </w:pPr>
    </w:p>
    <w:p>
      <w:pPr>
        <w:ind w:left="440" w:right="3539" w:hanging="273"/>
        <w:spacing w:after="0" w:line="235" w:lineRule="auto"/>
        <w:tabs>
          <w:tab w:leader="none" w:pos="4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the securities registered under the registration rights agreement,</w:t>
      </w:r>
    </w:p>
    <w:p>
      <w:pPr>
        <w:spacing w:after="0" w:line="176" w:lineRule="exact"/>
        <w:rPr>
          <w:sz w:val="20"/>
          <w:szCs w:val="20"/>
          <w:color w:val="auto"/>
        </w:rPr>
      </w:pPr>
    </w:p>
    <w:p>
      <w:pPr>
        <w:ind w:left="440" w:right="3439" w:hanging="273"/>
        <w:spacing w:after="0" w:line="237" w:lineRule="auto"/>
        <w:tabs>
          <w:tab w:leader="none" w:pos="4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the holding period applicable to the securities under Rule 144(k) under the Securities Act with respect to persons who are not our affiliates, and</w:t>
      </w:r>
    </w:p>
    <w:p>
      <w:pPr>
        <w:spacing w:after="0" w:line="175" w:lineRule="exact"/>
        <w:rPr>
          <w:sz w:val="20"/>
          <w:szCs w:val="20"/>
          <w:color w:val="auto"/>
        </w:rPr>
      </w:pPr>
    </w:p>
    <w:p>
      <w:pPr>
        <w:ind w:left="440" w:right="4319" w:hanging="273"/>
        <w:spacing w:after="0" w:line="235" w:lineRule="auto"/>
        <w:tabs>
          <w:tab w:leader="none" w:pos="4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years from the date the registration statement is declared effective.</w:t>
      </w:r>
    </w:p>
    <w:p>
      <w:pPr>
        <w:spacing w:after="0" w:line="176" w:lineRule="exact"/>
        <w:rPr>
          <w:sz w:val="20"/>
          <w:szCs w:val="20"/>
          <w:color w:val="auto"/>
        </w:rPr>
      </w:pPr>
    </w:p>
    <w:p>
      <w:pPr>
        <w:ind w:right="3359" w:firstLine="264"/>
        <w:spacing w:after="0" w:line="257" w:lineRule="auto"/>
        <w:rPr>
          <w:sz w:val="20"/>
          <w:szCs w:val="20"/>
          <w:color w:val="auto"/>
        </w:rPr>
      </w:pPr>
      <w:r>
        <w:rPr>
          <w:rFonts w:ascii="Courier New" w:cs="Courier New" w:eastAsia="Courier New" w:hAnsi="Courier New"/>
          <w:sz w:val="14"/>
          <w:szCs w:val="14"/>
          <w:color w:val="auto"/>
        </w:rPr>
        <w:t>The registration rights agreement provides that we may suspend the use of this prospectus in connection with sales of notes and shares of common stock issuable upon conversion of the notes by holders for a period not to exceed an aggregate of 45 days in any 90-day period or 90 days in any 12-month period if any event occurs or any fact exists that would render the registration statement materially misleading. We will bear the expenses of preparing and filing the registration statement and all post-effective amendments.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1440" w:gutter="0" w:footer="0" w:header="0"/>
        </w:sectPr>
      </w:pPr>
    </w:p>
    <w:bookmarkStart w:id="44" w:name="page45"/>
    <w:bookmarkEnd w:id="44"/>
    <w:p>
      <w:pPr>
        <w:jc w:val="center"/>
        <w:ind w:right="3259"/>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validity of the notes and the shares of common stock issuable upon conversion of the notes offered hereby will be passed upon for Analog by Hale and Dorr LLP, a limited liability partnership including professional corporations, 60 State Street, Boston, Massachusetts 02109. Paul P. Brountas, a partner of Hale and Dorr LLP, is Clerk of Analog and owns 70,000 shares of common stock of Analog.</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consolidated financial statements and financial statement schedule of Analog Devices, Inc. incorporated by reference and included, respectively, in Analog Devices, Inc.'s Annual Report on Form 10-K for the year ended October 30, 1999, have been audited by Ernst &amp; Young LLP, independent auditors, as set forth in their reports thereon incorporated by reference and included therein, respectively, and incorporated herein by reference. Such consolidated financial statements and financial statement schedule are incorporated herein by reference in reliance upon such reports given on the authority of such firm as experts in accounting and auditing.</w:t>
      </w:r>
    </w:p>
    <w:p>
      <w:pPr>
        <w:spacing w:after="0" w:line="17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ADDITIONAL FILINGS AND COMPANY INFORMATION</w:t>
      </w:r>
    </w:p>
    <w:p>
      <w:pPr>
        <w:spacing w:after="0" w:line="175" w:lineRule="exact"/>
        <w:rPr>
          <w:sz w:val="20"/>
          <w:szCs w:val="20"/>
          <w:color w:val="auto"/>
        </w:rPr>
      </w:pPr>
    </w:p>
    <w:p>
      <w:pPr>
        <w:ind w:right="3359" w:firstLine="264"/>
        <w:spacing w:after="0" w:line="256" w:lineRule="auto"/>
        <w:rPr>
          <w:sz w:val="20"/>
          <w:szCs w:val="20"/>
          <w:color w:val="auto"/>
        </w:rPr>
      </w:pPr>
      <w:r>
        <w:rPr>
          <w:rFonts w:ascii="Courier New" w:cs="Courier New" w:eastAsia="Courier New" w:hAnsi="Courier New"/>
          <w:sz w:val="14"/>
          <w:szCs w:val="14"/>
          <w:color w:val="auto"/>
        </w:rPr>
        <w:t>We file reports, proxy statements, information statements and other information with the Securities and Exchange Commission. You may read and copy this information, for a copying fee, at the Commission's Public Reference Room at 450 Fifth Street, N.W., Washington, D.C. 20549, and at the regional offices of the Commission located at Citicorp Center, 500 West Madison Street,</w:t>
      </w:r>
    </w:p>
    <w:p>
      <w:pPr>
        <w:spacing w:after="0" w:line="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Suite 1400, Chicago, Illinois 60661 and Seven World Trade Center, Suite 1300, New York, New York 10048. Please call the Commission at 1-800-SEC-0330 for more information on its public reference rooms. Our Commission filings are also available to the public from commercial document retrieval services and at the web site maintained by the Commission at http://www.sec.gov.</w:t>
      </w:r>
    </w:p>
    <w:p>
      <w:pPr>
        <w:spacing w:after="0" w:line="178"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Our common stock is traded on the New York Stock Exchange and, therefore, the information we file with the Commission may also be inspected at the offices of the New York Stock Exchange, located at 20 Broad Street, New York, NY 10005.</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have filed with the Commission a registration statement on Form S-3 to register with the Commission the resale of the notes and shares of our common stock described in this prospectus. This prospectus is part of that registration statement, and provides you with a general description of the notes and shares of common stock being registered, but does not include all of the information you can find in the registration statement or the exhibits. You should refer to the registration statement and its exhibits for more information about Analog, the notes and the shares of common stock being registered.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2" w:right="1440" w:bottom="1440" w:gutter="0" w:footer="0" w:header="0"/>
        </w:sectPr>
      </w:pPr>
    </w:p>
    <w:bookmarkStart w:id="45" w:name="page46"/>
    <w:bookmarkEnd w:id="45"/>
    <w:p>
      <w:pPr>
        <w:ind w:left="19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Commission allows us to "incorporate by reference" information into this prospectus, which means that we can disclose important information to you by referring to another document filed separately with the Commission. The information incorporated by reference is deemed to be part of this prospectus, except for information superseded by this prospectus. The prospectus incorporates by reference the documents set forth below that we have previously filed with the Commission. These documents contain important information about Analog and its finances.</w:t>
      </w:r>
    </w:p>
    <w:p>
      <w:pPr>
        <w:spacing w:after="0" w:line="172" w:lineRule="exact"/>
        <w:rPr>
          <w:sz w:val="20"/>
          <w:szCs w:val="20"/>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October 30, 1999;</w:t>
      </w:r>
    </w:p>
    <w:p>
      <w:pPr>
        <w:spacing w:after="0" w:line="169"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January 29, 2000;</w:t>
      </w:r>
    </w:p>
    <w:p>
      <w:pPr>
        <w:spacing w:after="0" w:line="169"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April 29, 2000;</w:t>
      </w:r>
    </w:p>
    <w:p>
      <w:pPr>
        <w:spacing w:after="0" w:line="169"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July 29, 2000; and</w:t>
      </w:r>
    </w:p>
    <w:p>
      <w:pPr>
        <w:spacing w:after="0" w:line="169"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dated October 6, 2000.</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are also incorporating by reference additional documents that we may file with the Commission under Section 13(a), 13(c), 14 or 15(d) of the Securities Exchange Act prior to the termination of this offering.</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If you are a stockholder, we may have sent you some of the documents incorporated by reference, but you can obtain any of them through us or the Commission. Documents incorporated by reference are available from us without charge, except exhibits, unless we have specifically incorporated by reference an exhibit into a document that this prospectus incorporates. Stockholders may obtain documents incorporated by reference into this prospectus by requesting them in writing or by telephone from:</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Analog Devices, Inc.</w:t>
      </w:r>
    </w:p>
    <w:p>
      <w:pPr>
        <w:ind w:left="440"/>
        <w:spacing w:after="0"/>
        <w:rPr>
          <w:sz w:val="20"/>
          <w:szCs w:val="20"/>
          <w:color w:val="auto"/>
        </w:rPr>
      </w:pPr>
      <w:r>
        <w:rPr>
          <w:rFonts w:ascii="Courier New" w:cs="Courier New" w:eastAsia="Courier New" w:hAnsi="Courier New"/>
          <w:sz w:val="15"/>
          <w:szCs w:val="15"/>
          <w:color w:val="auto"/>
        </w:rPr>
        <w:t>Attention: Joseph E. McDonough, Vice President-Finance</w:t>
      </w:r>
    </w:p>
    <w:p>
      <w:pPr>
        <w:ind w:left="440"/>
        <w:spacing w:after="0"/>
        <w:rPr>
          <w:sz w:val="20"/>
          <w:szCs w:val="20"/>
          <w:color w:val="auto"/>
        </w:rPr>
      </w:pPr>
      <w:r>
        <w:rPr>
          <w:rFonts w:ascii="Courier New" w:cs="Courier New" w:eastAsia="Courier New" w:hAnsi="Courier New"/>
          <w:sz w:val="15"/>
          <w:szCs w:val="15"/>
          <w:color w:val="auto"/>
        </w:rPr>
        <w:t>One Technology Way</w:t>
      </w:r>
    </w:p>
    <w:p>
      <w:pPr>
        <w:ind w:left="440"/>
        <w:spacing w:after="0" w:line="238" w:lineRule="auto"/>
        <w:rPr>
          <w:sz w:val="20"/>
          <w:szCs w:val="20"/>
          <w:color w:val="auto"/>
        </w:rPr>
      </w:pPr>
      <w:r>
        <w:rPr>
          <w:rFonts w:ascii="Courier New" w:cs="Courier New" w:eastAsia="Courier New" w:hAnsi="Courier New"/>
          <w:sz w:val="15"/>
          <w:szCs w:val="15"/>
          <w:color w:val="auto"/>
        </w:rPr>
        <w:t>Norwood, MA 02062-9106</w:t>
      </w:r>
    </w:p>
    <w:p>
      <w:pPr>
        <w:ind w:left="440"/>
        <w:spacing w:after="0"/>
        <w:rPr>
          <w:sz w:val="20"/>
          <w:szCs w:val="20"/>
          <w:color w:val="auto"/>
        </w:rPr>
      </w:pPr>
      <w:r>
        <w:rPr>
          <w:rFonts w:ascii="Courier New" w:cs="Courier New" w:eastAsia="Courier New" w:hAnsi="Courier New"/>
          <w:sz w:val="15"/>
          <w:szCs w:val="15"/>
          <w:color w:val="auto"/>
        </w:rPr>
        <w:t>Telephone: (781) 329-4700</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CAUTIONARY STATEMENT CONCERNING FORWARD-LOOKING INFORMATION</w:t>
      </w:r>
    </w:p>
    <w:p>
      <w:pPr>
        <w:spacing w:after="0" w:line="175"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Some statements in this prospectus and in the documents incorporated by reference may constitute "forward-looking statements" within the meaning of the Private Securities Litigation Reform Act of 1995. These statements are subject to risks and uncertainties and are based on beliefs and assumptions of Analog, based on information currently available to the company's management. For this purpose, any statements contained herein or incorporated herein that are not statements of historical fact may be deemed to be forward-looking statements. Without limiting the foregoing, the words "believes", "plans", "expects" and similar expressions are intended to identify forward-looking statements. Actual results may vary materially from those we express in forward looking statements. Factors which could cause actual results to differ from expectations include those set forth under "Risk Factors".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2" w:right="1440" w:bottom="1440" w:gutter="0" w:footer="0" w:header="0"/>
        </w:sectPr>
      </w:pPr>
    </w:p>
    <w:bookmarkStart w:id="46" w:name="page47"/>
    <w:bookmarkEnd w:id="46"/>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The following table sets forth the various expenses to be incurred in connection with the sale and distribution of the securities being registered hereby, all of which will be borne by the Registrant (except expenses incurred by the Selling Securityholders for brokerage fees, selling commissions and expenses incurred by the Selling Securityholders for legal services). All amounts shown are estimates except the Securities and Exchange Commission registration fee.</w:t>
      </w:r>
    </w:p>
    <w:p>
      <w:pPr>
        <w:spacing w:after="0" w:line="200" w:lineRule="exact"/>
        <w:rPr>
          <w:sz w:val="20"/>
          <w:szCs w:val="20"/>
          <w:color w:val="auto"/>
        </w:rPr>
      </w:pP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and Exchange Commission filing fee......................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$316,800</w:t>
            </w:r>
          </w:p>
        </w:tc>
      </w:tr>
      <w:tr>
        <w:trPr>
          <w:trHeight w:val="170"/>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7"/>
              </w:rPr>
              <w:t>Legal fees and expenses............................................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7"/>
              </w:rPr>
              <w:t>Printing expenses..................................................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5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$349,800</w:t>
            </w:r>
          </w:p>
        </w:tc>
      </w:tr>
      <w:tr>
        <w:trPr>
          <w:trHeight w:val="170"/>
        </w:trPr>
        <w:tc>
          <w:tcPr>
            <w:tcW w:w="5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183"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8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22" w:right="1440" w:bottom="1440" w:gutter="0" w:footer="0" w:header="0"/>
        </w:sectPr>
      </w:pPr>
    </w:p>
    <w:bookmarkStart w:id="47" w:name="page48"/>
    <w:bookmarkEnd w:id="47"/>
    <w:p>
      <w:pPr>
        <w:ind w:left="10" w:right="3539" w:firstLine="264"/>
        <w:spacing w:after="0" w:line="256" w:lineRule="auto"/>
        <w:rPr>
          <w:sz w:val="20"/>
          <w:szCs w:val="20"/>
          <w:color w:val="auto"/>
        </w:rPr>
      </w:pPr>
      <w:r>
        <w:rPr>
          <w:rFonts w:ascii="Courier New" w:cs="Courier New" w:eastAsia="Courier New" w:hAnsi="Courier New"/>
          <w:sz w:val="14"/>
          <w:szCs w:val="14"/>
          <w:color w:val="auto"/>
        </w:rPr>
        <w:t>Article 6D of the Registrant's Articles of Organization provides that no director shall be liable to the Registrant or its stockholders for monetary damages for breach of his fiduciary duty as a director, except for liability</w:t>
      </w:r>
    </w:p>
    <w:p>
      <w:pPr>
        <w:spacing w:after="0" w:line="1" w:lineRule="exact"/>
        <w:rPr>
          <w:sz w:val="20"/>
          <w:szCs w:val="20"/>
          <w:color w:val="auto"/>
        </w:rPr>
      </w:pPr>
    </w:p>
    <w:p>
      <w:pPr>
        <w:ind w:left="10" w:right="3259" w:hanging="10"/>
        <w:spacing w:after="0" w:line="237" w:lineRule="auto"/>
        <w:tabs>
          <w:tab w:leader="none" w:pos="36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178" w:lineRule="exact"/>
        <w:rPr>
          <w:sz w:val="20"/>
          <w:szCs w:val="20"/>
          <w:color w:val="auto"/>
        </w:rPr>
      </w:pPr>
    </w:p>
    <w:p>
      <w:pPr>
        <w:ind w:left="10" w:right="3879" w:firstLine="264"/>
        <w:spacing w:after="0" w:line="235" w:lineRule="auto"/>
        <w:rPr>
          <w:sz w:val="20"/>
          <w:szCs w:val="20"/>
          <w:color w:val="auto"/>
        </w:rPr>
      </w:pPr>
      <w:r>
        <w:rPr>
          <w:rFonts w:ascii="Courier New" w:cs="Courier New" w:eastAsia="Courier New" w:hAnsi="Courier New"/>
          <w:sz w:val="15"/>
          <w:szCs w:val="15"/>
          <w:color w:val="auto"/>
        </w:rPr>
        <w:t>The Registrant has directors and officers liability insurance for the benefit of its directors and officers.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16. LIST OF EXHIBITS.</w:t>
      </w:r>
    </w:p>
    <w:p>
      <w:pPr>
        <w:spacing w:after="0" w:line="200" w:lineRule="exact"/>
        <w:rPr>
          <w:sz w:val="20"/>
          <w:szCs w:val="20"/>
          <w:color w:val="auto"/>
        </w:rPr>
      </w:pPr>
    </w:p>
    <w:p>
      <w:pPr>
        <w:spacing w:after="0" w:line="314" w:lineRule="exact"/>
        <w:rPr>
          <w:sz w:val="20"/>
          <w:szCs w:val="20"/>
          <w:color w:val="auto"/>
        </w:rPr>
      </w:pPr>
    </w:p>
    <w:p>
      <w:pPr>
        <w:ind w:left="530" w:right="3359" w:hanging="440"/>
        <w:spacing w:after="0" w:line="237" w:lineRule="auto"/>
        <w:tabs>
          <w:tab w:leader="none" w:pos="509" w:val="left"/>
        </w:tabs>
        <w:rPr>
          <w:sz w:val="20"/>
          <w:szCs w:val="20"/>
          <w:color w:val="auto"/>
        </w:rPr>
      </w:pPr>
      <w:r>
        <w:rPr>
          <w:rFonts w:ascii="Courier New" w:cs="Courier New" w:eastAsia="Courier New" w:hAnsi="Courier New"/>
          <w:sz w:val="15"/>
          <w:szCs w:val="15"/>
          <w:color w:val="auto"/>
        </w:rPr>
        <w:t>4.1</w:t>
        <w:tab/>
        <w:t>Indenture dated as of October 2, 2000 by and between Registrant, as Issuer, and State Street Bank and Trust Company, as Trustee, relating to the Registrant's 4.75% Convertible Subordinated Notes due 2005.</w:t>
      </w:r>
    </w:p>
    <w:p>
      <w:pPr>
        <w:spacing w:after="0" w:line="169" w:lineRule="exact"/>
        <w:rPr>
          <w:sz w:val="20"/>
          <w:szCs w:val="20"/>
          <w:color w:val="auto"/>
        </w:rPr>
      </w:pPr>
    </w:p>
    <w:p>
      <w:pPr>
        <w:ind w:left="90"/>
        <w:spacing w:after="0"/>
        <w:tabs>
          <w:tab w:leader="none" w:pos="50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Note for Registrant's 4.75% Convertible Subordinated Notes due</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2005 (included in pages 16 to 29 of the Indenture filed as Exhibit 4.1).</w:t>
      </w:r>
    </w:p>
    <w:p>
      <w:pPr>
        <w:spacing w:after="0" w:line="180" w:lineRule="exact"/>
        <w:rPr>
          <w:sz w:val="20"/>
          <w:szCs w:val="20"/>
          <w:color w:val="auto"/>
        </w:rPr>
      </w:pPr>
    </w:p>
    <w:p>
      <w:pPr>
        <w:ind w:left="530" w:right="3359" w:hanging="440"/>
        <w:spacing w:after="0" w:line="237" w:lineRule="auto"/>
        <w:tabs>
          <w:tab w:leader="none" w:pos="509" w:val="left"/>
        </w:tabs>
        <w:rPr>
          <w:sz w:val="20"/>
          <w:szCs w:val="20"/>
          <w:color w:val="auto"/>
        </w:rPr>
      </w:pPr>
      <w:r>
        <w:rPr>
          <w:rFonts w:ascii="Courier New" w:cs="Courier New" w:eastAsia="Courier New" w:hAnsi="Courier New"/>
          <w:sz w:val="15"/>
          <w:szCs w:val="15"/>
          <w:color w:val="auto"/>
        </w:rPr>
        <w:t>4.3</w:t>
        <w:tab/>
        <w:t>Registration Rights Agreement dated October 2, 2000 by and between Registrant, Goldman, Sachs &amp; Co., SG Cowen Securities Corporation and Salomon Smith Barney Inc. relating to the Registrant's 4.75% Convertible Subordinated Notes due 2005.</w:t>
      </w:r>
    </w:p>
    <w:p>
      <w:pPr>
        <w:spacing w:after="0" w:line="171" w:lineRule="exact"/>
        <w:rPr>
          <w:sz w:val="20"/>
          <w:szCs w:val="20"/>
          <w:color w:val="auto"/>
        </w:rPr>
      </w:pPr>
    </w:p>
    <w:p>
      <w:pPr>
        <w:ind w:left="90"/>
        <w:spacing w:after="0"/>
        <w:tabs>
          <w:tab w:leader="none" w:pos="509"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Hale and Dorr LLP.</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12.1 Statement of Computation of Ratios of Earnings to Fixed Charges.</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23.1 Consent of Hale and Dorr LLP (included in Exhibit 5.1).</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23.2 Consent of Ernst &amp; Young LLP.</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24.1 Power of Attorney (see page II-4 of this Registration Statement).</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25.1 Statement of Eligibility of Trustee on Form T-1.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17. UNDERTAKINGS.</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5" w:lineRule="exact"/>
        <w:rPr>
          <w:sz w:val="20"/>
          <w:szCs w:val="20"/>
          <w:color w:val="auto"/>
        </w:rPr>
      </w:pPr>
    </w:p>
    <w:p>
      <w:pPr>
        <w:ind w:left="350" w:right="3259" w:hanging="350"/>
        <w:spacing w:after="0" w:line="235" w:lineRule="auto"/>
        <w:tabs>
          <w:tab w:leader="none" w:pos="35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530" w:right="4319" w:hanging="353"/>
        <w:spacing w:after="0" w:line="265" w:lineRule="auto"/>
        <w:tabs>
          <w:tab w:leader="none" w:pos="53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58" w:lineRule="exact"/>
        <w:rPr>
          <w:rFonts w:ascii="Courier New" w:cs="Courier New" w:eastAsia="Courier New" w:hAnsi="Courier New"/>
          <w:sz w:val="14"/>
          <w:szCs w:val="14"/>
          <w:color w:val="auto"/>
        </w:rPr>
      </w:pPr>
    </w:p>
    <w:p>
      <w:pPr>
        <w:ind w:left="610" w:right="3439" w:hanging="433"/>
        <w:spacing w:after="0" w:line="238" w:lineRule="auto"/>
        <w:tabs>
          <w:tab w:leader="none" w:pos="61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derivation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Registration Statement; and</w:t>
      </w:r>
    </w:p>
    <w:p>
      <w:pPr>
        <w:spacing w:after="0" w:line="183" w:lineRule="exact"/>
        <w:rPr>
          <w:rFonts w:ascii="Courier New" w:cs="Courier New" w:eastAsia="Courier New" w:hAnsi="Courier New"/>
          <w:sz w:val="15"/>
          <w:szCs w:val="15"/>
          <w:color w:val="auto"/>
        </w:rPr>
      </w:pPr>
    </w:p>
    <w:p>
      <w:pPr>
        <w:ind w:left="710" w:right="3539" w:hanging="533"/>
        <w:spacing w:after="0" w:line="237" w:lineRule="auto"/>
        <w:tabs>
          <w:tab w:leader="none" w:pos="71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627" w:right="1440" w:bottom="1440" w:gutter="0" w:footer="0" w:header="0"/>
        </w:sectPr>
      </w:pPr>
    </w:p>
    <w:bookmarkStart w:id="48" w:name="page49"/>
    <w:bookmarkEnd w:id="48"/>
    <w:p>
      <w:pPr>
        <w:ind w:left="170" w:right="3539"/>
        <w:spacing w:after="0" w:line="238" w:lineRule="auto"/>
        <w:rPr>
          <w:sz w:val="20"/>
          <w:szCs w:val="20"/>
          <w:color w:val="auto"/>
        </w:rPr>
      </w:pPr>
      <w:r>
        <w:rPr>
          <w:rFonts w:ascii="Courier New" w:cs="Courier New" w:eastAsia="Courier New" w:hAnsi="Courier New"/>
          <w:sz w:val="15"/>
          <w:szCs w:val="15"/>
          <w:color w:val="auto"/>
        </w:rPr>
        <w:t>provided, however, that paragraphs (i) and (ii)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and 15(d) of the Securities Exchange Act of 1934 that are incorporated by reference in the Registration Statement.</w:t>
      </w:r>
    </w:p>
    <w:p>
      <w:pPr>
        <w:spacing w:after="0" w:line="177" w:lineRule="exact"/>
        <w:rPr>
          <w:sz w:val="20"/>
          <w:szCs w:val="20"/>
          <w:color w:val="auto"/>
        </w:rPr>
      </w:pPr>
    </w:p>
    <w:p>
      <w:pPr>
        <w:ind w:left="350" w:right="3259" w:hanging="350"/>
        <w:spacing w:after="0" w:line="237" w:lineRule="auto"/>
        <w:tabs>
          <w:tab w:leader="none" w:pos="3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78" w:lineRule="exact"/>
        <w:rPr>
          <w:rFonts w:ascii="Courier New" w:cs="Courier New" w:eastAsia="Courier New" w:hAnsi="Courier New"/>
          <w:sz w:val="15"/>
          <w:szCs w:val="15"/>
          <w:color w:val="auto"/>
        </w:rPr>
      </w:pPr>
    </w:p>
    <w:p>
      <w:pPr>
        <w:jc w:val="both"/>
        <w:ind w:left="350" w:right="3439" w:hanging="350"/>
        <w:spacing w:after="0" w:line="237" w:lineRule="auto"/>
        <w:tabs>
          <w:tab w:leader="none" w:pos="3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sz w:val="20"/>
          <w:szCs w:val="20"/>
          <w:color w:val="auto"/>
        </w:rPr>
      </w:pPr>
    </w:p>
    <w:p>
      <w:pPr>
        <w:ind w:left="10" w:right="3259" w:firstLine="264"/>
        <w:spacing w:after="0" w:line="257"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15(d) of the Securities Exchange Act of 1934, as amended, that is incorporated by reference in this Registration Statement shall be deemed to be a new registration statement relating to the securities offered therein, and the offering of such securities at the time shall be deemed to be the initial bona fide offering thereof.</w:t>
      </w:r>
    </w:p>
    <w:p>
      <w:pPr>
        <w:spacing w:after="0" w:line="167" w:lineRule="exact"/>
        <w:rPr>
          <w:sz w:val="20"/>
          <w:szCs w:val="20"/>
          <w:color w:val="auto"/>
        </w:rPr>
      </w:pPr>
    </w:p>
    <w:p>
      <w:pPr>
        <w:ind w:left="10" w:right="3259" w:firstLine="264"/>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627" w:right="1440" w:bottom="1440" w:gutter="0" w:footer="0" w:header="0"/>
        </w:sectPr>
      </w:pPr>
    </w:p>
    <w:bookmarkStart w:id="49" w:name="page50"/>
    <w:bookmarkEnd w:id="49"/>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this 30th day of October, 2000.</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/s/ Jerald G. Fishman</w:t>
      </w:r>
    </w:p>
    <w:p>
      <w:pPr>
        <w:ind w:left="3700"/>
        <w:spacing w:after="0"/>
        <w:rPr>
          <w:sz w:val="20"/>
          <w:szCs w:val="20"/>
          <w:color w:val="auto"/>
        </w:rPr>
      </w:pPr>
      <w:r>
        <w:rPr>
          <w:rFonts w:ascii="Courier New" w:cs="Courier New" w:eastAsia="Courier New" w:hAnsi="Courier New"/>
          <w:sz w:val="15"/>
          <w:szCs w:val="15"/>
          <w:color w:val="auto"/>
        </w:rPr>
        <w:t>By: _________________________________</w:t>
      </w:r>
    </w:p>
    <w:p>
      <w:pPr>
        <w:jc w:val="center"/>
        <w:ind w:right="-600"/>
        <w:spacing w:after="0"/>
        <w:rPr>
          <w:sz w:val="20"/>
          <w:szCs w:val="20"/>
          <w:color w:val="auto"/>
        </w:rPr>
      </w:pPr>
      <w:r>
        <w:rPr>
          <w:rFonts w:ascii="Courier New" w:cs="Courier New" w:eastAsia="Courier New" w:hAnsi="Courier New"/>
          <w:sz w:val="15"/>
          <w:szCs w:val="15"/>
          <w:color w:val="auto"/>
        </w:rPr>
        <w:t>Jerald G. Fishman</w:t>
      </w:r>
    </w:p>
    <w:p>
      <w:pPr>
        <w:jc w:val="center"/>
        <w:ind w:right="-600"/>
        <w:spacing w:after="0" w:line="238" w:lineRule="auto"/>
        <w:rPr>
          <w:sz w:val="20"/>
          <w:szCs w:val="20"/>
          <w:color w:val="auto"/>
        </w:rPr>
      </w:pPr>
      <w:r>
        <w:rPr>
          <w:rFonts w:ascii="Courier New" w:cs="Courier New" w:eastAsia="Courier New" w:hAnsi="Courier New"/>
          <w:sz w:val="15"/>
          <w:szCs w:val="15"/>
          <w:color w:val="auto"/>
        </w:rPr>
        <w:t>President and Chief Executive</w:t>
      </w:r>
    </w:p>
    <w:p>
      <w:pPr>
        <w:jc w:val="center"/>
        <w:ind w:right="-600"/>
        <w:spacing w:after="0"/>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the undersigned officers and directors of Analog Devices, Inc., hereby severally constitute Jerald G. Fishman and Joseph E. McDonough,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Analog Devices, Inc. to comply with the provisions of the Securities Act and all requirements of the Securities and Exchange Commission, hereby ratifying and confirming our signatures as they may be signed by our said attorneys, or any of them, to said Registration Statement and any and all amendments thereto.</w:t>
      </w:r>
    </w:p>
    <w:p>
      <w:pPr>
        <w:spacing w:after="0" w:line="182" w:lineRule="exact"/>
        <w:rPr>
          <w:sz w:val="20"/>
          <w:szCs w:val="20"/>
          <w:color w:val="auto"/>
        </w:rPr>
      </w:pPr>
    </w:p>
    <w:p>
      <w:pPr>
        <w:ind w:right="4059" w:firstLine="264"/>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Signature</w:t>
            </w:r>
          </w:p>
        </w:tc>
        <w:tc>
          <w:tcPr>
            <w:tcW w:w="2460" w:type="dxa"/>
            <w:vAlign w:val="bottom"/>
          </w:tcPr>
          <w:p>
            <w:pPr>
              <w:ind w:left="960"/>
              <w:spacing w:after="0"/>
              <w:rPr>
                <w:sz w:val="20"/>
                <w:szCs w:val="20"/>
                <w:color w:val="auto"/>
              </w:rPr>
            </w:pPr>
            <w:r>
              <w:rPr>
                <w:rFonts w:ascii="Courier New" w:cs="Courier New" w:eastAsia="Courier New" w:hAnsi="Courier New"/>
                <w:sz w:val="15"/>
                <w:szCs w:val="15"/>
                <w:color w:val="auto"/>
              </w:rPr>
              <w:t>Title</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3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246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33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/s/ Jerald G. Fishman</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President, Chief Executive</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1500" w:type="dxa"/>
            <w:vAlign w:val="bottom"/>
          </w:tcPr>
          <w:p>
            <w:pPr>
              <w:spacing w:after="0"/>
              <w:rPr>
                <w:sz w:val="14"/>
                <w:szCs w:val="14"/>
                <w:color w:val="auto"/>
              </w:rPr>
            </w:pPr>
          </w:p>
        </w:tc>
      </w:tr>
      <w:tr>
        <w:trPr>
          <w:trHeight w:val="170"/>
        </w:trPr>
        <w:tc>
          <w:tcPr>
            <w:tcW w:w="3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Jerald G. Fishman</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(Principal Executive</w:t>
            </w:r>
          </w:p>
        </w:tc>
        <w:tc>
          <w:tcPr>
            <w:tcW w:w="150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500" w:type="dxa"/>
            <w:vAlign w:val="bottom"/>
          </w:tcPr>
          <w:p>
            <w:pPr>
              <w:spacing w:after="0"/>
              <w:rPr>
                <w:sz w:val="14"/>
                <w:szCs w:val="14"/>
                <w:color w:val="auto"/>
              </w:rPr>
            </w:pPr>
          </w:p>
        </w:tc>
      </w:tr>
      <w:tr>
        <w:trPr>
          <w:trHeight w:val="339"/>
        </w:trPr>
        <w:tc>
          <w:tcPr>
            <w:tcW w:w="33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/s/ Ray Stata</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 and</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spacing w:after="0"/>
              <w:rPr>
                <w:sz w:val="14"/>
                <w:szCs w:val="14"/>
                <w:color w:val="auto"/>
              </w:rPr>
            </w:pPr>
          </w:p>
        </w:tc>
      </w:tr>
      <w:tr>
        <w:trPr>
          <w:trHeight w:val="170"/>
        </w:trPr>
        <w:tc>
          <w:tcPr>
            <w:tcW w:w="3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Ray Stata</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33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/s/ Joseph E. McDonough</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Vice President-Finance and</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1500" w:type="dxa"/>
            <w:vAlign w:val="bottom"/>
          </w:tcPr>
          <w:p>
            <w:pPr>
              <w:spacing w:after="0"/>
              <w:rPr>
                <w:sz w:val="14"/>
                <w:szCs w:val="14"/>
                <w:color w:val="auto"/>
              </w:rPr>
            </w:pPr>
          </w:p>
        </w:tc>
      </w:tr>
      <w:tr>
        <w:trPr>
          <w:trHeight w:val="170"/>
        </w:trPr>
        <w:tc>
          <w:tcPr>
            <w:tcW w:w="3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Joseph E. McDonough</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and</w:t>
            </w:r>
          </w:p>
        </w:tc>
        <w:tc>
          <w:tcPr>
            <w:tcW w:w="150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500" w:type="dxa"/>
            <w:vAlign w:val="bottom"/>
          </w:tcPr>
          <w:p>
            <w:pPr>
              <w:spacing w:after="0"/>
              <w:rPr>
                <w:sz w:val="14"/>
                <w:szCs w:val="14"/>
                <w:color w:val="auto"/>
              </w:rPr>
            </w:pPr>
          </w:p>
        </w:tc>
      </w:tr>
      <w:tr>
        <w:trPr>
          <w:trHeight w:val="339"/>
        </w:trPr>
        <w:tc>
          <w:tcPr>
            <w:tcW w:w="33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/s/ John L. Doyle</w:t>
            </w: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John L. Doyle</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509"/>
        </w:trPr>
        <w:tc>
          <w:tcPr>
            <w:tcW w:w="334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II-4</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220"/>
              <w:spacing w:after="0"/>
              <w:rPr>
                <w:sz w:val="20"/>
                <w:szCs w:val="20"/>
                <w:color w:val="auto"/>
              </w:rPr>
            </w:pPr>
            <w:r>
              <w:rPr>
                <w:rFonts w:ascii="Courier New" w:cs="Courier New" w:eastAsia="Courier New" w:hAnsi="Courier New"/>
                <w:sz w:val="15"/>
                <w:szCs w:val="15"/>
                <w:color w:val="auto"/>
              </w:rPr>
              <w:t>Signature</w:t>
            </w:r>
          </w:p>
        </w:tc>
        <w:tc>
          <w:tcPr>
            <w:tcW w:w="1980" w:type="dxa"/>
            <w:vAlign w:val="bottom"/>
          </w:tcPr>
          <w:p>
            <w:pPr>
              <w:ind w:left="96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334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33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/s/ Charles O. Holliday, Jr.</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8"/>
              </w:rPr>
              <w:t>Charles O. Holliday, Jr.</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33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/s/ Joel Moses</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7"/>
              </w:rPr>
              <w:t>Joel Moses</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33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/s/ F. Grant Saviers</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8"/>
              </w:rPr>
              <w:t>F. Grant Saviers</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3340" w:type="dxa"/>
            <w:vAlign w:val="bottom"/>
          </w:tcPr>
          <w:p>
            <w:pPr>
              <w:ind w:left="520"/>
              <w:spacing w:after="0"/>
              <w:rPr>
                <w:sz w:val="20"/>
                <w:szCs w:val="20"/>
                <w:color w:val="auto"/>
              </w:rPr>
            </w:pPr>
            <w:r>
              <w:rPr>
                <w:rFonts w:ascii="Courier New" w:cs="Courier New" w:eastAsia="Courier New" w:hAnsi="Courier New"/>
                <w:sz w:val="15"/>
                <w:szCs w:val="15"/>
                <w:color w:val="auto"/>
              </w:rPr>
              <w:t>/s/  Lester C. Thurow</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7"/>
              </w:rPr>
              <w:t>October 30, 2000</w:t>
            </w: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7"/>
              </w:rPr>
              <w:t>______________________________________</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8"/>
              </w:rPr>
              <w:t>Lester C. Thurow</w:t>
            </w: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509"/>
        </w:trPr>
        <w:tc>
          <w:tcPr>
            <w:tcW w:w="33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II-5</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51" w:name="page52"/>
    <w:bookmarkEnd w:id="51"/>
    <w:p>
      <w:pPr>
        <w:ind w:left="282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14" w:lineRule="exact"/>
        <w:rPr>
          <w:sz w:val="20"/>
          <w:szCs w:val="20"/>
          <w:color w:val="auto"/>
        </w:rPr>
      </w:pPr>
    </w:p>
    <w:p>
      <w:pPr>
        <w:ind w:left="440" w:right="3359" w:hanging="440"/>
        <w:spacing w:after="0" w:line="237" w:lineRule="auto"/>
        <w:tabs>
          <w:tab w:leader="none" w:pos="420" w:val="left"/>
        </w:tabs>
        <w:rPr>
          <w:sz w:val="20"/>
          <w:szCs w:val="20"/>
          <w:color w:val="auto"/>
        </w:rPr>
      </w:pPr>
      <w:r>
        <w:rPr>
          <w:rFonts w:ascii="Courier New" w:cs="Courier New" w:eastAsia="Courier New" w:hAnsi="Courier New"/>
          <w:sz w:val="15"/>
          <w:szCs w:val="15"/>
          <w:color w:val="auto"/>
        </w:rPr>
        <w:t>4.1</w:t>
        <w:tab/>
        <w:t>Indenture dated as of October 2, 2000 by and between Registrant, as Issuer, and State Street Bank and Trust Company, as Trustee, relating to the Registrant's 4.75% Convertible Subordinated Notes due 2005.</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Note for Registrant's 4.75% Convertible Subordinated Notes due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2005 (included in pages 16 to 29 of the Indenture filed as Exhibit 4.1).</w:t>
      </w:r>
    </w:p>
    <w:p>
      <w:pPr>
        <w:spacing w:after="0" w:line="180" w:lineRule="exact"/>
        <w:rPr>
          <w:sz w:val="20"/>
          <w:szCs w:val="20"/>
          <w:color w:val="auto"/>
        </w:rPr>
      </w:pPr>
    </w:p>
    <w:p>
      <w:pPr>
        <w:ind w:left="440" w:right="3359" w:hanging="440"/>
        <w:spacing w:after="0" w:line="237" w:lineRule="auto"/>
        <w:tabs>
          <w:tab w:leader="none" w:pos="420" w:val="left"/>
        </w:tabs>
        <w:rPr>
          <w:sz w:val="20"/>
          <w:szCs w:val="20"/>
          <w:color w:val="auto"/>
        </w:rPr>
      </w:pPr>
      <w:r>
        <w:rPr>
          <w:rFonts w:ascii="Courier New" w:cs="Courier New" w:eastAsia="Courier New" w:hAnsi="Courier New"/>
          <w:sz w:val="15"/>
          <w:szCs w:val="15"/>
          <w:color w:val="auto"/>
        </w:rPr>
        <w:t>4.3</w:t>
        <w:tab/>
        <w:t>Registration Rights Agreement dated October 2, 2000 by and between Registrant, Goldman, Sachs &amp; Co., SG Cowen Securities Corporation and Salomon Smith Barney Inc. relating to the Registrant's 4.75% Convertible Subordinated Notes due 2005.</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Hale and Dorr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 Statement of Computation of Ratios of Earnings to Fixed Charges.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 Consent of Hale and Dorr LLP (included in Exhibit 5.1).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23.2 Consent of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Power of Attorney (see page II-4 of this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 Statement of Eligibility of Trustee on Form T-1.</w:t>
      </w:r>
    </w:p>
    <w:p>
      <w:pPr>
        <w:sectPr>
          <w:pgSz w:w="11900" w:h="16838" w:orient="portrait"/>
          <w:cols w:equalWidth="0" w:num="1">
            <w:col w:w="10139"/>
          </w:cols>
          <w:pgMar w:left="320" w:top="622" w:right="1440" w:bottom="1440" w:gutter="0" w:footer="0" w:header="0"/>
        </w:sectPr>
      </w:pPr>
    </w:p>
    <w:bookmarkStart w:id="52" w:name="page53"/>
    <w:bookmarkEnd w:id="52"/>
    <w:p>
      <w:pPr>
        <w:jc w:val="right"/>
        <w:ind w:right="3179"/>
        <w:spacing w:after="0"/>
        <w:rPr>
          <w:sz w:val="20"/>
          <w:szCs w:val="20"/>
          <w:color w:val="auto"/>
        </w:rPr>
      </w:pPr>
      <w:r>
        <w:rPr>
          <w:rFonts w:ascii="Courier New" w:cs="Courier New" w:eastAsia="Courier New" w:hAnsi="Courier New"/>
          <w:sz w:val="15"/>
          <w:szCs w:val="15"/>
          <w:color w:val="auto"/>
        </w:rPr>
        <w:t>EXHIBIT 4.1</w:t>
      </w:r>
    </w:p>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ISSUER</w:t>
      </w:r>
    </w:p>
    <w:p>
      <w:pPr>
        <w:spacing w:after="0" w:line="16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TRUSTEE</w:t>
      </w:r>
    </w:p>
    <w:p>
      <w:pPr>
        <w:spacing w:after="0" w:line="16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INDENTURE</w:t>
      </w:r>
    </w:p>
    <w:p>
      <w:pPr>
        <w:spacing w:after="0" w:line="16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Dated as of October 2, 2000</w:t>
      </w:r>
    </w:p>
    <w:p>
      <w:pPr>
        <w:spacing w:after="0" w:line="16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4.75% CONVERTIBLE SUBORDINATED NOTES DUE OCTOBER 1, 2005</w:t>
      </w:r>
    </w:p>
    <w:p>
      <w:pPr>
        <w:spacing w:after="0" w:line="33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179"/>
          </w:cols>
          <w:pgMar w:left="1280" w:top="475" w:right="1440" w:bottom="1440" w:gutter="0" w:footer="0" w:header="0"/>
        </w:sectPr>
      </w:pPr>
    </w:p>
    <w:bookmarkStart w:id="53" w:name="page54"/>
    <w:bookmarkEnd w:id="53"/>
    <w:p>
      <w:pPr>
        <w:ind w:left="10" w:right="3259"/>
        <w:spacing w:after="0" w:line="237" w:lineRule="auto"/>
        <w:rPr>
          <w:sz w:val="20"/>
          <w:szCs w:val="20"/>
          <w:color w:val="auto"/>
        </w:rPr>
      </w:pPr>
      <w:r>
        <w:rPr>
          <w:rFonts w:ascii="Courier New" w:cs="Courier New" w:eastAsia="Courier New" w:hAnsi="Courier New"/>
          <w:sz w:val="15"/>
          <w:szCs w:val="15"/>
          <w:color w:val="auto"/>
        </w:rPr>
        <w:t>Reconciliation and Tie Between the Trust Indenture Act of 1939 and Indenture, dated as of October 2, 2000, between Analog Devices, Inc. and State Street Bank and Trust Company, as Trustee.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TRUST INDENTURE ACT SECTION</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INDENTURE SECTION</w:t>
            </w:r>
          </w:p>
        </w:tc>
      </w:tr>
      <w:tr>
        <w:trPr>
          <w:trHeight w:val="33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310(a)(1)............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(a)(4)................</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(a)(5)................</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6.8, 6.9, 6.10, 6.13</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311(a)...............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312(a)...............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15.1, 15.2(1)</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15.2(2)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15.2(3)</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313(a)...............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15.3(1)</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15.3(1)</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15.3(1)</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15.3(2)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314(a)...............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315(a)...............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6.1(3)(i)</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6.1(3)(ii)</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6.1(3)(iii)</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316(a)(1)(A).........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(a)(1)(B).............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317(a)(1)............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Section 318(a)...............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bl>
    <w:p>
      <w:pPr>
        <w:spacing w:after="0" w:line="175" w:lineRule="exact"/>
        <w:rPr>
          <w:sz w:val="20"/>
          <w:szCs w:val="20"/>
          <w:color w:val="auto"/>
        </w:rPr>
      </w:pPr>
    </w:p>
    <w:p>
      <w:pPr>
        <w:ind w:left="270" w:right="3359" w:hanging="270"/>
        <w:spacing w:after="0" w:line="235" w:lineRule="auto"/>
        <w:tabs>
          <w:tab w:leader="none" w:pos="27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This reconciliation and tie shall not, for any purpose, be deemed to be a part of the Indenture.</w:t>
      </w:r>
    </w:p>
    <w:p>
      <w:pPr>
        <w:spacing w:after="0" w:line="1"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 Note:</w:t>
      </w:r>
      <w:r>
        <w:rPr>
          <w:sz w:val="20"/>
          <w:szCs w:val="20"/>
          <w:color w:val="auto"/>
        </w:rPr>
        <w:tab/>
      </w:r>
      <w:r>
        <w:rPr>
          <w:rFonts w:ascii="Courier New" w:cs="Courier New" w:eastAsia="Courier New" w:hAnsi="Courier New"/>
          <w:sz w:val="14"/>
          <w:szCs w:val="14"/>
          <w:color w:val="auto"/>
        </w:rPr>
        <w:t>N.A. means Not Applicable.</w:t>
      </w:r>
    </w:p>
    <w:p>
      <w:pPr>
        <w:sectPr>
          <w:pgSz w:w="11900" w:h="16838" w:orient="portrait"/>
          <w:cols w:equalWidth="0" w:num="1">
            <w:col w:w="10229"/>
          </w:cols>
          <w:pgMar w:left="230" w:top="627" w:right="1440" w:bottom="1440" w:gutter="0" w:footer="0" w:header="0"/>
        </w:sectPr>
      </w:pPr>
    </w:p>
    <w:bookmarkStart w:id="54" w:name="page55"/>
    <w:bookmarkEnd w:id="54"/>
    <w:p>
      <w:pPr>
        <w:ind w:left="50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10380" w:val="left"/>
        </w:tabs>
        <w:rPr>
          <w:sz w:val="20"/>
          <w:szCs w:val="20"/>
          <w:color w:val="auto"/>
        </w:rPr>
      </w:pPr>
      <w:r>
        <w:rPr>
          <w:rFonts w:ascii="Courier New" w:cs="Courier New" w:eastAsia="Courier New" w:hAnsi="Courier New"/>
          <w:sz w:val="15"/>
          <w:szCs w:val="15"/>
          <w:color w:val="auto"/>
        </w:rPr>
        <w:t>ARTICLE I DEFINITIONS AND OTHER PROVISIONS OF GENERAL APPLICATION</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ind w:left="780"/>
        <w:spacing w:after="0"/>
        <w:tabs>
          <w:tab w:leader="none" w:pos="3140" w:val="left"/>
          <w:tab w:leader="dot" w:pos="1038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Compliance Certificates And Opinions</w:t>
      </w:r>
      <w:r>
        <w:rPr>
          <w:sz w:val="20"/>
          <w:szCs w:val="20"/>
          <w:color w:val="auto"/>
        </w:rPr>
        <w:tab/>
      </w:r>
      <w:r>
        <w:rPr>
          <w:rFonts w:ascii="Courier New" w:cs="Courier New" w:eastAsia="Courier New" w:hAnsi="Courier New"/>
          <w:sz w:val="15"/>
          <w:szCs w:val="15"/>
          <w:color w:val="auto"/>
        </w:rPr>
        <w:t>10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Form of Documents Delivered to the Trustee</w:t>
      </w:r>
      <w:r>
        <w:rPr>
          <w:sz w:val="20"/>
          <w:szCs w:val="20"/>
          <w:color w:val="auto"/>
        </w:rPr>
        <w:tab/>
      </w:r>
      <w:r>
        <w:rPr>
          <w:rFonts w:ascii="Courier New" w:cs="Courier New" w:eastAsia="Courier New" w:hAnsi="Courier New"/>
          <w:sz w:val="15"/>
          <w:szCs w:val="15"/>
          <w:color w:val="auto"/>
        </w:rPr>
        <w:t>11</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Acts of Holders of Securities</w:t>
      </w:r>
      <w:r>
        <w:rPr>
          <w:sz w:val="20"/>
          <w:szCs w:val="20"/>
          <w:color w:val="auto"/>
        </w:rPr>
        <w:tab/>
      </w:r>
      <w:r>
        <w:rPr>
          <w:rFonts w:ascii="Courier New" w:cs="Courier New" w:eastAsia="Courier New" w:hAnsi="Courier New"/>
          <w:sz w:val="15"/>
          <w:szCs w:val="15"/>
          <w:color w:val="auto"/>
        </w:rPr>
        <w:t>11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Notices, Etc to the Trustee and Company</w:t>
      </w:r>
      <w:r>
        <w:rPr>
          <w:sz w:val="20"/>
          <w:szCs w:val="20"/>
          <w:color w:val="auto"/>
        </w:rPr>
        <w:tab/>
      </w:r>
      <w:r>
        <w:rPr>
          <w:rFonts w:ascii="Courier New" w:cs="Courier New" w:eastAsia="Courier New" w:hAnsi="Courier New"/>
          <w:sz w:val="15"/>
          <w:szCs w:val="15"/>
          <w:color w:val="auto"/>
        </w:rPr>
        <w:t>13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Notice to Holders of Securities; Waiver</w:t>
      </w:r>
      <w:r>
        <w:rPr>
          <w:sz w:val="20"/>
          <w:szCs w:val="20"/>
          <w:color w:val="auto"/>
        </w:rPr>
        <w:tab/>
      </w:r>
      <w:r>
        <w:rPr>
          <w:rFonts w:ascii="Courier New" w:cs="Courier New" w:eastAsia="Courier New" w:hAnsi="Courier New"/>
          <w:sz w:val="15"/>
          <w:szCs w:val="15"/>
          <w:color w:val="auto"/>
        </w:rPr>
        <w:t>13</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5"/>
          <w:szCs w:val="15"/>
          <w:color w:val="auto"/>
        </w:rPr>
        <w:t>Effect of Headings and Table of Contents</w:t>
      </w:r>
      <w:r>
        <w:rPr>
          <w:sz w:val="20"/>
          <w:szCs w:val="20"/>
          <w:color w:val="auto"/>
        </w:rPr>
        <w:tab/>
      </w:r>
      <w:r>
        <w:rPr>
          <w:rFonts w:ascii="Courier New" w:cs="Courier New" w:eastAsia="Courier New" w:hAnsi="Courier New"/>
          <w:sz w:val="15"/>
          <w:szCs w:val="15"/>
          <w:color w:val="auto"/>
        </w:rPr>
        <w:t>14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5"/>
          <w:szCs w:val="15"/>
          <w:color w:val="auto"/>
        </w:rPr>
        <w:t>14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5"/>
          <w:szCs w:val="15"/>
          <w:color w:val="auto"/>
        </w:rPr>
        <w:t>Separability Clause</w:t>
      </w:r>
      <w:r>
        <w:rPr>
          <w:sz w:val="20"/>
          <w:szCs w:val="20"/>
          <w:color w:val="auto"/>
        </w:rPr>
        <w:tab/>
      </w:r>
      <w:r>
        <w:rPr>
          <w:rFonts w:ascii="Courier New" w:cs="Courier New" w:eastAsia="Courier New" w:hAnsi="Courier New"/>
          <w:sz w:val="15"/>
          <w:szCs w:val="15"/>
          <w:color w:val="auto"/>
        </w:rPr>
        <w:t>14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5"/>
          <w:szCs w:val="15"/>
          <w:color w:val="auto"/>
        </w:rPr>
        <w:t>Benefits of Indenture</w:t>
      </w:r>
      <w:r>
        <w:rPr>
          <w:sz w:val="20"/>
          <w:szCs w:val="20"/>
          <w:color w:val="auto"/>
        </w:rPr>
        <w:tab/>
      </w:r>
      <w:r>
        <w:rPr>
          <w:rFonts w:ascii="Courier New" w:cs="Courier New" w:eastAsia="Courier New" w:hAnsi="Courier New"/>
          <w:sz w:val="15"/>
          <w:szCs w:val="15"/>
          <w:color w:val="auto"/>
        </w:rPr>
        <w:t>14</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14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Legal Holidays</w:t>
      </w:r>
      <w:r>
        <w:rPr>
          <w:sz w:val="20"/>
          <w:szCs w:val="20"/>
          <w:color w:val="auto"/>
        </w:rPr>
        <w:tab/>
      </w:r>
      <w:r>
        <w:rPr>
          <w:rFonts w:ascii="Courier New" w:cs="Courier New" w:eastAsia="Courier New" w:hAnsi="Courier New"/>
          <w:sz w:val="15"/>
          <w:szCs w:val="15"/>
          <w:color w:val="auto"/>
        </w:rPr>
        <w:t>14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Conflict With Trust Indenture Act</w:t>
      </w:r>
      <w:r>
        <w:rPr>
          <w:sz w:val="20"/>
          <w:szCs w:val="20"/>
          <w:color w:val="auto"/>
        </w:rPr>
        <w:tab/>
      </w:r>
      <w:r>
        <w:rPr>
          <w:rFonts w:ascii="Courier New" w:cs="Courier New" w:eastAsia="Courier New" w:hAnsi="Courier New"/>
          <w:sz w:val="15"/>
          <w:szCs w:val="15"/>
          <w:color w:val="auto"/>
        </w:rPr>
        <w:t>15</w:t>
      </w:r>
    </w:p>
    <w:p>
      <w:pPr>
        <w:spacing w:after="0" w:line="168"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II SECURITY FORMS</w:t>
      </w:r>
      <w:r>
        <w:rPr>
          <w:sz w:val="20"/>
          <w:szCs w:val="20"/>
          <w:color w:val="auto"/>
        </w:rPr>
        <w:tab/>
      </w:r>
      <w:r>
        <w:rPr>
          <w:rFonts w:ascii="Courier New" w:cs="Courier New" w:eastAsia="Courier New" w:hAnsi="Courier New"/>
          <w:sz w:val="15"/>
          <w:szCs w:val="15"/>
          <w:color w:val="auto"/>
        </w:rPr>
        <w:t>15</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Form Generally</w:t>
      </w:r>
      <w:r>
        <w:rPr>
          <w:sz w:val="20"/>
          <w:szCs w:val="20"/>
          <w:color w:val="auto"/>
        </w:rPr>
        <w:tab/>
      </w:r>
      <w:r>
        <w:rPr>
          <w:rFonts w:ascii="Courier New" w:cs="Courier New" w:eastAsia="Courier New" w:hAnsi="Courier New"/>
          <w:sz w:val="15"/>
          <w:szCs w:val="15"/>
          <w:color w:val="auto"/>
        </w:rPr>
        <w:t>15</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Form of Security</w:t>
      </w:r>
      <w:r>
        <w:rPr>
          <w:sz w:val="20"/>
          <w:szCs w:val="20"/>
          <w:color w:val="auto"/>
        </w:rPr>
        <w:tab/>
      </w:r>
      <w:r>
        <w:rPr>
          <w:rFonts w:ascii="Courier New" w:cs="Courier New" w:eastAsia="Courier New" w:hAnsi="Courier New"/>
          <w:sz w:val="15"/>
          <w:szCs w:val="15"/>
          <w:color w:val="auto"/>
        </w:rPr>
        <w:t>16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Form of Certificate of Authentication</w:t>
      </w:r>
      <w:r>
        <w:rPr>
          <w:sz w:val="20"/>
          <w:szCs w:val="20"/>
          <w:color w:val="auto"/>
        </w:rPr>
        <w:tab/>
      </w:r>
      <w:r>
        <w:rPr>
          <w:rFonts w:ascii="Courier New" w:cs="Courier New" w:eastAsia="Courier New" w:hAnsi="Courier New"/>
          <w:sz w:val="15"/>
          <w:szCs w:val="15"/>
          <w:color w:val="auto"/>
        </w:rPr>
        <w:t>29</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Form of Conversion Notice</w:t>
      </w:r>
      <w:r>
        <w:rPr>
          <w:sz w:val="20"/>
          <w:szCs w:val="20"/>
          <w:color w:val="auto"/>
        </w:rPr>
        <w:tab/>
      </w:r>
      <w:r>
        <w:rPr>
          <w:rFonts w:ascii="Courier New" w:cs="Courier New" w:eastAsia="Courier New" w:hAnsi="Courier New"/>
          <w:sz w:val="15"/>
          <w:szCs w:val="15"/>
          <w:color w:val="auto"/>
        </w:rPr>
        <w:t>30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Form of Assignment</w:t>
      </w:r>
      <w:r>
        <w:rPr>
          <w:sz w:val="20"/>
          <w:szCs w:val="20"/>
          <w:color w:val="auto"/>
        </w:rPr>
        <w:tab/>
      </w:r>
      <w:r>
        <w:rPr>
          <w:rFonts w:ascii="Courier New" w:cs="Courier New" w:eastAsia="Courier New" w:hAnsi="Courier New"/>
          <w:sz w:val="15"/>
          <w:szCs w:val="15"/>
          <w:color w:val="auto"/>
        </w:rPr>
        <w:t>31</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III THE SECURITIES</w:t>
      </w:r>
      <w:r>
        <w:rPr>
          <w:sz w:val="20"/>
          <w:szCs w:val="20"/>
          <w:color w:val="auto"/>
        </w:rPr>
        <w:tab/>
      </w:r>
      <w:r>
        <w:rPr>
          <w:rFonts w:ascii="Courier New" w:cs="Courier New" w:eastAsia="Courier New" w:hAnsi="Courier New"/>
          <w:sz w:val="15"/>
          <w:szCs w:val="15"/>
          <w:color w:val="auto"/>
        </w:rPr>
        <w:t>32</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Title and Terms</w:t>
      </w:r>
      <w:r>
        <w:rPr>
          <w:sz w:val="20"/>
          <w:szCs w:val="20"/>
          <w:color w:val="auto"/>
        </w:rPr>
        <w:tab/>
      </w:r>
      <w:r>
        <w:rPr>
          <w:rFonts w:ascii="Courier New" w:cs="Courier New" w:eastAsia="Courier New" w:hAnsi="Courier New"/>
          <w:sz w:val="15"/>
          <w:szCs w:val="15"/>
          <w:color w:val="auto"/>
        </w:rPr>
        <w:t>32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Denominations</w:t>
      </w:r>
      <w:r>
        <w:rPr>
          <w:sz w:val="20"/>
          <w:szCs w:val="20"/>
          <w:color w:val="auto"/>
        </w:rPr>
        <w:tab/>
      </w:r>
      <w:r>
        <w:rPr>
          <w:rFonts w:ascii="Courier New" w:cs="Courier New" w:eastAsia="Courier New" w:hAnsi="Courier New"/>
          <w:sz w:val="15"/>
          <w:szCs w:val="15"/>
          <w:color w:val="auto"/>
        </w:rPr>
        <w:t>32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Execution, Authentication, Delivery and Dating</w:t>
      </w:r>
      <w:r>
        <w:rPr>
          <w:sz w:val="20"/>
          <w:szCs w:val="20"/>
          <w:color w:val="auto"/>
        </w:rPr>
        <w:tab/>
      </w:r>
      <w:r>
        <w:rPr>
          <w:rFonts w:ascii="Courier New" w:cs="Courier New" w:eastAsia="Courier New" w:hAnsi="Courier New"/>
          <w:sz w:val="15"/>
          <w:szCs w:val="15"/>
          <w:color w:val="auto"/>
        </w:rPr>
        <w:t>33</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Global Securities; Non-global Securities; Book-entry Provisions</w:t>
      </w:r>
      <w:r>
        <w:rPr>
          <w:sz w:val="20"/>
          <w:szCs w:val="20"/>
          <w:color w:val="auto"/>
        </w:rPr>
        <w:tab/>
      </w:r>
      <w:r>
        <w:rPr>
          <w:rFonts w:ascii="Courier New" w:cs="Courier New" w:eastAsia="Courier New" w:hAnsi="Courier New"/>
          <w:sz w:val="15"/>
          <w:szCs w:val="15"/>
          <w:color w:val="auto"/>
        </w:rPr>
        <w:t>33</w:t>
      </w:r>
    </w:p>
    <w:p>
      <w:pPr>
        <w:ind w:left="780"/>
        <w:spacing w:after="0"/>
        <w:tabs>
          <w:tab w:leader="none" w:pos="31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Registration; Registration of Transfer and Exchange; Restrictions on</w:t>
      </w:r>
    </w:p>
    <w:p>
      <w:pPr>
        <w:jc w:val="right"/>
        <w:spacing w:after="0"/>
        <w:tabs>
          <w:tab w:leader="dot" w:pos="160" w:val="left"/>
        </w:tabs>
        <w:rPr>
          <w:sz w:val="20"/>
          <w:szCs w:val="20"/>
          <w:color w:val="auto"/>
        </w:rPr>
      </w:pPr>
      <w:r>
        <w:rPr>
          <w:rFonts w:ascii="Courier New" w:cs="Courier New" w:eastAsia="Courier New" w:hAnsi="Courier New"/>
          <w:sz w:val="15"/>
          <w:szCs w:val="15"/>
          <w:color w:val="auto"/>
        </w:rPr>
        <w:t>Transfer</w:t>
      </w:r>
      <w:r>
        <w:rPr>
          <w:sz w:val="20"/>
          <w:szCs w:val="20"/>
          <w:color w:val="auto"/>
        </w:rPr>
        <w:tab/>
      </w:r>
      <w:r>
        <w:rPr>
          <w:rFonts w:ascii="Courier New" w:cs="Courier New" w:eastAsia="Courier New" w:hAnsi="Courier New"/>
          <w:sz w:val="15"/>
          <w:szCs w:val="15"/>
          <w:color w:val="auto"/>
        </w:rPr>
        <w:t>35</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Mutilated, Destroyed, Lost or Stolen Securities</w:t>
      </w:r>
      <w:r>
        <w:rPr>
          <w:sz w:val="20"/>
          <w:szCs w:val="20"/>
          <w:color w:val="auto"/>
        </w:rPr>
        <w:tab/>
      </w:r>
      <w:r>
        <w:rPr>
          <w:rFonts w:ascii="Courier New" w:cs="Courier New" w:eastAsia="Courier New" w:hAnsi="Courier New"/>
          <w:sz w:val="15"/>
          <w:szCs w:val="15"/>
          <w:color w:val="auto"/>
        </w:rPr>
        <w:t>38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Payment of Interest; Interest Rights Preserved</w:t>
      </w:r>
      <w:r>
        <w:rPr>
          <w:sz w:val="20"/>
          <w:szCs w:val="20"/>
          <w:color w:val="auto"/>
        </w:rPr>
        <w:tab/>
      </w:r>
      <w:r>
        <w:rPr>
          <w:rFonts w:ascii="Courier New" w:cs="Courier New" w:eastAsia="Courier New" w:hAnsi="Courier New"/>
          <w:sz w:val="15"/>
          <w:szCs w:val="15"/>
          <w:color w:val="auto"/>
        </w:rPr>
        <w:t>39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Persons Deemed Owners</w:t>
      </w:r>
      <w:r>
        <w:rPr>
          <w:sz w:val="20"/>
          <w:szCs w:val="20"/>
          <w:color w:val="auto"/>
        </w:rPr>
        <w:tab/>
      </w:r>
      <w:r>
        <w:rPr>
          <w:rFonts w:ascii="Courier New" w:cs="Courier New" w:eastAsia="Courier New" w:hAnsi="Courier New"/>
          <w:sz w:val="15"/>
          <w:szCs w:val="15"/>
          <w:color w:val="auto"/>
        </w:rPr>
        <w:t>40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Cancellation</w:t>
      </w:r>
      <w:r>
        <w:rPr>
          <w:sz w:val="20"/>
          <w:szCs w:val="20"/>
          <w:color w:val="auto"/>
        </w:rPr>
        <w:tab/>
      </w:r>
      <w:r>
        <w:rPr>
          <w:rFonts w:ascii="Courier New" w:cs="Courier New" w:eastAsia="Courier New" w:hAnsi="Courier New"/>
          <w:sz w:val="15"/>
          <w:szCs w:val="15"/>
          <w:color w:val="auto"/>
        </w:rPr>
        <w:t>40</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Computation of Interest</w:t>
      </w:r>
      <w:r>
        <w:rPr>
          <w:sz w:val="20"/>
          <w:szCs w:val="20"/>
          <w:color w:val="auto"/>
        </w:rPr>
        <w:tab/>
      </w:r>
      <w:r>
        <w:rPr>
          <w:rFonts w:ascii="Courier New" w:cs="Courier New" w:eastAsia="Courier New" w:hAnsi="Courier New"/>
          <w:sz w:val="15"/>
          <w:szCs w:val="15"/>
          <w:color w:val="auto"/>
        </w:rPr>
        <w:t>40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CUSIP Numbers</w:t>
      </w:r>
      <w:r>
        <w:rPr>
          <w:sz w:val="20"/>
          <w:szCs w:val="20"/>
          <w:color w:val="auto"/>
        </w:rPr>
        <w:tab/>
      </w:r>
      <w:r>
        <w:rPr>
          <w:rFonts w:ascii="Courier New" w:cs="Courier New" w:eastAsia="Courier New" w:hAnsi="Courier New"/>
          <w:sz w:val="15"/>
          <w:szCs w:val="15"/>
          <w:color w:val="auto"/>
        </w:rPr>
        <w:t>41</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IV SATISFACTION AND DISCHARGE</w:t>
      </w:r>
      <w:r>
        <w:rPr>
          <w:sz w:val="20"/>
          <w:szCs w:val="20"/>
          <w:color w:val="auto"/>
        </w:rPr>
        <w:tab/>
      </w:r>
      <w:r>
        <w:rPr>
          <w:rFonts w:ascii="Courier New" w:cs="Courier New" w:eastAsia="Courier New" w:hAnsi="Courier New"/>
          <w:sz w:val="15"/>
          <w:szCs w:val="15"/>
          <w:color w:val="auto"/>
        </w:rPr>
        <w:t>41</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Satisfaction And Discharge of Indenture</w:t>
      </w:r>
      <w:r>
        <w:rPr>
          <w:sz w:val="20"/>
          <w:szCs w:val="20"/>
          <w:color w:val="auto"/>
        </w:rPr>
        <w:tab/>
      </w:r>
      <w:r>
        <w:rPr>
          <w:rFonts w:ascii="Courier New" w:cs="Courier New" w:eastAsia="Courier New" w:hAnsi="Courier New"/>
          <w:sz w:val="15"/>
          <w:szCs w:val="15"/>
          <w:color w:val="auto"/>
        </w:rPr>
        <w:t>41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Application of Trust Money</w:t>
      </w:r>
      <w:r>
        <w:rPr>
          <w:sz w:val="20"/>
          <w:szCs w:val="20"/>
          <w:color w:val="auto"/>
        </w:rPr>
        <w:tab/>
      </w:r>
      <w:r>
        <w:rPr>
          <w:rFonts w:ascii="Courier New" w:cs="Courier New" w:eastAsia="Courier New" w:hAnsi="Courier New"/>
          <w:sz w:val="15"/>
          <w:szCs w:val="15"/>
          <w:color w:val="auto"/>
        </w:rPr>
        <w:t>42</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480"/>
          </w:cols>
          <w:pgMar w:left="240" w:top="1130" w:right="1179" w:bottom="1440" w:gutter="0" w:footer="0" w:header="0"/>
        </w:sectPr>
      </w:pPr>
    </w:p>
    <w:bookmarkStart w:id="55" w:name="page56"/>
    <w:bookmarkEnd w:id="55"/>
    <w:p>
      <w:pPr>
        <w:ind w:left="5020"/>
        <w:spacing w:after="0"/>
        <w:rPr>
          <w:sz w:val="20"/>
          <w:szCs w:val="20"/>
          <w:color w:val="auto"/>
        </w:rPr>
      </w:pPr>
      <w:r>
        <w:rPr>
          <w:rFonts w:ascii="Courier New" w:cs="Courier New" w:eastAsia="Courier New" w:hAnsi="Courier New"/>
          <w:sz w:val="15"/>
          <w:szCs w:val="15"/>
          <w:color w:val="auto"/>
        </w:rPr>
        <w:t>TABLE OF CONTENTS</w:t>
      </w:r>
    </w:p>
    <w:p>
      <w:pPr>
        <w:ind w:left="5280"/>
        <w:spacing w:after="0"/>
        <w:rPr>
          <w:sz w:val="20"/>
          <w:szCs w:val="20"/>
          <w:color w:val="auto"/>
        </w:rPr>
      </w:pPr>
      <w:r>
        <w:rPr>
          <w:rFonts w:ascii="Courier New" w:cs="Courier New" w:eastAsia="Courier New" w:hAnsi="Courier New"/>
          <w:sz w:val="15"/>
          <w:szCs w:val="15"/>
          <w:color w:val="auto"/>
        </w:rPr>
        <w:t>(continued)</w:t>
      </w: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V REMEDIES</w:t>
      </w:r>
      <w:r>
        <w:rPr>
          <w:sz w:val="20"/>
          <w:szCs w:val="20"/>
          <w:color w:val="auto"/>
        </w:rPr>
        <w:tab/>
      </w:r>
      <w:r>
        <w:rPr>
          <w:rFonts w:ascii="Courier New" w:cs="Courier New" w:eastAsia="Courier New" w:hAnsi="Courier New"/>
          <w:sz w:val="15"/>
          <w:szCs w:val="15"/>
          <w:color w:val="auto"/>
        </w:rPr>
        <w:t>43</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43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Acceleration of Maturity; Rescission and Annulment</w:t>
      </w:r>
      <w:r>
        <w:rPr>
          <w:sz w:val="20"/>
          <w:szCs w:val="20"/>
          <w:color w:val="auto"/>
        </w:rPr>
        <w:tab/>
      </w:r>
      <w:r>
        <w:rPr>
          <w:rFonts w:ascii="Courier New" w:cs="Courier New" w:eastAsia="Courier New" w:hAnsi="Courier New"/>
          <w:sz w:val="15"/>
          <w:szCs w:val="15"/>
          <w:color w:val="auto"/>
        </w:rPr>
        <w:t>44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Collection of Indebtedness and Suits for Enforcement by Trustee</w:t>
      </w:r>
      <w:r>
        <w:rPr>
          <w:sz w:val="20"/>
          <w:szCs w:val="20"/>
          <w:color w:val="auto"/>
        </w:rPr>
        <w:tab/>
      </w:r>
      <w:r>
        <w:rPr>
          <w:rFonts w:ascii="Courier New" w:cs="Courier New" w:eastAsia="Courier New" w:hAnsi="Courier New"/>
          <w:sz w:val="15"/>
          <w:szCs w:val="15"/>
          <w:color w:val="auto"/>
        </w:rPr>
        <w:t>45</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Trustee May File Proofs of Claim</w:t>
      </w:r>
      <w:r>
        <w:rPr>
          <w:sz w:val="20"/>
          <w:szCs w:val="20"/>
          <w:color w:val="auto"/>
        </w:rPr>
        <w:tab/>
      </w:r>
      <w:r>
        <w:rPr>
          <w:rFonts w:ascii="Courier New" w:cs="Courier New" w:eastAsia="Courier New" w:hAnsi="Courier New"/>
          <w:sz w:val="15"/>
          <w:szCs w:val="15"/>
          <w:color w:val="auto"/>
        </w:rPr>
        <w:t>45</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Trustee May Enforce Claims Without Possession of Securities</w:t>
      </w:r>
      <w:r>
        <w:rPr>
          <w:sz w:val="20"/>
          <w:szCs w:val="20"/>
          <w:color w:val="auto"/>
        </w:rPr>
        <w:tab/>
      </w:r>
      <w:r>
        <w:rPr>
          <w:rFonts w:ascii="Courier New" w:cs="Courier New" w:eastAsia="Courier New" w:hAnsi="Courier New"/>
          <w:sz w:val="15"/>
          <w:szCs w:val="15"/>
          <w:color w:val="auto"/>
        </w:rPr>
        <w:t>46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Application of Money Collected</w:t>
      </w:r>
      <w:r>
        <w:rPr>
          <w:sz w:val="20"/>
          <w:szCs w:val="20"/>
          <w:color w:val="auto"/>
        </w:rPr>
        <w:tab/>
      </w:r>
      <w:r>
        <w:rPr>
          <w:rFonts w:ascii="Courier New" w:cs="Courier New" w:eastAsia="Courier New" w:hAnsi="Courier New"/>
          <w:sz w:val="15"/>
          <w:szCs w:val="15"/>
          <w:color w:val="auto"/>
        </w:rPr>
        <w:t>46</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Limitation on Suits</w:t>
      </w:r>
      <w:r>
        <w:rPr>
          <w:sz w:val="20"/>
          <w:szCs w:val="20"/>
          <w:color w:val="auto"/>
        </w:rPr>
        <w:tab/>
      </w:r>
      <w:r>
        <w:rPr>
          <w:rFonts w:ascii="Courier New" w:cs="Courier New" w:eastAsia="Courier New" w:hAnsi="Courier New"/>
          <w:sz w:val="15"/>
          <w:szCs w:val="15"/>
          <w:color w:val="auto"/>
        </w:rPr>
        <w:t>47</w:t>
      </w:r>
    </w:p>
    <w:p>
      <w:pPr>
        <w:ind w:left="780"/>
        <w:spacing w:after="0"/>
        <w:tabs>
          <w:tab w:leader="none" w:pos="314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Unconditional Right of Holders to Receive Principal, Premium and</w:t>
      </w:r>
    </w:p>
    <w:p>
      <w:pPr>
        <w:jc w:val="right"/>
        <w:spacing w:after="0"/>
        <w:tabs>
          <w:tab w:leader="dot" w:pos="160" w:val="left"/>
        </w:tabs>
        <w:rPr>
          <w:sz w:val="20"/>
          <w:szCs w:val="20"/>
          <w:color w:val="auto"/>
        </w:rPr>
      </w:pPr>
      <w:r>
        <w:rPr>
          <w:rFonts w:ascii="Courier New" w:cs="Courier New" w:eastAsia="Courier New" w:hAnsi="Courier New"/>
          <w:sz w:val="15"/>
          <w:szCs w:val="15"/>
          <w:color w:val="auto"/>
        </w:rPr>
        <w:t>Interest and to Convert</w:t>
      </w:r>
      <w:r>
        <w:rPr>
          <w:sz w:val="20"/>
          <w:szCs w:val="20"/>
          <w:color w:val="auto"/>
        </w:rPr>
        <w:tab/>
      </w:r>
      <w:r>
        <w:rPr>
          <w:rFonts w:ascii="Courier New" w:cs="Courier New" w:eastAsia="Courier New" w:hAnsi="Courier New"/>
          <w:sz w:val="15"/>
          <w:szCs w:val="15"/>
          <w:color w:val="auto"/>
        </w:rPr>
        <w:t>48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Restoration of Rights and Remedies</w:t>
      </w:r>
      <w:r>
        <w:rPr>
          <w:sz w:val="20"/>
          <w:szCs w:val="20"/>
          <w:color w:val="auto"/>
        </w:rPr>
        <w:tab/>
      </w:r>
      <w:r>
        <w:rPr>
          <w:rFonts w:ascii="Courier New" w:cs="Courier New" w:eastAsia="Courier New" w:hAnsi="Courier New"/>
          <w:sz w:val="15"/>
          <w:szCs w:val="15"/>
          <w:color w:val="auto"/>
        </w:rPr>
        <w:t>48</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5"/>
          <w:szCs w:val="15"/>
          <w:color w:val="auto"/>
        </w:rPr>
        <w:t>Rights and Remedies Cumulative</w:t>
      </w:r>
      <w:r>
        <w:rPr>
          <w:sz w:val="20"/>
          <w:szCs w:val="20"/>
          <w:color w:val="auto"/>
        </w:rPr>
        <w:tab/>
      </w:r>
      <w:r>
        <w:rPr>
          <w:rFonts w:ascii="Courier New" w:cs="Courier New" w:eastAsia="Courier New" w:hAnsi="Courier New"/>
          <w:sz w:val="15"/>
          <w:szCs w:val="15"/>
          <w:color w:val="auto"/>
        </w:rPr>
        <w:t>48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5"/>
          <w:szCs w:val="15"/>
          <w:color w:val="auto"/>
        </w:rPr>
        <w:t>Delay or Omission Not Waiver</w:t>
      </w:r>
      <w:r>
        <w:rPr>
          <w:sz w:val="20"/>
          <w:szCs w:val="20"/>
          <w:color w:val="auto"/>
        </w:rPr>
        <w:tab/>
      </w:r>
      <w:r>
        <w:rPr>
          <w:rFonts w:ascii="Courier New" w:cs="Courier New" w:eastAsia="Courier New" w:hAnsi="Courier New"/>
          <w:sz w:val="15"/>
          <w:szCs w:val="15"/>
          <w:color w:val="auto"/>
        </w:rPr>
        <w:t>48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5"/>
          <w:szCs w:val="15"/>
          <w:color w:val="auto"/>
        </w:rPr>
        <w:t>Control by Holders of Securities</w:t>
      </w:r>
      <w:r>
        <w:rPr>
          <w:sz w:val="20"/>
          <w:szCs w:val="20"/>
          <w:color w:val="auto"/>
        </w:rPr>
        <w:tab/>
      </w:r>
      <w:r>
        <w:rPr>
          <w:rFonts w:ascii="Courier New" w:cs="Courier New" w:eastAsia="Courier New" w:hAnsi="Courier New"/>
          <w:sz w:val="15"/>
          <w:szCs w:val="15"/>
          <w:color w:val="auto"/>
        </w:rPr>
        <w:t>48</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5"/>
          <w:szCs w:val="15"/>
          <w:color w:val="auto"/>
        </w:rPr>
        <w:t>Waiver of Past Defaults</w:t>
      </w:r>
      <w:r>
        <w:rPr>
          <w:sz w:val="20"/>
          <w:szCs w:val="20"/>
          <w:color w:val="auto"/>
        </w:rPr>
        <w:tab/>
      </w:r>
      <w:r>
        <w:rPr>
          <w:rFonts w:ascii="Courier New" w:cs="Courier New" w:eastAsia="Courier New" w:hAnsi="Courier New"/>
          <w:sz w:val="15"/>
          <w:szCs w:val="15"/>
          <w:color w:val="auto"/>
        </w:rPr>
        <w:t>49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5"/>
          <w:szCs w:val="15"/>
          <w:color w:val="auto"/>
        </w:rPr>
        <w:t>Undertaking for Costs</w:t>
      </w:r>
      <w:r>
        <w:rPr>
          <w:sz w:val="20"/>
          <w:szCs w:val="20"/>
          <w:color w:val="auto"/>
        </w:rPr>
        <w:tab/>
      </w:r>
      <w:r>
        <w:rPr>
          <w:rFonts w:ascii="Courier New" w:cs="Courier New" w:eastAsia="Courier New" w:hAnsi="Courier New"/>
          <w:sz w:val="15"/>
          <w:szCs w:val="15"/>
          <w:color w:val="auto"/>
        </w:rPr>
        <w:t>49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5"/>
          <w:szCs w:val="15"/>
          <w:color w:val="auto"/>
        </w:rPr>
        <w:t>Waiver of Stay, Usury or Extension Laws</w:t>
      </w:r>
      <w:r>
        <w:rPr>
          <w:sz w:val="20"/>
          <w:szCs w:val="20"/>
          <w:color w:val="auto"/>
        </w:rPr>
        <w:tab/>
      </w:r>
      <w:r>
        <w:rPr>
          <w:rFonts w:ascii="Courier New" w:cs="Courier New" w:eastAsia="Courier New" w:hAnsi="Courier New"/>
          <w:sz w:val="15"/>
          <w:szCs w:val="15"/>
          <w:color w:val="auto"/>
        </w:rPr>
        <w:t>50</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VI THE TRUSTEE</w:t>
      </w:r>
      <w:r>
        <w:rPr>
          <w:sz w:val="20"/>
          <w:szCs w:val="20"/>
          <w:color w:val="auto"/>
        </w:rPr>
        <w:tab/>
      </w:r>
      <w:r>
        <w:rPr>
          <w:rFonts w:ascii="Courier New" w:cs="Courier New" w:eastAsia="Courier New" w:hAnsi="Courier New"/>
          <w:sz w:val="15"/>
          <w:szCs w:val="15"/>
          <w:color w:val="auto"/>
        </w:rPr>
        <w:t>50</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Certain Duties and Responsibilities</w:t>
      </w:r>
      <w:r>
        <w:rPr>
          <w:sz w:val="20"/>
          <w:szCs w:val="20"/>
          <w:color w:val="auto"/>
        </w:rPr>
        <w:tab/>
      </w:r>
      <w:r>
        <w:rPr>
          <w:rFonts w:ascii="Courier New" w:cs="Courier New" w:eastAsia="Courier New" w:hAnsi="Courier New"/>
          <w:sz w:val="15"/>
          <w:szCs w:val="15"/>
          <w:color w:val="auto"/>
        </w:rPr>
        <w:t>50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Notice of Defaults</w:t>
      </w:r>
      <w:r>
        <w:rPr>
          <w:sz w:val="20"/>
          <w:szCs w:val="20"/>
          <w:color w:val="auto"/>
        </w:rPr>
        <w:tab/>
      </w:r>
      <w:r>
        <w:rPr>
          <w:rFonts w:ascii="Courier New" w:cs="Courier New" w:eastAsia="Courier New" w:hAnsi="Courier New"/>
          <w:sz w:val="15"/>
          <w:szCs w:val="15"/>
          <w:color w:val="auto"/>
        </w:rPr>
        <w:t>51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Certain Rights of Trustee</w:t>
      </w:r>
      <w:r>
        <w:rPr>
          <w:sz w:val="20"/>
          <w:szCs w:val="20"/>
          <w:color w:val="auto"/>
        </w:rPr>
        <w:tab/>
      </w:r>
      <w:r>
        <w:rPr>
          <w:rFonts w:ascii="Courier New" w:cs="Courier New" w:eastAsia="Courier New" w:hAnsi="Courier New"/>
          <w:sz w:val="15"/>
          <w:szCs w:val="15"/>
          <w:color w:val="auto"/>
        </w:rPr>
        <w:t>51</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5"/>
          <w:szCs w:val="15"/>
          <w:color w:val="auto"/>
        </w:rPr>
        <w:t>Not Responsible for Recitals or Issuance of Securities</w:t>
      </w:r>
      <w:r>
        <w:rPr>
          <w:sz w:val="20"/>
          <w:szCs w:val="20"/>
          <w:color w:val="auto"/>
        </w:rPr>
        <w:tab/>
      </w:r>
      <w:r>
        <w:rPr>
          <w:rFonts w:ascii="Courier New" w:cs="Courier New" w:eastAsia="Courier New" w:hAnsi="Courier New"/>
          <w:sz w:val="15"/>
          <w:szCs w:val="15"/>
          <w:color w:val="auto"/>
        </w:rPr>
        <w:t>52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5"/>
          <w:szCs w:val="15"/>
          <w:color w:val="auto"/>
        </w:rPr>
        <w:t>May Hold Securities, Act as Trustee under Other Indentures</w:t>
      </w:r>
      <w:r>
        <w:rPr>
          <w:sz w:val="20"/>
          <w:szCs w:val="20"/>
          <w:color w:val="auto"/>
        </w:rPr>
        <w:tab/>
      </w:r>
      <w:r>
        <w:rPr>
          <w:rFonts w:ascii="Courier New" w:cs="Courier New" w:eastAsia="Courier New" w:hAnsi="Courier New"/>
          <w:sz w:val="15"/>
          <w:szCs w:val="15"/>
          <w:color w:val="auto"/>
        </w:rPr>
        <w:t>52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6.6</w:t>
      </w:r>
      <w:r>
        <w:rPr>
          <w:sz w:val="20"/>
          <w:szCs w:val="20"/>
          <w:color w:val="auto"/>
        </w:rPr>
        <w:tab/>
      </w:r>
      <w:r>
        <w:rPr>
          <w:rFonts w:ascii="Courier New" w:cs="Courier New" w:eastAsia="Courier New" w:hAnsi="Courier New"/>
          <w:sz w:val="15"/>
          <w:szCs w:val="15"/>
          <w:color w:val="auto"/>
        </w:rPr>
        <w:t>Money Held in Trust</w:t>
      </w:r>
      <w:r>
        <w:rPr>
          <w:sz w:val="20"/>
          <w:szCs w:val="20"/>
          <w:color w:val="auto"/>
        </w:rPr>
        <w:tab/>
      </w:r>
      <w:r>
        <w:rPr>
          <w:rFonts w:ascii="Courier New" w:cs="Courier New" w:eastAsia="Courier New" w:hAnsi="Courier New"/>
          <w:sz w:val="15"/>
          <w:szCs w:val="15"/>
          <w:color w:val="auto"/>
        </w:rPr>
        <w:t>53</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6.7</w:t>
      </w:r>
      <w:r>
        <w:rPr>
          <w:sz w:val="20"/>
          <w:szCs w:val="20"/>
          <w:color w:val="auto"/>
        </w:rPr>
        <w:tab/>
      </w:r>
      <w:r>
        <w:rPr>
          <w:rFonts w:ascii="Courier New" w:cs="Courier New" w:eastAsia="Courier New" w:hAnsi="Courier New"/>
          <w:sz w:val="15"/>
          <w:szCs w:val="15"/>
          <w:color w:val="auto"/>
        </w:rPr>
        <w:t>Compensation and Reimbursement</w:t>
      </w:r>
      <w:r>
        <w:rPr>
          <w:sz w:val="20"/>
          <w:szCs w:val="20"/>
          <w:color w:val="auto"/>
        </w:rPr>
        <w:tab/>
      </w:r>
      <w:r>
        <w:rPr>
          <w:rFonts w:ascii="Courier New" w:cs="Courier New" w:eastAsia="Courier New" w:hAnsi="Courier New"/>
          <w:sz w:val="15"/>
          <w:szCs w:val="15"/>
          <w:color w:val="auto"/>
        </w:rPr>
        <w:t>53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6.8</w:t>
      </w:r>
      <w:r>
        <w:rPr>
          <w:sz w:val="20"/>
          <w:szCs w:val="20"/>
          <w:color w:val="auto"/>
        </w:rPr>
        <w:tab/>
      </w:r>
      <w:r>
        <w:rPr>
          <w:rFonts w:ascii="Courier New" w:cs="Courier New" w:eastAsia="Courier New" w:hAnsi="Courier New"/>
          <w:sz w:val="15"/>
          <w:szCs w:val="15"/>
          <w:color w:val="auto"/>
        </w:rPr>
        <w:t>Corporate Trustee Required; Eligibility</w:t>
      </w:r>
      <w:r>
        <w:rPr>
          <w:sz w:val="20"/>
          <w:szCs w:val="20"/>
          <w:color w:val="auto"/>
        </w:rPr>
        <w:tab/>
      </w:r>
      <w:r>
        <w:rPr>
          <w:rFonts w:ascii="Courier New" w:cs="Courier New" w:eastAsia="Courier New" w:hAnsi="Courier New"/>
          <w:sz w:val="15"/>
          <w:szCs w:val="15"/>
          <w:color w:val="auto"/>
        </w:rPr>
        <w:t>54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6.9</w:t>
      </w:r>
      <w:r>
        <w:rPr>
          <w:sz w:val="20"/>
          <w:szCs w:val="20"/>
          <w:color w:val="auto"/>
        </w:rPr>
        <w:tab/>
      </w:r>
      <w:r>
        <w:rPr>
          <w:rFonts w:ascii="Courier New" w:cs="Courier New" w:eastAsia="Courier New" w:hAnsi="Courier New"/>
          <w:sz w:val="15"/>
          <w:szCs w:val="15"/>
          <w:color w:val="auto"/>
        </w:rPr>
        <w:t>Resignation and Removal; Appointment of Successor</w:t>
      </w:r>
      <w:r>
        <w:rPr>
          <w:sz w:val="20"/>
          <w:szCs w:val="20"/>
          <w:color w:val="auto"/>
        </w:rPr>
        <w:tab/>
      </w:r>
      <w:r>
        <w:rPr>
          <w:rFonts w:ascii="Courier New" w:cs="Courier New" w:eastAsia="Courier New" w:hAnsi="Courier New"/>
          <w:sz w:val="15"/>
          <w:szCs w:val="15"/>
          <w:color w:val="auto"/>
        </w:rPr>
        <w:t>54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5"/>
          <w:szCs w:val="15"/>
          <w:color w:val="auto"/>
        </w:rPr>
        <w:t>Acceptance of Appointment by Successor</w:t>
      </w:r>
      <w:r>
        <w:rPr>
          <w:sz w:val="20"/>
          <w:szCs w:val="20"/>
          <w:color w:val="auto"/>
        </w:rPr>
        <w:tab/>
      </w:r>
      <w:r>
        <w:rPr>
          <w:rFonts w:ascii="Courier New" w:cs="Courier New" w:eastAsia="Courier New" w:hAnsi="Courier New"/>
          <w:sz w:val="15"/>
          <w:szCs w:val="15"/>
          <w:color w:val="auto"/>
        </w:rPr>
        <w:t>55</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5"/>
          <w:szCs w:val="15"/>
          <w:color w:val="auto"/>
        </w:rPr>
        <w:t>Merger, Conversion, Consolidation or Succession to Business</w:t>
      </w:r>
      <w:r>
        <w:rPr>
          <w:sz w:val="20"/>
          <w:szCs w:val="20"/>
          <w:color w:val="auto"/>
        </w:rPr>
        <w:tab/>
      </w:r>
      <w:r>
        <w:rPr>
          <w:rFonts w:ascii="Courier New" w:cs="Courier New" w:eastAsia="Courier New" w:hAnsi="Courier New"/>
          <w:sz w:val="15"/>
          <w:szCs w:val="15"/>
          <w:color w:val="auto"/>
        </w:rPr>
        <w:t>55</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5"/>
          <w:szCs w:val="15"/>
          <w:color w:val="auto"/>
        </w:rPr>
        <w:t>Authenticating Agents</w:t>
      </w:r>
      <w:r>
        <w:rPr>
          <w:sz w:val="20"/>
          <w:szCs w:val="20"/>
          <w:color w:val="auto"/>
        </w:rPr>
        <w:tab/>
      </w:r>
      <w:r>
        <w:rPr>
          <w:rFonts w:ascii="Courier New" w:cs="Courier New" w:eastAsia="Courier New" w:hAnsi="Courier New"/>
          <w:sz w:val="15"/>
          <w:szCs w:val="15"/>
          <w:color w:val="auto"/>
        </w:rPr>
        <w:t>56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5"/>
          <w:szCs w:val="15"/>
          <w:color w:val="auto"/>
        </w:rPr>
        <w:t>Disqualification; Conflicting Interests</w:t>
      </w:r>
      <w:r>
        <w:rPr>
          <w:sz w:val="20"/>
          <w:szCs w:val="20"/>
          <w:color w:val="auto"/>
        </w:rPr>
        <w:tab/>
      </w:r>
      <w:r>
        <w:rPr>
          <w:rFonts w:ascii="Courier New" w:cs="Courier New" w:eastAsia="Courier New" w:hAnsi="Courier New"/>
          <w:sz w:val="15"/>
          <w:szCs w:val="15"/>
          <w:color w:val="auto"/>
        </w:rPr>
        <w:t>57</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5"/>
          <w:szCs w:val="15"/>
          <w:color w:val="auto"/>
        </w:rPr>
        <w:t>Preferential Collection of Claims Against Company</w:t>
      </w:r>
      <w:r>
        <w:rPr>
          <w:sz w:val="20"/>
          <w:szCs w:val="20"/>
          <w:color w:val="auto"/>
        </w:rPr>
        <w:tab/>
      </w:r>
      <w:r>
        <w:rPr>
          <w:rFonts w:ascii="Courier New" w:cs="Courier New" w:eastAsia="Courier New" w:hAnsi="Courier New"/>
          <w:sz w:val="15"/>
          <w:szCs w:val="15"/>
          <w:color w:val="auto"/>
        </w:rPr>
        <w:t>57</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VII CONSOLIDATION, MERGER, CONVEYANCE, TRANSFER OR LEASE</w:t>
      </w:r>
      <w:r>
        <w:rPr>
          <w:sz w:val="20"/>
          <w:szCs w:val="20"/>
          <w:color w:val="auto"/>
        </w:rPr>
        <w:tab/>
      </w:r>
      <w:r>
        <w:rPr>
          <w:rFonts w:ascii="Courier New" w:cs="Courier New" w:eastAsia="Courier New" w:hAnsi="Courier New"/>
          <w:sz w:val="15"/>
          <w:szCs w:val="15"/>
          <w:color w:val="auto"/>
        </w:rPr>
        <w:t>57</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Company May Consolidate, Etc., Only on Certain Terms</w:t>
      </w:r>
      <w:r>
        <w:rPr>
          <w:sz w:val="20"/>
          <w:szCs w:val="20"/>
          <w:color w:val="auto"/>
        </w:rPr>
        <w:tab/>
      </w:r>
      <w:r>
        <w:rPr>
          <w:rFonts w:ascii="Courier New" w:cs="Courier New" w:eastAsia="Courier New" w:hAnsi="Courier New"/>
          <w:sz w:val="15"/>
          <w:szCs w:val="15"/>
          <w:color w:val="auto"/>
        </w:rPr>
        <w:t>57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Successor Substituted</w:t>
      </w:r>
      <w:r>
        <w:rPr>
          <w:sz w:val="20"/>
          <w:szCs w:val="20"/>
          <w:color w:val="auto"/>
        </w:rPr>
        <w:tab/>
      </w:r>
      <w:r>
        <w:rPr>
          <w:rFonts w:ascii="Courier New" w:cs="Courier New" w:eastAsia="Courier New" w:hAnsi="Courier New"/>
          <w:sz w:val="15"/>
          <w:szCs w:val="15"/>
          <w:color w:val="auto"/>
        </w:rPr>
        <w:t>58</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VIII SUPPLEMENTAL INDENTURES</w:t>
      </w:r>
      <w:r>
        <w:rPr>
          <w:sz w:val="20"/>
          <w:szCs w:val="20"/>
          <w:color w:val="auto"/>
        </w:rPr>
        <w:tab/>
      </w:r>
      <w:r>
        <w:rPr>
          <w:rFonts w:ascii="Courier New" w:cs="Courier New" w:eastAsia="Courier New" w:hAnsi="Courier New"/>
          <w:sz w:val="15"/>
          <w:szCs w:val="15"/>
          <w:color w:val="auto"/>
        </w:rPr>
        <w:t>58</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480"/>
          </w:cols>
          <w:pgMar w:left="240" w:top="961" w:right="1179" w:bottom="1440" w:gutter="0" w:footer="0" w:header="0"/>
        </w:sectPr>
      </w:pPr>
    </w:p>
    <w:bookmarkStart w:id="56" w:name="page57"/>
    <w:bookmarkEnd w:id="56"/>
    <w:p>
      <w:pPr>
        <w:ind w:left="5020"/>
        <w:spacing w:after="0"/>
        <w:rPr>
          <w:sz w:val="20"/>
          <w:szCs w:val="20"/>
          <w:color w:val="auto"/>
        </w:rPr>
      </w:pPr>
      <w:r>
        <w:rPr>
          <w:rFonts w:ascii="Courier New" w:cs="Courier New" w:eastAsia="Courier New" w:hAnsi="Courier New"/>
          <w:sz w:val="15"/>
          <w:szCs w:val="15"/>
          <w:color w:val="auto"/>
        </w:rPr>
        <w:t>TABLE OF CONTENTS</w:t>
      </w:r>
    </w:p>
    <w:p>
      <w:pPr>
        <w:ind w:left="5280"/>
        <w:spacing w:after="0"/>
        <w:rPr>
          <w:sz w:val="20"/>
          <w:szCs w:val="20"/>
          <w:color w:val="auto"/>
        </w:rPr>
      </w:pPr>
      <w:r>
        <w:rPr>
          <w:rFonts w:ascii="Courier New" w:cs="Courier New" w:eastAsia="Courier New" w:hAnsi="Courier New"/>
          <w:sz w:val="15"/>
          <w:szCs w:val="15"/>
          <w:color w:val="auto"/>
        </w:rPr>
        <w:t>(continued)</w:t>
      </w: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Supplemental Indentures Without Consent of Holders of Securities</w:t>
      </w:r>
      <w:r>
        <w:rPr>
          <w:sz w:val="20"/>
          <w:szCs w:val="20"/>
          <w:color w:val="auto"/>
        </w:rPr>
        <w:tab/>
      </w:r>
      <w:r>
        <w:rPr>
          <w:rFonts w:ascii="Courier New" w:cs="Courier New" w:eastAsia="Courier New" w:hAnsi="Courier New"/>
          <w:sz w:val="15"/>
          <w:szCs w:val="15"/>
          <w:color w:val="auto"/>
        </w:rPr>
        <w:t>58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Supplemental Indentures with Consent of Holders of Securities</w:t>
      </w:r>
      <w:r>
        <w:rPr>
          <w:sz w:val="20"/>
          <w:szCs w:val="20"/>
          <w:color w:val="auto"/>
        </w:rPr>
        <w:tab/>
      </w:r>
      <w:r>
        <w:rPr>
          <w:rFonts w:ascii="Courier New" w:cs="Courier New" w:eastAsia="Courier New" w:hAnsi="Courier New"/>
          <w:sz w:val="15"/>
          <w:szCs w:val="15"/>
          <w:color w:val="auto"/>
        </w:rPr>
        <w:t>59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5"/>
          <w:szCs w:val="15"/>
          <w:color w:val="auto"/>
        </w:rPr>
        <w:t>Execution of Supplemental Indentures</w:t>
      </w:r>
      <w:r>
        <w:rPr>
          <w:sz w:val="20"/>
          <w:szCs w:val="20"/>
          <w:color w:val="auto"/>
        </w:rPr>
        <w:tab/>
      </w:r>
      <w:r>
        <w:rPr>
          <w:rFonts w:ascii="Courier New" w:cs="Courier New" w:eastAsia="Courier New" w:hAnsi="Courier New"/>
          <w:sz w:val="15"/>
          <w:szCs w:val="15"/>
          <w:color w:val="auto"/>
        </w:rPr>
        <w:t>60</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5"/>
          <w:szCs w:val="15"/>
          <w:color w:val="auto"/>
        </w:rPr>
        <w:t>Effect of Supplemental Indentures</w:t>
      </w:r>
      <w:r>
        <w:rPr>
          <w:sz w:val="20"/>
          <w:szCs w:val="20"/>
          <w:color w:val="auto"/>
        </w:rPr>
        <w:tab/>
      </w:r>
      <w:r>
        <w:rPr>
          <w:rFonts w:ascii="Courier New" w:cs="Courier New" w:eastAsia="Courier New" w:hAnsi="Courier New"/>
          <w:sz w:val="15"/>
          <w:szCs w:val="15"/>
          <w:color w:val="auto"/>
        </w:rPr>
        <w:t>61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5"/>
          <w:szCs w:val="15"/>
          <w:color w:val="auto"/>
        </w:rPr>
        <w:t>Reference in Securities to Supplemental Indentures</w:t>
      </w:r>
      <w:r>
        <w:rPr>
          <w:sz w:val="20"/>
          <w:szCs w:val="20"/>
          <w:color w:val="auto"/>
        </w:rPr>
        <w:tab/>
      </w:r>
      <w:r>
        <w:rPr>
          <w:rFonts w:ascii="Courier New" w:cs="Courier New" w:eastAsia="Courier New" w:hAnsi="Courier New"/>
          <w:sz w:val="15"/>
          <w:szCs w:val="15"/>
          <w:color w:val="auto"/>
        </w:rPr>
        <w:t>61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8.6</w:t>
      </w:r>
      <w:r>
        <w:rPr>
          <w:sz w:val="20"/>
          <w:szCs w:val="20"/>
          <w:color w:val="auto"/>
        </w:rPr>
        <w:tab/>
      </w:r>
      <w:r>
        <w:rPr>
          <w:rFonts w:ascii="Courier New" w:cs="Courier New" w:eastAsia="Courier New" w:hAnsi="Courier New"/>
          <w:sz w:val="15"/>
          <w:szCs w:val="15"/>
          <w:color w:val="auto"/>
        </w:rPr>
        <w:t>Notice of Supplemental Indentures</w:t>
      </w:r>
      <w:r>
        <w:rPr>
          <w:sz w:val="20"/>
          <w:szCs w:val="20"/>
          <w:color w:val="auto"/>
        </w:rPr>
        <w:tab/>
      </w:r>
      <w:r>
        <w:rPr>
          <w:rFonts w:ascii="Courier New" w:cs="Courier New" w:eastAsia="Courier New" w:hAnsi="Courier New"/>
          <w:sz w:val="15"/>
          <w:szCs w:val="15"/>
          <w:color w:val="auto"/>
        </w:rPr>
        <w:t>61</w:t>
      </w:r>
    </w:p>
    <w:p>
      <w:pPr>
        <w:spacing w:after="0" w:line="168"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IX MEETINGS OF HOLDERS OF SECURITIES</w:t>
      </w:r>
      <w:r>
        <w:rPr>
          <w:sz w:val="20"/>
          <w:szCs w:val="20"/>
          <w:color w:val="auto"/>
        </w:rPr>
        <w:tab/>
      </w:r>
      <w:r>
        <w:rPr>
          <w:rFonts w:ascii="Courier New" w:cs="Courier New" w:eastAsia="Courier New" w:hAnsi="Courier New"/>
          <w:sz w:val="15"/>
          <w:szCs w:val="15"/>
          <w:color w:val="auto"/>
        </w:rPr>
        <w:t>61</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Purposes for Which Meetings May Be Called</w:t>
      </w:r>
      <w:r>
        <w:rPr>
          <w:sz w:val="20"/>
          <w:szCs w:val="20"/>
          <w:color w:val="auto"/>
        </w:rPr>
        <w:tab/>
      </w:r>
      <w:r>
        <w:rPr>
          <w:rFonts w:ascii="Courier New" w:cs="Courier New" w:eastAsia="Courier New" w:hAnsi="Courier New"/>
          <w:sz w:val="15"/>
          <w:szCs w:val="15"/>
          <w:color w:val="auto"/>
        </w:rPr>
        <w:t>61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5"/>
          <w:szCs w:val="15"/>
          <w:color w:val="auto"/>
        </w:rPr>
        <w:t>Call, Notice and Place of Meetings</w:t>
      </w:r>
      <w:r>
        <w:rPr>
          <w:sz w:val="20"/>
          <w:szCs w:val="20"/>
          <w:color w:val="auto"/>
        </w:rPr>
        <w:tab/>
      </w:r>
      <w:r>
        <w:rPr>
          <w:rFonts w:ascii="Courier New" w:cs="Courier New" w:eastAsia="Courier New" w:hAnsi="Courier New"/>
          <w:sz w:val="15"/>
          <w:szCs w:val="15"/>
          <w:color w:val="auto"/>
        </w:rPr>
        <w:t>61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5"/>
          <w:szCs w:val="15"/>
          <w:color w:val="auto"/>
        </w:rPr>
        <w:t>Persons Entitled to Vote at Meetings</w:t>
      </w:r>
      <w:r>
        <w:rPr>
          <w:sz w:val="20"/>
          <w:szCs w:val="20"/>
          <w:color w:val="auto"/>
        </w:rPr>
        <w:tab/>
      </w:r>
      <w:r>
        <w:rPr>
          <w:rFonts w:ascii="Courier New" w:cs="Courier New" w:eastAsia="Courier New" w:hAnsi="Courier New"/>
          <w:sz w:val="15"/>
          <w:szCs w:val="15"/>
          <w:color w:val="auto"/>
        </w:rPr>
        <w:t>62</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5"/>
          <w:szCs w:val="15"/>
          <w:color w:val="auto"/>
        </w:rPr>
        <w:t>Quorum; Action</w:t>
      </w:r>
      <w:r>
        <w:rPr>
          <w:sz w:val="20"/>
          <w:szCs w:val="20"/>
          <w:color w:val="auto"/>
        </w:rPr>
        <w:tab/>
      </w:r>
      <w:r>
        <w:rPr>
          <w:rFonts w:ascii="Courier New" w:cs="Courier New" w:eastAsia="Courier New" w:hAnsi="Courier New"/>
          <w:sz w:val="15"/>
          <w:szCs w:val="15"/>
          <w:color w:val="auto"/>
        </w:rPr>
        <w:t>62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5"/>
          <w:szCs w:val="15"/>
          <w:color w:val="auto"/>
        </w:rPr>
        <w:t>Determination of Voting Rights; Conduct and Adjournment of Meetings</w:t>
      </w:r>
      <w:r>
        <w:rPr>
          <w:sz w:val="20"/>
          <w:szCs w:val="20"/>
          <w:color w:val="auto"/>
        </w:rPr>
        <w:tab/>
      </w:r>
      <w:r>
        <w:rPr>
          <w:rFonts w:ascii="Courier New" w:cs="Courier New" w:eastAsia="Courier New" w:hAnsi="Courier New"/>
          <w:sz w:val="15"/>
          <w:szCs w:val="15"/>
          <w:color w:val="auto"/>
        </w:rPr>
        <w:t>63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9.6</w:t>
      </w:r>
      <w:r>
        <w:rPr>
          <w:sz w:val="20"/>
          <w:szCs w:val="20"/>
          <w:color w:val="auto"/>
        </w:rPr>
        <w:tab/>
      </w:r>
      <w:r>
        <w:rPr>
          <w:rFonts w:ascii="Courier New" w:cs="Courier New" w:eastAsia="Courier New" w:hAnsi="Courier New"/>
          <w:sz w:val="15"/>
          <w:szCs w:val="15"/>
          <w:color w:val="auto"/>
        </w:rPr>
        <w:t>Counting Votes and Recording Action of Meetings</w:t>
      </w:r>
      <w:r>
        <w:rPr>
          <w:sz w:val="20"/>
          <w:szCs w:val="20"/>
          <w:color w:val="auto"/>
        </w:rPr>
        <w:tab/>
      </w:r>
      <w:r>
        <w:rPr>
          <w:rFonts w:ascii="Courier New" w:cs="Courier New" w:eastAsia="Courier New" w:hAnsi="Courier New"/>
          <w:sz w:val="15"/>
          <w:szCs w:val="15"/>
          <w:color w:val="auto"/>
        </w:rPr>
        <w:t>63</w:t>
      </w:r>
    </w:p>
    <w:p>
      <w:pPr>
        <w:spacing w:after="0" w:line="168"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 COVENANTS</w:t>
      </w:r>
      <w:r>
        <w:rPr>
          <w:sz w:val="20"/>
          <w:szCs w:val="20"/>
          <w:color w:val="auto"/>
        </w:rPr>
        <w:tab/>
      </w:r>
      <w:r>
        <w:rPr>
          <w:rFonts w:ascii="Courier New" w:cs="Courier New" w:eastAsia="Courier New" w:hAnsi="Courier New"/>
          <w:sz w:val="15"/>
          <w:szCs w:val="15"/>
          <w:color w:val="auto"/>
        </w:rPr>
        <w:t>64</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Payment of Principal, Premium and Interest</w:t>
      </w:r>
      <w:r>
        <w:rPr>
          <w:sz w:val="20"/>
          <w:szCs w:val="20"/>
          <w:color w:val="auto"/>
        </w:rPr>
        <w:tab/>
      </w:r>
      <w:r>
        <w:rPr>
          <w:rFonts w:ascii="Courier New" w:cs="Courier New" w:eastAsia="Courier New" w:hAnsi="Courier New"/>
          <w:sz w:val="15"/>
          <w:szCs w:val="15"/>
          <w:color w:val="auto"/>
        </w:rPr>
        <w:t>64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Maintenance of Offices or Agencies</w:t>
      </w:r>
      <w:r>
        <w:rPr>
          <w:sz w:val="20"/>
          <w:szCs w:val="20"/>
          <w:color w:val="auto"/>
        </w:rPr>
        <w:tab/>
      </w:r>
      <w:r>
        <w:rPr>
          <w:rFonts w:ascii="Courier New" w:cs="Courier New" w:eastAsia="Courier New" w:hAnsi="Courier New"/>
          <w:sz w:val="15"/>
          <w:szCs w:val="15"/>
          <w:color w:val="auto"/>
        </w:rPr>
        <w:t>64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5"/>
          <w:szCs w:val="15"/>
          <w:color w:val="auto"/>
        </w:rPr>
        <w:t>Money for Security Payments to Be Held in Trust</w:t>
      </w:r>
      <w:r>
        <w:rPr>
          <w:sz w:val="20"/>
          <w:szCs w:val="20"/>
          <w:color w:val="auto"/>
        </w:rPr>
        <w:tab/>
      </w:r>
      <w:r>
        <w:rPr>
          <w:rFonts w:ascii="Courier New" w:cs="Courier New" w:eastAsia="Courier New" w:hAnsi="Courier New"/>
          <w:sz w:val="15"/>
          <w:szCs w:val="15"/>
          <w:color w:val="auto"/>
        </w:rPr>
        <w:t>65</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5"/>
          <w:szCs w:val="15"/>
          <w:color w:val="auto"/>
        </w:rPr>
        <w:t>Existence</w:t>
      </w:r>
      <w:r>
        <w:rPr>
          <w:sz w:val="20"/>
          <w:szCs w:val="20"/>
          <w:color w:val="auto"/>
        </w:rPr>
        <w:tab/>
      </w:r>
      <w:r>
        <w:rPr>
          <w:rFonts w:ascii="Courier New" w:cs="Courier New" w:eastAsia="Courier New" w:hAnsi="Courier New"/>
          <w:sz w:val="15"/>
          <w:szCs w:val="15"/>
          <w:color w:val="auto"/>
        </w:rPr>
        <w:t>66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5"/>
          <w:szCs w:val="15"/>
          <w:color w:val="auto"/>
        </w:rPr>
        <w:t>Maintenance of Properties</w:t>
      </w:r>
      <w:r>
        <w:rPr>
          <w:sz w:val="20"/>
          <w:szCs w:val="20"/>
          <w:color w:val="auto"/>
        </w:rPr>
        <w:tab/>
      </w:r>
      <w:r>
        <w:rPr>
          <w:rFonts w:ascii="Courier New" w:cs="Courier New" w:eastAsia="Courier New" w:hAnsi="Courier New"/>
          <w:sz w:val="15"/>
          <w:szCs w:val="15"/>
          <w:color w:val="auto"/>
        </w:rPr>
        <w:t>66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5"/>
          <w:szCs w:val="15"/>
          <w:color w:val="auto"/>
        </w:rPr>
        <w:t>Payment of Taxes and Other Claims</w:t>
      </w:r>
      <w:r>
        <w:rPr>
          <w:sz w:val="20"/>
          <w:szCs w:val="20"/>
          <w:color w:val="auto"/>
        </w:rPr>
        <w:tab/>
      </w:r>
      <w:r>
        <w:rPr>
          <w:rFonts w:ascii="Courier New" w:cs="Courier New" w:eastAsia="Courier New" w:hAnsi="Courier New"/>
          <w:sz w:val="15"/>
          <w:szCs w:val="15"/>
          <w:color w:val="auto"/>
        </w:rPr>
        <w:t>66</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5"/>
          <w:szCs w:val="15"/>
          <w:color w:val="auto"/>
        </w:rPr>
        <w:t>Registration and Listing</w:t>
      </w:r>
      <w:r>
        <w:rPr>
          <w:sz w:val="20"/>
          <w:szCs w:val="20"/>
          <w:color w:val="auto"/>
        </w:rPr>
        <w:tab/>
      </w:r>
      <w:r>
        <w:rPr>
          <w:rFonts w:ascii="Courier New" w:cs="Courier New" w:eastAsia="Courier New" w:hAnsi="Courier New"/>
          <w:sz w:val="15"/>
          <w:szCs w:val="15"/>
          <w:color w:val="auto"/>
        </w:rPr>
        <w:t>67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5"/>
          <w:szCs w:val="15"/>
          <w:color w:val="auto"/>
        </w:rPr>
        <w:t>Statement by Officers as to Default</w:t>
      </w:r>
      <w:r>
        <w:rPr>
          <w:sz w:val="20"/>
          <w:szCs w:val="20"/>
          <w:color w:val="auto"/>
        </w:rPr>
        <w:tab/>
      </w:r>
      <w:r>
        <w:rPr>
          <w:rFonts w:ascii="Courier New" w:cs="Courier New" w:eastAsia="Courier New" w:hAnsi="Courier New"/>
          <w:sz w:val="15"/>
          <w:szCs w:val="15"/>
          <w:color w:val="auto"/>
        </w:rPr>
        <w:t>67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5"/>
          <w:szCs w:val="15"/>
          <w:color w:val="auto"/>
        </w:rPr>
        <w:t>Delivery of Certain Information</w:t>
      </w:r>
      <w:r>
        <w:rPr>
          <w:sz w:val="20"/>
          <w:szCs w:val="20"/>
          <w:color w:val="auto"/>
        </w:rPr>
        <w:tab/>
      </w:r>
      <w:r>
        <w:rPr>
          <w:rFonts w:ascii="Courier New" w:cs="Courier New" w:eastAsia="Courier New" w:hAnsi="Courier New"/>
          <w:sz w:val="15"/>
          <w:szCs w:val="15"/>
          <w:color w:val="auto"/>
        </w:rPr>
        <w:t>68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10.10</w:t>
      </w:r>
      <w:r>
        <w:rPr>
          <w:sz w:val="20"/>
          <w:szCs w:val="20"/>
          <w:color w:val="auto"/>
        </w:rPr>
        <w:tab/>
      </w:r>
      <w:r>
        <w:rPr>
          <w:rFonts w:ascii="Courier New" w:cs="Courier New" w:eastAsia="Courier New" w:hAnsi="Courier New"/>
          <w:sz w:val="15"/>
          <w:szCs w:val="15"/>
          <w:color w:val="auto"/>
        </w:rPr>
        <w:t>Resale of Certain Securities</w:t>
      </w:r>
      <w:r>
        <w:rPr>
          <w:sz w:val="20"/>
          <w:szCs w:val="20"/>
          <w:color w:val="auto"/>
        </w:rPr>
        <w:tab/>
      </w:r>
      <w:r>
        <w:rPr>
          <w:rFonts w:ascii="Courier New" w:cs="Courier New" w:eastAsia="Courier New" w:hAnsi="Courier New"/>
          <w:sz w:val="15"/>
          <w:szCs w:val="15"/>
          <w:color w:val="auto"/>
        </w:rPr>
        <w:t>68</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10.11</w:t>
      </w:r>
      <w:r>
        <w:rPr>
          <w:sz w:val="20"/>
          <w:szCs w:val="20"/>
          <w:color w:val="auto"/>
        </w:rPr>
        <w:tab/>
      </w:r>
      <w:r>
        <w:rPr>
          <w:rFonts w:ascii="Courier New" w:cs="Courier New" w:eastAsia="Courier New" w:hAnsi="Courier New"/>
          <w:sz w:val="15"/>
          <w:szCs w:val="15"/>
          <w:color w:val="auto"/>
        </w:rPr>
        <w:t>Registration Rights</w:t>
      </w:r>
      <w:r>
        <w:rPr>
          <w:sz w:val="20"/>
          <w:szCs w:val="20"/>
          <w:color w:val="auto"/>
        </w:rPr>
        <w:tab/>
      </w:r>
      <w:r>
        <w:rPr>
          <w:rFonts w:ascii="Courier New" w:cs="Courier New" w:eastAsia="Courier New" w:hAnsi="Courier New"/>
          <w:sz w:val="15"/>
          <w:szCs w:val="15"/>
          <w:color w:val="auto"/>
        </w:rPr>
        <w:t>68</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10.12</w:t>
      </w:r>
      <w:r>
        <w:rPr>
          <w:sz w:val="20"/>
          <w:szCs w:val="20"/>
          <w:color w:val="auto"/>
        </w:rPr>
        <w:tab/>
      </w:r>
      <w:r>
        <w:rPr>
          <w:rFonts w:ascii="Courier New" w:cs="Courier New" w:eastAsia="Courier New" w:hAnsi="Courier New"/>
          <w:sz w:val="15"/>
          <w:szCs w:val="15"/>
          <w:color w:val="auto"/>
        </w:rPr>
        <w:t>Waiver of Certain Covenants</w:t>
      </w:r>
      <w:r>
        <w:rPr>
          <w:sz w:val="20"/>
          <w:szCs w:val="20"/>
          <w:color w:val="auto"/>
        </w:rPr>
        <w:tab/>
      </w:r>
      <w:r>
        <w:rPr>
          <w:rFonts w:ascii="Courier New" w:cs="Courier New" w:eastAsia="Courier New" w:hAnsi="Courier New"/>
          <w:sz w:val="15"/>
          <w:szCs w:val="15"/>
          <w:color w:val="auto"/>
        </w:rPr>
        <w:t>69</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XI REDEMPTION OF SECURITIES</w:t>
      </w:r>
      <w:r>
        <w:rPr>
          <w:sz w:val="20"/>
          <w:szCs w:val="20"/>
          <w:color w:val="auto"/>
        </w:rPr>
        <w:tab/>
      </w:r>
      <w:r>
        <w:rPr>
          <w:rFonts w:ascii="Courier New" w:cs="Courier New" w:eastAsia="Courier New" w:hAnsi="Courier New"/>
          <w:sz w:val="15"/>
          <w:szCs w:val="15"/>
          <w:color w:val="auto"/>
        </w:rPr>
        <w:t>69</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5"/>
          <w:szCs w:val="15"/>
          <w:color w:val="auto"/>
        </w:rPr>
        <w:t>Right of Redemption</w:t>
      </w:r>
      <w:r>
        <w:rPr>
          <w:sz w:val="20"/>
          <w:szCs w:val="20"/>
          <w:color w:val="auto"/>
        </w:rPr>
        <w:tab/>
      </w:r>
      <w:r>
        <w:rPr>
          <w:rFonts w:ascii="Courier New" w:cs="Courier New" w:eastAsia="Courier New" w:hAnsi="Courier New"/>
          <w:sz w:val="15"/>
          <w:szCs w:val="15"/>
          <w:color w:val="auto"/>
        </w:rPr>
        <w:t>69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Applicability of Article</w:t>
      </w:r>
      <w:r>
        <w:rPr>
          <w:sz w:val="20"/>
          <w:szCs w:val="20"/>
          <w:color w:val="auto"/>
        </w:rPr>
        <w:tab/>
      </w:r>
      <w:r>
        <w:rPr>
          <w:rFonts w:ascii="Courier New" w:cs="Courier New" w:eastAsia="Courier New" w:hAnsi="Courier New"/>
          <w:sz w:val="15"/>
          <w:szCs w:val="15"/>
          <w:color w:val="auto"/>
        </w:rPr>
        <w:t>70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Election to Redeem; Notice to Trustee</w:t>
      </w:r>
      <w:r>
        <w:rPr>
          <w:sz w:val="20"/>
          <w:szCs w:val="20"/>
          <w:color w:val="auto"/>
        </w:rPr>
        <w:tab/>
      </w:r>
      <w:r>
        <w:rPr>
          <w:rFonts w:ascii="Courier New" w:cs="Courier New" w:eastAsia="Courier New" w:hAnsi="Courier New"/>
          <w:sz w:val="15"/>
          <w:szCs w:val="15"/>
          <w:color w:val="auto"/>
        </w:rPr>
        <w:t>70</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5"/>
          <w:szCs w:val="15"/>
          <w:color w:val="auto"/>
        </w:rPr>
        <w:t>Selection by Trustee of Securities to Be Redeemed</w:t>
      </w:r>
      <w:r>
        <w:rPr>
          <w:sz w:val="20"/>
          <w:szCs w:val="20"/>
          <w:color w:val="auto"/>
        </w:rPr>
        <w:tab/>
      </w:r>
      <w:r>
        <w:rPr>
          <w:rFonts w:ascii="Courier New" w:cs="Courier New" w:eastAsia="Courier New" w:hAnsi="Courier New"/>
          <w:sz w:val="15"/>
          <w:szCs w:val="15"/>
          <w:color w:val="auto"/>
        </w:rPr>
        <w:t>70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5"/>
          <w:szCs w:val="15"/>
          <w:color w:val="auto"/>
        </w:rPr>
        <w:t>Notice of Redemption</w:t>
      </w:r>
      <w:r>
        <w:rPr>
          <w:sz w:val="20"/>
          <w:szCs w:val="20"/>
          <w:color w:val="auto"/>
        </w:rPr>
        <w:tab/>
      </w:r>
      <w:r>
        <w:rPr>
          <w:rFonts w:ascii="Courier New" w:cs="Courier New" w:eastAsia="Courier New" w:hAnsi="Courier New"/>
          <w:sz w:val="15"/>
          <w:szCs w:val="15"/>
          <w:color w:val="auto"/>
        </w:rPr>
        <w:t>70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11.6</w:t>
      </w:r>
      <w:r>
        <w:rPr>
          <w:sz w:val="20"/>
          <w:szCs w:val="20"/>
          <w:color w:val="auto"/>
        </w:rPr>
        <w:tab/>
      </w:r>
      <w:r>
        <w:rPr>
          <w:rFonts w:ascii="Courier New" w:cs="Courier New" w:eastAsia="Courier New" w:hAnsi="Courier New"/>
          <w:sz w:val="15"/>
          <w:szCs w:val="15"/>
          <w:color w:val="auto"/>
        </w:rPr>
        <w:t>Deposit of Redemption Price</w:t>
      </w:r>
      <w:r>
        <w:rPr>
          <w:sz w:val="20"/>
          <w:szCs w:val="20"/>
          <w:color w:val="auto"/>
        </w:rPr>
        <w:tab/>
      </w:r>
      <w:r>
        <w:rPr>
          <w:rFonts w:ascii="Courier New" w:cs="Courier New" w:eastAsia="Courier New" w:hAnsi="Courier New"/>
          <w:sz w:val="15"/>
          <w:szCs w:val="15"/>
          <w:color w:val="auto"/>
        </w:rPr>
        <w:t>71</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11.7</w:t>
      </w:r>
      <w:r>
        <w:rPr>
          <w:sz w:val="20"/>
          <w:szCs w:val="20"/>
          <w:color w:val="auto"/>
        </w:rPr>
        <w:tab/>
      </w:r>
      <w:r>
        <w:rPr>
          <w:rFonts w:ascii="Courier New" w:cs="Courier New" w:eastAsia="Courier New" w:hAnsi="Courier New"/>
          <w:sz w:val="15"/>
          <w:szCs w:val="15"/>
          <w:color w:val="auto"/>
        </w:rPr>
        <w:t>Securities Payable on Redemption Date</w:t>
      </w:r>
      <w:r>
        <w:rPr>
          <w:sz w:val="20"/>
          <w:szCs w:val="20"/>
          <w:color w:val="auto"/>
        </w:rPr>
        <w:tab/>
      </w:r>
      <w:r>
        <w:rPr>
          <w:rFonts w:ascii="Courier New" w:cs="Courier New" w:eastAsia="Courier New" w:hAnsi="Courier New"/>
          <w:sz w:val="15"/>
          <w:szCs w:val="15"/>
          <w:color w:val="auto"/>
        </w:rPr>
        <w:t>72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11.8</w:t>
      </w:r>
      <w:r>
        <w:rPr>
          <w:sz w:val="20"/>
          <w:szCs w:val="20"/>
          <w:color w:val="auto"/>
        </w:rPr>
        <w:tab/>
      </w:r>
      <w:r>
        <w:rPr>
          <w:rFonts w:ascii="Courier New" w:cs="Courier New" w:eastAsia="Courier New" w:hAnsi="Courier New"/>
          <w:sz w:val="15"/>
          <w:szCs w:val="15"/>
          <w:color w:val="auto"/>
        </w:rPr>
        <w:t>Conversion Arrangement on Call for Redemption</w:t>
      </w:r>
      <w:r>
        <w:rPr>
          <w:sz w:val="20"/>
          <w:szCs w:val="20"/>
          <w:color w:val="auto"/>
        </w:rPr>
        <w:tab/>
      </w:r>
      <w:r>
        <w:rPr>
          <w:rFonts w:ascii="Courier New" w:cs="Courier New" w:eastAsia="Courier New" w:hAnsi="Courier New"/>
          <w:sz w:val="15"/>
          <w:szCs w:val="15"/>
          <w:color w:val="auto"/>
        </w:rPr>
        <w:t>72</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480"/>
          </w:cols>
          <w:pgMar w:left="240" w:top="961" w:right="1179" w:bottom="1440" w:gutter="0" w:footer="0" w:header="0"/>
        </w:sectPr>
      </w:pPr>
    </w:p>
    <w:bookmarkStart w:id="57" w:name="page58"/>
    <w:bookmarkEnd w:id="57"/>
    <w:p>
      <w:pPr>
        <w:ind w:left="5020"/>
        <w:spacing w:after="0"/>
        <w:rPr>
          <w:sz w:val="20"/>
          <w:szCs w:val="20"/>
          <w:color w:val="auto"/>
        </w:rPr>
      </w:pPr>
      <w:r>
        <w:rPr>
          <w:rFonts w:ascii="Courier New" w:cs="Courier New" w:eastAsia="Courier New" w:hAnsi="Courier New"/>
          <w:sz w:val="15"/>
          <w:szCs w:val="15"/>
          <w:color w:val="auto"/>
        </w:rPr>
        <w:t>TABLE OF CONTENTS</w:t>
      </w:r>
    </w:p>
    <w:p>
      <w:pPr>
        <w:ind w:left="5280"/>
        <w:spacing w:after="0"/>
        <w:rPr>
          <w:sz w:val="20"/>
          <w:szCs w:val="20"/>
          <w:color w:val="auto"/>
        </w:rPr>
      </w:pPr>
      <w:r>
        <w:rPr>
          <w:rFonts w:ascii="Courier New" w:cs="Courier New" w:eastAsia="Courier New" w:hAnsi="Courier New"/>
          <w:sz w:val="15"/>
          <w:szCs w:val="15"/>
          <w:color w:val="auto"/>
        </w:rPr>
        <w:t>(continued)</w:t>
      </w: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XII CONVERSION OF SECURITIES</w:t>
      </w:r>
      <w:r>
        <w:rPr>
          <w:sz w:val="20"/>
          <w:szCs w:val="20"/>
          <w:color w:val="auto"/>
        </w:rPr>
        <w:tab/>
      </w:r>
      <w:r>
        <w:rPr>
          <w:rFonts w:ascii="Courier New" w:cs="Courier New" w:eastAsia="Courier New" w:hAnsi="Courier New"/>
          <w:sz w:val="15"/>
          <w:szCs w:val="15"/>
          <w:color w:val="auto"/>
        </w:rPr>
        <w:t>73</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5"/>
          <w:szCs w:val="15"/>
          <w:color w:val="auto"/>
        </w:rPr>
        <w:t>Conversion Privilege and Conversion Rate</w:t>
      </w:r>
      <w:r>
        <w:rPr>
          <w:sz w:val="20"/>
          <w:szCs w:val="20"/>
          <w:color w:val="auto"/>
        </w:rPr>
        <w:tab/>
      </w:r>
      <w:r>
        <w:rPr>
          <w:rFonts w:ascii="Courier New" w:cs="Courier New" w:eastAsia="Courier New" w:hAnsi="Courier New"/>
          <w:sz w:val="15"/>
          <w:szCs w:val="15"/>
          <w:color w:val="auto"/>
        </w:rPr>
        <w:t>73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12.2</w:t>
      </w:r>
      <w:r>
        <w:rPr>
          <w:sz w:val="20"/>
          <w:szCs w:val="20"/>
          <w:color w:val="auto"/>
        </w:rPr>
        <w:tab/>
      </w:r>
      <w:r>
        <w:rPr>
          <w:rFonts w:ascii="Courier New" w:cs="Courier New" w:eastAsia="Courier New" w:hAnsi="Courier New"/>
          <w:sz w:val="15"/>
          <w:szCs w:val="15"/>
          <w:color w:val="auto"/>
        </w:rPr>
        <w:t>Exercise of Conversion Privilege</w:t>
      </w:r>
      <w:r>
        <w:rPr>
          <w:sz w:val="20"/>
          <w:szCs w:val="20"/>
          <w:color w:val="auto"/>
        </w:rPr>
        <w:tab/>
      </w:r>
      <w:r>
        <w:rPr>
          <w:rFonts w:ascii="Courier New" w:cs="Courier New" w:eastAsia="Courier New" w:hAnsi="Courier New"/>
          <w:sz w:val="15"/>
          <w:szCs w:val="15"/>
          <w:color w:val="auto"/>
        </w:rPr>
        <w:t>73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5"/>
          <w:szCs w:val="15"/>
          <w:color w:val="auto"/>
        </w:rPr>
        <w:t>Fractions of Shares</w:t>
      </w:r>
      <w:r>
        <w:rPr>
          <w:sz w:val="20"/>
          <w:szCs w:val="20"/>
          <w:color w:val="auto"/>
        </w:rPr>
        <w:tab/>
      </w:r>
      <w:r>
        <w:rPr>
          <w:rFonts w:ascii="Courier New" w:cs="Courier New" w:eastAsia="Courier New" w:hAnsi="Courier New"/>
          <w:sz w:val="15"/>
          <w:szCs w:val="15"/>
          <w:color w:val="auto"/>
        </w:rPr>
        <w:t>75</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5"/>
          <w:szCs w:val="15"/>
          <w:color w:val="auto"/>
        </w:rPr>
        <w:t>Adjustment of Conversion Rate</w:t>
      </w:r>
      <w:r>
        <w:rPr>
          <w:sz w:val="20"/>
          <w:szCs w:val="20"/>
          <w:color w:val="auto"/>
        </w:rPr>
        <w:tab/>
      </w:r>
      <w:r>
        <w:rPr>
          <w:rFonts w:ascii="Courier New" w:cs="Courier New" w:eastAsia="Courier New" w:hAnsi="Courier New"/>
          <w:sz w:val="15"/>
          <w:szCs w:val="15"/>
          <w:color w:val="auto"/>
        </w:rPr>
        <w:t>75</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5"/>
          <w:szCs w:val="15"/>
          <w:color w:val="auto"/>
        </w:rPr>
        <w:t>Notice of Adjustments of Conversion Rate</w:t>
      </w:r>
      <w:r>
        <w:rPr>
          <w:sz w:val="20"/>
          <w:szCs w:val="20"/>
          <w:color w:val="auto"/>
        </w:rPr>
        <w:tab/>
      </w:r>
      <w:r>
        <w:rPr>
          <w:rFonts w:ascii="Courier New" w:cs="Courier New" w:eastAsia="Courier New" w:hAnsi="Courier New"/>
          <w:sz w:val="15"/>
          <w:szCs w:val="15"/>
          <w:color w:val="auto"/>
        </w:rPr>
        <w:t>80</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12.6</w:t>
      </w:r>
      <w:r>
        <w:rPr>
          <w:sz w:val="20"/>
          <w:szCs w:val="20"/>
          <w:color w:val="auto"/>
        </w:rPr>
        <w:tab/>
      </w:r>
      <w:r>
        <w:rPr>
          <w:rFonts w:ascii="Courier New" w:cs="Courier New" w:eastAsia="Courier New" w:hAnsi="Courier New"/>
          <w:sz w:val="15"/>
          <w:szCs w:val="15"/>
          <w:color w:val="auto"/>
        </w:rPr>
        <w:t>Notice of Certain Corporate Action</w:t>
      </w:r>
      <w:r>
        <w:rPr>
          <w:sz w:val="20"/>
          <w:szCs w:val="20"/>
          <w:color w:val="auto"/>
        </w:rPr>
        <w:tab/>
      </w:r>
      <w:r>
        <w:rPr>
          <w:rFonts w:ascii="Courier New" w:cs="Courier New" w:eastAsia="Courier New" w:hAnsi="Courier New"/>
          <w:sz w:val="15"/>
          <w:szCs w:val="15"/>
          <w:color w:val="auto"/>
        </w:rPr>
        <w:t>80</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5"/>
          <w:szCs w:val="15"/>
          <w:color w:val="auto"/>
        </w:rPr>
        <w:t>Company to Reserve Common Stock</w:t>
      </w:r>
      <w:r>
        <w:rPr>
          <w:sz w:val="20"/>
          <w:szCs w:val="20"/>
          <w:color w:val="auto"/>
        </w:rPr>
        <w:tab/>
      </w:r>
      <w:r>
        <w:rPr>
          <w:rFonts w:ascii="Courier New" w:cs="Courier New" w:eastAsia="Courier New" w:hAnsi="Courier New"/>
          <w:sz w:val="15"/>
          <w:szCs w:val="15"/>
          <w:color w:val="auto"/>
        </w:rPr>
        <w:t>81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5"/>
          <w:szCs w:val="15"/>
          <w:color w:val="auto"/>
        </w:rPr>
        <w:t>Taxes on Conversions</w:t>
      </w:r>
      <w:r>
        <w:rPr>
          <w:sz w:val="20"/>
          <w:szCs w:val="20"/>
          <w:color w:val="auto"/>
        </w:rPr>
        <w:tab/>
      </w:r>
      <w:r>
        <w:rPr>
          <w:rFonts w:ascii="Courier New" w:cs="Courier New" w:eastAsia="Courier New" w:hAnsi="Courier New"/>
          <w:sz w:val="15"/>
          <w:szCs w:val="15"/>
          <w:color w:val="auto"/>
        </w:rPr>
        <w:t>81</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12.9</w:t>
      </w:r>
      <w:r>
        <w:rPr>
          <w:sz w:val="20"/>
          <w:szCs w:val="20"/>
          <w:color w:val="auto"/>
        </w:rPr>
        <w:tab/>
      </w:r>
      <w:r>
        <w:rPr>
          <w:rFonts w:ascii="Courier New" w:cs="Courier New" w:eastAsia="Courier New" w:hAnsi="Courier New"/>
          <w:sz w:val="15"/>
          <w:szCs w:val="15"/>
          <w:color w:val="auto"/>
        </w:rPr>
        <w:t>Covenant as to Common Stock</w:t>
      </w:r>
      <w:r>
        <w:rPr>
          <w:sz w:val="20"/>
          <w:szCs w:val="20"/>
          <w:color w:val="auto"/>
        </w:rPr>
        <w:tab/>
      </w:r>
      <w:r>
        <w:rPr>
          <w:rFonts w:ascii="Courier New" w:cs="Courier New" w:eastAsia="Courier New" w:hAnsi="Courier New"/>
          <w:sz w:val="15"/>
          <w:szCs w:val="15"/>
          <w:color w:val="auto"/>
        </w:rPr>
        <w:t>82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12.10</w:t>
      </w:r>
      <w:r>
        <w:rPr>
          <w:sz w:val="20"/>
          <w:szCs w:val="20"/>
          <w:color w:val="auto"/>
        </w:rPr>
        <w:tab/>
      </w:r>
      <w:r>
        <w:rPr>
          <w:rFonts w:ascii="Courier New" w:cs="Courier New" w:eastAsia="Courier New" w:hAnsi="Courier New"/>
          <w:sz w:val="15"/>
          <w:szCs w:val="15"/>
          <w:color w:val="auto"/>
        </w:rPr>
        <w:t>Cancellation of Converted Securities</w:t>
      </w:r>
      <w:r>
        <w:rPr>
          <w:sz w:val="20"/>
          <w:szCs w:val="20"/>
          <w:color w:val="auto"/>
        </w:rPr>
        <w:tab/>
      </w:r>
      <w:r>
        <w:rPr>
          <w:rFonts w:ascii="Courier New" w:cs="Courier New" w:eastAsia="Courier New" w:hAnsi="Courier New"/>
          <w:sz w:val="15"/>
          <w:szCs w:val="15"/>
          <w:color w:val="auto"/>
        </w:rPr>
        <w:t>82</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12.11</w:t>
      </w:r>
      <w:r>
        <w:rPr>
          <w:sz w:val="20"/>
          <w:szCs w:val="20"/>
          <w:color w:val="auto"/>
        </w:rPr>
        <w:tab/>
      </w:r>
      <w:r>
        <w:rPr>
          <w:rFonts w:ascii="Courier New" w:cs="Courier New" w:eastAsia="Courier New" w:hAnsi="Courier New"/>
          <w:sz w:val="15"/>
          <w:szCs w:val="15"/>
          <w:color w:val="auto"/>
        </w:rPr>
        <w:t>Provision in Case of Consolidation, Merger or Sale of Assets</w:t>
      </w:r>
      <w:r>
        <w:rPr>
          <w:sz w:val="20"/>
          <w:szCs w:val="20"/>
          <w:color w:val="auto"/>
        </w:rPr>
        <w:tab/>
      </w:r>
      <w:r>
        <w:rPr>
          <w:rFonts w:ascii="Courier New" w:cs="Courier New" w:eastAsia="Courier New" w:hAnsi="Courier New"/>
          <w:sz w:val="15"/>
          <w:szCs w:val="15"/>
          <w:color w:val="auto"/>
        </w:rPr>
        <w:t>82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12.12</w:t>
      </w:r>
      <w:r>
        <w:rPr>
          <w:sz w:val="20"/>
          <w:szCs w:val="20"/>
          <w:color w:val="auto"/>
        </w:rPr>
        <w:tab/>
      </w:r>
      <w:r>
        <w:rPr>
          <w:rFonts w:ascii="Courier New" w:cs="Courier New" w:eastAsia="Courier New" w:hAnsi="Courier New"/>
          <w:sz w:val="15"/>
          <w:szCs w:val="15"/>
          <w:color w:val="auto"/>
        </w:rPr>
        <w:t>Rights Issued in Respect of Common Stock</w:t>
      </w:r>
      <w:r>
        <w:rPr>
          <w:sz w:val="20"/>
          <w:szCs w:val="20"/>
          <w:color w:val="auto"/>
        </w:rPr>
        <w:tab/>
      </w:r>
      <w:r>
        <w:rPr>
          <w:rFonts w:ascii="Courier New" w:cs="Courier New" w:eastAsia="Courier New" w:hAnsi="Courier New"/>
          <w:sz w:val="15"/>
          <w:szCs w:val="15"/>
          <w:color w:val="auto"/>
        </w:rPr>
        <w:t>83</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12.13</w:t>
      </w:r>
      <w:r>
        <w:rPr>
          <w:sz w:val="20"/>
          <w:szCs w:val="20"/>
          <w:color w:val="auto"/>
        </w:rPr>
        <w:tab/>
      </w:r>
      <w:r>
        <w:rPr>
          <w:rFonts w:ascii="Courier New" w:cs="Courier New" w:eastAsia="Courier New" w:hAnsi="Courier New"/>
          <w:sz w:val="15"/>
          <w:szCs w:val="15"/>
          <w:color w:val="auto"/>
        </w:rPr>
        <w:t>Responsibility of Trustee for Conversion Provisions</w:t>
      </w:r>
      <w:r>
        <w:rPr>
          <w:sz w:val="20"/>
          <w:szCs w:val="20"/>
          <w:color w:val="auto"/>
        </w:rPr>
        <w:tab/>
      </w:r>
      <w:r>
        <w:rPr>
          <w:rFonts w:ascii="Courier New" w:cs="Courier New" w:eastAsia="Courier New" w:hAnsi="Courier New"/>
          <w:sz w:val="15"/>
          <w:szCs w:val="15"/>
          <w:color w:val="auto"/>
        </w:rPr>
        <w:t>83</w:t>
      </w:r>
    </w:p>
    <w:p>
      <w:pPr>
        <w:spacing w:after="0" w:line="168"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XIII SUBORDINATION OF SECURITIES</w:t>
      </w:r>
      <w:r>
        <w:rPr>
          <w:sz w:val="20"/>
          <w:szCs w:val="20"/>
          <w:color w:val="auto"/>
        </w:rPr>
        <w:tab/>
      </w:r>
      <w:r>
        <w:rPr>
          <w:rFonts w:ascii="Courier New" w:cs="Courier New" w:eastAsia="Courier New" w:hAnsi="Courier New"/>
          <w:sz w:val="15"/>
          <w:szCs w:val="15"/>
          <w:color w:val="auto"/>
        </w:rPr>
        <w:t>84</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5"/>
          <w:szCs w:val="15"/>
          <w:color w:val="auto"/>
        </w:rPr>
        <w:t>Securities Subordinate to Senior Debt</w:t>
      </w:r>
      <w:r>
        <w:rPr>
          <w:sz w:val="20"/>
          <w:szCs w:val="20"/>
          <w:color w:val="auto"/>
        </w:rPr>
        <w:tab/>
      </w:r>
      <w:r>
        <w:rPr>
          <w:rFonts w:ascii="Courier New" w:cs="Courier New" w:eastAsia="Courier New" w:hAnsi="Courier New"/>
          <w:sz w:val="15"/>
          <w:szCs w:val="15"/>
          <w:color w:val="auto"/>
        </w:rPr>
        <w:t>84</w:t>
      </w:r>
    </w:p>
    <w:p>
      <w:pPr>
        <w:ind w:left="780"/>
        <w:spacing w:after="0"/>
        <w:tabs>
          <w:tab w:leader="none" w:pos="314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4"/>
          <w:szCs w:val="14"/>
          <w:color w:val="auto"/>
        </w:rPr>
        <w:t>No Payment in Certain Circumstances, Payment over of Proceeds upon</w:t>
      </w:r>
    </w:p>
    <w:p>
      <w:pPr>
        <w:jc w:val="right"/>
        <w:spacing w:after="0"/>
        <w:tabs>
          <w:tab w:leader="dot" w:pos="160" w:val="left"/>
        </w:tabs>
        <w:rPr>
          <w:sz w:val="20"/>
          <w:szCs w:val="20"/>
          <w:color w:val="auto"/>
        </w:rPr>
      </w:pPr>
      <w:r>
        <w:rPr>
          <w:rFonts w:ascii="Courier New" w:cs="Courier New" w:eastAsia="Courier New" w:hAnsi="Courier New"/>
          <w:sz w:val="15"/>
          <w:szCs w:val="15"/>
          <w:color w:val="auto"/>
        </w:rPr>
        <w:t>Dissolution, Etc</w:t>
      </w:r>
      <w:r>
        <w:rPr>
          <w:sz w:val="20"/>
          <w:szCs w:val="20"/>
          <w:color w:val="auto"/>
        </w:rPr>
        <w:tab/>
      </w:r>
      <w:r>
        <w:rPr>
          <w:rFonts w:ascii="Courier New" w:cs="Courier New" w:eastAsia="Courier New" w:hAnsi="Courier New"/>
          <w:sz w:val="15"/>
          <w:szCs w:val="15"/>
          <w:color w:val="auto"/>
        </w:rPr>
        <w:t>84</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13.3</w:t>
      </w:r>
      <w:r>
        <w:rPr>
          <w:sz w:val="20"/>
          <w:szCs w:val="20"/>
          <w:color w:val="auto"/>
        </w:rPr>
        <w:tab/>
      </w:r>
      <w:r>
        <w:rPr>
          <w:rFonts w:ascii="Courier New" w:cs="Courier New" w:eastAsia="Courier New" w:hAnsi="Courier New"/>
          <w:sz w:val="15"/>
          <w:szCs w:val="15"/>
          <w:color w:val="auto"/>
        </w:rPr>
        <w:t>Prior Payment to Senior Debt upon Acceleration of Securities</w:t>
      </w:r>
      <w:r>
        <w:rPr>
          <w:sz w:val="20"/>
          <w:szCs w:val="20"/>
          <w:color w:val="auto"/>
        </w:rPr>
        <w:tab/>
      </w:r>
      <w:r>
        <w:rPr>
          <w:rFonts w:ascii="Courier New" w:cs="Courier New" w:eastAsia="Courier New" w:hAnsi="Courier New"/>
          <w:sz w:val="15"/>
          <w:szCs w:val="15"/>
          <w:color w:val="auto"/>
        </w:rPr>
        <w:t>86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5"/>
          <w:szCs w:val="15"/>
          <w:color w:val="auto"/>
        </w:rPr>
        <w:t>Payment Permitted If No Default</w:t>
      </w:r>
      <w:r>
        <w:rPr>
          <w:sz w:val="20"/>
          <w:szCs w:val="20"/>
          <w:color w:val="auto"/>
        </w:rPr>
        <w:tab/>
      </w:r>
      <w:r>
        <w:rPr>
          <w:rFonts w:ascii="Courier New" w:cs="Courier New" w:eastAsia="Courier New" w:hAnsi="Courier New"/>
          <w:sz w:val="15"/>
          <w:szCs w:val="15"/>
          <w:color w:val="auto"/>
        </w:rPr>
        <w:t>86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13.5</w:t>
      </w:r>
      <w:r>
        <w:rPr>
          <w:sz w:val="20"/>
          <w:szCs w:val="20"/>
          <w:color w:val="auto"/>
        </w:rPr>
        <w:tab/>
      </w:r>
      <w:r>
        <w:rPr>
          <w:rFonts w:ascii="Courier New" w:cs="Courier New" w:eastAsia="Courier New" w:hAnsi="Courier New"/>
          <w:sz w:val="15"/>
          <w:szCs w:val="15"/>
          <w:color w:val="auto"/>
        </w:rPr>
        <w:t>Subrogation to Rights of Holders of Senior Debt</w:t>
      </w:r>
      <w:r>
        <w:rPr>
          <w:sz w:val="20"/>
          <w:szCs w:val="20"/>
          <w:color w:val="auto"/>
        </w:rPr>
        <w:tab/>
      </w:r>
      <w:r>
        <w:rPr>
          <w:rFonts w:ascii="Courier New" w:cs="Courier New" w:eastAsia="Courier New" w:hAnsi="Courier New"/>
          <w:sz w:val="15"/>
          <w:szCs w:val="15"/>
          <w:color w:val="auto"/>
        </w:rPr>
        <w:t>86</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13.6</w:t>
      </w:r>
      <w:r>
        <w:rPr>
          <w:sz w:val="20"/>
          <w:szCs w:val="20"/>
          <w:color w:val="auto"/>
        </w:rPr>
        <w:tab/>
      </w:r>
      <w:r>
        <w:rPr>
          <w:rFonts w:ascii="Courier New" w:cs="Courier New" w:eastAsia="Courier New" w:hAnsi="Courier New"/>
          <w:sz w:val="15"/>
          <w:szCs w:val="15"/>
          <w:color w:val="auto"/>
        </w:rPr>
        <w:t>Provisions Solely to Define Relative Rights</w:t>
      </w:r>
      <w:r>
        <w:rPr>
          <w:sz w:val="20"/>
          <w:szCs w:val="20"/>
          <w:color w:val="auto"/>
        </w:rPr>
        <w:tab/>
      </w:r>
      <w:r>
        <w:rPr>
          <w:rFonts w:ascii="Courier New" w:cs="Courier New" w:eastAsia="Courier New" w:hAnsi="Courier New"/>
          <w:sz w:val="15"/>
          <w:szCs w:val="15"/>
          <w:color w:val="auto"/>
        </w:rPr>
        <w:t>87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13.7</w:t>
      </w:r>
      <w:r>
        <w:rPr>
          <w:sz w:val="20"/>
          <w:szCs w:val="20"/>
          <w:color w:val="auto"/>
        </w:rPr>
        <w:tab/>
      </w:r>
      <w:r>
        <w:rPr>
          <w:rFonts w:ascii="Courier New" w:cs="Courier New" w:eastAsia="Courier New" w:hAnsi="Courier New"/>
          <w:sz w:val="15"/>
          <w:szCs w:val="15"/>
          <w:color w:val="auto"/>
        </w:rPr>
        <w:t>Trustee to Effectuate Subordination</w:t>
      </w:r>
      <w:r>
        <w:rPr>
          <w:sz w:val="20"/>
          <w:szCs w:val="20"/>
          <w:color w:val="auto"/>
        </w:rPr>
        <w:tab/>
      </w:r>
      <w:r>
        <w:rPr>
          <w:rFonts w:ascii="Courier New" w:cs="Courier New" w:eastAsia="Courier New" w:hAnsi="Courier New"/>
          <w:sz w:val="15"/>
          <w:szCs w:val="15"/>
          <w:color w:val="auto"/>
        </w:rPr>
        <w:t>87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13.8</w:t>
      </w:r>
      <w:r>
        <w:rPr>
          <w:sz w:val="20"/>
          <w:szCs w:val="20"/>
          <w:color w:val="auto"/>
        </w:rPr>
        <w:tab/>
      </w:r>
      <w:r>
        <w:rPr>
          <w:rFonts w:ascii="Courier New" w:cs="Courier New" w:eastAsia="Courier New" w:hAnsi="Courier New"/>
          <w:sz w:val="15"/>
          <w:szCs w:val="15"/>
          <w:color w:val="auto"/>
        </w:rPr>
        <w:t>No Waiver of Subordination Provisions</w:t>
      </w:r>
      <w:r>
        <w:rPr>
          <w:sz w:val="20"/>
          <w:szCs w:val="20"/>
          <w:color w:val="auto"/>
        </w:rPr>
        <w:tab/>
      </w:r>
      <w:r>
        <w:rPr>
          <w:rFonts w:ascii="Courier New" w:cs="Courier New" w:eastAsia="Courier New" w:hAnsi="Courier New"/>
          <w:sz w:val="15"/>
          <w:szCs w:val="15"/>
          <w:color w:val="auto"/>
        </w:rPr>
        <w:t>87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13.9</w:t>
      </w:r>
      <w:r>
        <w:rPr>
          <w:sz w:val="20"/>
          <w:szCs w:val="20"/>
          <w:color w:val="auto"/>
        </w:rPr>
        <w:tab/>
      </w:r>
      <w:r>
        <w:rPr>
          <w:rFonts w:ascii="Courier New" w:cs="Courier New" w:eastAsia="Courier New" w:hAnsi="Courier New"/>
          <w:sz w:val="15"/>
          <w:szCs w:val="15"/>
          <w:color w:val="auto"/>
        </w:rPr>
        <w:t>Notice to Trustee</w:t>
      </w:r>
      <w:r>
        <w:rPr>
          <w:sz w:val="20"/>
          <w:szCs w:val="20"/>
          <w:color w:val="auto"/>
        </w:rPr>
        <w:tab/>
      </w:r>
      <w:r>
        <w:rPr>
          <w:rFonts w:ascii="Courier New" w:cs="Courier New" w:eastAsia="Courier New" w:hAnsi="Courier New"/>
          <w:sz w:val="15"/>
          <w:szCs w:val="15"/>
          <w:color w:val="auto"/>
        </w:rPr>
        <w:t>88</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13.10</w:t>
      </w:r>
      <w:r>
        <w:rPr>
          <w:sz w:val="20"/>
          <w:szCs w:val="20"/>
          <w:color w:val="auto"/>
        </w:rPr>
        <w:tab/>
      </w:r>
      <w:r>
        <w:rPr>
          <w:rFonts w:ascii="Courier New" w:cs="Courier New" w:eastAsia="Courier New" w:hAnsi="Courier New"/>
          <w:sz w:val="15"/>
          <w:szCs w:val="15"/>
          <w:color w:val="auto"/>
        </w:rPr>
        <w:t>Reliance on Judicial Order or Certificate of Liquidating Agent</w:t>
      </w:r>
      <w:r>
        <w:rPr>
          <w:sz w:val="20"/>
          <w:szCs w:val="20"/>
          <w:color w:val="auto"/>
        </w:rPr>
        <w:tab/>
      </w:r>
      <w:r>
        <w:rPr>
          <w:rFonts w:ascii="Courier New" w:cs="Courier New" w:eastAsia="Courier New" w:hAnsi="Courier New"/>
          <w:sz w:val="15"/>
          <w:szCs w:val="15"/>
          <w:color w:val="auto"/>
        </w:rPr>
        <w:t>89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13.11</w:t>
      </w:r>
      <w:r>
        <w:rPr>
          <w:sz w:val="20"/>
          <w:szCs w:val="20"/>
          <w:color w:val="auto"/>
        </w:rPr>
        <w:tab/>
      </w:r>
      <w:r>
        <w:rPr>
          <w:rFonts w:ascii="Courier New" w:cs="Courier New" w:eastAsia="Courier New" w:hAnsi="Courier New"/>
          <w:sz w:val="15"/>
          <w:szCs w:val="15"/>
          <w:color w:val="auto"/>
        </w:rPr>
        <w:t>Trustee Not Fiduciary for Holders of Senior Debt</w:t>
      </w:r>
      <w:r>
        <w:rPr>
          <w:sz w:val="20"/>
          <w:szCs w:val="20"/>
          <w:color w:val="auto"/>
        </w:rPr>
        <w:tab/>
      </w:r>
      <w:r>
        <w:rPr>
          <w:rFonts w:ascii="Courier New" w:cs="Courier New" w:eastAsia="Courier New" w:hAnsi="Courier New"/>
          <w:sz w:val="15"/>
          <w:szCs w:val="15"/>
          <w:color w:val="auto"/>
        </w:rPr>
        <w:t>89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13.12</w:t>
      </w:r>
      <w:r>
        <w:rPr>
          <w:sz w:val="20"/>
          <w:szCs w:val="20"/>
          <w:color w:val="auto"/>
        </w:rPr>
        <w:tab/>
      </w:r>
      <w:r>
        <w:rPr>
          <w:rFonts w:ascii="Courier New" w:cs="Courier New" w:eastAsia="Courier New" w:hAnsi="Courier New"/>
          <w:sz w:val="15"/>
          <w:szCs w:val="15"/>
          <w:color w:val="auto"/>
        </w:rPr>
        <w:t>Reliance by Holders of Senior Debt on Subordination Provisions</w:t>
      </w:r>
      <w:r>
        <w:rPr>
          <w:sz w:val="20"/>
          <w:szCs w:val="20"/>
          <w:color w:val="auto"/>
        </w:rPr>
        <w:tab/>
      </w:r>
      <w:r>
        <w:rPr>
          <w:rFonts w:ascii="Courier New" w:cs="Courier New" w:eastAsia="Courier New" w:hAnsi="Courier New"/>
          <w:sz w:val="15"/>
          <w:szCs w:val="15"/>
          <w:color w:val="auto"/>
        </w:rPr>
        <w:t>89</w:t>
      </w:r>
    </w:p>
    <w:p>
      <w:pPr>
        <w:ind w:left="780"/>
        <w:spacing w:after="0"/>
        <w:tabs>
          <w:tab w:leader="none" w:pos="3140" w:val="left"/>
        </w:tabs>
        <w:rPr>
          <w:sz w:val="20"/>
          <w:szCs w:val="20"/>
          <w:color w:val="auto"/>
        </w:rPr>
      </w:pPr>
      <w:r>
        <w:rPr>
          <w:rFonts w:ascii="Courier New" w:cs="Courier New" w:eastAsia="Courier New" w:hAnsi="Courier New"/>
          <w:sz w:val="15"/>
          <w:szCs w:val="15"/>
          <w:color w:val="auto"/>
        </w:rPr>
        <w:t>SECTION 13.13</w:t>
      </w:r>
      <w:r>
        <w:rPr>
          <w:sz w:val="20"/>
          <w:szCs w:val="20"/>
          <w:color w:val="auto"/>
        </w:rPr>
        <w:tab/>
      </w:r>
      <w:r>
        <w:rPr>
          <w:rFonts w:ascii="Courier New" w:cs="Courier New" w:eastAsia="Courier New" w:hAnsi="Courier New"/>
          <w:sz w:val="14"/>
          <w:szCs w:val="14"/>
          <w:color w:val="auto"/>
        </w:rPr>
        <w:t>Rights of Trustee as Holder of Senior Debt; Preservation of Trustee's</w:t>
      </w:r>
    </w:p>
    <w:p>
      <w:pPr>
        <w:jc w:val="right"/>
        <w:spacing w:after="0"/>
        <w:tabs>
          <w:tab w:leader="dot" w:pos="160" w:val="left"/>
        </w:tabs>
        <w:rPr>
          <w:sz w:val="20"/>
          <w:szCs w:val="20"/>
          <w:color w:val="auto"/>
        </w:rPr>
      </w:pPr>
      <w:r>
        <w:rPr>
          <w:rFonts w:ascii="Courier New" w:cs="Courier New" w:eastAsia="Courier New" w:hAnsi="Courier New"/>
          <w:sz w:val="15"/>
          <w:szCs w:val="15"/>
          <w:color w:val="auto"/>
        </w:rPr>
        <w:t>Rights</w:t>
      </w:r>
      <w:r>
        <w:rPr>
          <w:sz w:val="20"/>
          <w:szCs w:val="20"/>
          <w:color w:val="auto"/>
        </w:rPr>
        <w:tab/>
      </w:r>
      <w:r>
        <w:rPr>
          <w:rFonts w:ascii="Courier New" w:cs="Courier New" w:eastAsia="Courier New" w:hAnsi="Courier New"/>
          <w:sz w:val="15"/>
          <w:szCs w:val="15"/>
          <w:color w:val="auto"/>
        </w:rPr>
        <w:t>89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13.14</w:t>
      </w:r>
      <w:r>
        <w:rPr>
          <w:sz w:val="20"/>
          <w:szCs w:val="20"/>
          <w:color w:val="auto"/>
        </w:rPr>
        <w:tab/>
      </w:r>
      <w:r>
        <w:rPr>
          <w:rFonts w:ascii="Courier New" w:cs="Courier New" w:eastAsia="Courier New" w:hAnsi="Courier New"/>
          <w:sz w:val="15"/>
          <w:szCs w:val="15"/>
          <w:color w:val="auto"/>
        </w:rPr>
        <w:t>Article Applicable to Paying Agents</w:t>
      </w:r>
      <w:r>
        <w:rPr>
          <w:sz w:val="20"/>
          <w:szCs w:val="20"/>
          <w:color w:val="auto"/>
        </w:rPr>
        <w:tab/>
      </w:r>
      <w:r>
        <w:rPr>
          <w:rFonts w:ascii="Courier New" w:cs="Courier New" w:eastAsia="Courier New" w:hAnsi="Courier New"/>
          <w:sz w:val="15"/>
          <w:szCs w:val="15"/>
          <w:color w:val="auto"/>
        </w:rPr>
        <w:t>89</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13.15</w:t>
      </w:r>
      <w:r>
        <w:rPr>
          <w:sz w:val="20"/>
          <w:szCs w:val="20"/>
          <w:color w:val="auto"/>
        </w:rPr>
        <w:tab/>
      </w:r>
      <w:r>
        <w:rPr>
          <w:rFonts w:ascii="Courier New" w:cs="Courier New" w:eastAsia="Courier New" w:hAnsi="Courier New"/>
          <w:sz w:val="15"/>
          <w:szCs w:val="15"/>
          <w:color w:val="auto"/>
        </w:rPr>
        <w:t>Certain Conversions and Repurchases Deemed Payment</w:t>
      </w:r>
      <w:r>
        <w:rPr>
          <w:sz w:val="20"/>
          <w:szCs w:val="20"/>
          <w:color w:val="auto"/>
        </w:rPr>
        <w:tab/>
      </w:r>
      <w:r>
        <w:rPr>
          <w:rFonts w:ascii="Courier New" w:cs="Courier New" w:eastAsia="Courier New" w:hAnsi="Courier New"/>
          <w:sz w:val="15"/>
          <w:szCs w:val="15"/>
          <w:color w:val="auto"/>
        </w:rPr>
        <w:t>90</w:t>
      </w:r>
    </w:p>
    <w:p>
      <w:pPr>
        <w:spacing w:after="0" w:line="168"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XIV REPURCHASE OF SECURITIES AT THE OPTION OF THE HOLDER UPON A CHANGE IN CONTROL</w:t>
      </w:r>
      <w:r>
        <w:rPr>
          <w:sz w:val="20"/>
          <w:szCs w:val="20"/>
          <w:color w:val="auto"/>
        </w:rPr>
        <w:tab/>
      </w:r>
      <w:r>
        <w:rPr>
          <w:rFonts w:ascii="Courier New" w:cs="Courier New" w:eastAsia="Courier New" w:hAnsi="Courier New"/>
          <w:sz w:val="15"/>
          <w:szCs w:val="15"/>
          <w:color w:val="auto"/>
        </w:rPr>
        <w:t>90</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14.1</w:t>
      </w:r>
      <w:r>
        <w:rPr>
          <w:sz w:val="20"/>
          <w:szCs w:val="20"/>
          <w:color w:val="auto"/>
        </w:rPr>
        <w:tab/>
      </w:r>
      <w:r>
        <w:rPr>
          <w:rFonts w:ascii="Courier New" w:cs="Courier New" w:eastAsia="Courier New" w:hAnsi="Courier New"/>
          <w:sz w:val="15"/>
          <w:szCs w:val="15"/>
          <w:color w:val="auto"/>
        </w:rPr>
        <w:t>Right to Require Repurchase</w:t>
      </w:r>
      <w:r>
        <w:rPr>
          <w:sz w:val="20"/>
          <w:szCs w:val="20"/>
          <w:color w:val="auto"/>
        </w:rPr>
        <w:tab/>
      </w:r>
      <w:r>
        <w:rPr>
          <w:rFonts w:ascii="Courier New" w:cs="Courier New" w:eastAsia="Courier New" w:hAnsi="Courier New"/>
          <w:sz w:val="15"/>
          <w:szCs w:val="15"/>
          <w:color w:val="auto"/>
        </w:rPr>
        <w:t>90</w:t>
      </w:r>
    </w:p>
    <w:p>
      <w:pPr>
        <w:ind w:left="780"/>
        <w:spacing w:after="0"/>
        <w:tabs>
          <w:tab w:leader="none" w:pos="314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Conditions to the Company's Election to Pay the Repurchase Price in</w:t>
      </w:r>
    </w:p>
    <w:p>
      <w:pPr>
        <w:jc w:val="right"/>
        <w:spacing w:after="0"/>
        <w:tabs>
          <w:tab w:leader="dot" w:pos="1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91</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480"/>
          </w:cols>
          <w:pgMar w:left="240" w:top="961" w:right="1179" w:bottom="1440" w:gutter="0" w:footer="0" w:header="0"/>
        </w:sectPr>
      </w:pPr>
    </w:p>
    <w:bookmarkStart w:id="58" w:name="page59"/>
    <w:bookmarkEnd w:id="58"/>
    <w:p>
      <w:pPr>
        <w:ind w:left="5020"/>
        <w:spacing w:after="0"/>
        <w:rPr>
          <w:sz w:val="20"/>
          <w:szCs w:val="20"/>
          <w:color w:val="auto"/>
        </w:rPr>
      </w:pPr>
      <w:r>
        <w:rPr>
          <w:rFonts w:ascii="Courier New" w:cs="Courier New" w:eastAsia="Courier New" w:hAnsi="Courier New"/>
          <w:sz w:val="15"/>
          <w:szCs w:val="15"/>
          <w:color w:val="auto"/>
        </w:rPr>
        <w:t>TABLE OF CONTENTS</w:t>
      </w:r>
    </w:p>
    <w:p>
      <w:pPr>
        <w:ind w:left="5280"/>
        <w:spacing w:after="0"/>
        <w:rPr>
          <w:sz w:val="20"/>
          <w:szCs w:val="20"/>
          <w:color w:val="auto"/>
        </w:rPr>
      </w:pPr>
      <w:r>
        <w:rPr>
          <w:rFonts w:ascii="Courier New" w:cs="Courier New" w:eastAsia="Courier New" w:hAnsi="Courier New"/>
          <w:sz w:val="15"/>
          <w:szCs w:val="15"/>
          <w:color w:val="auto"/>
        </w:rPr>
        <w:t>(continued)</w:t>
      </w:r>
    </w:p>
    <w:p>
      <w:pPr>
        <w:jc w:val="right"/>
        <w:spacing w:after="0"/>
        <w:rPr>
          <w:sz w:val="20"/>
          <w:szCs w:val="20"/>
          <w:color w:val="auto"/>
        </w:rPr>
      </w:pPr>
      <w:r>
        <w:rPr>
          <w:rFonts w:ascii="Courier New" w:cs="Courier New" w:eastAsia="Courier New" w:hAnsi="Courier New"/>
          <w:sz w:val="15"/>
          <w:szCs w:val="15"/>
          <w:color w:val="auto"/>
        </w:rPr>
        <w:t>Page</w:t>
      </w:r>
    </w:p>
    <w:p>
      <w:pPr>
        <w:jc w:val="right"/>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14.3</w:t>
      </w:r>
      <w:r>
        <w:rPr>
          <w:sz w:val="20"/>
          <w:szCs w:val="20"/>
          <w:color w:val="auto"/>
        </w:rPr>
        <w:tab/>
      </w:r>
      <w:r>
        <w:rPr>
          <w:rFonts w:ascii="Courier New" w:cs="Courier New" w:eastAsia="Courier New" w:hAnsi="Courier New"/>
          <w:sz w:val="15"/>
          <w:szCs w:val="15"/>
          <w:color w:val="auto"/>
        </w:rPr>
        <w:t>Notices; Method of Exercising Repurchase Right, Etc</w:t>
      </w:r>
      <w:r>
        <w:rPr>
          <w:sz w:val="20"/>
          <w:szCs w:val="20"/>
          <w:color w:val="auto"/>
        </w:rPr>
        <w:tab/>
      </w:r>
      <w:r>
        <w:rPr>
          <w:rFonts w:ascii="Courier New" w:cs="Courier New" w:eastAsia="Courier New" w:hAnsi="Courier New"/>
          <w:sz w:val="15"/>
          <w:szCs w:val="15"/>
          <w:color w:val="auto"/>
        </w:rPr>
        <w:t>92</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14.4</w:t>
      </w:r>
      <w:r>
        <w:rPr>
          <w:sz w:val="20"/>
          <w:szCs w:val="20"/>
          <w:color w:val="auto"/>
        </w:rPr>
        <w:tab/>
      </w:r>
      <w:r>
        <w:rPr>
          <w:rFonts w:ascii="Courier New" w:cs="Courier New" w:eastAsia="Courier New" w:hAnsi="Courier New"/>
          <w:sz w:val="15"/>
          <w:szCs w:val="15"/>
          <w:color w:val="auto"/>
        </w:rPr>
        <w:t>Certain Definitions</w:t>
      </w:r>
      <w:r>
        <w:rPr>
          <w:sz w:val="20"/>
          <w:szCs w:val="20"/>
          <w:color w:val="auto"/>
        </w:rPr>
        <w:tab/>
      </w:r>
      <w:r>
        <w:rPr>
          <w:rFonts w:ascii="Courier New" w:cs="Courier New" w:eastAsia="Courier New" w:hAnsi="Courier New"/>
          <w:sz w:val="15"/>
          <w:szCs w:val="15"/>
          <w:color w:val="auto"/>
        </w:rPr>
        <w:t>94</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14.5</w:t>
      </w:r>
      <w:r>
        <w:rPr>
          <w:sz w:val="20"/>
          <w:szCs w:val="20"/>
          <w:color w:val="auto"/>
        </w:rPr>
        <w:tab/>
      </w:r>
      <w:r>
        <w:rPr>
          <w:rFonts w:ascii="Courier New" w:cs="Courier New" w:eastAsia="Courier New" w:hAnsi="Courier New"/>
          <w:sz w:val="15"/>
          <w:szCs w:val="15"/>
          <w:color w:val="auto"/>
        </w:rPr>
        <w:t>Consolidation, Merger, etc</w:t>
      </w:r>
      <w:r>
        <w:rPr>
          <w:sz w:val="20"/>
          <w:szCs w:val="20"/>
          <w:color w:val="auto"/>
        </w:rPr>
        <w:tab/>
      </w:r>
      <w:r>
        <w:rPr>
          <w:rFonts w:ascii="Courier New" w:cs="Courier New" w:eastAsia="Courier New" w:hAnsi="Courier New"/>
          <w:sz w:val="15"/>
          <w:szCs w:val="15"/>
          <w:color w:val="auto"/>
        </w:rPr>
        <w:t>96</w:t>
      </w:r>
    </w:p>
    <w:p>
      <w:pPr>
        <w:spacing w:after="0" w:line="168"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XV HOLDERS LISTS AND REPORTS BY TRUSTEE AND COMPANY; NON-RECOURSE</w:t>
      </w:r>
      <w:r>
        <w:rPr>
          <w:sz w:val="20"/>
          <w:szCs w:val="20"/>
          <w:color w:val="auto"/>
        </w:rPr>
        <w:tab/>
      </w:r>
      <w:r>
        <w:rPr>
          <w:rFonts w:ascii="Courier New" w:cs="Courier New" w:eastAsia="Courier New" w:hAnsi="Courier New"/>
          <w:sz w:val="15"/>
          <w:szCs w:val="15"/>
          <w:color w:val="auto"/>
        </w:rPr>
        <w:t>96</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15.1</w:t>
      </w:r>
      <w:r>
        <w:rPr>
          <w:sz w:val="20"/>
          <w:szCs w:val="20"/>
          <w:color w:val="auto"/>
        </w:rPr>
        <w:tab/>
      </w:r>
      <w:r>
        <w:rPr>
          <w:rFonts w:ascii="Courier New" w:cs="Courier New" w:eastAsia="Courier New" w:hAnsi="Courier New"/>
          <w:sz w:val="15"/>
          <w:szCs w:val="15"/>
          <w:color w:val="auto"/>
        </w:rPr>
        <w:t>Company to Furnish Trustee Names and Addresses of Holders</w:t>
      </w:r>
      <w:r>
        <w:rPr>
          <w:sz w:val="20"/>
          <w:szCs w:val="20"/>
          <w:color w:val="auto"/>
        </w:rPr>
        <w:tab/>
      </w:r>
      <w:r>
        <w:rPr>
          <w:rFonts w:ascii="Courier New" w:cs="Courier New" w:eastAsia="Courier New" w:hAnsi="Courier New"/>
          <w:sz w:val="15"/>
          <w:szCs w:val="15"/>
          <w:color w:val="auto"/>
        </w:rPr>
        <w:t>96</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15.2</w:t>
      </w:r>
      <w:r>
        <w:rPr>
          <w:sz w:val="20"/>
          <w:szCs w:val="20"/>
          <w:color w:val="auto"/>
        </w:rPr>
        <w:tab/>
      </w:r>
      <w:r>
        <w:rPr>
          <w:rFonts w:ascii="Courier New" w:cs="Courier New" w:eastAsia="Courier New" w:hAnsi="Courier New"/>
          <w:sz w:val="15"/>
          <w:szCs w:val="15"/>
          <w:color w:val="auto"/>
        </w:rPr>
        <w:t>Preservation of Information</w:t>
      </w:r>
      <w:r>
        <w:rPr>
          <w:sz w:val="20"/>
          <w:szCs w:val="20"/>
          <w:color w:val="auto"/>
        </w:rPr>
        <w:tab/>
      </w:r>
      <w:r>
        <w:rPr>
          <w:rFonts w:ascii="Courier New" w:cs="Courier New" w:eastAsia="Courier New" w:hAnsi="Courier New"/>
          <w:sz w:val="15"/>
          <w:szCs w:val="15"/>
          <w:color w:val="auto"/>
        </w:rPr>
        <w:t>97</w:t>
      </w: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15.3</w:t>
      </w:r>
      <w:r>
        <w:rPr>
          <w:sz w:val="20"/>
          <w:szCs w:val="20"/>
          <w:color w:val="auto"/>
        </w:rPr>
        <w:tab/>
      </w:r>
      <w:r>
        <w:rPr>
          <w:rFonts w:ascii="Courier New" w:cs="Courier New" w:eastAsia="Courier New" w:hAnsi="Courier New"/>
          <w:sz w:val="15"/>
          <w:szCs w:val="15"/>
          <w:color w:val="auto"/>
        </w:rPr>
        <w:t>Reports by Trustee</w:t>
      </w:r>
      <w:r>
        <w:rPr>
          <w:sz w:val="20"/>
          <w:szCs w:val="20"/>
          <w:color w:val="auto"/>
        </w:rPr>
        <w:tab/>
      </w:r>
      <w:r>
        <w:rPr>
          <w:rFonts w:ascii="Courier New" w:cs="Courier New" w:eastAsia="Courier New" w:hAnsi="Courier New"/>
          <w:sz w:val="15"/>
          <w:szCs w:val="15"/>
          <w:color w:val="auto"/>
        </w:rPr>
        <w:t>97</w:t>
      </w:r>
    </w:p>
    <w:p>
      <w:pPr>
        <w:ind w:left="780"/>
        <w:spacing w:after="0" w:line="238" w:lineRule="auto"/>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15.4</w:t>
      </w:r>
      <w:r>
        <w:rPr>
          <w:sz w:val="20"/>
          <w:szCs w:val="20"/>
          <w:color w:val="auto"/>
        </w:rPr>
        <w:tab/>
      </w:r>
      <w:r>
        <w:rPr>
          <w:rFonts w:ascii="Courier New" w:cs="Courier New" w:eastAsia="Courier New" w:hAnsi="Courier New"/>
          <w:sz w:val="15"/>
          <w:szCs w:val="15"/>
          <w:color w:val="auto"/>
        </w:rPr>
        <w:t>Reports by Company</w:t>
      </w:r>
      <w:r>
        <w:rPr>
          <w:sz w:val="20"/>
          <w:szCs w:val="20"/>
          <w:color w:val="auto"/>
        </w:rPr>
        <w:tab/>
      </w:r>
      <w:r>
        <w:rPr>
          <w:rFonts w:ascii="Courier New" w:cs="Courier New" w:eastAsia="Courier New" w:hAnsi="Courier New"/>
          <w:sz w:val="15"/>
          <w:szCs w:val="15"/>
          <w:color w:val="auto"/>
        </w:rPr>
        <w:t>97</w:t>
      </w:r>
    </w:p>
    <w:p>
      <w:pPr>
        <w:spacing w:after="0" w:line="169" w:lineRule="exact"/>
        <w:rPr>
          <w:sz w:val="20"/>
          <w:szCs w:val="20"/>
          <w:color w:val="auto"/>
        </w:rPr>
      </w:pPr>
    </w:p>
    <w:p>
      <w:pPr>
        <w:spacing w:after="0"/>
        <w:tabs>
          <w:tab w:leader="dot" w:pos="10280" w:val="left"/>
        </w:tabs>
        <w:rPr>
          <w:sz w:val="20"/>
          <w:szCs w:val="20"/>
          <w:color w:val="auto"/>
        </w:rPr>
      </w:pPr>
      <w:r>
        <w:rPr>
          <w:rFonts w:ascii="Courier New" w:cs="Courier New" w:eastAsia="Courier New" w:hAnsi="Courier New"/>
          <w:sz w:val="15"/>
          <w:szCs w:val="15"/>
          <w:color w:val="auto"/>
        </w:rPr>
        <w:t>ARTICLE XVI IMMUNITY OF INCORPORATORS, STOCKHOLDERS, OFFICERS AND DIRECTORS</w:t>
      </w:r>
      <w:r>
        <w:rPr>
          <w:sz w:val="20"/>
          <w:szCs w:val="20"/>
          <w:color w:val="auto"/>
        </w:rPr>
        <w:tab/>
      </w:r>
      <w:r>
        <w:rPr>
          <w:rFonts w:ascii="Courier New" w:cs="Courier New" w:eastAsia="Courier New" w:hAnsi="Courier New"/>
          <w:sz w:val="15"/>
          <w:szCs w:val="15"/>
          <w:color w:val="auto"/>
        </w:rPr>
        <w:t>97</w:t>
      </w:r>
    </w:p>
    <w:p>
      <w:pPr>
        <w:spacing w:after="0" w:line="169" w:lineRule="exact"/>
        <w:rPr>
          <w:sz w:val="20"/>
          <w:szCs w:val="20"/>
          <w:color w:val="auto"/>
        </w:rPr>
      </w:pPr>
    </w:p>
    <w:p>
      <w:pPr>
        <w:ind w:left="780"/>
        <w:spacing w:after="0"/>
        <w:tabs>
          <w:tab w:leader="none" w:pos="3140" w:val="left"/>
          <w:tab w:leader="dot" w:pos="10280" w:val="left"/>
        </w:tabs>
        <w:rPr>
          <w:sz w:val="20"/>
          <w:szCs w:val="20"/>
          <w:color w:val="auto"/>
        </w:rPr>
      </w:pPr>
      <w:r>
        <w:rPr>
          <w:rFonts w:ascii="Courier New" w:cs="Courier New" w:eastAsia="Courier New" w:hAnsi="Courier New"/>
          <w:sz w:val="15"/>
          <w:szCs w:val="15"/>
          <w:color w:val="auto"/>
        </w:rPr>
        <w:t>SECTION 16.1</w:t>
      </w:r>
      <w:r>
        <w:rPr>
          <w:sz w:val="20"/>
          <w:szCs w:val="20"/>
          <w:color w:val="auto"/>
        </w:rPr>
        <w:tab/>
      </w:r>
      <w:r>
        <w:rPr>
          <w:rFonts w:ascii="Courier New" w:cs="Courier New" w:eastAsia="Courier New" w:hAnsi="Courier New"/>
          <w:sz w:val="15"/>
          <w:szCs w:val="15"/>
          <w:color w:val="auto"/>
        </w:rPr>
        <w:t>Indenture and Securities Solely Corporate Obligations</w:t>
      </w:r>
      <w:r>
        <w:rPr>
          <w:sz w:val="20"/>
          <w:szCs w:val="20"/>
          <w:color w:val="auto"/>
        </w:rPr>
        <w:tab/>
      </w:r>
      <w:r>
        <w:rPr>
          <w:rFonts w:ascii="Courier New" w:cs="Courier New" w:eastAsia="Courier New" w:hAnsi="Courier New"/>
          <w:sz w:val="15"/>
          <w:szCs w:val="15"/>
          <w:color w:val="auto"/>
        </w:rPr>
        <w:t>97</w:t>
      </w:r>
    </w:p>
    <w:p>
      <w:pPr>
        <w:sectPr>
          <w:pgSz w:w="11900" w:h="16838" w:orient="portrait"/>
          <w:cols w:equalWidth="0" w:num="1">
            <w:col w:w="10480"/>
          </w:cols>
          <w:pgMar w:left="240" w:top="961" w:right="1179" w:bottom="1440" w:gutter="0" w:footer="0" w:header="0"/>
        </w:sectPr>
      </w:pPr>
    </w:p>
    <w:bookmarkStart w:id="59" w:name="page60"/>
    <w:bookmarkEnd w:id="59"/>
    <w:p>
      <w:pPr>
        <w:ind w:right="3259" w:firstLine="705"/>
        <w:spacing w:after="0" w:line="238" w:lineRule="auto"/>
        <w:rPr>
          <w:sz w:val="20"/>
          <w:szCs w:val="20"/>
          <w:color w:val="auto"/>
        </w:rPr>
      </w:pPr>
      <w:r>
        <w:rPr>
          <w:rFonts w:ascii="Courier New" w:cs="Courier New" w:eastAsia="Courier New" w:hAnsi="Courier New"/>
          <w:sz w:val="15"/>
          <w:szCs w:val="15"/>
          <w:color w:val="auto"/>
        </w:rPr>
        <w:t>INDENTURE, dated as of October 2, 2000, between ANALOG DEVICES, INC., a corporation duly organized and existing under the laws of The Commonwealth of Massachusetts, having its principal office at One Technology Way, Norwood, MA 02062 (herein called the "Company"), and STATE STREET BANK AND TRUST COMPANY, a trust company organized under the laws of The Commonwealth of Massachusetts, as Trustee hereunder (herein called the "Trustee").</w:t>
      </w:r>
    </w:p>
    <w:p>
      <w:pPr>
        <w:spacing w:after="0" w:line="17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RECITALS OF THE COMPANY</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Company has duly authorized the creation of an issue of its 4.75% Convertible Subordinated Notes due October 1, 2005 (herein called the "Securities") of substantially the tenor and amount hereinafter set forth, and to provide therefor the Company has duly authorized the execution and delivery of this Indenture.</w:t>
      </w:r>
    </w:p>
    <w:p>
      <w:pPr>
        <w:spacing w:after="0" w:line="178"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All things necessary to make the Securities, when the Securities are executed by the Company and authenticated and delivered hereunder, the valid obligations of the Company, and to make this Indenture a valid agreement of the Company, in accordance with their and its terms, have been done. Further, all things necessary to duly authorize the issuance of the Common Stock of the Company issuable upon the conversion of the Securities, and to duly reserve for issuance the number of shares of Common Stock issuable upon such conversion, have been done.</w:t>
      </w:r>
    </w:p>
    <w:p>
      <w:pPr>
        <w:spacing w:after="0" w:line="17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5" w:lineRule="exact"/>
        <w:rPr>
          <w:sz w:val="20"/>
          <w:szCs w:val="20"/>
          <w:color w:val="auto"/>
        </w:rPr>
      </w:pPr>
    </w:p>
    <w:p>
      <w:pPr>
        <w:ind w:right="3179" w:firstLine="705"/>
        <w:spacing w:after="0" w:line="260"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960"/>
        <w:spacing w:after="0"/>
        <w:rPr>
          <w:sz w:val="20"/>
          <w:szCs w:val="20"/>
          <w:color w:val="auto"/>
        </w:rPr>
      </w:pPr>
      <w:r>
        <w:rPr>
          <w:rFonts w:ascii="Courier New" w:cs="Courier New" w:eastAsia="Courier New" w:hAnsi="Courier New"/>
          <w:sz w:val="15"/>
          <w:szCs w:val="15"/>
          <w:color w:val="auto"/>
        </w:rPr>
        <w:t>DEFINITIONS AND OTHER PROVISIONS OF GENERAL APPLICATION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Definitions.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176" w:lineRule="exact"/>
        <w:rPr>
          <w:sz w:val="20"/>
          <w:szCs w:val="20"/>
          <w:color w:val="auto"/>
        </w:rPr>
      </w:pPr>
    </w:p>
    <w:p>
      <w:pPr>
        <w:ind w:right="3179" w:firstLine="431"/>
        <w:spacing w:after="0" w:line="235" w:lineRule="auto"/>
        <w:tabs>
          <w:tab w:leader="none" w:pos="79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5"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as are generally accepted at the date of such computation; and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7" w:right="1440" w:bottom="1440" w:gutter="0" w:footer="0" w:header="0"/>
        </w:sectPr>
      </w:pPr>
    </w:p>
    <w:bookmarkStart w:id="60" w:name="page61"/>
    <w:bookmarkEnd w:id="60"/>
    <w:p>
      <w:pPr>
        <w:ind w:right="3179" w:firstLine="431"/>
        <w:spacing w:after="0" w:line="237" w:lineRule="auto"/>
        <w:tabs>
          <w:tab w:leader="none" w:pos="79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"Act", when used with respect to any Holder of a Security, has the meaning specified in Section 1.4.</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"Agent Member" means any member of, or participant in, the Depositary.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"Applicable Procedures" means, with respect to any transfer or transaction involving a Global Security or beneficial interest therein, the rules and procedures of The Depository Trust Company, in each case to the extent applicable to such transaction and as in effect from time to time.</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"Authenticating Agent" means any Person authorized pursuant to Section 6.12 to act on behalf of the Trustee to authenticate Securities.</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"Board Resolution" means a resolution duly adopted by the Board of Directors, a copy of which, certified by the Secretary or an Assistant Secretary of the Company to have been duly adopted by the Board of Directors and to be in full force and effect on the date of such certification, shall have been delivered to the Trustee.</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"Business Day", when used with respect to any Place of Payment or Place of Conversion, as the case may be, means each Monday, Tuesday, Wednesday, Thursday and Friday which is not a day on which banking institutions in such Place of Payment, Place of Conversion or other place, as the case may be, are authorized or obligated by law or executive order to close; provided, however, that a day on which banking institutions in New York, New York are authorized or obligated by law or executive order to close shall not be a Business Day for purposes of Section 13.9.</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 in Control" has the meaning specified in Section 14.4(2).</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"Closing Price Per Share" means, with respect to the Common Stock, for any day, (i) the last reported bid price regular way on the New York Stock Exchange or, (ii) if the Common Stock is not quoted on the New York Stock Exchange, the last reported sale price regular way per share or, in case no such reported sale takes place on such day, the average of the reported closing bid and asked prices regular way, in either case, on the principal national securities exchange on which the Common Stock is listed or admitted to trading, or (iii) if the Common Stock is not quoted on the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61" w:name="page62"/>
    <w:bookmarkEnd w:id="61"/>
    <w:p>
      <w:pPr>
        <w:ind w:right="3259"/>
        <w:spacing w:after="0" w:line="237" w:lineRule="auto"/>
        <w:rPr>
          <w:sz w:val="20"/>
          <w:szCs w:val="20"/>
          <w:color w:val="auto"/>
        </w:rPr>
      </w:pPr>
      <w:r>
        <w:rPr>
          <w:rFonts w:ascii="Courier New" w:cs="Courier New" w:eastAsia="Courier New" w:hAnsi="Courier New"/>
          <w:sz w:val="15"/>
          <w:szCs w:val="15"/>
          <w:color w:val="auto"/>
        </w:rPr>
        <w:t>New York Stock Exchange or listed or admitted to trading on any national securities exchange, the average of the closing bid prices in the over-the-counter market as furnished by any New York Stock Exchange member firm selected from time to time by the Company for that purpose.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"Code" has the meaning specified in Section 2.l.</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"Common Stock" means the Common Stock, par value $0.16 2/3 per share, of the Company authorized at the date of this instrument as originally executed. Subject to the provisions of Section 12.11, shares issuable on conversion or repurchase of Securities shall include only shares of Common Stock or shares of any class or classes of common stock resulting from any reclassification or reclassifications thereof; provided, however, that if at any time there shall be more than one such resulting class, the shares so issuable on conversion of Securities shall include shares of all such classes, and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82"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"common stock" includes any stock of any class of capital stock which has no preference in respect of dividends or of amounts payable in the event of any voluntary or involuntary liquidation, dissolution or winding up of the issuer thereof and which is not subject to redemption by the issuer thereof.</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Notice" has the meaning specified in Section 14.3.</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(i) Chairman of the Board, its Chief Executive Officer, its President, its Chief Operating Officer or a Vice President, and by its (ii) principal financial officer, Treasurer, an Assistant Treasurer, its Secretary or an Assistant Secretary, and delivered to the Trustee.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"Constituent Person" has the meaning specified in Section 12.11.</w:t>
      </w:r>
    </w:p>
    <w:p>
      <w:pPr>
        <w:spacing w:after="0" w:line="17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"Conversion Agent" means any Person authorized by the Company to convert Securities in accordance with Article XII. The Company has initially appointed the Trustee as its Conversion Agent pursuant to Section 10.2 hereof.</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"Conversion Price" has the meaning specified in Section 14.4(3).</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62" w:name="page63"/>
    <w:bookmarkEnd w:id="62"/>
    <w:p>
      <w:pPr>
        <w:ind w:left="440"/>
        <w:spacing w:after="0"/>
        <w:rPr>
          <w:sz w:val="20"/>
          <w:szCs w:val="20"/>
          <w:color w:val="auto"/>
        </w:rPr>
      </w:pPr>
      <w:r>
        <w:rPr>
          <w:rFonts w:ascii="Courier New" w:cs="Courier New" w:eastAsia="Courier New" w:hAnsi="Courier New"/>
          <w:sz w:val="15"/>
          <w:szCs w:val="15"/>
          <w:color w:val="auto"/>
        </w:rPr>
        <w:t>"Conversion Rate" has the meaning specified in Section 12.1.</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"Corporate Trust Office" means the office of the Trustee at which at any particular time the trust created by this Indenture shall be principally administered (which at the date of this Indenture is located at 2 Avenue de Lafayette, 6th Floor, Boston, MA 02111, Attention: Corporate Trust Department-LCC6 (Analog Devices, Inc., 4.75% Convertible Subordinated Notes due October 1, 2005)).</w:t>
      </w:r>
    </w:p>
    <w:p>
      <w:pPr>
        <w:spacing w:after="0" w:line="176"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"corporation" means a corporation, company, association, joint-stock company or business trust.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"Defaulted Interest" has the meaning specified in Section 3.7.</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"Depositary" means, with respect to any Securities (including any Global Securities), a clearing agency that is registered as such under the Exchange Act and is designated by the Company to act as Depositary for such Securities (or any successor securities clearing agency so registered).</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"Designated Senior Debt" means the Company's obligations under any particular Senior Debt in which the instrument creating or evidencing the same or the assumption or guarantee thereof (or related agreements or documents to which the Company is a party), whether or not executed contemporaneously with the issuance of such Senior Debt, expressly provides that such Senior Debt shall be "Designated Senior Debt" for purposes of this Indenture (provided that such instrument, agreement or other document may place limitations and conditions on the right of such Senior Debt to exercise the rights of Designated Senior Debt).</w:t>
      </w:r>
    </w:p>
    <w:p>
      <w:pPr>
        <w:spacing w:after="0" w:line="167"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"Distribution Date" shall mean the "Distribution Date" as such term is defined in the Registration Rights Agreement.</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"Dollar" or "U.S. $" means a dollar or other equivalent unit in such coin or currency of the United States as at the time shall be legal tender for the payment of public and private debts.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"DTC" means The Depository Trust Company, a New York corporation.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Failure" has the meaning specified in Section 10.11.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"Effectiveness Period" has the meaning specified in Section 10.11.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has the meaning specified in Section 5.1.</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"Exchange Act" means the United States Securities Exchange Act of 1934 (or any successor statute), as amended from time to time.</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"Global Security" means a Security that is registered in the Security Register in the name of a Depositary or a nominee thereof.</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"Holder" means the Person in whose name the Security is registered in the Security Register.</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63" w:name="page64"/>
    <w:bookmarkEnd w:id="63"/>
    <w:p>
      <w:pPr>
        <w:ind w:right="3179" w:firstLine="441"/>
        <w:spacing w:after="0" w:line="258" w:lineRule="auto"/>
        <w:rPr>
          <w:sz w:val="20"/>
          <w:szCs w:val="20"/>
          <w:color w:val="auto"/>
        </w:rPr>
      </w:pPr>
      <w:r>
        <w:rPr>
          <w:rFonts w:ascii="Courier New" w:cs="Courier New" w:eastAsia="Courier New" w:hAnsi="Courier New"/>
          <w:sz w:val="14"/>
          <w:szCs w:val="14"/>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164"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"Initial Purchasers" means Goldman, Sachs &amp; Co., Salomon Smith Barney, Inc., and SG Cowan Securities Corporation.</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"Interest Payment Date" means the Stated Maturity of an installment of interest on the Securities.</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"Issue Date" means the date on which the Securities are first authenticated and issued.</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"Liquidated Damages" has the meaning specified in Section 10.11, and is incorporated by reference to the Registration Rights Agreement.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becomes due and payable as therein or herein provided, whether at the Stated Maturity or by declaration of acceleration, call for redemption, exercise of the repurchase right set forth in Article XIV or otherwise.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"Non-electing Share" has the meaning specified in Section 12.11.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 of Default" has the meaning specified in Section 5.1.</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"Officers' Certificate" means a certificate signed by (i) the Chairman of the Board, a Vice Chairman of the Board, the Chief Executive Officer, the President, an Executive Vice President or a Vice President and by (ii) the principal financial officer, the Treasurer, an Assistant Treasurer, the Secretary, Chief Operating Officer or an Assistant Secretary of the Company, and delivered to the Trustee. One of the officers signing an Officers' Certificate given pursuant to Section 10.8 shall be the principal executive, financial or accounting officer of the Company.</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"Opinion of Counsel" means a written opinion of counsel, who may be counsel for the Company and who shall be acceptable to the Trustee.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175" w:lineRule="exact"/>
        <w:rPr>
          <w:sz w:val="20"/>
          <w:szCs w:val="20"/>
          <w:color w:val="auto"/>
        </w:rPr>
      </w:pPr>
    </w:p>
    <w:p>
      <w:pPr>
        <w:ind w:left="1400" w:right="3359" w:hanging="528"/>
        <w:spacing w:after="0" w:line="235" w:lineRule="auto"/>
        <w:tabs>
          <w:tab w:leader="none" w:pos="14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75" w:lineRule="exact"/>
        <w:rPr>
          <w:rFonts w:ascii="Courier New" w:cs="Courier New" w:eastAsia="Courier New" w:hAnsi="Courier New"/>
          <w:sz w:val="15"/>
          <w:szCs w:val="15"/>
          <w:color w:val="auto"/>
        </w:rPr>
      </w:pPr>
    </w:p>
    <w:p>
      <w:pPr>
        <w:ind w:left="1400" w:right="3179" w:hanging="528"/>
        <w:spacing w:after="0" w:line="237" w:lineRule="auto"/>
        <w:tabs>
          <w:tab w:leader="none" w:pos="14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the payment or redemption of which money in the necessary amount has been theretofore deposited with the Trustee or any Paying Agent (other than the Company) in trust or set aside and segregated in trust by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64" w:name="page65"/>
    <w:bookmarkEnd w:id="64"/>
    <w:p>
      <w:pPr>
        <w:ind w:left="1400" w:right="3179"/>
        <w:spacing w:after="0" w:line="237" w:lineRule="auto"/>
        <w:rPr>
          <w:sz w:val="20"/>
          <w:szCs w:val="20"/>
          <w:color w:val="auto"/>
        </w:rPr>
      </w:pPr>
      <w:r>
        <w:rPr>
          <w:rFonts w:ascii="Courier New" w:cs="Courier New" w:eastAsia="Courier New" w:hAnsi="Courier New"/>
          <w:sz w:val="15"/>
          <w:szCs w:val="15"/>
          <w:color w:val="auto"/>
        </w:rPr>
        <w:t>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78" w:lineRule="exact"/>
        <w:rPr>
          <w:sz w:val="20"/>
          <w:szCs w:val="20"/>
          <w:color w:val="auto"/>
        </w:rPr>
      </w:pPr>
    </w:p>
    <w:p>
      <w:pPr>
        <w:ind w:left="1400" w:right="3179" w:hanging="528"/>
        <w:spacing w:after="0" w:line="257" w:lineRule="auto"/>
        <w:tabs>
          <w:tab w:leader="none" w:pos="14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67" w:lineRule="exact"/>
        <w:rPr>
          <w:rFonts w:ascii="Courier New" w:cs="Courier New" w:eastAsia="Courier New" w:hAnsi="Courier New"/>
          <w:sz w:val="14"/>
          <w:szCs w:val="14"/>
          <w:color w:val="auto"/>
        </w:rPr>
      </w:pPr>
    </w:p>
    <w:p>
      <w:pPr>
        <w:ind w:left="1400" w:hanging="528"/>
        <w:spacing w:after="0"/>
        <w:tabs>
          <w:tab w:leader="none" w:pos="14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converted into Common Stock pursuant to Article XII;</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Outstanding Securities are present at a meeting of Holders of Securities for quorum purposes or have given, made or taken any request, demand, authorization, direction, notice, consent or waiver or other action hereunder as of any date, Securities owned by the Company or of any other obligor upon the Securities or any Affiliate of the Company or such other obligor shall be disregarded and deemed not to be Outstanding, except that, in determining whether the Trustee shall be protected in relying upon any such determination as to the presence of a quorum or upon any such request, demand, authorization, direction, notice, consent, waiver or other action, only Securities which a Responsible Officer of the Trustee has been notified in writing to be so owned shall be so disregarded. Securities so owned which have been pledged in good faith may be regarded as Outstanding if the pledgee is not the Company or any other obligor upon the Securities or any Affiliate of the Company or such other obligor, and the Trustee shall be protected in relying upon an Officer's Certificate to such effect.</w:t>
      </w:r>
    </w:p>
    <w:p>
      <w:pPr>
        <w:spacing w:after="0" w:line="18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or any premium or interest on any Securities on behalf of the Company and, except as otherwise specifically set forth herein, such term shall include the Company if it shall act as its own Paying Agent. The Company has initially appointed the Trustee as its Paying Agent pursuant to Section 10.2 hereof.</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"Payment Blockage Notice" has the meaning specified in Section 13.2.</w:t>
      </w:r>
    </w:p>
    <w:p>
      <w:pPr>
        <w:spacing w:after="0" w:line="175" w:lineRule="exact"/>
        <w:rPr>
          <w:sz w:val="20"/>
          <w:szCs w:val="20"/>
          <w:color w:val="auto"/>
        </w:rPr>
      </w:pPr>
    </w:p>
    <w:p>
      <w:pPr>
        <w:ind w:right="3619" w:firstLine="441"/>
        <w:spacing w:after="0" w:line="260" w:lineRule="auto"/>
        <w:rPr>
          <w:sz w:val="20"/>
          <w:szCs w:val="20"/>
          <w:color w:val="auto"/>
        </w:rPr>
      </w:pPr>
      <w:r>
        <w:rPr>
          <w:rFonts w:ascii="Courier New" w:cs="Courier New" w:eastAsia="Courier New" w:hAnsi="Courier New"/>
          <w:sz w:val="14"/>
          <w:szCs w:val="14"/>
          <w:color w:val="auto"/>
        </w:rPr>
        <w:t>"Person" means any individual, corporation, limited liability company, partnership, joint venture, trust, estate, unincorporated organization or government or any agency or political subdivision thereof.</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"Place of Conversion" has the meaning specified in Section 3.1.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"Place of Payment" has the meaning specified in Section 3.1.</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65" w:name="page66"/>
    <w:bookmarkEnd w:id="65"/>
    <w:p>
      <w:pPr>
        <w:ind w:right="3259" w:firstLine="441"/>
        <w:spacing w:after="0" w:line="238"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"Purchase Agreement" means the Purchase Agreement, dated as of September 26, 2000, between the Company and the Initial Purchasers, as such agreement may be amended from time to time.</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"Qualified Institutional Buyer" shall mean a "qualified institutional buyer" as defined in Rule 144A.</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"Record Date" means any Regular Record Date or Special Record Date.</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"Record Date Period" means the period from the close of business of any Regular Record Date next preceding any Interest Payment Date to the opening of business on such Interest Payment Date.</w:t>
      </w:r>
    </w:p>
    <w:p>
      <w:pPr>
        <w:spacing w:after="0" w:line="175" w:lineRule="exact"/>
        <w:rPr>
          <w:sz w:val="20"/>
          <w:szCs w:val="20"/>
          <w:color w:val="auto"/>
        </w:rPr>
      </w:pPr>
    </w:p>
    <w:p>
      <w:pPr>
        <w:jc w:val="both"/>
        <w:ind w:right="3359" w:firstLine="441"/>
        <w:spacing w:after="0" w:line="265"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58"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at which it is to be redeemed pursuant to this Indenture.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"Registrable Securities" has the meaning specified in Section 10.11.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"Registration Default" has the meaning specified in Section 10.11.</w:t>
      </w:r>
    </w:p>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October 2, 2000 between the Company and the Initial Purchasers, as such agreement may be amended from time to time.</w:t>
      </w:r>
    </w:p>
    <w:p>
      <w:pPr>
        <w:spacing w:after="0" w:line="17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"Regular Record Date" for interest payable in respect of any Security on any Interest Payment Date means the September 15 or March 15 (whether or not a Business Day), as the case may be, next preceding such Interest Payment Date.</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66" w:name="page67"/>
    <w:bookmarkEnd w:id="66"/>
    <w:p>
      <w:pPr>
        <w:ind w:left="450"/>
        <w:spacing w:after="0"/>
        <w:rPr>
          <w:sz w:val="20"/>
          <w:szCs w:val="20"/>
          <w:color w:val="auto"/>
        </w:rPr>
      </w:pPr>
      <w:r>
        <w:rPr>
          <w:rFonts w:ascii="Courier New" w:cs="Courier New" w:eastAsia="Courier New" w:hAnsi="Courier New"/>
          <w:sz w:val="15"/>
          <w:szCs w:val="15"/>
          <w:color w:val="auto"/>
        </w:rPr>
        <w:t>"Repurchase Date" has the meaning specified in Section 14.1.</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"Repurchase Price" has the meaning specified in Section 14.1.</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Office of the Trustee with direct responsibility for the administration of this Indenture and also means, with respect to a particular corporate trust matter, any other officer to whom such matter is referred because of his knowledge and familiarity with the particular subject.</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"Restricted Global Security" has the meaning specified in Section 2.1.</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"Restricted Securities" means all Securities required pursuant to Section 3.5(3) to bear any Restricted Securities Legend. Such term includes the Restricted Global Security.</w:t>
      </w:r>
    </w:p>
    <w:p>
      <w:pPr>
        <w:spacing w:after="0" w:line="175"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"Restricted Securities Certificate" means a certificate substantially in the form set forth in Annex A.</w:t>
      </w:r>
    </w:p>
    <w:p>
      <w:pPr>
        <w:spacing w:after="0" w:line="176"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"Restricted Securities Legend" means, collectively, the legends substantially in the forms of the legends required in the form of Security set forth in Section 2.2 to be placed upon each Restricted Security.</w:t>
      </w:r>
    </w:p>
    <w:p>
      <w:pPr>
        <w:spacing w:after="0" w:line="175"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"Rule 144A" means Rule 144A under the Securities Act (or any successor provision), as it may be amended from time to time.</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"Rule 144A Information" has the meaning specified in Section 10.9.</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"Securities" has the meaning ascribed to it in the first paragraph under the caption "Recitals of the Company" and more particularly means any Securities authenticated and delivered under this Indenture.</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"Securities Act" means the United States Securities Act of 1933 (or any successor statute), as amended from time to time.</w:t>
      </w:r>
    </w:p>
    <w:p>
      <w:pPr>
        <w:spacing w:after="0" w:line="176"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3.5.</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"Senior Debt" means the principal of (and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the following, whether absolute or contingent, secured or unsecured, due or to become due, outstanding on the date of this Indenture or thereafter created, incurred or assumed: (a) indebtedness of the Company evidenced by a credit or loan agreement, note, bond, debenture or other written obligation, (b) all obligations of the Company for money borrowed,</w:t>
      </w:r>
    </w:p>
    <w:p>
      <w:pPr>
        <w:ind w:left="350" w:hanging="350"/>
        <w:spacing w:after="0" w:line="236" w:lineRule="auto"/>
        <w:tabs>
          <w:tab w:leader="none" w:pos="35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Company evidenced by a note or similar instrument</w:t>
      </w:r>
    </w:p>
    <w:p>
      <w:pPr>
        <w:spacing w:after="0" w:line="5" w:lineRule="exact"/>
        <w:rPr>
          <w:rFonts w:ascii="Courier New" w:cs="Courier New" w:eastAsia="Courier New" w:hAnsi="Courier New"/>
          <w:sz w:val="15"/>
          <w:szCs w:val="15"/>
          <w:color w:val="auto"/>
        </w:rPr>
      </w:pPr>
    </w:p>
    <w:p>
      <w:pPr>
        <w:ind w:left="1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given in connection with the acquisition of any businesses, properties or assets of any kind, (d) obligations of</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2" w:right="1440" w:bottom="1440" w:gutter="0" w:footer="0" w:header="0"/>
        </w:sectPr>
      </w:pPr>
    </w:p>
    <w:bookmarkStart w:id="67" w:name="page68"/>
    <w:bookmarkEnd w:id="67"/>
    <w:p>
      <w:pPr>
        <w:ind w:left="10" w:right="3179"/>
        <w:spacing w:after="0" w:line="256" w:lineRule="auto"/>
        <w:rPr>
          <w:sz w:val="20"/>
          <w:szCs w:val="20"/>
          <w:color w:val="auto"/>
        </w:rPr>
      </w:pPr>
      <w:r>
        <w:rPr>
          <w:rFonts w:ascii="Courier New" w:cs="Courier New" w:eastAsia="Courier New" w:hAnsi="Courier New"/>
          <w:sz w:val="14"/>
          <w:szCs w:val="14"/>
          <w:color w:val="auto"/>
        </w:rPr>
        <w:t>the Company (i) as lessee under leases required to be capitalized on the balance sheet of the lessee under generally accepted accounting principles and (ii) as lessee under other leases for facilities, capital equipment or related assets, whether or not capitalized, entered into or leased for financing purposes, (e) all obligations of the Company under interest rate and currency swaps, caps, floors, collars, hedge agreements, forward contracts or similar agreements or arrangements, (f) all obligations of the Company with respect to letters of credit, bankers' acceptances and similar facilities (including reimbursement obligations with respect to the foregoing), (g) all obligations of the Company issued or assumed as the deferred purchase price of property or services (but excluding trade accounts payable and accrued liabilities arising in the ordinary course of business), (h) all obligations of the type referred to in clauses (a) through (g) above of another Person and all dividends of another Person, the payment of which, in either case, the Company has assumed or guaranteed, or for which the Company is responsible or liable, directly or indirectly, jointly or severally, as obligor, guarantor or otherwise, or which is secured by a lien on the property of the Company, and (i) renewals, extensions, modifications, replacements, restatements and refundings of, or any indebtedness or obligation issued in exchange for, any such indebtedness or obligation described in clauses</w:t>
      </w:r>
    </w:p>
    <w:p>
      <w:pPr>
        <w:spacing w:after="0" w:line="6" w:lineRule="exact"/>
        <w:rPr>
          <w:sz w:val="20"/>
          <w:szCs w:val="20"/>
          <w:color w:val="auto"/>
        </w:rPr>
      </w:pPr>
    </w:p>
    <w:p>
      <w:pPr>
        <w:ind w:left="10" w:right="3179" w:hanging="10"/>
        <w:spacing w:after="0" w:line="237" w:lineRule="auto"/>
        <w:tabs>
          <w:tab w:leader="none" w:pos="36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(h) of this paragraph; provided, however, that Senior Debt shall not include any such indebtedness or obligation if the terms of such indebtedness or obligation (or the terms of the instrument under which, or pursuant to which it is issued) expressly provide that such indebtedness or obligation is not superior in right of payment to the Securities.</w:t>
      </w:r>
    </w:p>
    <w:p>
      <w:pPr>
        <w:spacing w:after="0" w:line="178"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"Shelf Registration Statement" has the meaning specified in Section 10.11.</w:t>
      </w:r>
    </w:p>
    <w:p>
      <w:pPr>
        <w:spacing w:after="0" w:line="180"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"Significant Subsidiary" means, with respect to any Person, a Subsidiary of such Person that would constitute a "significant subsidiary" as such term is defined under Rule 1-02 of Regulation S-X under the Securities Act and the Exchange Act.</w:t>
      </w:r>
    </w:p>
    <w:p>
      <w:pPr>
        <w:spacing w:after="0" w:line="176"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"Special Record Date" for the payment of any Defaulted Interest means a date fixed by the Company pursuant to Section 3.7.</w:t>
      </w:r>
    </w:p>
    <w:p>
      <w:pPr>
        <w:spacing w:after="0" w:line="176"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interest thereon, means the date specified in such Security as the fixed date on which the principal of such Security or such installment of interest is due and payable.</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or other similar interests in the corporation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8"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"Successor Security" of any particular Security means every Security issued after, and evidencing all or a portion of the same debt as that evidenced by, such particular Security; and, for the purposes of this definition, any Security authenticated and delivered under Section 3.6 in</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7" w:right="1440" w:bottom="1440" w:gutter="0" w:footer="0" w:header="0"/>
        </w:sectPr>
      </w:pPr>
    </w:p>
    <w:bookmarkStart w:id="68" w:name="page69"/>
    <w:bookmarkEnd w:id="68"/>
    <w:p>
      <w:pPr>
        <w:ind w:left="10" w:right="3179"/>
        <w:spacing w:after="0" w:line="237" w:lineRule="auto"/>
        <w:rPr>
          <w:sz w:val="20"/>
          <w:szCs w:val="20"/>
          <w:color w:val="auto"/>
        </w:rPr>
      </w:pPr>
      <w:r>
        <w:rPr>
          <w:rFonts w:ascii="Courier New" w:cs="Courier New" w:eastAsia="Courier New" w:hAnsi="Courier New"/>
          <w:sz w:val="15"/>
          <w:szCs w:val="15"/>
          <w:color w:val="auto"/>
        </w:rPr>
        <w:t>exchange for or in lieu of a mutilated, destroyed, lost or stolen Security shall be deemed to evidence the same debt as the mutilated, destroyed, lost or stolen Security.</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"Surrender Certificate" means a certificate substantially in the form set forth in Annex C.</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"Trading Day" means (i) if the Common Stock is listed or admitted for trading on the New York Stock Exchange or any other national or regional securities exchange, days on which such national or regional securities exchange is open for business, or (ii) if the Common Stock is quoted on the Nasdaq National Market or any other system of automated dissemination of quotations of securities prices, days on which trades may be effected through such system,</w:t>
      </w:r>
    </w:p>
    <w:p>
      <w:pPr>
        <w:spacing w:after="0" w:line="2" w:lineRule="exact"/>
        <w:rPr>
          <w:sz w:val="20"/>
          <w:szCs w:val="20"/>
          <w:color w:val="auto"/>
        </w:rPr>
      </w:pPr>
    </w:p>
    <w:p>
      <w:pPr>
        <w:ind w:left="10" w:right="3259" w:hanging="10"/>
        <w:spacing w:after="0" w:line="258" w:lineRule="auto"/>
        <w:tabs>
          <w:tab w:leader="none" w:pos="53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not listed on a national or regional securities exchange or quoted on the Nasdaq National Market or any other system of automated dissemination of quotation of securities prices, days on which the Common Stock is traded regular way in the over-the-counter market and for which a closing bid and a closing asked price for the Common Stock are available.</w:t>
      </w:r>
    </w:p>
    <w:p>
      <w:pPr>
        <w:spacing w:after="0" w:line="16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"Trust Indenture Act" means the Trust Indenture Act of 1939, and the rules and regulations thereunder, as in force at the date as of which this instrument was executed; provided, however, that in the event the Trust Indenture Act of 1939 is amended after such date, "Trust Indenture Act" means, to the extent required by any such amendment, the Trust Indenture Act of 1939, and the rules and regulations thereunder, as so amended.</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"United States" means the United States of America (including the States and the District of Columbia), its territories, its possessions and other areas subject to its jurisdiction (its "possessions" including Puerto Rico, the U.S. Virgin Islands, Guam, American Samoa, Wake Island and the Northern Mariana Islands).</w:t>
      </w:r>
    </w:p>
    <w:p>
      <w:pPr>
        <w:spacing w:after="0" w:line="178"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"Unrestricted Securities Certificate" means a certificate substantially in the form set forth in Annex B.</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1.2 Compliance Certificates And Opinions.</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7" w:right="1440" w:bottom="1440" w:gutter="0" w:footer="0" w:header="0"/>
        </w:sectPr>
      </w:pPr>
    </w:p>
    <w:bookmarkStart w:id="69" w:name="page70"/>
    <w:bookmarkEnd w:id="69"/>
    <w:p>
      <w:pPr>
        <w:ind w:right="3179" w:firstLine="441"/>
        <w:spacing w:after="0" w:line="237"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(including certificates provided for in Section 10.8) shall include:</w:t>
      </w:r>
    </w:p>
    <w:p>
      <w:pPr>
        <w:spacing w:after="0" w:line="175" w:lineRule="exact"/>
        <w:rPr>
          <w:sz w:val="20"/>
          <w:szCs w:val="20"/>
          <w:color w:val="auto"/>
        </w:rPr>
      </w:pPr>
    </w:p>
    <w:p>
      <w:pPr>
        <w:ind w:right="3179" w:firstLine="431"/>
        <w:spacing w:after="0" w:line="265" w:lineRule="auto"/>
        <w:tabs>
          <w:tab w:leader="none" w:pos="793"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58" w:lineRule="exact"/>
        <w:rPr>
          <w:rFonts w:ascii="Courier New" w:cs="Courier New" w:eastAsia="Courier New" w:hAnsi="Courier New"/>
          <w:sz w:val="14"/>
          <w:szCs w:val="14"/>
          <w:color w:val="auto"/>
        </w:rPr>
      </w:pPr>
    </w:p>
    <w:p>
      <w:pPr>
        <w:ind w:right="3619" w:firstLine="431"/>
        <w:spacing w:after="0" w:line="237"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6"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individual, such condition or covenant has been complied with.</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 Form of Documents Delivered to the Trustee.</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2"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 Acts of Holders of Securities.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31"/>
        <w:spacing w:after="0" w:line="258" w:lineRule="auto"/>
        <w:tabs>
          <w:tab w:leader="none" w:pos="793"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action provided or permitted by this Indenture to be given, made or taken by Holders of Securities may be embodied in and evidenced by (A) one or more instruments of substantially similar tenor signed by such Holders in person or by an agent or proxy duly appointed in writing by such Holders or (B) the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70" w:name="page71"/>
    <w:bookmarkEnd w:id="70"/>
    <w:p>
      <w:pPr>
        <w:ind w:right="3179"/>
        <w:spacing w:after="0" w:line="238" w:lineRule="auto"/>
        <w:rPr>
          <w:sz w:val="20"/>
          <w:szCs w:val="20"/>
          <w:color w:val="auto"/>
        </w:rPr>
      </w:pPr>
      <w:r>
        <w:rPr>
          <w:rFonts w:ascii="Courier New" w:cs="Courier New" w:eastAsia="Courier New" w:hAnsi="Courier New"/>
          <w:sz w:val="15"/>
          <w:szCs w:val="15"/>
          <w:color w:val="auto"/>
        </w:rPr>
        <w:t>record of Holders of Securities voting in favor thereof, either in person or by proxies duly appointed in writing, at any meeting of Holders of Securities duly called and held in accordance with the provisions of Article IX. Such action shall become effective when such instrument or instruments or record is delivered to the Trustee and, where it is hereby expressly required, to the Company. The Trustee shall promptly deliver to the Company copies of all such instruments and records delivered to the Trustee. Such instrument or instruments and records (and the action embodied therein and evidenced thereby) are herein sometimes referred to as the "Act" of the Holders of Securities signing such instrument or instruments and so voting at such meeting. Proof of execution of any such instrument or of a writing appointing any such agent or proxy, or of the holding by any Person of a Security, shall be sufficient for any purpose of this Indenture and (subject to Section 6.1) conclusive in favor of the Trustee and the Company if made in the manner provided in this Section. The record of any meeting of Holders of Securities shall be proved in the manner provided in Section 9.6.</w:t>
      </w:r>
    </w:p>
    <w:p>
      <w:pPr>
        <w:spacing w:after="0" w:line="186" w:lineRule="exact"/>
        <w:rPr>
          <w:sz w:val="20"/>
          <w:szCs w:val="20"/>
          <w:color w:val="auto"/>
        </w:rPr>
      </w:pPr>
    </w:p>
    <w:p>
      <w:pPr>
        <w:ind w:right="3179" w:firstLine="431"/>
        <w:spacing w:after="0" w:line="238"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77"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and serial number of any Security held by any Person, and the date of his holding the same, shall be proved by the Security Register.</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execution of any such instrument or writing and the authority of the Person executing the same may also be proved in any other manner which the Trustee deems sufficient; and the Trustee may in any instance require further proof with respect to any of the matters referred to in this Section 1.4.</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set any day as the record date for the purpose of determining the Holders entitled to give or take any request, demand, authorization, direction, notice, consent, waiver or other action, or to vote on any action, authorized or permitted by this Indenture to be given or taken by Holders. Promptly and in any case not later than ten days after setting a record date, the Company shall notify the Trustee and the Holders of such record date. If not set by the Company prior to the first solicitation of a Holder made by any Person in respect of any such action, or, in the case of any such vote, prior to such vote, the record date for any such action or vote shall be the 30th day (or, if later, the date of the most recent list of Holders required to be provided pursuant to Section 15.1) prior to such first solicitation or vote, as the case may be. With regard to any record date, the Holders on such date (or their duly appointed agents or proxies), and only such Persons, shall be entitled to give or take, or vote on, the relevant action, whether or not such Holders remain Holders after such record date.</w:t>
      </w:r>
    </w:p>
    <w:p>
      <w:pPr>
        <w:spacing w:after="0" w:line="184"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71" w:name="page72"/>
    <w:bookmarkEnd w:id="71"/>
    <w:p>
      <w:pPr>
        <w:jc w:val="both"/>
        <w:ind w:right="3619"/>
        <w:spacing w:after="0" w:line="237" w:lineRule="auto"/>
        <w:rPr>
          <w:sz w:val="20"/>
          <w:szCs w:val="20"/>
          <w:color w:val="auto"/>
        </w:rPr>
      </w:pPr>
      <w:r>
        <w:rPr>
          <w:rFonts w:ascii="Courier New" w:cs="Courier New" w:eastAsia="Courier New" w:hAnsi="Courier New"/>
          <w:sz w:val="15"/>
          <w:szCs w:val="15"/>
          <w:color w:val="auto"/>
        </w:rPr>
        <w:t>thereof in respect of anything done, omitted or suffered to be done by the Trustee or the Company in reliance thereon, whether or not notation of such action is made upon such Security.</w:t>
      </w:r>
    </w:p>
    <w:p>
      <w:pPr>
        <w:spacing w:after="0" w:line="175" w:lineRule="exact"/>
        <w:rPr>
          <w:sz w:val="20"/>
          <w:szCs w:val="20"/>
          <w:color w:val="auto"/>
        </w:rPr>
      </w:pPr>
    </w:p>
    <w:p>
      <w:pPr>
        <w:ind w:right="3539" w:firstLine="431"/>
        <w:spacing w:after="0" w:line="235" w:lineRule="auto"/>
        <w:tabs>
          <w:tab w:leader="none" w:pos="79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1.4 are subject to the provisions of Section 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 Notices, Etc to the Trustee and Company.</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Any request, demand, authorization, direction, notice, consent, election, waiver or other Act of Holders of Securities or other document provided or permitted by this Indenture to be made upon, given or furnished to, or filed with,</w:t>
      </w:r>
    </w:p>
    <w:p>
      <w:pPr>
        <w:spacing w:after="0" w:line="176" w:lineRule="exact"/>
        <w:rPr>
          <w:sz w:val="20"/>
          <w:szCs w:val="20"/>
          <w:color w:val="auto"/>
        </w:rPr>
      </w:pPr>
    </w:p>
    <w:p>
      <w:pPr>
        <w:ind w:right="3359" w:firstLine="431"/>
        <w:spacing w:after="0" w:line="237" w:lineRule="auto"/>
        <w:tabs>
          <w:tab w:leader="none" w:pos="7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of Securities or by the Company shall be sufficient for every purpose hereunder if given in writing to or with a Responsible Officer of the Trustee and received at its Corporate Trust Office, Attention: ANALOG DEVICES, INC., 4.75% Convertible Subordinated Notes due October 1, 2005.</w:t>
      </w:r>
    </w:p>
    <w:p>
      <w:pPr>
        <w:spacing w:after="0" w:line="178"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of Securities shall be sufficient for every purpose hereunder (unless otherwise herein expressly provided) if in writing, mailed, first-class postage prepaid, or telecopied and confirmed by mail, first-class postage prepaid, or delivered by hand or overnight courier, addressed to the Company at One Technology Way, Norwood, MA 02062, Attention: Chief Financial Officer, or at any other address previously furnished in writing to the Trustee by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 Notice to Holders of Securities; Waiver.</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Except as otherwise expressly provided herein, where this Indenture provides for notice to Holders of Securities of any event, such notice shall be sufficiently given to Holders if in writing and mailed, first-class postage prepaid or delivered by an overnight delivery service, to each Holder of a Security affected by such event, at the address of such Holder as it appears in the Security Register, not earlier than the earliest date and not later than the latest date prescribed for the giving of such notice.</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Neither the failure to mail such notice, nor any defect in any notice so mailed, to any particular Holder of a Security shall affect the sufficiency of such notice with respect to other Holders of Securities. In case by reason of the suspension of regular mail service or by reason of any other cause it shall be impracticable to give such notice by mail, then such notification to Holders of Securities as shall be made with the approval of the Trustee, which approval shall not be unreasonably withheld, shall constitute a sufficient notification to such Holders for every purpose hereunder.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Such notice shall be deemed to have been given when such notice is mailed.</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72" w:name="page73"/>
    <w:bookmarkEnd w:id="72"/>
    <w:p>
      <w:pPr>
        <w:ind w:right="3259"/>
        <w:spacing w:after="0" w:line="235" w:lineRule="auto"/>
        <w:rPr>
          <w:sz w:val="20"/>
          <w:szCs w:val="20"/>
          <w:color w:val="auto"/>
        </w:rPr>
      </w:pPr>
      <w:r>
        <w:rPr>
          <w:rFonts w:ascii="Courier New" w:cs="Courier New" w:eastAsia="Courier New" w:hAnsi="Courier New"/>
          <w:sz w:val="15"/>
          <w:szCs w:val="15"/>
          <w:color w:val="auto"/>
        </w:rPr>
        <w:t>the Trustee, but such filing shall not be a condition precedent to the validity of any action taken in reliance upon such waiver.</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4"/>
          <w:szCs w:val="14"/>
          <w:color w:val="auto"/>
        </w:rPr>
        <w:t>Effect of Headings and Table of Contents.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Article and Section headings herein and the Table of Contents are for convenience only and shall not affect the construction hereof.</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4"/>
          <w:szCs w:val="14"/>
          <w:color w:val="auto"/>
        </w:rPr>
        <w:t>Successors and Assigns.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4"/>
          <w:szCs w:val="14"/>
          <w:color w:val="auto"/>
        </w:rPr>
        <w:t>Separability Clause.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In case any provision in this Indenture or the Securities shall be invalid, illegal or unenforceable, the validity, legality and enforceability of the remaining provisions shall not in any way be affected or impaired thereby.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SECTION 1.10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Benefits</w:t>
            </w:r>
          </w:p>
        </w:tc>
        <w:tc>
          <w:tcPr>
            <w:tcW w:w="4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Indenture.</w:t>
            </w:r>
          </w:p>
        </w:tc>
      </w:tr>
      <w:tr>
        <w:trPr>
          <w:trHeight w:val="170"/>
        </w:trPr>
        <w:tc>
          <w:tcPr>
            <w:tcW w:w="1260" w:type="dxa"/>
            <w:vAlign w:val="bottom"/>
          </w:tcPr>
          <w:p>
            <w:pPr>
              <w:spacing w:after="0"/>
              <w:rPr>
                <w:sz w:val="14"/>
                <w:szCs w:val="14"/>
                <w:color w:val="auto"/>
              </w:rPr>
            </w:pPr>
          </w:p>
        </w:tc>
        <w:tc>
          <w:tcPr>
            <w:tcW w:w="19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w:t>
            </w:r>
          </w:p>
        </w:tc>
        <w:tc>
          <w:tcPr>
            <w:tcW w:w="3880" w:type="dxa"/>
            <w:vAlign w:val="bottom"/>
          </w:tcPr>
          <w:p>
            <w:pPr>
              <w:spacing w:after="0"/>
              <w:rPr>
                <w:sz w:val="14"/>
                <w:szCs w:val="14"/>
                <w:color w:val="auto"/>
              </w:rPr>
            </w:pPr>
          </w:p>
        </w:tc>
      </w:tr>
      <w:tr>
        <w:trPr>
          <w:trHeight w:val="17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w w:val="98"/>
              </w:rPr>
              <w:t>Except as</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provided</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in the next</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sentence, nothing in this Indenture or in</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Securities, express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or implied,</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shall give to any Person, other than the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parties hereto</w:t>
            </w:r>
          </w:p>
        </w:tc>
        <w:tc>
          <w:tcPr>
            <w:tcW w:w="1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and their successors</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assigns hereunder and the Holders of</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Securities, any benefit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or legal or</w:t>
            </w:r>
          </w:p>
        </w:tc>
        <w:tc>
          <w:tcPr>
            <w:tcW w:w="3880" w:type="dxa"/>
            <w:vAlign w:val="bottom"/>
          </w:tcPr>
          <w:p>
            <w:pPr>
              <w:spacing w:after="0"/>
              <w:rPr>
                <w:sz w:val="20"/>
                <w:szCs w:val="20"/>
                <w:color w:val="auto"/>
              </w:rPr>
            </w:pPr>
            <w:r>
              <w:rPr>
                <w:rFonts w:ascii="Courier New" w:cs="Courier New" w:eastAsia="Courier New" w:hAnsi="Courier New"/>
                <w:sz w:val="15"/>
                <w:szCs w:val="15"/>
                <w:color w:val="auto"/>
                <w:w w:val="99"/>
              </w:rPr>
              <w:t>equitable right, remedy or claim under this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Indenture. The</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provisions of Article XIII are intended to be for the benefit of,</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and shall be enforceable directly by, the holders of Senior Debt.</w:t>
            </w: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1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Governing Law.</w:t>
            </w:r>
          </w:p>
        </w:tc>
        <w:tc>
          <w:tcPr>
            <w:tcW w:w="3880" w:type="dxa"/>
            <w:vAlign w:val="bottom"/>
          </w:tcPr>
          <w:p>
            <w:pPr>
              <w:spacing w:after="0"/>
              <w:rPr>
                <w:sz w:val="24"/>
                <w:szCs w:val="24"/>
                <w:color w:val="auto"/>
              </w:rPr>
            </w:pPr>
          </w:p>
        </w:tc>
      </w:tr>
      <w:tr>
        <w:trPr>
          <w:trHeight w:val="170"/>
        </w:trPr>
        <w:tc>
          <w:tcPr>
            <w:tcW w:w="1260" w:type="dxa"/>
            <w:vAlign w:val="bottom"/>
          </w:tcPr>
          <w:p>
            <w:pPr>
              <w:spacing w:after="0"/>
              <w:rPr>
                <w:sz w:val="14"/>
                <w:szCs w:val="14"/>
                <w:color w:val="auto"/>
              </w:rPr>
            </w:pPr>
          </w:p>
        </w:tc>
        <w:tc>
          <w:tcPr>
            <w:tcW w:w="1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3880" w:type="dxa"/>
            <w:vAlign w:val="bottom"/>
          </w:tcPr>
          <w:p>
            <w:pPr>
              <w:spacing w:after="0"/>
              <w:rPr>
                <w:sz w:val="14"/>
                <w:szCs w:val="14"/>
                <w:color w:val="auto"/>
              </w:rPr>
            </w:pPr>
          </w:p>
        </w:tc>
      </w:tr>
    </w:tbl>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LAWS OF THE STATE OF NEW YORK, THE UNITED STATES OF AMERICA, WITHOUT REGARD TO THE PRINCIPLES OF CONFLICTS OF LAWS.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Legal Holidays.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any case where any Interest Payment Date, Redemption Date, Repurchase Date or Stated Maturity of any Security or the last day on which a Holder of a Security has a right to convert his Security shall not be a Business Day at a Place of Payment or Place of Conversion, as the case may be, then (notwithstanding any other provision of this Indenture or of the Securities) payment of principal of, premium, if any, or interest on, or the payment of the Redemption Price or Repurchase Price (whether the same is payable in cash or in shares of Common Stock in the case of the Repurchase Price) with respect to, or delivery for conversion of, such Security need not be made at such Place of Payment or Place of Conversion, as the case may be, on or by such day, but may be made on or by the next succeeding Business Day at such Place of Payment or Place of Conversion,</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73" w:name="page74"/>
    <w:bookmarkEnd w:id="73"/>
    <w:p>
      <w:pPr>
        <w:ind w:right="3179"/>
        <w:spacing w:after="0" w:line="238" w:lineRule="auto"/>
        <w:rPr>
          <w:sz w:val="20"/>
          <w:szCs w:val="20"/>
          <w:color w:val="auto"/>
        </w:rPr>
      </w:pPr>
      <w:r>
        <w:rPr>
          <w:rFonts w:ascii="Courier New" w:cs="Courier New" w:eastAsia="Courier New" w:hAnsi="Courier New"/>
          <w:sz w:val="15"/>
          <w:szCs w:val="15"/>
          <w:color w:val="auto"/>
        </w:rPr>
        <w:t>as the case may be, with the same force and effect as if made on the Interest Payment Date, Redemption Date or Repurchase Date, or at the Stated Maturity or by such last day for conversion; provided, however, that in the case that payment is made on such succeeding Business Day, no interest shall accrue on the amount so payable for the period from and after such Interest Payment Date, Redemption Date, Repurchase Date, Stated Maturity or last day for conversion, as the case may be.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Conflict With Trust Indenture Act.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If any provision hereof limits, qualifies or conflicts with a provision of the Trust Indenture Act that is required under such Act to be a part of and govern this Indenture, the latter provision shall control. If any provision of</w:t>
      </w:r>
    </w:p>
    <w:tbl>
      <w:tblPr>
        <w:tblLayout w:type="fixed"/>
        <w:tblInd w:w="0" w:type="dxa"/>
        <w:tblCellMar>
          <w:top w:w="0" w:type="dxa"/>
          <w:left w:w="0" w:type="dxa"/>
          <w:bottom w:w="0" w:type="dxa"/>
          <w:right w:w="0" w:type="dxa"/>
        </w:tblCellMar>
      </w:tblPr>
      <w:tr>
        <w:trPr>
          <w:trHeight w:val="165"/>
        </w:trPr>
        <w:tc>
          <w:tcPr>
            <w:tcW w:w="206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8"/>
              </w:rPr>
              <w:t>this Indenture modifies</w:t>
            </w:r>
          </w:p>
        </w:tc>
        <w:tc>
          <w:tcPr>
            <w:tcW w:w="2560" w:type="dxa"/>
            <w:vAlign w:val="bottom"/>
            <w:gridSpan w:val="3"/>
          </w:tcPr>
          <w:p>
            <w:pPr>
              <w:ind w:left="40"/>
              <w:spacing w:after="0" w:line="165" w:lineRule="exact"/>
              <w:rPr>
                <w:sz w:val="20"/>
                <w:szCs w:val="20"/>
                <w:color w:val="auto"/>
              </w:rPr>
            </w:pPr>
            <w:r>
              <w:rPr>
                <w:rFonts w:ascii="Courier New" w:cs="Courier New" w:eastAsia="Courier New" w:hAnsi="Courier New"/>
                <w:sz w:val="15"/>
                <w:szCs w:val="15"/>
                <w:color w:val="auto"/>
                <w:w w:val="99"/>
              </w:rPr>
              <w:t>or excludes any provision of</w:t>
            </w:r>
          </w:p>
        </w:tc>
        <w:tc>
          <w:tcPr>
            <w:tcW w:w="8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the Trust</w:t>
            </w:r>
          </w:p>
        </w:tc>
        <w:tc>
          <w:tcPr>
            <w:tcW w:w="1360" w:type="dxa"/>
            <w:vAlign w:val="bottom"/>
            <w:gridSpan w:val="3"/>
          </w:tcPr>
          <w:p>
            <w:pPr>
              <w:jc w:val="right"/>
              <w:ind w:right="107"/>
              <w:spacing w:after="0" w:line="165" w:lineRule="exact"/>
              <w:rPr>
                <w:sz w:val="20"/>
                <w:szCs w:val="20"/>
                <w:color w:val="auto"/>
              </w:rPr>
            </w:pPr>
            <w:r>
              <w:rPr>
                <w:rFonts w:ascii="Courier New" w:cs="Courier New" w:eastAsia="Courier New" w:hAnsi="Courier New"/>
                <w:sz w:val="15"/>
                <w:szCs w:val="15"/>
                <w:color w:val="auto"/>
                <w:w w:val="99"/>
              </w:rPr>
              <w:t>Indenture Act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that</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w w:val="98"/>
              </w:rPr>
              <w:t>may be so modified</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or excluded, 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latter</w:t>
            </w:r>
          </w:p>
        </w:tc>
        <w:tc>
          <w:tcPr>
            <w:tcW w:w="22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provision shall be deemed</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apply to this Indenture</w:t>
            </w:r>
          </w:p>
        </w:tc>
        <w:tc>
          <w:tcPr>
            <w:tcW w:w="2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as so modified or to be</w:t>
            </w:r>
          </w:p>
        </w:tc>
        <w:tc>
          <w:tcPr>
            <w:tcW w:w="22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excluded, as the case may</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Until such time as this</w:t>
            </w:r>
          </w:p>
        </w:tc>
        <w:tc>
          <w:tcPr>
            <w:tcW w:w="25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Indenture shall be qualified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under the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Trust</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3"/>
              </w:rPr>
              <w:t>Indenture</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Act,</w:t>
            </w:r>
          </w:p>
        </w:tc>
        <w:tc>
          <w:tcPr>
            <w:tcW w:w="31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this Indenture, the Company and the</w:t>
            </w: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Trustee shall be deemed for</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all</w:t>
            </w:r>
          </w:p>
        </w:tc>
        <w:tc>
          <w:tcPr>
            <w:tcW w:w="40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purposes hereof to be subject to and governed by the Trust Indenture Act to the same extent as would be the case if this Indenture were so qualified on the date hereof.</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jc w:val="center"/>
        <w:ind w:right="3179"/>
        <w:spacing w:after="0"/>
        <w:rPr>
          <w:sz w:val="20"/>
          <w:szCs w:val="20"/>
          <w:color w:val="auto"/>
        </w:rPr>
      </w:pPr>
      <w:r>
        <w:rPr>
          <w:rFonts w:ascii="Courier New" w:cs="Courier New" w:eastAsia="Courier New" w:hAnsi="Courier New"/>
          <w:sz w:val="15"/>
          <w:szCs w:val="15"/>
          <w:color w:val="auto"/>
        </w:rPr>
        <w:t>SECURITY FORMS</w:t>
      </w:r>
    </w:p>
    <w:p>
      <w:pPr>
        <w:sectPr>
          <w:pgSz w:w="11900" w:h="16838" w:orient="portrait"/>
          <w:cols w:equalWidth="0" w:num="1">
            <w:col w:w="10219"/>
          </w:cols>
          <w:pgMar w:left="240" w:top="62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Generally.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sectPr>
          <w:pgSz w:w="11900" w:h="16838" w:orient="portrait"/>
          <w:cols w:equalWidth="0" w:num="2">
            <w:col w:w="960" w:space="360"/>
            <w:col w:w="8899"/>
          </w:cols>
          <w:pgMar w:left="240" w:top="627" w:right="1440" w:bottom="1440" w:gutter="0" w:footer="0" w:header="0"/>
          <w:type w:val="continuous"/>
        </w:sect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Securities shall be in substantially the form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the Internal Revenue Code of 1986, as amended, and regulations thereunder (the "Code"), or as may, consistent herewith, be determined by the officers executing such Securities, as evidenced by their execution thereof. All Securities shall be in fully registered form.</w:t>
      </w:r>
    </w:p>
    <w:p>
      <w:pPr>
        <w:spacing w:after="0" w:line="179"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Trustee's certificates of authentication shall be in substantially the form set forth in Section 2.3.</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notices shall be in substantially the form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Repurchase notices shall be substantially in the form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Securities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Securities may be listed) on which the Securities may be quoted or listed, as the case may be, all as determined by the officers executing such Securities, as evidenced by their execution thereof.</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type w:val="continuous"/>
        </w:sectPr>
      </w:pPr>
    </w:p>
    <w:bookmarkStart w:id="74" w:name="page75"/>
    <w:bookmarkEnd w:id="74"/>
    <w:p>
      <w:pPr>
        <w:ind w:left="10" w:right="3179" w:firstLine="441"/>
        <w:spacing w:after="0" w:line="257" w:lineRule="auto"/>
        <w:rPr>
          <w:sz w:val="20"/>
          <w:szCs w:val="20"/>
          <w:color w:val="auto"/>
        </w:rPr>
      </w:pPr>
      <w:r>
        <w:rPr>
          <w:rFonts w:ascii="Courier New" w:cs="Courier New" w:eastAsia="Courier New" w:hAnsi="Courier New"/>
          <w:sz w:val="14"/>
          <w:szCs w:val="14"/>
          <w:color w:val="auto"/>
        </w:rPr>
        <w:t>Upon their original issuance, Securities issued as contemplated by the Purchase Agreement to Qualified Institutional Buyers in reliance on Rule 144A shall be issued in the form of one or more Global Securities in definitive, fully registered form without interest coupons and bearing the Restricted Securities Legend. Such Global Security shall be registered in the name of DTC, as Depositary, or its nominee and deposited with the Trustee, as custodian for DTC, for credit by DTC to the respective accounts of beneficial owners of the Securities represented thereby (or such other accounts as they may direct). Such Global Security, together with its Successor Securities which are Global Securities, are collectively herein called the "Restricted Global Security".</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2.2 Form of Security.</w:t>
      </w:r>
    </w:p>
    <w:p>
      <w:pPr>
        <w:ind w:left="1050"/>
        <w:spacing w:after="0"/>
        <w:rPr>
          <w:sz w:val="20"/>
          <w:szCs w:val="20"/>
          <w:color w:val="auto"/>
        </w:rPr>
      </w:pPr>
      <w:r>
        <w:rPr>
          <w:rFonts w:ascii="Courier New" w:cs="Courier New" w:eastAsia="Courier New" w:hAnsi="Courier New"/>
          <w:sz w:val="15"/>
          <w:szCs w:val="15"/>
          <w:color w:val="auto"/>
        </w:rPr>
        <w:t>----------------</w:t>
      </w:r>
    </w:p>
    <w:p>
      <w:pPr>
        <w:ind w:left="2910"/>
        <w:spacing w:after="0"/>
        <w:rPr>
          <w:sz w:val="20"/>
          <w:szCs w:val="20"/>
          <w:color w:val="auto"/>
        </w:rPr>
      </w:pPr>
      <w:r>
        <w:rPr>
          <w:rFonts w:ascii="Courier New" w:cs="Courier New" w:eastAsia="Courier New" w:hAnsi="Courier New"/>
          <w:sz w:val="15"/>
          <w:szCs w:val="15"/>
          <w:color w:val="auto"/>
        </w:rPr>
        <w:t>[FORM OF FACE]</w:t>
      </w:r>
    </w:p>
    <w:p>
      <w:pPr>
        <w:spacing w:after="0" w:line="174"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[THE FOLLOWING LEGEND SHALL APPEAR ON THE FACE OF EACH RESTRICTED SECURITY:</w:t>
      </w:r>
    </w:p>
    <w:p>
      <w:pPr>
        <w:spacing w:after="0" w:line="180"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THIS SECURITY AND ANY COMMON STOCK ISSUABLE UPON THE CONVERSION OF THIS SECURITY HAVE NOT BEEN REGISTERED UNDER THE U.S. SECURITIES ACT OF 1933, AS AMENDED (THE "SECURITIES ACT"), AND MAY NOT BE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w:t>
      </w:r>
    </w:p>
    <w:p>
      <w:pPr>
        <w:spacing w:after="0" w:line="177"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THIS SECURITY AND ANY COMMON STOCK ISSUABLE UPON CONVERSION OF THIS SECURITY MAY NOT BE OFFERED, SOLD, PLEDGED OR OTHERWISE TRANSFERRED EXCEPT (A)</w:t>
      </w:r>
    </w:p>
    <w:p>
      <w:pPr>
        <w:spacing w:after="0" w:line="1" w:lineRule="exact"/>
        <w:rPr>
          <w:sz w:val="20"/>
          <w:szCs w:val="20"/>
          <w:color w:val="auto"/>
        </w:rPr>
      </w:pPr>
    </w:p>
    <w:p>
      <w:pPr>
        <w:ind w:left="10" w:right="3259" w:hanging="10"/>
        <w:spacing w:after="0" w:line="257" w:lineRule="auto"/>
        <w:tabs>
          <w:tab w:leader="none" w:pos="36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PERSON WHO THE TRANSFEROR REASONABLY BELIEVES IS A QUALIFIED INSTITUTIONAL BUYER WITHIN THE MEANING OF RULE 144A UNDER THE SECURITIES ACT ACQUIRING FOR ITS OWN ACCOUNT OR THE ACCOUNT OF A QUALIFIED INSTITUTIONAL BUYER IN A TRANSACTION MEETING THE REQUIREMENTS OF RULE 144A, (II) PURSUANT TO THE EXEMPTION FROM REGISTRATION UNDER THE SECURITIES ACT PROVIDED BY RULE 144 THEREUNDER (IF AVAILABLE), (III) TO AN INSTITUTION THAT IS AN "ACCREDITED INVESTOR" WITHIN THE MEANING OF RULE 501(A)(1), (2), (3) OR (7) OF REGULATION D UNDER THE SECURITIES ACT PURSUANT TO AN EXEMPTION FROM REGISTRATION UNDER THE SECURITIES ACT (IF AVAILABLE) OR (IV) PURSUANT TO AN EFFECTIVE REGISTRATION STATEMENT UNDER THE SECURITIES ACT, AND (B) IN ACCORDANCE WITH ALL APPLICABLE SECURITIES LAWS OF THE STATES OF THE UNITED STATES AND OTHER JURISDICTIONS.</w:t>
      </w:r>
    </w:p>
    <w:p>
      <w:pPr>
        <w:spacing w:after="0" w:line="16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THIS SECURITY, ANY SHARES OF COMMON STOCK ISSUABLE UPON ITS CONVERSION AND ANY RELATED DOCUMENTATION MAY BE AMENDED OR SUPPLEMENTED FROM TIME TO TIME TO MODIFY THE RESTRICTIONS ON RESALES AND OTHER TRANSFERS OF THIS SECURITY AND ANY SUCH SHARES</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7" w:right="1440" w:bottom="1440" w:gutter="0" w:footer="0" w:header="0"/>
        </w:sectPr>
      </w:pPr>
    </w:p>
    <w:bookmarkStart w:id="75" w:name="page76"/>
    <w:bookmarkEnd w:id="75"/>
    <w:p>
      <w:pPr>
        <w:ind w:right="3259"/>
        <w:spacing w:after="0" w:line="237" w:lineRule="auto"/>
        <w:rPr>
          <w:sz w:val="20"/>
          <w:szCs w:val="20"/>
          <w:color w:val="auto"/>
        </w:rPr>
      </w:pPr>
      <w:r>
        <w:rPr>
          <w:rFonts w:ascii="Courier New" w:cs="Courier New" w:eastAsia="Courier New" w:hAnsi="Courier New"/>
          <w:sz w:val="15"/>
          <w:szCs w:val="15"/>
          <w:color w:val="auto"/>
        </w:rPr>
        <w:t>TO REFLECT ANY CHANGE IN APPLICABLE LAW OR REGULATION (OR THE INTERPRETATION THEREOF) OR IN PRACTICES RELATING TO THE RESALE OR TRANSFER OF RESTRICTED SECURITIES GENERALLY. THE HOLDER OF THIS SECURITY AND ANY SUCH SHARES SHALL BE DEEMED BY THE ACCEPTANCE OF THIS SECURITY AND ANY SUCH SHARES TO HAVE AGREED TO ANY SUCH AMENDMENT OR SUPPLEMENT.]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LEGEND SHALL APPEAR ON THE FACE OF EACH GLOBAL SECURITY: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UNLESS AND UNTIL IT IS EXCHANGED IN WHOLE OR IN PART FOR SECURITIES IN DEFINITIVE REGISTERED FORM IN THE LIMITED CIRCUMSTANCES REFERRED TO IN THE INDENTURE,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76" w:name="page77"/>
    <w:bookmarkEnd w:id="76"/>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4.75% CONVERTIBLE SUBORDINATED NOTE DUE OCTOBER 1, 2005</w:t>
      </w:r>
    </w:p>
    <w:p>
      <w:pPr>
        <w:sectPr>
          <w:pgSz w:w="11900" w:h="16838" w:orient="portrait"/>
          <w:cols w:equalWidth="0" w:num="1">
            <w:col w:w="10219"/>
          </w:cols>
          <w:pgMar w:left="240" w:top="62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ectPr>
          <w:pgSz w:w="11900" w:h="16838" w:orient="portrait"/>
          <w:cols w:equalWidth="0" w:num="2">
            <w:col w:w="3680" w:space="720"/>
            <w:col w:w="5819"/>
          </w:cols>
          <w:pgMar w:left="240" w:top="62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860" w:space="720"/>
            <w:col w:w="563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CUSIP NO. 032654AC9</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ANALOG DEVICES, INC., a corporation duly organized and existing under the laws of The Commonwealth of Massachusetts (herein called the "Company", which term includes any successor Person under the Indenture referred to on the reverse hereof), for value received, hereby promises to pay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 or registered assigns, the principal sum of ________ United</w:t>
      </w:r>
    </w:p>
    <w:p>
      <w:pPr>
        <w:spacing w:after="0"/>
        <w:rPr>
          <w:sz w:val="20"/>
          <w:szCs w:val="20"/>
          <w:color w:val="auto"/>
        </w:rPr>
      </w:pPr>
      <w:r>
        <w:rPr>
          <w:rFonts w:ascii="Courier New" w:cs="Courier New" w:eastAsia="Courier New" w:hAnsi="Courier New"/>
          <w:sz w:val="15"/>
          <w:szCs w:val="15"/>
          <w:color w:val="auto"/>
        </w:rPr>
        <w:t>States Dollars (U.S.$______ ) [if this Security is a Global Security, then</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insert (which principal amount may from time to time be increased or decreased to such other principal amounts (which, taken together with the principal amounts of all other Outstanding Securities, shall not exceed $1,200,000,000 by adjustments made on the records of the Trustee hereinafter referred to in accordance with the Indenture) on October 1, 2005 and to pay interest thereon, from October 2, 2000, or from the most recent Interest Payment Date (as defined below) to which interest has been paid or duly provided for, semi-annually in arrears on April 1 and October 1 in each year (each, an "Interest Payment Date"), commencing April 1, 2001, at the rate of 4.75% per annum, until the principal hereof is due, and at the rate of 4.75% per annum on any overdue principal and premium, if any, and, to the extent permitted by law, on any overdue interest. Interest will be computed on the basis of a 360 day year of twelve 30-day months.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March 15 or September 15 (whether or not a Business Day), as the case may be,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Company, notice whereof shall be given to Holders of Securities not less than 10 days prior to the Special Record Date, or be paid at any time in any other lawful manner not inconsistent with the requirements of any automated quotation system or securities exchange on which the Securities may be quoted or listed, and upon such notice as may be required by such exchange, all as more fully provided in the Indenture. Payments of principal shall be made to a Holder upon the surrender of this Security at the option of the Holder at the Corporate Trust Office of the Trustee, or at such other office or agency of the Company as may be designated by it for such purpose in the Borough of Manhattan, The City of New York, in such lawful monies of the United States of America as at the time of payment shall be legal tender for the payment of public and private debts, either by United States Dollar check drawn on a United States Dollar account or by a wire transfer of United States Dollars (such a wire transfer to be made only to a Holder of an aggregate principal amount of Securities in excess of U.S.$2,000,000 and only if such</w:t>
      </w:r>
    </w:p>
    <w:p>
      <w:pPr>
        <w:spacing w:after="0" w:line="3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2" w:right="1440" w:bottom="1440" w:gutter="0" w:footer="0" w:header="0"/>
          <w:type w:val="continuous"/>
        </w:sectPr>
      </w:pPr>
    </w:p>
    <w:bookmarkStart w:id="77" w:name="page78"/>
    <w:bookmarkEnd w:id="77"/>
    <w:p>
      <w:pPr>
        <w:ind w:right="3179"/>
        <w:spacing w:after="0" w:line="257" w:lineRule="auto"/>
        <w:rPr>
          <w:sz w:val="20"/>
          <w:szCs w:val="20"/>
          <w:color w:val="auto"/>
        </w:rPr>
      </w:pPr>
      <w:r>
        <w:rPr>
          <w:rFonts w:ascii="Courier New" w:cs="Courier New" w:eastAsia="Courier New" w:hAnsi="Courier New"/>
          <w:sz w:val="14"/>
          <w:szCs w:val="14"/>
          <w:color w:val="auto"/>
        </w:rPr>
        <w:t>Holder shall have furnished wire instructions in writing to the Trustee no later than 15 days prior to the relevant payment date). Payment of interest on this Security may be made by United States Dollar check mailed to the address of the Person entitled thereto as such address shall appear in the Security Register, or, upon written application by the Holder to the Security Registrar setting forth wire instructions not later than the relevant Record Date, by transfer to a United States Dollar account (such a transfer to be made only to a Holder of an aggregate principal amount of Securities in excess of U.S. $2,000,000 and only if such Holder shall have furnished wire instructions in writing to the Trustee no later than 15 days prior to the relevant payment date).</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Except as specifically provided herein and in the Indenture, the Company shall not be required to make any payment with respect to any tax, assessment or other governmental charge imposed by any government or any political subdivision or taxing authority thereof or therein.</w:t>
      </w:r>
    </w:p>
    <w:p>
      <w:pPr>
        <w:spacing w:after="0" w:line="176" w:lineRule="exact"/>
        <w:rPr>
          <w:sz w:val="20"/>
          <w:szCs w:val="20"/>
          <w:color w:val="auto"/>
        </w:rPr>
      </w:pPr>
    </w:p>
    <w:p>
      <w:pPr>
        <w:jc w:val="both"/>
        <w:ind w:right="3539" w:firstLine="441"/>
        <w:spacing w:after="0" w:line="237"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or an Authenticating Agent by the manual signature of one of their respective authorized signatories, this Security shall not be entitled to any benefit under the Indenture or be valid or obligatory for any purpose.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IN WITNESS WHEREOF, the Company has caused this Security to be duly executed.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ind w:left="3420"/>
        <w:spacing w:after="0"/>
        <w:rPr>
          <w:sz w:val="20"/>
          <w:szCs w:val="20"/>
          <w:color w:val="auto"/>
        </w:rPr>
      </w:pPr>
      <w:r>
        <w:rPr>
          <w:rFonts w:ascii="Courier New" w:cs="Courier New" w:eastAsia="Courier New" w:hAnsi="Courier New"/>
          <w:sz w:val="15"/>
          <w:szCs w:val="15"/>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Name:</w:t>
      </w:r>
    </w:p>
    <w:p>
      <w:pPr>
        <w:spacing w:after="0" w:line="238" w:lineRule="auto"/>
        <w:rPr>
          <w:sz w:val="20"/>
          <w:szCs w:val="20"/>
          <w:color w:val="auto"/>
        </w:rPr>
      </w:pPr>
      <w:r>
        <w:rPr>
          <w:rFonts w:ascii="Courier New" w:cs="Courier New" w:eastAsia="Courier New" w:hAnsi="Courier New"/>
          <w:sz w:val="15"/>
          <w:szCs w:val="15"/>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Securities referred to in the within-mentioned Indenture.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w:t>
      </w:r>
    </w:p>
    <w:p>
      <w:pPr>
        <w:spacing w:after="0"/>
        <w:rPr>
          <w:sz w:val="20"/>
          <w:szCs w:val="20"/>
          <w:color w:val="auto"/>
        </w:rPr>
      </w:pPr>
      <w:r>
        <w:rPr>
          <w:rFonts w:ascii="Courier New" w:cs="Courier New" w:eastAsia="Courier New" w:hAnsi="Courier New"/>
          <w:sz w:val="15"/>
          <w:szCs w:val="15"/>
          <w:color w:val="auto"/>
        </w:rPr>
        <w:t>COMPANY,</w:t>
      </w:r>
    </w:p>
    <w:p>
      <w:pPr>
        <w:spacing w:after="0"/>
        <w:rPr>
          <w:sz w:val="20"/>
          <w:szCs w:val="20"/>
          <w:color w:val="auto"/>
        </w:rPr>
      </w:pPr>
      <w:r>
        <w:rPr>
          <w:rFonts w:ascii="Courier New" w:cs="Courier New" w:eastAsia="Courier New" w:hAnsi="Courier New"/>
          <w:sz w:val="15"/>
          <w:szCs w:val="15"/>
          <w:color w:val="auto"/>
        </w:rPr>
        <w:t>as Trustee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Authorized Signatory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1440" w:gutter="0" w:footer="0" w:header="0"/>
        </w:sectPr>
      </w:pPr>
    </w:p>
    <w:bookmarkStart w:id="79" w:name="page80"/>
    <w:bookmarkEnd w:id="79"/>
    <w:p>
      <w:pPr>
        <w:ind w:left="2820"/>
        <w:spacing w:after="0"/>
        <w:rPr>
          <w:sz w:val="20"/>
          <w:szCs w:val="20"/>
          <w:color w:val="auto"/>
        </w:rPr>
      </w:pPr>
      <w:r>
        <w:rPr>
          <w:rFonts w:ascii="Courier New" w:cs="Courier New" w:eastAsia="Courier New" w:hAnsi="Courier New"/>
          <w:sz w:val="15"/>
          <w:szCs w:val="15"/>
          <w:color w:val="auto"/>
        </w:rPr>
        <w:t>[FORM OF REVERSE]</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designated as its "4.75% Convertible Subordinated Notes due October 1, 2005" (herein called the "Securities"), limited in aggregate principal amount to U.S. $1,200,000,000, issued under an Indenture, dated as of October 2, 2000 (herein called the "Indenture"), between the Company and State Street Bank and Trust Company, as Trustee (herein called the "Trustee", which term includes any successor trustee under the Indenture), and to which Indenture and all indentures supplemental thereto reference is hereby made for a statement of the respective rights, limitations of rights, duties and immunities thereunder of the Company, the Trustee, the holders of Senior Debt and the Holders of the Securities and of the terms upon which the Securities are, and are to be, authenticated and delivered. As provided in the Indenture and subject to certain limitations therein set forth, Securities are exchangeable for a like aggregate principal amount of Securities of any authorized denominations as requested by the Holder surrendering the same upon surrender of the Security or Securities to be exchanged, at the Corporate Trust Office of the Trustee. The Trustee upon such surrender by the Holder will issue the new Securities in the requested denominations.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sinking fund is provided for the Securities. The Securities will not be subject to redemption prior to October 1, 2003 and will be redeemable on and after that date at the option of the Company, in whole or in part, upon not less than 30 nor more than 60 days notice to the Holders prior to the Redemption Date at the Redemption Prices (expressed as percentages of the principal amount) set forth below.</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following table sets forth the Redemption Prices (expressed as percentages of the principal amount) if such Security is redeemed during the 12-month period beginning October 1:</w:t>
      </w:r>
    </w:p>
    <w:p>
      <w:pPr>
        <w:spacing w:after="0" w:line="16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70"/>
        </w:trPr>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101.90%</w:t>
            </w:r>
          </w:p>
        </w:tc>
      </w:tr>
      <w:tr>
        <w:trPr>
          <w:trHeight w:val="170"/>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2004</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100.95%</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and thereafter at a Redemption Price equal to 100% of the principal amount, together, in each case, with accrued interest to the Redemption Date; provided, however, that interest installments on Securities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7"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the event of a redemption of the Securities, the Company will not be required (a) to register the transfer or exchange of Securities for a period of 15 days immediately preceding the date notice is given identifying the serial numbers of the Securities called for such redemption or (b) to register the transfer or exchange of any Security, or portion thereof, called for redemption.</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any case where the due date for the payment of the principal of, premium, if any, interest, or Liquidated Damages on any Security or the last day on which a Holder of a Security has a right to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80" w:name="page81"/>
    <w:bookmarkEnd w:id="80"/>
    <w:p>
      <w:pPr>
        <w:ind w:right="3179"/>
        <w:spacing w:after="0" w:line="238" w:lineRule="auto"/>
        <w:rPr>
          <w:sz w:val="20"/>
          <w:szCs w:val="20"/>
          <w:color w:val="auto"/>
        </w:rPr>
      </w:pPr>
      <w:r>
        <w:rPr>
          <w:rFonts w:ascii="Courier New" w:cs="Courier New" w:eastAsia="Courier New" w:hAnsi="Courier New"/>
          <w:sz w:val="15"/>
          <w:szCs w:val="15"/>
          <w:color w:val="auto"/>
        </w:rPr>
        <w:t>convert his Security shall be, at any Place of Payment or Place of Conversion as the case may be, a day on which banking institutions at such Place of Payment or Place of Conversion are authorized or obligated by law or executive order to close, then payment of principal, premium, if any, interest, or Liquidated Damages, or delivery for conversion of such Security need not be made on or by such date at such place but may be made on or by the next succeeding day at such place which is not a day on which banking institutions are authorized or obligated by law or executive order to close, with the same force and effect as if made on the date for such payment or the date fixed for redemption or repurchase, or by such last day for conversion, and no interest shall accrue on the amount so payable for the period after such date.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Subject to and upon compliance with the provisions of the Indenture,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of this Security is entitled, at his option, at any time on or before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close of business on the business day prior to the date of Maturity, or in case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Security or a portion hereof is called for redemption or the Holder 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exercised his right to require the Company to repurchase this Security or</w:t>
      </w:r>
    </w:p>
    <w:p>
      <w:pPr>
        <w:spacing w:after="0"/>
        <w:rPr>
          <w:sz w:val="20"/>
          <w:szCs w:val="20"/>
          <w:color w:val="auto"/>
        </w:rPr>
      </w:pPr>
      <w:r>
        <w:rPr>
          <w:rFonts w:ascii="Courier New" w:cs="Courier New" w:eastAsia="Courier New" w:hAnsi="Courier New"/>
          <w:sz w:val="15"/>
          <w:szCs w:val="15"/>
          <w:color w:val="auto"/>
        </w:rPr>
        <w:t>such portion hereof, then in respect of this Security until and including, but</w:t>
      </w:r>
    </w:p>
    <w:p>
      <w:pPr>
        <w:spacing w:after="0"/>
        <w:rPr>
          <w:sz w:val="20"/>
          <w:szCs w:val="20"/>
          <w:color w:val="auto"/>
        </w:rPr>
      </w:pPr>
      <w:r>
        <w:rPr>
          <w:rFonts w:ascii="Courier New" w:cs="Courier New" w:eastAsia="Courier New" w:hAnsi="Courier New"/>
          <w:sz w:val="15"/>
          <w:szCs w:val="15"/>
          <w:color w:val="auto"/>
        </w:rPr>
        <w:t>(unless the Company defaults in making the payment due upon redemption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as the case may be) not after, the close of business on the business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prior to the Redemption Date or the Repurchase Date, as the case may be,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 this Security (or any portion of the principal amount hereof that is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integral multiple of U.S.$1,000, provided that the unconverted portion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is U.S.$1,000 or any integral multiple of U.S.$1,000 in excess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 into fully paid and nonassessable shares of Common Stock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an initial Conversion Rate of 7.7056 shares of Common Stock for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U.S.$1,000 principal amount of Securities (or at the current adjusted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if an adjustment has been made as provided in the Indenture) by surrender</w:t>
      </w:r>
    </w:p>
    <w:p>
      <w:pPr>
        <w:spacing w:after="0"/>
        <w:rPr>
          <w:sz w:val="20"/>
          <w:szCs w:val="20"/>
          <w:color w:val="auto"/>
        </w:rPr>
      </w:pPr>
      <w:r>
        <w:rPr>
          <w:rFonts w:ascii="Courier New" w:cs="Courier New" w:eastAsia="Courier New" w:hAnsi="Courier New"/>
          <w:sz w:val="15"/>
          <w:szCs w:val="15"/>
          <w:color w:val="auto"/>
        </w:rPr>
        <w:t>of this Security, duly endorsed or assigned to the Company or in blank and, in</w:t>
      </w:r>
    </w:p>
    <w:p>
      <w:pPr>
        <w:spacing w:after="0"/>
        <w:rPr>
          <w:sz w:val="20"/>
          <w:szCs w:val="20"/>
          <w:color w:val="auto"/>
        </w:rPr>
      </w:pPr>
      <w:r>
        <w:rPr>
          <w:rFonts w:ascii="Courier New" w:cs="Courier New" w:eastAsia="Courier New" w:hAnsi="Courier New"/>
          <w:sz w:val="15"/>
          <w:szCs w:val="15"/>
          <w:color w:val="auto"/>
        </w:rPr>
        <w:t>case such surrender shall be made during the period from the close of business</w:t>
      </w:r>
    </w:p>
    <w:p>
      <w:pPr>
        <w:spacing w:after="0" w:line="238" w:lineRule="auto"/>
        <w:rPr>
          <w:sz w:val="20"/>
          <w:szCs w:val="20"/>
          <w:color w:val="auto"/>
        </w:rPr>
      </w:pPr>
      <w:r>
        <w:rPr>
          <w:rFonts w:ascii="Courier New" w:cs="Courier New" w:eastAsia="Courier New" w:hAnsi="Courier New"/>
          <w:sz w:val="15"/>
          <w:szCs w:val="15"/>
          <w:color w:val="auto"/>
        </w:rPr>
        <w:t>on any Regular Record Date next preceding any Interest Payment Date to the</w:t>
      </w:r>
    </w:p>
    <w:p>
      <w:pPr>
        <w:spacing w:after="0"/>
        <w:rPr>
          <w:sz w:val="20"/>
          <w:szCs w:val="20"/>
          <w:color w:val="auto"/>
        </w:rPr>
      </w:pPr>
      <w:r>
        <w:rPr>
          <w:rFonts w:ascii="Courier New" w:cs="Courier New" w:eastAsia="Courier New" w:hAnsi="Courier New"/>
          <w:sz w:val="15"/>
          <w:szCs w:val="15"/>
          <w:color w:val="auto"/>
        </w:rPr>
        <w:t>opening of business on such Interest Payment Date (except if this Security or</w:t>
      </w:r>
    </w:p>
    <w:p>
      <w:pPr>
        <w:spacing w:after="0"/>
        <w:rPr>
          <w:sz w:val="20"/>
          <w:szCs w:val="20"/>
          <w:color w:val="auto"/>
        </w:rPr>
      </w:pPr>
      <w:r>
        <w:rPr>
          <w:rFonts w:ascii="Courier New" w:cs="Courier New" w:eastAsia="Courier New" w:hAnsi="Courier New"/>
          <w:sz w:val="15"/>
          <w:szCs w:val="15"/>
          <w:color w:val="auto"/>
        </w:rPr>
        <w:t>portion thereof has been called for redemption on a Redemption Date occurring</w:t>
      </w:r>
    </w:p>
    <w:p>
      <w:pPr>
        <w:spacing w:after="0" w:line="238" w:lineRule="auto"/>
        <w:rPr>
          <w:sz w:val="20"/>
          <w:szCs w:val="20"/>
          <w:color w:val="auto"/>
        </w:rPr>
      </w:pPr>
      <w:r>
        <w:rPr>
          <w:rFonts w:ascii="Courier New" w:cs="Courier New" w:eastAsia="Courier New" w:hAnsi="Courier New"/>
          <w:sz w:val="15"/>
          <w:szCs w:val="15"/>
          <w:color w:val="auto"/>
        </w:rPr>
        <w:t>during such period and, as a result, the right to convert would terminate in</w:t>
      </w:r>
    </w:p>
    <w:p>
      <w:pPr>
        <w:spacing w:after="0"/>
        <w:rPr>
          <w:sz w:val="20"/>
          <w:szCs w:val="20"/>
          <w:color w:val="auto"/>
        </w:rPr>
      </w:pPr>
      <w:r>
        <w:rPr>
          <w:rFonts w:ascii="Courier New" w:cs="Courier New" w:eastAsia="Courier New" w:hAnsi="Courier New"/>
          <w:sz w:val="15"/>
          <w:szCs w:val="15"/>
          <w:color w:val="auto"/>
        </w:rPr>
        <w:t>such period), also accompanied by payment in New York Clearing House or other</w:t>
      </w:r>
    </w:p>
    <w:p>
      <w:pPr>
        <w:spacing w:after="0"/>
        <w:rPr>
          <w:sz w:val="20"/>
          <w:szCs w:val="20"/>
          <w:color w:val="auto"/>
        </w:rPr>
      </w:pPr>
      <w:r>
        <w:rPr>
          <w:rFonts w:ascii="Courier New" w:cs="Courier New" w:eastAsia="Courier New" w:hAnsi="Courier New"/>
          <w:sz w:val="15"/>
          <w:szCs w:val="15"/>
          <w:color w:val="auto"/>
        </w:rPr>
        <w:t>funds acceptable to the Company of an amount equal to the interest payable on</w:t>
      </w:r>
    </w:p>
    <w:p>
      <w:pPr>
        <w:spacing w:after="0"/>
        <w:rPr>
          <w:sz w:val="20"/>
          <w:szCs w:val="20"/>
          <w:color w:val="auto"/>
        </w:rPr>
      </w:pPr>
      <w:r>
        <w:rPr>
          <w:rFonts w:ascii="Courier New" w:cs="Courier New" w:eastAsia="Courier New" w:hAnsi="Courier New"/>
          <w:sz w:val="15"/>
          <w:szCs w:val="15"/>
          <w:color w:val="auto"/>
        </w:rPr>
        <w:t>such Interest Payment Date on the principal amount of this Security then being</w:t>
      </w:r>
    </w:p>
    <w:p>
      <w:pPr>
        <w:spacing w:after="0" w:line="238" w:lineRule="auto"/>
        <w:rPr>
          <w:sz w:val="20"/>
          <w:szCs w:val="20"/>
          <w:color w:val="auto"/>
        </w:rPr>
      </w:pPr>
      <w:r>
        <w:rPr>
          <w:rFonts w:ascii="Courier New" w:cs="Courier New" w:eastAsia="Courier New" w:hAnsi="Courier New"/>
          <w:sz w:val="15"/>
          <w:szCs w:val="15"/>
          <w:color w:val="auto"/>
        </w:rPr>
        <w:t>converted, and also the conversion notice hereon duly executed, to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Corporate Trust Office of the Trustee, or at such other office or agency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subject to any laws or regulations applicable thereto and</w:t>
      </w:r>
    </w:p>
    <w:p>
      <w:pPr>
        <w:spacing w:after="0"/>
        <w:rPr>
          <w:sz w:val="20"/>
          <w:szCs w:val="20"/>
          <w:color w:val="auto"/>
        </w:rPr>
      </w:pPr>
      <w:r>
        <w:rPr>
          <w:rFonts w:ascii="Courier New" w:cs="Courier New" w:eastAsia="Courier New" w:hAnsi="Courier New"/>
          <w:sz w:val="15"/>
          <w:szCs w:val="15"/>
          <w:color w:val="auto"/>
        </w:rPr>
        <w:t>subject to the right of the Company to terminate the appointment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Agent (as defined below) as may be designated by it for such purpose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Borough of Manhattan, The City of New York, or at such other offices or</w:t>
      </w:r>
    </w:p>
    <w:p>
      <w:pPr>
        <w:spacing w:after="0"/>
        <w:rPr>
          <w:sz w:val="20"/>
          <w:szCs w:val="20"/>
          <w:color w:val="auto"/>
        </w:rPr>
      </w:pPr>
      <w:r>
        <w:rPr>
          <w:rFonts w:ascii="Courier New" w:cs="Courier New" w:eastAsia="Courier New" w:hAnsi="Courier New"/>
          <w:sz w:val="15"/>
          <w:szCs w:val="15"/>
          <w:color w:val="auto"/>
        </w:rPr>
        <w:t>agencies as the Company may designate (each a "Conversion Agent"), provided,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 that if this Security or portion hereof has been called for redemption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Redemption Date occurring during the period from the close of business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Regular Record Date next preceding any Interest Payment Date to the opening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business on such succeeding Interest Payment Date, and is surrendered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during such period, then the Holder of this Security on such Regular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will be entitled to receive the interest accruing hereon from the</w:t>
      </w:r>
    </w:p>
    <w:p>
      <w:pPr>
        <w:spacing w:after="0"/>
        <w:rPr>
          <w:sz w:val="20"/>
          <w:szCs w:val="20"/>
          <w:color w:val="auto"/>
        </w:rPr>
      </w:pPr>
      <w:r>
        <w:rPr>
          <w:rFonts w:ascii="Courier New" w:cs="Courier New" w:eastAsia="Courier New" w:hAnsi="Courier New"/>
          <w:sz w:val="15"/>
          <w:szCs w:val="15"/>
          <w:color w:val="auto"/>
        </w:rPr>
        <w:t>Interest Payment Date next preceding the date of such conversion to such</w:t>
      </w:r>
    </w:p>
    <w:p>
      <w:pPr>
        <w:spacing w:after="0"/>
        <w:rPr>
          <w:sz w:val="20"/>
          <w:szCs w:val="20"/>
          <w:color w:val="auto"/>
        </w:rPr>
      </w:pPr>
      <w:r>
        <w:rPr>
          <w:rFonts w:ascii="Courier New" w:cs="Courier New" w:eastAsia="Courier New" w:hAnsi="Courier New"/>
          <w:sz w:val="15"/>
          <w:szCs w:val="15"/>
          <w:color w:val="auto"/>
        </w:rPr>
        <w:t>succeeding Interest Payment Date and the Holder of this Security who converts</w:t>
      </w:r>
    </w:p>
    <w:p>
      <w:pPr>
        <w:spacing w:after="0" w:line="238" w:lineRule="auto"/>
        <w:rPr>
          <w:sz w:val="20"/>
          <w:szCs w:val="20"/>
          <w:color w:val="auto"/>
        </w:rPr>
      </w:pPr>
      <w:r>
        <w:rPr>
          <w:rFonts w:ascii="Courier New" w:cs="Courier New" w:eastAsia="Courier New" w:hAnsi="Courier New"/>
          <w:sz w:val="15"/>
          <w:szCs w:val="15"/>
          <w:color w:val="auto"/>
        </w:rPr>
        <w:t>this Security or a portion hereof during such period shall not be required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 such interest upon surrender of this Security for conversion. Subject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81" w:name="page82"/>
    <w:bookmarkEnd w:id="81"/>
    <w:p>
      <w:pPr>
        <w:ind w:right="3179"/>
        <w:spacing w:after="0" w:line="256" w:lineRule="auto"/>
        <w:rPr>
          <w:sz w:val="20"/>
          <w:szCs w:val="20"/>
          <w:color w:val="auto"/>
        </w:rPr>
      </w:pPr>
      <w:r>
        <w:rPr>
          <w:rFonts w:ascii="Courier New" w:cs="Courier New" w:eastAsia="Courier New" w:hAnsi="Courier New"/>
          <w:sz w:val="14"/>
          <w:szCs w:val="14"/>
          <w:color w:val="auto"/>
        </w:rPr>
        <w:t>of the preceding sentence, no cash payment or adjustment is to be made on conversion for interest accrued hereon from the Interest Payment Date next preceding the day of conversion, or for dividends on the Common Stock issued on conversion hereof. The Company shall thereafter deliver to the Holder the fixed number of shares of Common Stock (together with any cash adjustment, as provided in the Indenture) into which this Security is convertible and such delivery will be deemed to satisfy the Company's obligation to pay the principal amount of this Security. No fractions of shares or scrip representing fractions of shares will be issued on conversion, but instead of any fractional interest (calculated to the nearest 1/100th of a share) the Company shall pay a cash adjustment as provided in the Indenture. The Conversion Rate is subject to adjustment as provided in the Indenture. In addition, the Indenture provides that in case of certain consolidations or mergers to which the Company is a party (other than a consolidation or merger that does not result in any reclassification, conversion, exchange or cancellation of the Common Stock) or the conveyance, transfer, sale or lease of all or substantially all of the property and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such consolidation, merger, conveyance, transfer, sale or lease by a holder of the number of shares of Common Stock of the Company into which this Security could have been converted immediately prior to such consolidation, merger, conveyance, transfer, sale or lease (assuming such holder of Common Stock is not a Constituent Person or an Affiliate of a Constituent Person, failed to exercise any rights of election and received per share the kind and amount received per share by a plurality of Non-electing Shares). No adjustment in the Conversion Rate will be made until such adjustment would require an increase or decrease of at least one percent of such rate, provided that any adjustment that would otherwise be made will be carried forward and taken into account in the computation of any subsequent adjustment.</w:t>
      </w:r>
    </w:p>
    <w:p>
      <w:pPr>
        <w:spacing w:after="0" w:line="180"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If this Security is a Registrable Security (as defined in this Indenture), then the Holder of this Security [if this security is a global security, then insert -- (including any Person that has a beneficial interest in this Security)] and the Common Stock of the Company issuable upon conversion hereof is entitled to the benefits of a Registration Rights Agreement, dated as of October 2, 2000, executed by the Company (the "Registration Rights Agreement"). Pursuant to the Registration Rights Agreement, the Company has agreed for the benefit of the Holders from time to time of the Registrable Securities that it will, at its expense, (a) within 90 days after the Issue Date file a shelf registration statement (the "Shelf Registration Statement") with the Commission with respect to resales of the Registrable Securities, (b) use all reasonable efforts to cause such Shelf Registration Statement to be declared effective by the Commission within 180 days after the Issue Date of the Securities, provided, however, that the Company may, upon written notice to all the Holders, postpone having the Shelf Registration Statement declared effective for a reasonable period not to exceed 90 days if the Company possesses material non-public information, the disclosure of which would have a material adverse effect on the Company and its subsidiaries taken as a whole, and (c) use all reasonable efforts to maintain such Shelf Registration Statement effective under the Securities Act of 1933, as amended, until the second annual anniversary of the date it is declared effective or such earlier date as is provided in the Registration Rights Agreement (the "Effectiveness Period"). The Company will be permitted to suspend the use of the prospectus which is part of the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82" w:name="page83"/>
    <w:bookmarkEnd w:id="82"/>
    <w:p>
      <w:pPr>
        <w:ind w:right="3359"/>
        <w:spacing w:after="0" w:line="235" w:lineRule="auto"/>
        <w:rPr>
          <w:sz w:val="20"/>
          <w:szCs w:val="20"/>
          <w:color w:val="auto"/>
        </w:rPr>
      </w:pPr>
      <w:r>
        <w:rPr>
          <w:rFonts w:ascii="Courier New" w:cs="Courier New" w:eastAsia="Courier New" w:hAnsi="Courier New"/>
          <w:sz w:val="15"/>
          <w:szCs w:val="15"/>
          <w:color w:val="auto"/>
        </w:rPr>
        <w:t>Shelf Registration Statement during certain periods of time as provided in the Registration Rights Agreement.</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If (i) on or prior to 90 days following the Issue Date, a Shelf Registration Statement has not been filed with the Commission, or (ii) on or prior to the 180th day following the Issue Date, such Shelf Registration Statement is not declared effective (each, a "Registration Default"), additional interest ("Liquidated Damages") will accrue on this Restricted Security from and including the day following such Registration Default to but excluding the day on which such Registration Default has been cured. Liquidated Damages will be paid semi-annually in arrears, with the first semi-annual payment due on the first Interest Payment Date, as applicable, in respect of the Restricted Securities following the date on which such Liquidated Damages begin to accrue, and will accrue at a rate per annum equal to an additional one-quarter of one percent (0.25%) of the principal amount of the Restricted Securities to and including the 90th day following such Registration Default and at a rate per annum equal to one-half of one percent (0.50%) thereof from and after the 91st day following such Registration Default. Pursuant to the Registration Rights Agreement, in the event that the Shelf Registration Statement ceases to be effective (or the Holders of Registrable Securities are otherwise prevented or restricted by the Company from effecting sales pursuant thereto) (an "Effective Failure") during the Effectiveness Period for more than 45 days, whether or not consecutive, during any 90-day period or for more than 90 days, whether or not consecutive, during any 12-month period, then the interest rate borne by the Restricted Securities shall increase by an additional one-half of one percent (0.50%) per annum from the 46th day of the applicable 90-day period or the 91st day of the applicable 12-month period until the earlier of (A) such time as the Effective Failure is cured or (B) the Effectiveness Period expires.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Whenever in this Security there is a reference, in any context, to the payment of the principal of, premium, if any, or interest on, or in respect of, any Security, such mention shall be deemed to include mention of the payment of Liquidated Damages payable as described in the preceding paragraph to the extent that, in such context, Liquidated Damages are, were or would be payable in respect of such Security and express mention of the payment of Liquidated Damages (if applicable) in any provisions of this Security shall not be construed as excluding Liquidated Damages in those provisions of this Security where such express mention is not made.</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this Security is a Registrable Security and the Holder of this Security [if this security is a global security, then insert -- (including any Person that has a beneficial interest in this Security)] elects to sell this Security pursuant to the Shelf Registration Statement then, by its acceptance hereof, such Holder of this Security agrees to be bound by the terms of the Registration Rights Agreement relating to the Registrable Securities which are the subject of such election.]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 Change in Control occurs, the Holder of this Security, at the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shall have the right, in accordance with the provisions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 to require the Company to repurchase this Security (or any portion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principal amount hereof that is at least $1,000 or an integral multiple of</w:t>
      </w:r>
    </w:p>
    <w:p>
      <w:pPr>
        <w:spacing w:after="0"/>
        <w:rPr>
          <w:sz w:val="20"/>
          <w:szCs w:val="20"/>
          <w:color w:val="auto"/>
        </w:rPr>
      </w:pPr>
      <w:r>
        <w:rPr>
          <w:rFonts w:ascii="Courier New" w:cs="Courier New" w:eastAsia="Courier New" w:hAnsi="Courier New"/>
          <w:sz w:val="15"/>
          <w:szCs w:val="15"/>
          <w:color w:val="auto"/>
        </w:rPr>
        <w:t>$1,000 in excess thereof, provided that the portion of the principal amount of</w:t>
      </w:r>
    </w:p>
    <w:p>
      <w:pPr>
        <w:spacing w:after="0"/>
        <w:rPr>
          <w:sz w:val="20"/>
          <w:szCs w:val="20"/>
          <w:color w:val="auto"/>
        </w:rPr>
      </w:pPr>
      <w:r>
        <w:rPr>
          <w:rFonts w:ascii="Courier New" w:cs="Courier New" w:eastAsia="Courier New" w:hAnsi="Courier New"/>
          <w:sz w:val="15"/>
          <w:szCs w:val="15"/>
          <w:color w:val="auto"/>
        </w:rPr>
        <w:t>this Security to be Outstanding after such repurchase is at least equal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U.S.$1,000) for cash at a Repurchase Price equal to 100% of the principal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thereof plus interest accrued to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83" w:name="page84"/>
    <w:bookmarkEnd w:id="83"/>
    <w:p>
      <w:pPr>
        <w:ind w:right="3179"/>
        <w:spacing w:after="0" w:line="257" w:lineRule="auto"/>
        <w:rPr>
          <w:sz w:val="20"/>
          <w:szCs w:val="20"/>
          <w:color w:val="auto"/>
        </w:rPr>
      </w:pPr>
      <w:r>
        <w:rPr>
          <w:rFonts w:ascii="Courier New" w:cs="Courier New" w:eastAsia="Courier New" w:hAnsi="Courier New"/>
          <w:sz w:val="14"/>
          <w:szCs w:val="14"/>
          <w:color w:val="auto"/>
        </w:rPr>
        <w:t>Repurchase Date. At the option of the Company, the Repurchase Price may be paid in cash or, subject to the conditions provided in the Indenture, by delivery of shares of Common Stock having a fair market value equal to the Repurchase Price. For purposes of this paragraph, the fair market value of shares of Common Stock shall be determined by the Company and shall be equal to 95% of the average of the Closing Prices Per Share for the five consecutive Trading Days immediately preceding and including the third Trading Day prior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 made; provided, however, that, for the purposes of the second succeeding paragraph, such reference shall be deemed to include reference to the Repurchase Price only to the extent the Repurchase Price is payable in cash.</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paragraph shall appear in each Global Security:</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the event of a deposit or withdrawal of an interest in this Security, including an exchange, transfer, redemption, repurchase or conversion of this Security in part only, the Trustee, as custodian of the Depositary, shall make an adjustment on its records to reflect such deposit or withdrawal in accordance with the Applicable Procedures.]</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following paragraph shall appear in each Security that is not a Global Security:</w:t>
      </w:r>
    </w:p>
    <w:p>
      <w:pPr>
        <w:spacing w:after="0" w:line="176"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In the event of redemption, repurchase or conversion of this Security in part only, a new Security or Securities for the unredeemed, unrepurchased or unconverted portion hereof will be issued in the name of the Holder hereof.]</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79"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If an Event of Default shall occur and be continuing, the principal of all the Securities, together with accrued interest to the date of declaration, may be declared due and payable in the manner and with the effect provided in the Indenture. Upon payment (i) of the amount of principal so declared due and payable, together with accrued interest to the date of declaration, and (ii) of interest on any overdue principal and, to the extent permitted by applicable law, overdue interest, all of the Company's obligations in respect of the payment of the principal of and interest on the Securities shall terminate.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440" w:gutter="0" w:footer="0" w:header="0"/>
        </w:sectPr>
      </w:pPr>
    </w:p>
    <w:bookmarkStart w:id="84" w:name="page85"/>
    <w:bookmarkEnd w:id="84"/>
    <w:p>
      <w:pPr>
        <w:ind w:right="3179" w:firstLine="441"/>
        <w:spacing w:after="0" w:line="239"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either (a) the written consent of the Holders of not less than a majority in principal amount of the Securities at the time Outstanding, or (b) by the adoption of a resolution, at a meeting of Holders of the Outstanding Securities at which a quorum is present, by the Holders of at least 66-2/3% in aggregate principal amount of the Outstanding Securities represented and entitled to vote at such meeting or, if less, by Holders of not less than a majority in aggregate principal amount of all Outstanding Securities. The Indenture also contains provisions permitting the Holders of specified percentages in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in exchange therefore or in lieu hereof whether or not notation of such consent or waiver is made upon this Security or such other Security.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the Holders of not less than 25% in principal amount of the Outstanding Securities shall have made written request to the Trustee to institute proceedings in respect of such Event of Default as Trustee and offered the Trustee reasonable indemnity and the Trustee shall not have received from the Holders of a majority in principal amount of the Securities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premiums if any, or interest (including Liquidated Damages) hereon on or after the respective due dates expressed herein or for the enforcement of the right to convert this Security as provided in the Indenture.</w:t>
      </w:r>
    </w:p>
    <w:p>
      <w:pPr>
        <w:spacing w:after="0" w:line="18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premium, if any, and interest (including Liquidated Damages) on this Security at the times, places and rate, and in the coin or currency, herein prescribed or to convert this Security as provided in the Indenture.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on the Security Register upon surrender of this Security for registration of transfer at the Corporate Trust Office of the Trustee or at such other office or agency of the Company as may be designated by it for such purpose in the Borough of Manhattan, The City of New York (which shall initially be an office or agency of the Trustee),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Securities,</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85" w:name="page86"/>
    <w:bookmarkEnd w:id="85"/>
    <w:p>
      <w:pPr>
        <w:ind w:right="3179"/>
        <w:spacing w:after="0" w:line="237" w:lineRule="auto"/>
        <w:rPr>
          <w:sz w:val="20"/>
          <w:szCs w:val="20"/>
          <w:color w:val="auto"/>
        </w:rPr>
      </w:pPr>
      <w:r>
        <w:rPr>
          <w:rFonts w:ascii="Courier New" w:cs="Courier New" w:eastAsia="Courier New" w:hAnsi="Courier New"/>
          <w:sz w:val="15"/>
          <w:szCs w:val="15"/>
          <w:color w:val="auto"/>
        </w:rPr>
        <w:t>of authorized denominations and for the same aggregate principal amount, will be issued to the designated transferee or transferees by the Registrar. No service charge shall be made for any such registration of transfer or exchange, but the Company may require payment of a sum sufficient to recover any tax or other governmental charge payable in connection therewith.</w:t>
      </w:r>
    </w:p>
    <w:p>
      <w:pPr>
        <w:spacing w:after="0" w:line="178"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Prior to due presentation of a Security for registration of transfer, the Company, the Trustee and any agent of the Company or the Trustee may treat the Person in whose name such Security is registered, as the owner thereof for all purposes, whether or not such Security be overdue, and neither the Company, the Trustee nor any such agent shall be affected by notice to the contrary.</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No recourse for the payment of the principal (and premium, if any) or interest on this Security and no recourse under or upon any obligation, covenant or agreement of the Company in the Indenture or any indenture supplemental thereto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consideration for the issue hereof, expressly waived and released.</w:t>
      </w:r>
    </w:p>
    <w:p>
      <w:pPr>
        <w:spacing w:after="0" w:line="16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INDENTURE AND THIS SECURITY SHALL BE GOVERNED BY AND CONSTRUED IN ACCORDANCE WITH THE LAWS OF THE STATE OF NEW YORK, UNITED STATES OF AMERICA, WITHOUT REGARD TO THE PRINCIPLES OF CONFLICTS OF LAWS.</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86" w:name="page87"/>
    <w:bookmarkEnd w:id="86"/>
    <w:p>
      <w:pPr>
        <w:jc w:val="center"/>
        <w:ind w:right="340"/>
        <w:spacing w:after="0"/>
        <w:rPr>
          <w:sz w:val="20"/>
          <w:szCs w:val="20"/>
          <w:color w:val="auto"/>
        </w:rPr>
      </w:pPr>
      <w:r>
        <w:rPr>
          <w:rFonts w:ascii="Courier New" w:cs="Courier New" w:eastAsia="Courier New" w:hAnsi="Courier New"/>
          <w:sz w:val="15"/>
          <w:szCs w:val="15"/>
          <w:color w:val="auto"/>
        </w:rPr>
        <w:t>ABBREVIATIONS</w:t>
      </w:r>
    </w:p>
    <w:p>
      <w:pPr>
        <w:spacing w:after="0" w:line="175" w:lineRule="exact"/>
        <w:rPr>
          <w:sz w:val="20"/>
          <w:szCs w:val="20"/>
          <w:color w:val="auto"/>
        </w:rPr>
      </w:pPr>
    </w:p>
    <w:p>
      <w:pPr>
        <w:ind w:right="680" w:firstLine="441"/>
        <w:spacing w:after="0" w:line="237" w:lineRule="auto"/>
        <w:rPr>
          <w:sz w:val="20"/>
          <w:szCs w:val="20"/>
          <w:color w:val="auto"/>
        </w:rPr>
      </w:pPr>
      <w:r>
        <w:rPr>
          <w:rFonts w:ascii="Courier New" w:cs="Courier New" w:eastAsia="Courier New" w:hAnsi="Courier New"/>
          <w:sz w:val="15"/>
          <w:szCs w:val="15"/>
          <w:color w:val="auto"/>
        </w:rPr>
        <w:t>The following abbreviations, when used in the inscription of the face of this Security, shall be construed as though they were written out in full according to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TEN COM</w:t>
            </w:r>
          </w:p>
        </w:tc>
        <w:tc>
          <w:tcPr>
            <w:tcW w:w="16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as tenant in</w:t>
            </w:r>
          </w:p>
        </w:tc>
        <w:tc>
          <w:tcPr>
            <w:tcW w:w="2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common</w:t>
            </w: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w w:val="96"/>
              </w:rPr>
              <w:t>UNIF GIFT MIN ACT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TEN ENT</w:t>
            </w:r>
          </w:p>
        </w:tc>
        <w:tc>
          <w:tcPr>
            <w:tcW w:w="740" w:type="dxa"/>
            <w:vAlign w:val="bottom"/>
          </w:tcPr>
          <w:p>
            <w:pPr>
              <w:ind w:left="520"/>
              <w:spacing w:after="0"/>
              <w:rPr>
                <w:sz w:val="20"/>
                <w:szCs w:val="20"/>
                <w:color w:val="auto"/>
              </w:rPr>
            </w:pPr>
            <w:r>
              <w:rPr>
                <w:rFonts w:ascii="Courier New" w:cs="Courier New" w:eastAsia="Courier New" w:hAnsi="Courier New"/>
                <w:sz w:val="15"/>
                <w:szCs w:val="15"/>
                <w:color w:val="auto"/>
              </w:rPr>
              <w:t>as</w:t>
            </w:r>
          </w:p>
        </w:tc>
        <w:tc>
          <w:tcPr>
            <w:tcW w:w="3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tenants by the entireties (Cust)</w:t>
            </w:r>
          </w:p>
        </w:tc>
        <w:tc>
          <w:tcPr>
            <w:tcW w:w="162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JT TEN</w:t>
            </w:r>
          </w:p>
        </w:tc>
        <w:tc>
          <w:tcPr>
            <w:tcW w:w="740" w:type="dxa"/>
            <w:vAlign w:val="bottom"/>
          </w:tcPr>
          <w:p>
            <w:pPr>
              <w:ind w:left="520"/>
              <w:spacing w:after="0"/>
              <w:rPr>
                <w:sz w:val="20"/>
                <w:szCs w:val="20"/>
                <w:color w:val="auto"/>
              </w:rPr>
            </w:pPr>
            <w:r>
              <w:rPr>
                <w:rFonts w:ascii="Courier New" w:cs="Courier New" w:eastAsia="Courier New" w:hAnsi="Courier New"/>
                <w:sz w:val="15"/>
                <w:szCs w:val="15"/>
                <w:color w:val="auto"/>
              </w:rPr>
              <w:t>as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joint tenants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with right of</w:t>
            </w:r>
          </w:p>
        </w:tc>
        <w:tc>
          <w:tcPr>
            <w:tcW w:w="162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16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survivorship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not as tenants in common</w:t>
            </w:r>
          </w:p>
        </w:tc>
        <w:tc>
          <w:tcPr>
            <w:tcW w:w="162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 Custodian ____</w:t>
      </w:r>
    </w:p>
    <w:p>
      <w:pPr>
        <w:spacing w:after="0" w:line="5" w:lineRule="exact"/>
        <w:rPr>
          <w:sz w:val="20"/>
          <w:szCs w:val="20"/>
          <w:color w:val="auto"/>
        </w:rPr>
      </w:pPr>
    </w:p>
    <w:p>
      <w:pPr>
        <w:ind w:firstLine="353"/>
        <w:spacing w:after="0" w:line="237" w:lineRule="auto"/>
        <w:rPr>
          <w:sz w:val="20"/>
          <w:szCs w:val="20"/>
          <w:color w:val="auto"/>
        </w:rPr>
      </w:pPr>
      <w:r>
        <w:rPr>
          <w:rFonts w:ascii="Courier New" w:cs="Courier New" w:eastAsia="Courier New" w:hAnsi="Courier New"/>
          <w:sz w:val="15"/>
          <w:szCs w:val="15"/>
          <w:color w:val="auto"/>
        </w:rPr>
        <w:t>(Cust) (Minor) under Uniform Gifts to Minors Act _____</w:t>
      </w:r>
    </w:p>
    <w:p>
      <w:pPr>
        <w:ind w:left="1060"/>
        <w:spacing w:after="0"/>
        <w:rPr>
          <w:sz w:val="20"/>
          <w:szCs w:val="20"/>
          <w:color w:val="auto"/>
        </w:rPr>
      </w:pPr>
      <w:r>
        <w:rPr>
          <w:rFonts w:ascii="Courier New" w:cs="Courier New" w:eastAsia="Courier New" w:hAnsi="Courier New"/>
          <w:sz w:val="15"/>
          <w:szCs w:val="15"/>
          <w:color w:val="auto"/>
        </w:rPr>
        <w:t>(State)</w:t>
      </w:r>
    </w:p>
    <w:p>
      <w:pPr>
        <w:sectPr>
          <w:pgSz w:w="11900" w:h="16838" w:orient="portrait"/>
          <w:cols w:equalWidth="0" w:num="2">
            <w:col w:w="7460" w:space="720"/>
            <w:col w:w="2300"/>
          </w:cols>
          <w:pgMar w:left="240" w:top="622" w:right="1179" w:bottom="1440" w:gutter="0" w:footer="0" w:header="0"/>
        </w:sectPr>
      </w:pPr>
    </w:p>
    <w:bookmarkStart w:id="87" w:name="page88"/>
    <w:bookmarkEnd w:id="87"/>
    <w:p>
      <w:pPr>
        <w:ind w:left="1770"/>
        <w:spacing w:after="0"/>
        <w:rPr>
          <w:sz w:val="20"/>
          <w:szCs w:val="20"/>
          <w:color w:val="auto"/>
        </w:rPr>
      </w:pPr>
      <w:r>
        <w:rPr>
          <w:rFonts w:ascii="Courier New" w:cs="Courier New" w:eastAsia="Courier New" w:hAnsi="Courier New"/>
          <w:sz w:val="15"/>
          <w:szCs w:val="15"/>
          <w:color w:val="auto"/>
        </w:rPr>
        <w:t>ELECTION OF HOLDER TO REQUIRE REPURCHASE</w:t>
      </w:r>
    </w:p>
    <w:p>
      <w:pPr>
        <w:spacing w:after="0" w:line="175" w:lineRule="exact"/>
        <w:rPr>
          <w:sz w:val="20"/>
          <w:szCs w:val="20"/>
          <w:color w:val="auto"/>
        </w:rPr>
      </w:pPr>
    </w:p>
    <w:p>
      <w:pPr>
        <w:ind w:left="10" w:right="3699" w:firstLine="431"/>
        <w:spacing w:after="0" w:line="235" w:lineRule="auto"/>
        <w:tabs>
          <w:tab w:leader="none" w:pos="80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14.1 of the Indenture, the undersigned hereby elects to have this Security repurchased by the Company.</w:t>
      </w:r>
    </w:p>
    <w:p>
      <w:pPr>
        <w:spacing w:after="0" w:line="175" w:lineRule="exact"/>
        <w:rPr>
          <w:rFonts w:ascii="Courier New" w:cs="Courier New" w:eastAsia="Courier New" w:hAnsi="Courier New"/>
          <w:sz w:val="15"/>
          <w:szCs w:val="15"/>
          <w:color w:val="auto"/>
        </w:rPr>
      </w:pPr>
    </w:p>
    <w:p>
      <w:pPr>
        <w:ind w:left="790" w:hanging="349"/>
        <w:spacing w:after="0"/>
        <w:tabs>
          <w:tab w:leader="none" w:pos="79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directs the Trustee or the Company to pay it or</w:t>
      </w:r>
    </w:p>
    <w:p>
      <w:pPr>
        <w:spacing w:after="0" w:line="10" w:lineRule="exact"/>
        <w:rPr>
          <w:rFonts w:ascii="Courier New" w:cs="Courier New" w:eastAsia="Courier New" w:hAnsi="Courier New"/>
          <w:sz w:val="14"/>
          <w:szCs w:val="14"/>
          <w:color w:val="auto"/>
        </w:rPr>
      </w:pPr>
    </w:p>
    <w:p>
      <w:pPr>
        <w:ind w:left="1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 an amount in cash or, at the Company's election, Common Stock valued as set forth in the Indenture, equal to 100% of the principal amount to be repurchased (as set forth below), plus interest accrued to the Repurchase Date, as provided in the Indenture.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170" w:hanging="170"/>
        <w:spacing w:after="0"/>
        <w:tabs>
          <w:tab w:leader="none" w:pos="17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Signature(s) must be guaranteed by an Eligible</w:t>
      </w:r>
    </w:p>
    <w:p>
      <w:pPr>
        <w:ind w:left="10"/>
        <w:spacing w:after="0"/>
        <w:rPr>
          <w:sz w:val="20"/>
          <w:szCs w:val="20"/>
          <w:color w:val="auto"/>
        </w:rPr>
      </w:pPr>
      <w:r>
        <w:rPr>
          <w:rFonts w:ascii="Courier New" w:cs="Courier New" w:eastAsia="Courier New" w:hAnsi="Courier New"/>
          <w:sz w:val="15"/>
          <w:szCs w:val="15"/>
          <w:color w:val="auto"/>
        </w:rPr>
        <w:t>Guarantor Institution with membership in an</w:t>
      </w:r>
    </w:p>
    <w:p>
      <w:pPr>
        <w:ind w:left="10"/>
        <w:spacing w:after="0"/>
        <w:rPr>
          <w:sz w:val="20"/>
          <w:szCs w:val="20"/>
          <w:color w:val="auto"/>
        </w:rPr>
      </w:pPr>
      <w:r>
        <w:rPr>
          <w:rFonts w:ascii="Courier New" w:cs="Courier New" w:eastAsia="Courier New" w:hAnsi="Courier New"/>
          <w:sz w:val="15"/>
          <w:szCs w:val="15"/>
          <w:color w:val="auto"/>
        </w:rPr>
        <w:t>approved signature guarantee program pursuant</w:t>
      </w:r>
    </w:p>
    <w:p>
      <w:pPr>
        <w:ind w:left="10"/>
        <w:spacing w:after="0" w:line="238" w:lineRule="auto"/>
        <w:rPr>
          <w:sz w:val="20"/>
          <w:szCs w:val="20"/>
          <w:color w:val="auto"/>
        </w:rPr>
      </w:pPr>
      <w:r>
        <w:rPr>
          <w:rFonts w:ascii="Courier New" w:cs="Courier New" w:eastAsia="Courier New" w:hAnsi="Courier New"/>
          <w:sz w:val="15"/>
          <w:szCs w:val="15"/>
          <w:color w:val="auto"/>
        </w:rPr>
        <w:t>to Rule 17Ad-15 under the Securities Exchange</w:t>
      </w:r>
    </w:p>
    <w:p>
      <w:pPr>
        <w:ind w:left="10"/>
        <w:spacing w:after="0"/>
        <w:rPr>
          <w:sz w:val="20"/>
          <w:szCs w:val="20"/>
          <w:color w:val="auto"/>
        </w:rPr>
      </w:pPr>
      <w:r>
        <w:rPr>
          <w:rFonts w:ascii="Courier New" w:cs="Courier New" w:eastAsia="Courier New" w:hAnsi="Courier New"/>
          <w:sz w:val="15"/>
          <w:szCs w:val="15"/>
          <w:color w:val="auto"/>
        </w:rPr>
        <w:t>Act of 1934.</w:t>
      </w:r>
    </w:p>
    <w:p>
      <w:pPr>
        <w:spacing w:after="0" w:line="169" w:lineRule="exact"/>
        <w:rPr>
          <w:sz w:val="20"/>
          <w:szCs w:val="20"/>
          <w:color w:val="auto"/>
        </w:rPr>
      </w:pPr>
    </w:p>
    <w:p>
      <w:pPr>
        <w:ind w:left="170" w:hanging="170"/>
        <w:spacing w:after="0"/>
        <w:tabs>
          <w:tab w:leader="none" w:pos="17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Guaranteed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Principal amount to be repurchased (at least</w:t>
      </w:r>
    </w:p>
    <w:p>
      <w:pPr>
        <w:ind w:left="10"/>
        <w:spacing w:after="0"/>
        <w:rPr>
          <w:sz w:val="20"/>
          <w:szCs w:val="20"/>
          <w:color w:val="auto"/>
        </w:rPr>
      </w:pPr>
      <w:r>
        <w:rPr>
          <w:rFonts w:ascii="Courier New" w:cs="Courier New" w:eastAsia="Courier New" w:hAnsi="Courier New"/>
          <w:sz w:val="15"/>
          <w:szCs w:val="15"/>
          <w:color w:val="auto"/>
        </w:rPr>
        <w:t>U.S. $1,000 or an integral multiple of $1,000</w:t>
      </w:r>
    </w:p>
    <w:p>
      <w:pPr>
        <w:ind w:left="10"/>
        <w:spacing w:after="0"/>
        <w:rPr>
          <w:sz w:val="20"/>
          <w:szCs w:val="20"/>
          <w:color w:val="auto"/>
        </w:rPr>
      </w:pPr>
      <w:r>
        <w:rPr>
          <w:rFonts w:ascii="Courier New" w:cs="Courier New" w:eastAsia="Courier New" w:hAnsi="Courier New"/>
          <w:sz w:val="15"/>
          <w:szCs w:val="15"/>
          <w:color w:val="auto"/>
        </w:rPr>
        <w:t>in excess thereof):</w:t>
      </w:r>
    </w:p>
    <w:p>
      <w:pPr>
        <w:ind w:left="167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Remaining principal amount following such</w:t>
      </w:r>
    </w:p>
    <w:p>
      <w:pPr>
        <w:ind w:left="10"/>
        <w:spacing w:after="0"/>
        <w:rPr>
          <w:sz w:val="20"/>
          <w:szCs w:val="20"/>
          <w:color w:val="auto"/>
        </w:rPr>
      </w:pPr>
      <w:r>
        <w:rPr>
          <w:rFonts w:ascii="Courier New" w:cs="Courier New" w:eastAsia="Courier New" w:hAnsi="Courier New"/>
          <w:sz w:val="15"/>
          <w:szCs w:val="15"/>
          <w:color w:val="auto"/>
        </w:rPr>
        <w:t>repurchase (not less than U.S. $1,000):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NOTICE: The signature to the foregoing Election must correspond to the Name as written upon the face of this Security in every particular, without alteration or any change whatsoever.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2.3 Form of Certificate of Authentication.</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0" w:right="3359" w:firstLine="441"/>
        <w:spacing w:after="0" w:line="235" w:lineRule="auto"/>
        <w:rPr>
          <w:sz w:val="20"/>
          <w:szCs w:val="20"/>
          <w:color w:val="auto"/>
        </w:rPr>
      </w:pPr>
      <w:r>
        <w:rPr>
          <w:rFonts w:ascii="Courier New" w:cs="Courier New" w:eastAsia="Courier New" w:hAnsi="Courier New"/>
          <w:sz w:val="15"/>
          <w:szCs w:val="15"/>
          <w:color w:val="auto"/>
        </w:rPr>
        <w:t>The Trustee's certificate of authentication shall be in substantially the following form:</w:t>
      </w:r>
    </w:p>
    <w:p>
      <w:pPr>
        <w:spacing w:after="0" w:line="176" w:lineRule="exact"/>
        <w:rPr>
          <w:sz w:val="20"/>
          <w:szCs w:val="20"/>
          <w:color w:val="auto"/>
        </w:rPr>
      </w:pPr>
    </w:p>
    <w:p>
      <w:pPr>
        <w:ind w:left="10" w:right="4059" w:firstLine="441"/>
        <w:spacing w:after="0" w:line="235" w:lineRule="auto"/>
        <w:rPr>
          <w:sz w:val="20"/>
          <w:szCs w:val="20"/>
          <w:color w:val="auto"/>
        </w:rPr>
      </w:pPr>
      <w:r>
        <w:rPr>
          <w:rFonts w:ascii="Courier New" w:cs="Courier New" w:eastAsia="Courier New" w:hAnsi="Courier New"/>
          <w:sz w:val="15"/>
          <w:szCs w:val="15"/>
          <w:color w:val="auto"/>
        </w:rPr>
        <w:t>This is one of the Securities referred to in the within-mentioned Indenture.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ind w:left="5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622" w:right="1440" w:bottom="1440" w:gutter="0" w:footer="0" w:header="0"/>
        </w:sectPr>
      </w:pPr>
    </w:p>
    <w:bookmarkStart w:id="88" w:name="page89"/>
    <w:bookmarkEnd w:id="88"/>
    <w:p>
      <w:pPr>
        <w:ind w:left="1930"/>
        <w:spacing w:after="0"/>
        <w:rPr>
          <w:sz w:val="20"/>
          <w:szCs w:val="20"/>
          <w:color w:val="auto"/>
        </w:rPr>
      </w:pPr>
      <w:r>
        <w:rPr>
          <w:rFonts w:ascii="Courier New" w:cs="Courier New" w:eastAsia="Courier New" w:hAnsi="Courier New"/>
          <w:sz w:val="15"/>
          <w:szCs w:val="15"/>
          <w:color w:val="auto"/>
        </w:rPr>
        <w:t>STATE STREET BANK AND TRUST COMPANY,</w:t>
      </w:r>
    </w:p>
    <w:p>
      <w:pPr>
        <w:ind w:left="1930"/>
        <w:spacing w:after="0"/>
        <w:rPr>
          <w:sz w:val="20"/>
          <w:szCs w:val="20"/>
          <w:color w:val="auto"/>
        </w:rPr>
      </w:pPr>
      <w:r>
        <w:rPr>
          <w:rFonts w:ascii="Courier New" w:cs="Courier New" w:eastAsia="Courier New" w:hAnsi="Courier New"/>
          <w:sz w:val="15"/>
          <w:szCs w:val="15"/>
          <w:color w:val="auto"/>
        </w:rPr>
        <w:t>as Trustee</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By:</w:t>
      </w:r>
    </w:p>
    <w:p>
      <w:pPr>
        <w:ind w:left="2210"/>
        <w:spacing w:after="0"/>
        <w:rPr>
          <w:sz w:val="20"/>
          <w:szCs w:val="20"/>
          <w:color w:val="auto"/>
        </w:rPr>
      </w:pPr>
      <w:r>
        <w:rPr>
          <w:rFonts w:ascii="Courier New" w:cs="Courier New" w:eastAsia="Courier New" w:hAnsi="Courier New"/>
          <w:sz w:val="15"/>
          <w:szCs w:val="15"/>
          <w:color w:val="auto"/>
        </w:rPr>
        <w:t>----------------------------------</w:t>
      </w:r>
    </w:p>
    <w:p>
      <w:pPr>
        <w:ind w:left="2210"/>
        <w:spacing w:after="0"/>
        <w:rPr>
          <w:sz w:val="20"/>
          <w:szCs w:val="20"/>
          <w:color w:val="auto"/>
        </w:rPr>
      </w:pPr>
      <w:r>
        <w:rPr>
          <w:rFonts w:ascii="Courier New" w:cs="Courier New" w:eastAsia="Courier New" w:hAnsi="Courier New"/>
          <w:sz w:val="15"/>
          <w:szCs w:val="15"/>
          <w:color w:val="auto"/>
        </w:rPr>
        <w:t>Authorized Signatory</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2.4 Form of Conversion Notice.</w:t>
      </w:r>
    </w:p>
    <w:p>
      <w:pPr>
        <w:ind w:left="10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CONVERSION NOTICE</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undersigned Holder of this Security hereby irrevocably exercises the option to convert this Security, or any portion of the principal amount hereof (which is U.S.$1,000 or an integral multiple of U.S.$1,000 in excess thereof, provided that the unconverted portion of such principal amount is U.S. $1,000 or any integral multiple of U.S. $1,000 in excess thereof) below designated, into shares of Common Stock in accordance with the terms of the Indenture referred to in this Security, and directs that such shares, together with a check in payment for any fractional share and any Securities representing any unconverted principal amount hereof, be delivered to and be registered in the name of the undersigned unless a different name has been indicated below. If shares of Common Stock or Securities are to be registered in the name of a Person other than the undersigned, (a) the undersigned will pay all transfer taxes payable with respect thereto and (b) signature(s) must be guaranteed by an Eligible Guarantor Institution with membership in an approved signature guarantee program pursuant to Rule 17Ad-15 under the Securities Exchange Act of 1934. Any amount required to be paid by the undersigned on account of interest accompanies this Security.</w:t>
      </w:r>
    </w:p>
    <w:p>
      <w:pPr>
        <w:spacing w:after="0" w:line="18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530"/>
        <w:spacing w:after="0"/>
        <w:tabs>
          <w:tab w:leader="none" w:pos="236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9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 shares or Securities are to be registered in the</w:t>
      </w:r>
    </w:p>
    <w:p>
      <w:pPr>
        <w:ind w:left="10"/>
        <w:spacing w:after="0"/>
        <w:rPr>
          <w:sz w:val="20"/>
          <w:szCs w:val="20"/>
          <w:color w:val="auto"/>
        </w:rPr>
      </w:pPr>
      <w:r>
        <w:rPr>
          <w:rFonts w:ascii="Courier New" w:cs="Courier New" w:eastAsia="Courier New" w:hAnsi="Courier New"/>
          <w:sz w:val="15"/>
          <w:szCs w:val="15"/>
          <w:color w:val="auto"/>
        </w:rPr>
        <w:t>name of a Person other than the Holder, please</w:t>
      </w:r>
    </w:p>
    <w:p>
      <w:pPr>
        <w:ind w:left="10"/>
        <w:spacing w:after="0"/>
        <w:rPr>
          <w:sz w:val="20"/>
          <w:szCs w:val="20"/>
          <w:color w:val="auto"/>
        </w:rPr>
      </w:pPr>
      <w:r>
        <w:rPr>
          <w:rFonts w:ascii="Courier New" w:cs="Courier New" w:eastAsia="Courier New" w:hAnsi="Courier New"/>
          <w:sz w:val="15"/>
          <w:szCs w:val="15"/>
          <w:color w:val="auto"/>
        </w:rPr>
        <w:t>print such Person's name and address:</w:t>
      </w:r>
    </w:p>
    <w:p>
      <w:pPr>
        <w:spacing w:after="0" w:line="168" w:lineRule="exact"/>
        <w:rPr>
          <w:sz w:val="20"/>
          <w:szCs w:val="20"/>
          <w:color w:val="auto"/>
        </w:rPr>
      </w:pPr>
    </w:p>
    <w:p>
      <w:pPr>
        <w:ind w:left="170" w:hanging="170"/>
        <w:spacing w:after="0"/>
        <w:tabs>
          <w:tab w:leader="none" w:pos="17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622" w:right="1440" w:bottom="1440" w:gutter="0" w:footer="0" w:header="0"/>
        </w:sectPr>
      </w:pPr>
    </w:p>
    <w:bookmarkStart w:id="89" w:name="page90"/>
    <w:bookmarkEnd w:id="89"/>
    <w:p>
      <w:pPr>
        <w:ind w:left="10"/>
        <w:spacing w:after="0"/>
        <w:rPr>
          <w:sz w:val="20"/>
          <w:szCs w:val="20"/>
          <w:color w:val="auto"/>
        </w:rPr>
      </w:pPr>
      <w:r>
        <w:rPr>
          <w:rFonts w:ascii="Courier New" w:cs="Courier New" w:eastAsia="Courier New" w:hAnsi="Courier New"/>
          <w:sz w:val="15"/>
          <w:szCs w:val="15"/>
          <w:color w:val="auto"/>
        </w:rPr>
        <w:t>Social Security or other Identification</w:t>
      </w:r>
    </w:p>
    <w:p>
      <w:pPr>
        <w:ind w:left="10"/>
        <w:spacing w:after="0"/>
        <w:rPr>
          <w:sz w:val="20"/>
          <w:szCs w:val="20"/>
          <w:color w:val="auto"/>
        </w:rPr>
      </w:pPr>
      <w:r>
        <w:rPr>
          <w:rFonts w:ascii="Courier New" w:cs="Courier New" w:eastAsia="Courier New" w:hAnsi="Courier New"/>
          <w:sz w:val="15"/>
          <w:szCs w:val="15"/>
          <w:color w:val="auto"/>
        </w:rPr>
        <w:t>Number, if any</w:t>
      </w:r>
    </w:p>
    <w:p>
      <w:pPr>
        <w:spacing w:after="0" w:line="169" w:lineRule="exact"/>
        <w:rPr>
          <w:sz w:val="20"/>
          <w:szCs w:val="20"/>
          <w:color w:val="auto"/>
        </w:rPr>
      </w:pPr>
    </w:p>
    <w:p>
      <w:pPr>
        <w:ind w:left="170" w:hanging="170"/>
        <w:spacing w:after="0"/>
        <w:tabs>
          <w:tab w:leader="none" w:pos="17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Guaranteed]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 only a portion of the Securities is to be converted, please indicate:</w:t>
      </w:r>
    </w:p>
    <w:p>
      <w:pPr>
        <w:spacing w:after="0" w:line="169" w:lineRule="exact"/>
        <w:rPr>
          <w:sz w:val="20"/>
          <w:szCs w:val="20"/>
          <w:color w:val="auto"/>
        </w:rPr>
      </w:pPr>
    </w:p>
    <w:p>
      <w:pPr>
        <w:ind w:left="450" w:hanging="450"/>
        <w:spacing w:after="0"/>
        <w:tabs>
          <w:tab w:leader="none" w:pos="45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to be converted: U.S. $ ___________</w:t>
      </w:r>
    </w:p>
    <w:p>
      <w:pPr>
        <w:spacing w:after="0" w:line="174"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and denomination of Securities representing unconverted principal amount to be issued:</w:t>
      </w:r>
    </w:p>
    <w:p>
      <w:pPr>
        <w:spacing w:after="0" w:line="170" w:lineRule="exact"/>
        <w:rPr>
          <w:sz w:val="20"/>
          <w:szCs w:val="20"/>
          <w:color w:val="auto"/>
        </w:rPr>
      </w:pPr>
    </w:p>
    <w:p>
      <w:pPr>
        <w:ind w:left="450"/>
        <w:spacing w:after="0"/>
        <w:tabs>
          <w:tab w:leader="none" w:pos="3509" w:val="left"/>
        </w:tabs>
        <w:rPr>
          <w:sz w:val="20"/>
          <w:szCs w:val="20"/>
          <w:color w:val="auto"/>
        </w:rPr>
      </w:pPr>
      <w:r>
        <w:rPr>
          <w:rFonts w:ascii="Courier New" w:cs="Courier New" w:eastAsia="Courier New" w:hAnsi="Courier New"/>
          <w:sz w:val="15"/>
          <w:szCs w:val="15"/>
          <w:color w:val="auto"/>
        </w:rPr>
        <w:t>Amount: U.S. $___________</w:t>
      </w:r>
      <w:r>
        <w:rPr>
          <w:sz w:val="20"/>
          <w:szCs w:val="20"/>
          <w:color w:val="auto"/>
        </w:rPr>
        <w:tab/>
      </w:r>
      <w:r>
        <w:rPr>
          <w:rFonts w:ascii="Courier New" w:cs="Courier New" w:eastAsia="Courier New" w:hAnsi="Courier New"/>
          <w:sz w:val="14"/>
          <w:szCs w:val="14"/>
          <w:color w:val="auto"/>
        </w:rPr>
        <w:t>Denominations: U.S. $____________</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(U.S.$1,000 or any integral multiple of U.S.$1,000 in excess thereof, provided that the unconverted portion of such principal amount is U.S. $1,000 or any integral multiple of U.S. $1,000 in excess thereof)</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2.5 Form of Assignment.</w:t>
      </w:r>
    </w:p>
    <w:p>
      <w:pPr>
        <w:ind w:left="10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For value received ________________ hereby sell(s), assign(s) and</w:t>
      </w:r>
    </w:p>
    <w:p>
      <w:pPr>
        <w:ind w:left="10"/>
        <w:spacing w:after="0"/>
        <w:rPr>
          <w:sz w:val="20"/>
          <w:szCs w:val="20"/>
          <w:color w:val="auto"/>
        </w:rPr>
      </w:pPr>
      <w:r>
        <w:rPr>
          <w:rFonts w:ascii="Courier New" w:cs="Courier New" w:eastAsia="Courier New" w:hAnsi="Courier New"/>
          <w:sz w:val="15"/>
          <w:szCs w:val="15"/>
          <w:color w:val="auto"/>
        </w:rPr>
        <w:t>transfer(s) unto ________________ (Please insert social security or other</w:t>
      </w:r>
    </w:p>
    <w:p>
      <w:pPr>
        <w:spacing w:after="0" w:line="5"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identifying number of assignee) the within Security, and hereby irrevocably constitutes and appoints ____________________as attorney to transfer the said</w:t>
      </w:r>
    </w:p>
    <w:p>
      <w:pPr>
        <w:spacing w:after="0" w:line="1"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Security on the books of the Company, with full power of substitution in the premises.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610"/>
        <w:spacing w:after="0"/>
        <w:tabs>
          <w:tab w:leader="none" w:pos="236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Signature(s) must be guaranteed by an Eligible</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Guarantor Institution with membership in an</w:t>
      </w:r>
    </w:p>
    <w:p>
      <w:pPr>
        <w:ind w:left="2990"/>
        <w:spacing w:after="0"/>
        <w:rPr>
          <w:sz w:val="20"/>
          <w:szCs w:val="20"/>
          <w:color w:val="auto"/>
        </w:rPr>
      </w:pPr>
      <w:r>
        <w:rPr>
          <w:rFonts w:ascii="Courier New" w:cs="Courier New" w:eastAsia="Courier New" w:hAnsi="Courier New"/>
          <w:sz w:val="15"/>
          <w:szCs w:val="15"/>
          <w:color w:val="auto"/>
        </w:rPr>
        <w:t>approved signature guarantee program pursuant</w:t>
      </w:r>
    </w:p>
    <w:p>
      <w:pPr>
        <w:ind w:left="2990"/>
        <w:spacing w:after="0"/>
        <w:rPr>
          <w:sz w:val="20"/>
          <w:szCs w:val="20"/>
          <w:color w:val="auto"/>
        </w:rPr>
      </w:pPr>
      <w:r>
        <w:rPr>
          <w:rFonts w:ascii="Courier New" w:cs="Courier New" w:eastAsia="Courier New" w:hAnsi="Courier New"/>
          <w:sz w:val="15"/>
          <w:szCs w:val="15"/>
          <w:color w:val="auto"/>
        </w:rPr>
        <w:t>to Rule 17Ad - 15 under the Securities</w:t>
      </w:r>
    </w:p>
    <w:p>
      <w:pPr>
        <w:ind w:left="2990"/>
        <w:spacing w:after="0" w:line="238" w:lineRule="auto"/>
        <w:rPr>
          <w:sz w:val="20"/>
          <w:szCs w:val="20"/>
          <w:color w:val="auto"/>
        </w:rPr>
      </w:pPr>
      <w:r>
        <w:rPr>
          <w:rFonts w:ascii="Courier New" w:cs="Courier New" w:eastAsia="Courier New" w:hAnsi="Courier New"/>
          <w:sz w:val="15"/>
          <w:szCs w:val="15"/>
          <w:color w:val="auto"/>
        </w:rPr>
        <w:t>Exchange Act of 1934.</w:t>
      </w:r>
    </w:p>
    <w:p>
      <w:pPr>
        <w:spacing w:after="0" w:line="175"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Signature Guaranteed</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622" w:right="1440" w:bottom="1440" w:gutter="0" w:footer="0" w:header="0"/>
        </w:sectPr>
      </w:pPr>
    </w:p>
    <w:bookmarkStart w:id="90" w:name="page91"/>
    <w:bookmarkEnd w:id="90"/>
    <w:p>
      <w:pPr>
        <w:ind w:left="2980"/>
        <w:spacing w:after="0"/>
        <w:rPr>
          <w:sz w:val="20"/>
          <w:szCs w:val="20"/>
          <w:color w:val="auto"/>
        </w:rPr>
      </w:pPr>
      <w:r>
        <w:rPr>
          <w:rFonts w:ascii="Courier New" w:cs="Courier New" w:eastAsia="Courier New" w:hAnsi="Courier New"/>
          <w:sz w:val="15"/>
          <w:szCs w:val="15"/>
          <w:color w:val="auto"/>
        </w:rPr>
        <w:t>ARTICLE III</w:t>
      </w:r>
    </w:p>
    <w:p>
      <w:pPr>
        <w:ind w:left="2900"/>
        <w:spacing w:after="0"/>
        <w:rPr>
          <w:sz w:val="20"/>
          <w:szCs w:val="20"/>
          <w:color w:val="auto"/>
        </w:rPr>
      </w:pPr>
      <w:r>
        <w:rPr>
          <w:rFonts w:ascii="Courier New" w:cs="Courier New" w:eastAsia="Courier New" w:hAnsi="Courier New"/>
          <w:sz w:val="15"/>
          <w:szCs w:val="15"/>
          <w:color w:val="auto"/>
        </w:rPr>
        <w:t>THE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 Title and Terms.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limited to U.S. $1,200,000,000, except for Securities authenticated and delivered pursuant to Section 3.4, 3.5, 3.6, 8.5, 12.2 or 14.3(5) in exchange for, or in lieu of, other Securities previously authenticated and delivered under this Indenture.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Securities shall be known and designated as the "4.75% Convertible Subordinated Notes due October 1, 2005" of the Company. Their Stated Maturity shall be October 1, 2005 and they shall bear interest on their principal amount from October 2, 2000, payable semi-annually in arrears on April 1 and October 1 in each year, commencing April 1, 2001, at the rate of 4.75% per annum until the principal thereof is due and at the rate of 4.75% per annum on any overdue principal and, to the extent permitted by law, on any overdue interest; provided, however, that payments shall only be made on a Business Day as provided in Section 1.12.</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principal of, premium, if any, and interest on the Securities shall be payable as provided in the form of Securities set forth in Section 2.2, and the Repurchase Price, whether payable in cash or in shares of Common Stock, shall be payable at such places as are identified in the Company Notice given pursuant to Section 14.3 (any city in which any Paying Agent is located being herein called a "Place of Payment").</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Registrable Securities are entitled to the benefits of a Registration Rights Agreement as provided by Section 10.11 and in the form of Security set forth in Section 2.2. The Securities are entitled to the payment of Liquidated Damages as provided by Section 10.11.</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Securities shall be redeemable at the option of the Company at any time on or after October 1, 2003, in whole or in part, subject to the conditions and as otherwise provided in Article XI and in the form of Security set forth in Section 2.2.</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Securities shall be convertible as provided in Article XII (any city in which any Conversion Agent is located being herein called a "Place of Conversion").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Securities shall be subordinated in right of payment to Senior Debt of the Company as provided in Article XIII.</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Securities shall be subject to repurchase by the Company at the option of the Holders as provided in Article XIV.</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 Denominations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2" w:right="1440" w:bottom="1440" w:gutter="0" w:footer="0" w:header="0"/>
        </w:sectPr>
      </w:pPr>
    </w:p>
    <w:bookmarkStart w:id="91" w:name="page92"/>
    <w:bookmarkEnd w:id="91"/>
    <w:p>
      <w:pPr>
        <w:ind w:right="3259" w:firstLine="441"/>
        <w:spacing w:after="0" w:line="237" w:lineRule="auto"/>
        <w:rPr>
          <w:sz w:val="20"/>
          <w:szCs w:val="20"/>
          <w:color w:val="auto"/>
        </w:rPr>
      </w:pPr>
      <w:r>
        <w:rPr>
          <w:rFonts w:ascii="Courier New" w:cs="Courier New" w:eastAsia="Courier New" w:hAnsi="Courier New"/>
          <w:sz w:val="15"/>
          <w:szCs w:val="15"/>
          <w:color w:val="auto"/>
        </w:rPr>
        <w:t>The Securities shall be issuable only in registered form, without coupons, in denominations of U.S.$1,000 and integral multiples of U.S.$1,000 in excess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3.3 Execution, Authentication, Delivery and Dating The Securities shall</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be executed on behalf of the Company by its Chairman of the Board, its Chief Executive Officer, its President, its Chief Operating Officer or one of its Vice Presidents, with or without a corporate seal reproduced thereon, and attested by its Chief Executive Officer, President, Chief Financial Officer, Secretary or one of its Assistant Secretaries. Any such signature may be manual or facsimile.</w:t>
      </w:r>
    </w:p>
    <w:p>
      <w:pPr>
        <w:spacing w:after="0" w:line="16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Securities bearing the manual or facsimile signature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executed by the Company to the Trustee or to its order for authentication, together with a Company Order for the authentication and delivery of such Securities, and the Trustee in accordance with such Company Order shall authenticate and make available for delivery such Securities as in this Indenture provided.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of an authorized signatory, and such certificate upon any Security shall be conclusive evidence, and the only evidence, that such Security has been duly authenticated and delivered hereunder.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3.4 Global Securities; Non-global Securities; Book-entry Provisions.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880" w:hanging="449"/>
        <w:spacing w:after="0"/>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Securities</w:t>
      </w:r>
    </w:p>
    <w:p>
      <w:pPr>
        <w:spacing w:after="0" w:line="174" w:lineRule="exact"/>
        <w:rPr>
          <w:rFonts w:ascii="Courier New" w:cs="Courier New" w:eastAsia="Courier New" w:hAnsi="Courier New"/>
          <w:sz w:val="15"/>
          <w:szCs w:val="15"/>
          <w:color w:val="auto"/>
        </w:rPr>
      </w:pPr>
    </w:p>
    <w:p>
      <w:pPr>
        <w:ind w:right="3259" w:firstLine="872"/>
        <w:spacing w:after="0" w:line="237" w:lineRule="auto"/>
        <w:tabs>
          <w:tab w:leader="none" w:pos="1322"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Global Security authenticated under this Indenture shall be registered in the name of the Depositary designated by the Company for such Global Security or a nominee thereof and delivered to such Depositary or a nominee thereof or custodian therefor, and each such Global Security shall constitute a single Security for all purposes of this Indenture.</w:t>
      </w:r>
    </w:p>
    <w:p>
      <w:pPr>
        <w:spacing w:after="0" w:line="172" w:lineRule="exact"/>
        <w:rPr>
          <w:rFonts w:ascii="Courier New" w:cs="Courier New" w:eastAsia="Courier New" w:hAnsi="Courier New"/>
          <w:sz w:val="15"/>
          <w:szCs w:val="15"/>
          <w:color w:val="auto"/>
        </w:rPr>
      </w:pPr>
    </w:p>
    <w:p>
      <w:pPr>
        <w:ind w:left="1320" w:hanging="448"/>
        <w:spacing w:after="0"/>
        <w:tabs>
          <w:tab w:leader="none" w:pos="132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exchanges of Global Securities for definitive,</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Non-global Securities at the sole discretion of the Company,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as such under the Exchange Act or announces an intention permanently to cease business or does in fact do so or (B) there shall have occurred and be continuing an Event of Default with</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92" w:name="page93"/>
    <w:bookmarkEnd w:id="92"/>
    <w:p>
      <w:pPr>
        <w:ind w:right="3179"/>
        <w:spacing w:after="0" w:line="238" w:lineRule="auto"/>
        <w:rPr>
          <w:sz w:val="20"/>
          <w:szCs w:val="20"/>
          <w:color w:val="auto"/>
        </w:rPr>
      </w:pPr>
      <w:r>
        <w:rPr>
          <w:rFonts w:ascii="Courier New" w:cs="Courier New" w:eastAsia="Courier New" w:hAnsi="Courier New"/>
          <w:sz w:val="15"/>
          <w:szCs w:val="15"/>
          <w:color w:val="auto"/>
        </w:rPr>
        <w:t>respect to such Global Security. In case of an event under clause (A) of the preceding sentence, if a successor Depositary for such Global Security is not appointed by the Company within 90 days after the Company receives such notice or becomes aware of such ineligibility, the Company will execute, and the Trustee, upon receipt of an Officers' Certificate directing the authentication and delivery of Securities, will authenticate and deliver, Securities, in any authorized denominations in an aggregate principal amount equal to the principal amount of such Global Security in exchange for such Global Security.</w:t>
      </w:r>
    </w:p>
    <w:p>
      <w:pPr>
        <w:spacing w:after="0" w:line="178" w:lineRule="exact"/>
        <w:rPr>
          <w:sz w:val="20"/>
          <w:szCs w:val="20"/>
          <w:color w:val="auto"/>
        </w:rPr>
      </w:pPr>
    </w:p>
    <w:p>
      <w:pPr>
        <w:ind w:right="3179" w:firstLine="872"/>
        <w:spacing w:after="0" w:line="239" w:lineRule="auto"/>
        <w:tabs>
          <w:tab w:leader="none" w:pos="141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Global Security is to be exchanged for other Securities or canceled in whole, it shall be surrendered by or on behalf of the Depositary or its nominee to the Trustee, as Security Registrar, for exchange or cancellation, as provided in this Article III. If any Global Security is to be exchanged for other Securities or canceled in part, or if another Security is to be exchanged in whole or in part for a beneficial interest in any Global Security, in each case, as provided in Section 3.5, then either (A) such Global Security shall be so surrendered for exchange or cancellation, as provided in this Article III, or (B) the principal amount thereof shall be reduced or increased by an amount equal to the portion thereof to be so exchanged or canceled,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subject to Section 3.5(3) and as otherwise provided in this Article III,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paragraph, the Company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III if such order, direction or request is given or made in accordance with the Applicable Procedures.</w:t>
      </w:r>
    </w:p>
    <w:p>
      <w:pPr>
        <w:spacing w:after="0" w:line="177"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Security authenticated and delivered upon registration of transfer of, or in exchange for or in lieu of, a Global Security or any portion thereof, whether pursuant to this Article III or otherwise, shall be authenticated and delivered in the form of, and shall be, a registered Global Security, unless such Security is registered in the name of a Person other than the Depositary for such Global Security or a nominee thereof, in which case such Security shall be authenticated and delivered in definitive, fully registered form, without interest coupons.</w:t>
      </w:r>
    </w:p>
    <w:p>
      <w:pPr>
        <w:spacing w:after="0" w:line="177" w:lineRule="exact"/>
        <w:rPr>
          <w:rFonts w:ascii="Courier New" w:cs="Courier New" w:eastAsia="Courier New" w:hAnsi="Courier New"/>
          <w:sz w:val="15"/>
          <w:szCs w:val="15"/>
          <w:color w:val="auto"/>
        </w:rPr>
      </w:pPr>
    </w:p>
    <w:p>
      <w:pPr>
        <w:ind w:right="3179" w:firstLine="872"/>
        <w:spacing w:after="0" w:line="238" w:lineRule="auto"/>
        <w:tabs>
          <w:tab w:leader="none" w:pos="1234"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93" w:name="page94"/>
    <w:bookmarkEnd w:id="93"/>
    <w:p>
      <w:pPr>
        <w:ind w:left="10" w:right="3359"/>
        <w:spacing w:after="0" w:line="237" w:lineRule="auto"/>
        <w:rPr>
          <w:sz w:val="20"/>
          <w:szCs w:val="20"/>
          <w:color w:val="auto"/>
        </w:rPr>
      </w:pPr>
      <w:r>
        <w:rPr>
          <w:rFonts w:ascii="Courier New" w:cs="Courier New" w:eastAsia="Courier New" w:hAnsi="Courier New"/>
          <w:sz w:val="15"/>
          <w:szCs w:val="15"/>
          <w:color w:val="auto"/>
        </w:rPr>
        <w:t>by the Depositary or its nominee or its Agent Members and such owners of beneficial interests in a Global Security will not be considered the owners or holders thereof.</w:t>
      </w:r>
    </w:p>
    <w:p>
      <w:pPr>
        <w:spacing w:after="0" w:line="175" w:lineRule="exact"/>
        <w:rPr>
          <w:sz w:val="20"/>
          <w:szCs w:val="20"/>
          <w:color w:val="auto"/>
        </w:rPr>
      </w:pPr>
    </w:p>
    <w:p>
      <w:pPr>
        <w:ind w:left="10" w:right="3359" w:firstLine="431"/>
        <w:spacing w:after="0" w:line="237" w:lineRule="auto"/>
        <w:tabs>
          <w:tab w:leader="none" w:pos="80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Non-global Securities. Securities issued upon the events described in Section 3.4(l)(ii) shall be in definitive, fully registered form, without interest coupons, and shall bear the Restricted Securities Legend if and as required by this Indenture.</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SECTION 3.5 Registration; Registration of Transfer and Exchange; Restrictions on</w:t>
      </w:r>
    </w:p>
    <w:p>
      <w:pPr>
        <w:spacing w:after="0" w:line="11"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Transfer.</w:t>
      </w:r>
    </w:p>
    <w:p>
      <w:pPr>
        <w:ind w:left="170" w:hanging="170"/>
        <w:spacing w:after="0"/>
        <w:tabs>
          <w:tab w:leader="none" w:pos="17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0" w:right="3179" w:firstLine="431"/>
        <w:spacing w:after="0" w:line="238" w:lineRule="auto"/>
        <w:tabs>
          <w:tab w:leader="none" w:pos="803"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cause to be kept at the Corporate Trust Office of the Trustee a register (the register maintained in such office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and exchanges of Securities as herein provided.</w:t>
      </w:r>
    </w:p>
    <w:p>
      <w:pPr>
        <w:spacing w:after="0" w:line="177"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Upon surrender for registration of transfer of any Security at an office or agency of the Company designated pursuant to Section 10.2 for such purpose, the Company shall execute, and the Trustee shall authenticate and deliver, in the name of the designated transferee or transferees, one or more new Securities of any authorized denominations and of a like aggregate principal amount and bearing such restrictive legends as may be required by this Indenture.</w:t>
      </w:r>
    </w:p>
    <w:p>
      <w:pPr>
        <w:spacing w:after="0" w:line="16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At the option of the Holder, and subject to the other provisions of this Section 3.5, Securities may be exchanged for other Securities of any authorized denomination and of a like aggregate principal amount, upon surrender of the Securities to be exchanged at any such office or agency. Whenever any Securities are so surrendered for exchange, and subject to the other provisions of this Section 3.5, the Company shall execute, and the Trustee shall authenticate and deliver, the Securities which the Holder making the exchange is entitled to receive. Every Security presented or surrendered for registration of transfer or for exchange shall (if so required by the Company or the Security Registrar) be duly endorsed, or be accompanied by a written instrument of transfer in form satisfactory to the Company, the Trustee and the Security Registrar duly executed, by the Holder thereof or his attorney duly authorized in writing.</w:t>
      </w:r>
    </w:p>
    <w:p>
      <w:pPr>
        <w:spacing w:after="0" w:line="166"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76"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No service charge shall be made to a Holder for any registration of transfer or exchange of Securities except as provided in Section 3.6, but the Company may require payment of a sum sufficient to cover any tax or other governmental charge that may be imposed in connection with any registration of transfer or exchange of Securities, other than exchanges pursuant to Section</w:t>
      </w:r>
    </w:p>
    <w:p>
      <w:pPr>
        <w:spacing w:after="0" w:line="2"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3.4, 8.5, 12.2 or 14.3 (other than where the shares of Common Stock are to be issued or delivered in a name other than that of the Holder of the Security) not involving any transfer and other than any stamp and other duties, if any, which may be imposed in connection with any such transfer or exchange by the United States or any political subdivision thereof or therein, which shall be paid by the Company.</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627" w:right="1440" w:bottom="1440" w:gutter="0" w:footer="0" w:header="0"/>
        </w:sectPr>
      </w:pPr>
    </w:p>
    <w:bookmarkStart w:id="94" w:name="page95"/>
    <w:bookmarkEnd w:id="94"/>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the event of a redemption of the Securities, neither the Company nor the Securities Registrar will be required (a) to register the transfer of or exchange Securities for a period of 15 days immediately preceding the date notice is given identifying the serial numbers of the Securities called for such redemption or (b) to register the transfer of or exchange any Security, or portion thereof, called for redemption.</w:t>
      </w:r>
    </w:p>
    <w:p>
      <w:pPr>
        <w:spacing w:after="0" w:line="176" w:lineRule="exact"/>
        <w:rPr>
          <w:sz w:val="20"/>
          <w:szCs w:val="20"/>
          <w:color w:val="auto"/>
        </w:rPr>
      </w:pPr>
    </w:p>
    <w:p>
      <w:pPr>
        <w:ind w:left="790" w:hanging="349"/>
        <w:spacing w:after="0"/>
        <w:tabs>
          <w:tab w:leader="none" w:pos="79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Transfers and Exchanges. Notwithstanding any other provision of</w:t>
      </w:r>
    </w:p>
    <w:p>
      <w:pPr>
        <w:spacing w:after="0" w:line="5"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Indenture or the Securities, transfers and exchanges of Securities and beneficial interests in a Global Security of the kinds specified in this Section 3.5(2) shall be made only in accordance with this Section 3.5(2).</w:t>
      </w:r>
    </w:p>
    <w:p>
      <w:pPr>
        <w:spacing w:after="0" w:line="169" w:lineRule="exact"/>
        <w:rPr>
          <w:sz w:val="20"/>
          <w:szCs w:val="20"/>
          <w:color w:val="auto"/>
        </w:rPr>
      </w:pPr>
    </w:p>
    <w:p>
      <w:pPr>
        <w:ind w:left="1230" w:hanging="348"/>
        <w:spacing w:after="0"/>
        <w:tabs>
          <w:tab w:leader="none" w:pos="123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Global Security to Restricted Non-global Security. In</w:t>
      </w: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the event that Non-global Securities are to be issued pursuant to Section</w:t>
      </w:r>
    </w:p>
    <w:p>
      <w:pPr>
        <w:spacing w:after="0" w:line="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3.4(1)(ii) in connection with any transfer of Securities, such transfer may be effected only in accordance with the provisions of this Clause (2)(i) and subject to the Applicable Procedures. Upon receipt by the Trustee, as Security Registrar, of (A) a Company Order from the Company directing the Trustee, as Security Registrar, to (x) authenticate and deliver one or more Securities of the same aggregate principal amount as the beneficial interest in the Restricted Global Security to be transferred, such instructions to contain the name or names of the designated transferee or transferees, the authorized denomination or denominations of the Securities to be so issued and appropriate delivery instructions and (y) decrease the beneficial interest of a specified Agent Member's account in a Restricted Global Security by a specified principal amount not greater than the principal amount of such Restricted Global Security, and</w:t>
      </w:r>
    </w:p>
    <w:p>
      <w:pPr>
        <w:spacing w:after="0" w:line="4" w:lineRule="exact"/>
        <w:rPr>
          <w:sz w:val="20"/>
          <w:szCs w:val="20"/>
          <w:color w:val="auto"/>
        </w:rPr>
      </w:pPr>
    </w:p>
    <w:p>
      <w:pPr>
        <w:ind w:left="10" w:right="3179" w:hanging="10"/>
        <w:spacing w:after="0" w:line="238" w:lineRule="auto"/>
        <w:tabs>
          <w:tab w:leader="none" w:pos="36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certifications, legal opinions or other information as the Company or the Trustee may reasonably require to confirm that such transfer is being made pursuant to an exemption from, or in a transaction not subject to, the registration requirements of the Securities Act, then the Trustee, as Security Registrar, shall decrease the principal amount of the Restricted Global Security by the specified amount and authenticate and deliver Securities in accordance with such instructions from the Company as provided in Section 3.4(1)(iii).</w:t>
      </w:r>
    </w:p>
    <w:p>
      <w:pPr>
        <w:spacing w:after="0" w:line="178" w:lineRule="exact"/>
        <w:rPr>
          <w:sz w:val="20"/>
          <w:szCs w:val="20"/>
          <w:color w:val="auto"/>
        </w:rPr>
      </w:pPr>
    </w:p>
    <w:p>
      <w:pPr>
        <w:ind w:left="1330" w:hanging="448"/>
        <w:spacing w:after="0"/>
        <w:tabs>
          <w:tab w:leader="none" w:pos="133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Non-global Security to Restricted Global Security. If</w:t>
      </w:r>
    </w:p>
    <w:p>
      <w:pPr>
        <w:spacing w:after="0" w:line="5" w:lineRule="exact"/>
        <w:rPr>
          <w:rFonts w:ascii="Courier New" w:cs="Courier New" w:eastAsia="Courier New" w:hAnsi="Courier New"/>
          <w:sz w:val="14"/>
          <w:szCs w:val="14"/>
          <w:color w:val="auto"/>
        </w:rPr>
      </w:pPr>
    </w:p>
    <w:p>
      <w:pPr>
        <w:ind w:left="13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Holder of a Restricted Security (other than a Global Security) wishes at any time to transfer all or any portion of such Restricted Security to a Person who wishes to take delivery thereof in the form of a beneficial interest in the Restricted Global Security, such transfer may be effected only in accordance with the provisions of this Clause (2)(ii) and subject to the Applicable Procedures. Upon receipt by the Trustee, as Security Registrar, of (A) such Restricted Security as provided in Section 3.5(1) and instructions from the Company directing that a beneficial interest in the Restricted Global Security in a specified principal amount not greater than the principal amount of such Security be credited to a specified Agent Member's account and (B) a Restricted Securities Certificate, satisfactory to the Trustee and duly executed by such Holder or his attorney duly authorized in writing, then the Trustee, as Security Registrar, shall cancel such Restricted Security (and issue a new Restricted Security in respect of any untransferred portion thereof) as provided in Section 3.5(1) and increase the principal amount of the Restricted Global Security by the specified principal amount as provided in Section 3.4(1)(iii).</w:t>
      </w:r>
    </w:p>
    <w:p>
      <w:pPr>
        <w:spacing w:after="0" w:line="15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9"/>
          </w:cols>
          <w:pgMar w:left="230" w:top="627" w:right="1440" w:bottom="1440" w:gutter="0" w:footer="0" w:header="0"/>
        </w:sectPr>
      </w:pPr>
    </w:p>
    <w:bookmarkStart w:id="95" w:name="page96"/>
    <w:bookmarkEnd w:id="95"/>
    <w:p>
      <w:pPr>
        <w:ind w:left="1400" w:hanging="528"/>
        <w:spacing w:after="0"/>
        <w:tabs>
          <w:tab w:leader="none" w:pos="14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Exchanges Between Global Security and Non-global Security. A</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beneficial interest in a Global Security may be exchanged for a Security that is not a Global Security only as provided in Section 3.4 or only if such exchange occurs in connection with a transfer effected in accordance with Clause 2(i) above, provided that, if such interest is a beneficial interest in the Restricted Global Security, then such interest shall be exchanged for a Restricted Security (subject in each case to Section 3.5(3)). A Security that is not a Global Security may be exchanged for a beneficial interest in a Global Security only if such exchange occurs in connection with a transfer effected in accordance with Clause (2)(ii) above.</w:t>
      </w:r>
    </w:p>
    <w:p>
      <w:pPr>
        <w:spacing w:after="0" w:line="173" w:lineRule="exact"/>
        <w:rPr>
          <w:sz w:val="20"/>
          <w:szCs w:val="20"/>
          <w:color w:val="auto"/>
        </w:rPr>
      </w:pPr>
    </w:p>
    <w:p>
      <w:pPr>
        <w:ind w:left="780" w:hanging="349"/>
        <w:spacing w:after="0"/>
        <w:tabs>
          <w:tab w:leader="none" w:pos="7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Legends. All Securities issued pursuant to this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Indenture, and all Successor Securities, shall bear the Restricted Securities Legend, subject to the following:</w:t>
      </w:r>
    </w:p>
    <w:p>
      <w:pPr>
        <w:spacing w:after="0" w:line="176" w:lineRule="exact"/>
        <w:rPr>
          <w:sz w:val="20"/>
          <w:szCs w:val="20"/>
          <w:color w:val="auto"/>
        </w:rPr>
      </w:pPr>
    </w:p>
    <w:p>
      <w:pPr>
        <w:ind w:right="3259" w:firstLine="872"/>
        <w:spacing w:after="0" w:line="237" w:lineRule="auto"/>
        <w:tabs>
          <w:tab w:leader="none" w:pos="123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Clauses of this Section 3.5(3), a Security or any portion thereof which is exchanged, upon transfer or otherwise, for a Global Security or any portion thereof shall bear the Restricted Securities Legend borne by such Global Security for which the Security was exchanged;</w:t>
      </w:r>
    </w:p>
    <w:p>
      <w:pPr>
        <w:spacing w:after="0" w:line="178" w:lineRule="exact"/>
        <w:rPr>
          <w:rFonts w:ascii="Courier New" w:cs="Courier New" w:eastAsia="Courier New" w:hAnsi="Courier New"/>
          <w:sz w:val="15"/>
          <w:szCs w:val="15"/>
          <w:color w:val="auto"/>
        </w:rPr>
      </w:pPr>
    </w:p>
    <w:p>
      <w:pPr>
        <w:ind w:right="3179" w:firstLine="872"/>
        <w:spacing w:after="0" w:line="237" w:lineRule="auto"/>
        <w:tabs>
          <w:tab w:leader="none" w:pos="132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Clauses of this Section 3.5(3), a new Security which is not a Global Security and is issued in exchange for another Security (including a Global Security) or any portion thereof, upon transfer or otherwise, shall bear the Restricted Securities Legend borne by the Security for which the new Security was exchanged;</w:t>
      </w:r>
    </w:p>
    <w:p>
      <w:pPr>
        <w:spacing w:after="0" w:line="178" w:lineRule="exact"/>
        <w:rPr>
          <w:rFonts w:ascii="Courier New" w:cs="Courier New" w:eastAsia="Courier New" w:hAnsi="Courier New"/>
          <w:sz w:val="15"/>
          <w:szCs w:val="15"/>
          <w:color w:val="auto"/>
        </w:rPr>
      </w:pPr>
    </w:p>
    <w:p>
      <w:pPr>
        <w:ind w:right="3179" w:firstLine="872"/>
        <w:spacing w:after="0" w:line="238" w:lineRule="auto"/>
        <w:tabs>
          <w:tab w:leader="none" w:pos="141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Securities which are sold or otherwise disposed of pursuant to an effective registration statement under the Securities Act (including the Shelf Registration Statement), together with their Successor Securities shall not bear a Restricted Securities Legend; the Company shall inform the Trustee in writing of the effective date of any such registration statement registering the Securities under the Securities Act and shall notify the Trustee at any time when prospectuses must be delivered with respect to Securities to be sold pursuant to such registration statement. The Trustee shall not be liable for any action taken or omitted to be taken by it in good faith in accordance with the aforementioned registration statement;</w:t>
      </w:r>
    </w:p>
    <w:p>
      <w:pPr>
        <w:spacing w:after="0" w:line="179" w:lineRule="exact"/>
        <w:rPr>
          <w:rFonts w:ascii="Courier New" w:cs="Courier New" w:eastAsia="Courier New" w:hAnsi="Courier New"/>
          <w:sz w:val="15"/>
          <w:szCs w:val="15"/>
          <w:color w:val="auto"/>
        </w:rPr>
      </w:pPr>
    </w:p>
    <w:p>
      <w:pPr>
        <w:ind w:right="3179" w:firstLine="872"/>
        <w:spacing w:after="0" w:line="257" w:lineRule="auto"/>
        <w:tabs>
          <w:tab w:leader="none" w:pos="1322"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after the Securities may be freely transferred without registration under the Securities Act or without being subject to transfer restrictions pursuant to the Securities Act, a new Security which does not bear a Restricted Securities Legend may be issued in exchange for or in lieu of a Security (other than a Global Security) or any portion thereof which bears such a legend if the Trustee has received an Unrestricted Securities Certificate, satisfactory to the Trustee and duly executed by the Holder of such Security bearing a Restricted Securities Legend or his attorney duly authorized in writing, and after such date and receipt of such certificate, the Trustee shall authenticate and deliver such new Security in exchange for or in lieu of such other Security as provided in this Article III;</w:t>
      </w:r>
    </w:p>
    <w:p>
      <w:pPr>
        <w:spacing w:after="0" w:line="165" w:lineRule="exact"/>
        <w:rPr>
          <w:rFonts w:ascii="Courier New" w:cs="Courier New" w:eastAsia="Courier New" w:hAnsi="Courier New"/>
          <w:sz w:val="14"/>
          <w:szCs w:val="14"/>
          <w:color w:val="auto"/>
        </w:rPr>
      </w:pPr>
    </w:p>
    <w:p>
      <w:pPr>
        <w:ind w:right="3259" w:firstLine="872"/>
        <w:spacing w:after="0" w:line="238" w:lineRule="auto"/>
        <w:tabs>
          <w:tab w:leader="none" w:pos="123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Security which does not bear a Restricted Securities Legend may be issued in exchange for or in lieu of a Security or any portion thereof which bears such a legend if, in the Company's judgment, placing such a legend upon such new Security is not necessary to ensure compliance with the registration requirements of the Securities Act, and the Trustee, at the direction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2" w:right="1440" w:bottom="1440" w:gutter="0" w:footer="0" w:header="0"/>
        </w:sectPr>
      </w:pPr>
    </w:p>
    <w:bookmarkStart w:id="96" w:name="page97"/>
    <w:bookmarkEnd w:id="96"/>
    <w:p>
      <w:pPr>
        <w:ind w:right="3359"/>
        <w:spacing w:after="0" w:line="235" w:lineRule="auto"/>
        <w:rPr>
          <w:sz w:val="20"/>
          <w:szCs w:val="20"/>
          <w:color w:val="auto"/>
        </w:rPr>
      </w:pPr>
      <w:r>
        <w:rPr>
          <w:rFonts w:ascii="Courier New" w:cs="Courier New" w:eastAsia="Courier New" w:hAnsi="Courier New"/>
          <w:sz w:val="15"/>
          <w:szCs w:val="15"/>
          <w:color w:val="auto"/>
        </w:rPr>
        <w:t>of the Company, shall authenticate and deliver such a new Security as provided in this Article III; and</w:t>
      </w:r>
    </w:p>
    <w:p>
      <w:pPr>
        <w:spacing w:after="0" w:line="176" w:lineRule="exact"/>
        <w:rPr>
          <w:sz w:val="20"/>
          <w:szCs w:val="20"/>
          <w:color w:val="auto"/>
        </w:rPr>
      </w:pPr>
    </w:p>
    <w:p>
      <w:pPr>
        <w:ind w:right="3179" w:firstLine="872"/>
        <w:spacing w:after="0" w:line="257" w:lineRule="auto"/>
        <w:tabs>
          <w:tab w:leader="none" w:pos="1322"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3.5(3), a Successor Security of a Security that does not bear a Restricted Securities Legend shall not bear such legend unless the Company has reasonable cause to believe that such Successor Security is a "restricted security" within the meaning of Rule 144, in which case the Trustee, at the direction of the Company, shall authenticate and deliver a new Security bearing a Restricted Securities Legend in exchange for such Successor Security as provided in this Article III.</w:t>
      </w:r>
    </w:p>
    <w:p>
      <w:pPr>
        <w:spacing w:after="0" w:line="167" w:lineRule="exact"/>
        <w:rPr>
          <w:rFonts w:ascii="Courier New" w:cs="Courier New" w:eastAsia="Courier New" w:hAnsi="Courier New"/>
          <w:sz w:val="14"/>
          <w:szCs w:val="14"/>
          <w:color w:val="auto"/>
        </w:rPr>
      </w:pPr>
    </w:p>
    <w:p>
      <w:pPr>
        <w:ind w:right="3179" w:firstLine="431"/>
        <w:spacing w:after="0" w:line="238" w:lineRule="auto"/>
        <w:tabs>
          <w:tab w:leader="none" w:pos="793"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 certificate representing shares of Common Stock issued upon conversion of the Securities shall bear the Restricted Securities Legend borne by such Securities, to the extent required by this Indenture, unless such shares of Common Stock have been sold pursuant to a registration statement that has been declared effective under the Securities Act (and which continues to be effective at the time of such transfer) or sold pursuant to Rule 144(k) of the Securities Act, or unless otherwise agreed by the Company in writing with written notice thereof to the transfer agent for the Common Stock. With respect to the transfer of shares of Common Stock issued upon conversion of the Securities that are restricted hereunder, any deliveries of certificates, legal opinions or other instruments that would be required to be made to the Security Registrar in the case of a transfer of Securities, as described above, shall instead be made to the transfer agent for the Common Stock.</w:t>
      </w:r>
    </w:p>
    <w:p>
      <w:pPr>
        <w:spacing w:after="0" w:line="182" w:lineRule="exact"/>
        <w:rPr>
          <w:rFonts w:ascii="Courier New" w:cs="Courier New" w:eastAsia="Courier New" w:hAnsi="Courier New"/>
          <w:sz w:val="15"/>
          <w:szCs w:val="15"/>
          <w:color w:val="auto"/>
        </w:rPr>
      </w:pPr>
    </w:p>
    <w:p>
      <w:pPr>
        <w:jc w:val="both"/>
        <w:ind w:right="3179" w:firstLine="431"/>
        <w:spacing w:after="0" w:line="259" w:lineRule="auto"/>
        <w:tabs>
          <w:tab w:leader="none" w:pos="793"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Trustee, the Paying Agent nor any of their agents shall (i) have any duty to monitor compliance with or with respect to any federal or state or other securities or tax laws or (ii) have any duty to obtain documentation on any transfers or exchanges other than as specifically required hereunder.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 Mutilated, Destroyed, Lost or Stolen Securities.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there shall be delivered to the Company and to the Trustee:</w:t>
      </w:r>
    </w:p>
    <w:p>
      <w:pPr>
        <w:spacing w:after="0" w:line="175" w:lineRule="exact"/>
        <w:rPr>
          <w:sz w:val="20"/>
          <w:szCs w:val="20"/>
          <w:color w:val="auto"/>
        </w:rPr>
      </w:pPr>
    </w:p>
    <w:p>
      <w:pPr>
        <w:ind w:right="3179" w:firstLine="431"/>
        <w:spacing w:after="0" w:line="235" w:lineRule="auto"/>
        <w:tabs>
          <w:tab w:leader="none" w:pos="793"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to their satisfaction of the destruction, loss or theft of any Security, and</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security or indemnity as may be satisfactory to the Company and the Trustee to save each of them and any agent of either of them harmless, then, in the absence of actual notice to the Company or the Trustee that such Security has been acquired by a bona fide purchaser, the Company shall execute and the Trustee shall authenticate and deliver, in lieu of any such destroyed, lost or stolen Security, a new Security of like tenor and principal amount and bearing a number not contemporaneously outstanding.</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7" w:right="1440" w:bottom="1440" w:gutter="0" w:footer="0" w:header="0"/>
        </w:sectPr>
      </w:pPr>
    </w:p>
    <w:bookmarkStart w:id="97" w:name="page98"/>
    <w:bookmarkEnd w:id="97"/>
    <w:p>
      <w:pPr>
        <w:ind w:right="3359" w:firstLine="441"/>
        <w:spacing w:after="0" w:line="237"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 Company in its discretion, but subject to any conversion rights, may, instead of issuing a new Security, pay such Security, upon satisfaction of the conditions set forth in the preceding paragraph.</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Upon the issuance of any new Security under this Section 3.6, the Company may require the payment of a sum sufficient to cover any tax or other governmental charge that may be imposed in relation thereto (other than any stamp and other duties, if any, which may be imposed in connection therewith by the United States or any political subdivision thereof or therein, which shall be paid by the Company) and any other expenses (including the fees and expenses of the Trustee) connected therewith.</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Every new Security issued pursuant to this Section 3.6 in lieu of any mutilated, destroyed, lost or stolen Security shall constitute an original additional contractual obligation of the Company, whether or not the mutilated, destroyed, lost or stolen Security shall be at any time enforceable by anyone, and such new Security shall be entitled to all the benefits of this Indenture equally and proportionately with any and all other Securities duly issued hereunder.</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provisions of this Section 3.6 are exclusive and shall preclude (to the extent lawful) all other rights and remedies of any Holder with respect to the replacement or payment of mutilated, destroyed, lost or stolen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3.7 Payment of Interest; Interest Rights Preserved.</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3"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6" w:lineRule="exact"/>
        <w:rPr>
          <w:sz w:val="20"/>
          <w:szCs w:val="20"/>
          <w:color w:val="auto"/>
        </w:rPr>
      </w:pPr>
    </w:p>
    <w:p>
      <w:pPr>
        <w:ind w:right="3179" w:firstLine="431"/>
        <w:spacing w:after="0" w:line="238" w:lineRule="auto"/>
        <w:tabs>
          <w:tab w:leader="none" w:pos="793"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the date of the proposed payment and the Special Record Date,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 Special Record Date for the payment of such</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1440" w:gutter="0" w:footer="0" w:header="0"/>
        </w:sectPr>
      </w:pPr>
    </w:p>
    <w:bookmarkStart w:id="98" w:name="page99"/>
    <w:bookmarkEnd w:id="98"/>
    <w:p>
      <w:pPr>
        <w:ind w:right="3179"/>
        <w:spacing w:after="0" w:line="257" w:lineRule="auto"/>
        <w:rPr>
          <w:sz w:val="20"/>
          <w:szCs w:val="20"/>
          <w:color w:val="auto"/>
        </w:rPr>
      </w:pPr>
      <w:r>
        <w:rPr>
          <w:rFonts w:ascii="Courier New" w:cs="Courier New" w:eastAsia="Courier New" w:hAnsi="Courier New"/>
          <w:sz w:val="14"/>
          <w:szCs w:val="14"/>
          <w:color w:val="auto"/>
        </w:rPr>
        <w:t>Defaulted Interest shall be not more than 15 days and not less than 10 days prior to the date of the proposed payment and not less than 10 days after the receipt by the Trustee of the notice of the proposed payment. The Trustee, in the name and at the expense of the Company, shall cause notice of the proposed payment of such Defaulted Interest and the Special Record Date therefor to be mailed, first-class postage prepaid, to each Holder at such Holder's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166" w:lineRule="exact"/>
        <w:rPr>
          <w:sz w:val="20"/>
          <w:szCs w:val="20"/>
          <w:color w:val="auto"/>
        </w:rPr>
      </w:pPr>
    </w:p>
    <w:p>
      <w:pPr>
        <w:ind w:right="3179" w:firstLine="431"/>
        <w:spacing w:after="0" w:line="238" w:lineRule="auto"/>
        <w:tabs>
          <w:tab w:leader="none" w:pos="79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Subject to the foregoing provisions of this Section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Interest on any Security which is converted in accordance with Section 12.2 during a Record Date Period shall be payable in accordance with the provisions of Section 12.2.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3.8 Persons Deemed Owners.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Prior to due presentment of a Security for registration of transfer, the Company, the Trustee, any Paying Agent and any agent of the Company, the Trustee or any Paying Agent may treat the Person in whose name such Security is registered as the owner of such Security for the purpose of receiving payment of principal of, premium, if any, and (subject to Section 3.7) interest on such Security and for all other purposes whatsoever, whether or not such Security be overdue, and neither the Company, the Trustee, any Paying Agent nor any agent of the Company, the Trustee or any Paying Agent shall be affected by notice to the contrary.</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SECTION 3.9 Cancellation.</w:t>
      </w:r>
    </w:p>
    <w:p>
      <w:pPr>
        <w:ind w:left="1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All Securities surrendered for payment, redemption, repurchase, registration of transfer or exchange or conversion, shall, if surrendered to any Person other than the Trustee, be delivered to the Trustee. All Securities so delivered to the Trustee shall be canceled promptly by the Trustee (or its agent). No Securities shall be authenticated in lieu of or in exchange for any Securities canceled as provided in this Section 3.9. The Trustee shall dispose of all canceled Securities in accordance with applicable law and its customary practices in effect from time to time.</w:t>
      </w:r>
    </w:p>
    <w:p>
      <w:pPr>
        <w:spacing w:after="0" w:line="1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Computation of Interest.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7" w:right="1440" w:bottom="1440" w:gutter="0" w:footer="0" w:header="0"/>
        </w:sectPr>
      </w:pPr>
    </w:p>
    <w:bookmarkStart w:id="99" w:name="page100"/>
    <w:bookmarkEnd w:id="99"/>
    <w:p>
      <w:pPr>
        <w:ind w:left="10" w:right="3619" w:firstLine="441"/>
        <w:spacing w:after="0" w:line="235" w:lineRule="auto"/>
        <w:rPr>
          <w:sz w:val="20"/>
          <w:szCs w:val="20"/>
          <w:color w:val="auto"/>
        </w:rPr>
      </w:pPr>
      <w:r>
        <w:rPr>
          <w:rFonts w:ascii="Courier New" w:cs="Courier New" w:eastAsia="Courier New" w:hAnsi="Courier New"/>
          <w:sz w:val="15"/>
          <w:szCs w:val="15"/>
          <w:color w:val="auto"/>
        </w:rPr>
        <w:t>Interest on the Securities (including any Liquidated Damages) shall be computed on the basis of a 360-day year of twelve 30-day months.</w:t>
      </w:r>
    </w:p>
    <w:p>
      <w:pPr>
        <w:spacing w:after="0" w:line="170"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4"/>
          <w:szCs w:val="14"/>
          <w:color w:val="auto"/>
        </w:rPr>
        <w:t>CUSIP Numbers.</w:t>
      </w:r>
    </w:p>
    <w:p>
      <w:pPr>
        <w:ind w:left="13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Company in issuing Securities may use "CUSIP" numbers (if then generally in use) in addition to serial numbers; if so, the Trustee shall use such CUSIP numbers in addition to serial numbers in notices of redemption and repurchase as a convenience to Holders; provided that any such notice may state that no representation is made as to the correctness of such CUSIP numbers either as printed on the Securities or as contained in any notice of a redemption or repurchase and that reliance may be placed only on the serial or other identification numbers printed on the Securities, and any such redemption or repurchase shall not be affected by any defect in or omission of such CUSIP numbers.</w:t>
      </w:r>
    </w:p>
    <w:p>
      <w:pPr>
        <w:spacing w:after="0" w:line="174"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IV</w:t>
      </w:r>
    </w:p>
    <w:p>
      <w:pPr>
        <w:jc w:val="center"/>
        <w:ind w:right="3170"/>
        <w:spacing w:after="0"/>
        <w:rPr>
          <w:sz w:val="20"/>
          <w:szCs w:val="20"/>
          <w:color w:val="auto"/>
        </w:rPr>
      </w:pPr>
      <w:r>
        <w:rPr>
          <w:rFonts w:ascii="Courier New" w:cs="Courier New" w:eastAsia="Courier New" w:hAnsi="Courier New"/>
          <w:sz w:val="15"/>
          <w:szCs w:val="15"/>
          <w:color w:val="auto"/>
        </w:rPr>
        <w:t>SATISFACTION AND DISCHARGE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4.1 Satisfaction And Discharge of Indenture.</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This Indenture shall upon Company Request cease to be of further effect (except as to any surviving rights of conversion, or registration of transfer or exchange, or replacement of Securities herein expressly provided for and any right to receive Liquidated Damages as provided in Section 10.11 and in the form of Securities set forth in Section 2.2 and the Company's obligations to the Trustee pursuant to Section 6.7), and the Trustee, at the expense of the Company, shall execute proper instruments in form and substance satisfactory to the Trustee acknowledging satisfaction and discharge of this Indenture, when</w:t>
      </w:r>
    </w:p>
    <w:p>
      <w:pPr>
        <w:spacing w:after="0" w:line="161" w:lineRule="exact"/>
        <w:rPr>
          <w:sz w:val="20"/>
          <w:szCs w:val="20"/>
          <w:color w:val="auto"/>
        </w:rPr>
      </w:pPr>
    </w:p>
    <w:p>
      <w:pPr>
        <w:ind w:left="790" w:hanging="349"/>
        <w:spacing w:after="0"/>
        <w:tabs>
          <w:tab w:leader="none" w:pos="79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4" w:lineRule="exact"/>
        <w:rPr>
          <w:rFonts w:ascii="Courier New" w:cs="Courier New" w:eastAsia="Courier New" w:hAnsi="Courier New"/>
          <w:sz w:val="15"/>
          <w:szCs w:val="15"/>
          <w:color w:val="auto"/>
        </w:rPr>
      </w:pPr>
    </w:p>
    <w:p>
      <w:pPr>
        <w:ind w:left="1230" w:hanging="348"/>
        <w:spacing w:after="0"/>
        <w:tabs>
          <w:tab w:leader="none" w:pos="1230" w:val="left"/>
        </w:tabs>
        <w:numPr>
          <w:ilvl w:val="2"/>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theretofore authenticated and delivered (other than</w:t>
      </w:r>
    </w:p>
    <w:p>
      <w:pPr>
        <w:spacing w:after="0" w:line="5"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destroyed, lost or stolen and which have been</w:t>
      </w:r>
    </w:p>
    <w:p>
      <w:pPr>
        <w:spacing w:after="0" w:line="4" w:lineRule="exact"/>
        <w:rPr>
          <w:rFonts w:ascii="Courier New" w:cs="Courier New" w:eastAsia="Courier New" w:hAnsi="Courier New"/>
          <w:sz w:val="15"/>
          <w:szCs w:val="15"/>
          <w:color w:val="auto"/>
        </w:rPr>
      </w:pPr>
    </w:p>
    <w:p>
      <w:pPr>
        <w:ind w:left="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replaced or paid as provided in Section 3.6 and (B)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178" w:lineRule="exact"/>
        <w:rPr>
          <w:rFonts w:ascii="Courier New" w:cs="Courier New" w:eastAsia="Courier New" w:hAnsi="Courier New"/>
          <w:sz w:val="15"/>
          <w:szCs w:val="15"/>
          <w:color w:val="auto"/>
        </w:rPr>
      </w:pPr>
    </w:p>
    <w:p>
      <w:pPr>
        <w:ind w:left="10" w:right="3179" w:firstLine="872"/>
        <w:spacing w:after="0" w:line="256" w:lineRule="auto"/>
        <w:tabs>
          <w:tab w:leader="none" w:pos="1332" w:val="left"/>
        </w:tabs>
        <w:numPr>
          <w:ilvl w:val="2"/>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Securities not theretofore delivered to the Trustee or its agent for cancellation (other than Securities referred to in clauses (A) and</w:t>
      </w:r>
    </w:p>
    <w:p>
      <w:pPr>
        <w:ind w:left="350" w:hanging="350"/>
        <w:spacing w:after="0"/>
        <w:tabs>
          <w:tab w:leader="none" w:pos="3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clause (1)(i) above)</w:t>
      </w:r>
    </w:p>
    <w:p>
      <w:pPr>
        <w:spacing w:after="0" w:line="168" w:lineRule="exact"/>
        <w:rPr>
          <w:rFonts w:ascii="Courier New" w:cs="Courier New" w:eastAsia="Courier New" w:hAnsi="Courier New"/>
          <w:sz w:val="15"/>
          <w:szCs w:val="15"/>
          <w:color w:val="auto"/>
        </w:rPr>
      </w:pPr>
    </w:p>
    <w:p>
      <w:pPr>
        <w:ind w:left="1670" w:hanging="347"/>
        <w:spacing w:after="0"/>
        <w:tabs>
          <w:tab w:leader="none" w:pos="1670" w:val="left"/>
        </w:tabs>
        <w:numPr>
          <w:ilvl w:val="3"/>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69" w:lineRule="exact"/>
        <w:rPr>
          <w:rFonts w:ascii="Courier New" w:cs="Courier New" w:eastAsia="Courier New" w:hAnsi="Courier New"/>
          <w:sz w:val="15"/>
          <w:szCs w:val="15"/>
          <w:color w:val="auto"/>
        </w:rPr>
      </w:pPr>
    </w:p>
    <w:p>
      <w:pPr>
        <w:ind w:left="1670" w:hanging="347"/>
        <w:spacing w:after="0"/>
        <w:tabs>
          <w:tab w:leader="none" w:pos="1670" w:val="left"/>
        </w:tabs>
        <w:numPr>
          <w:ilvl w:val="3"/>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have become due and payable at their Stated Maturity</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year, or</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627" w:right="1440" w:bottom="1440" w:gutter="0" w:footer="0" w:header="0"/>
        </w:sectPr>
      </w:pPr>
    </w:p>
    <w:bookmarkStart w:id="100" w:name="page101"/>
    <w:bookmarkEnd w:id="100"/>
    <w:p>
      <w:pPr>
        <w:ind w:right="3179" w:firstLine="1313"/>
        <w:spacing w:after="0" w:line="238" w:lineRule="auto"/>
        <w:tabs>
          <w:tab w:leader="none" w:pos="167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 and the Company, in the case of clause (a), (b) or (c) above, has deposited or caused to be deposited with the Trustee as trust funds (immediately available to the Holders in the case of clause (a)) in trust for the purpose an amount in cash sufficient to pay and discharge the entire indebtedness on such Securities not theretofore delivered to the Trustee for cancellation, for principal, premium, if any, and interest (including any Liquidated Damages) to the date of such deposit (in the case of Securities which have become due and payable) or to the Stated Maturity or Redemption Date, as the case may be;</w:t>
      </w:r>
    </w:p>
    <w:p>
      <w:pPr>
        <w:spacing w:after="0" w:line="180" w:lineRule="exact"/>
        <w:rPr>
          <w:rFonts w:ascii="Courier New" w:cs="Courier New" w:eastAsia="Courier New" w:hAnsi="Courier New"/>
          <w:sz w:val="15"/>
          <w:szCs w:val="15"/>
          <w:color w:val="auto"/>
        </w:rPr>
      </w:pPr>
    </w:p>
    <w:p>
      <w:pPr>
        <w:ind w:right="3799" w:firstLine="431"/>
        <w:spacing w:after="0" w:line="235" w:lineRule="auto"/>
        <w:tabs>
          <w:tab w:leader="none" w:pos="79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5"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6.7, the obligations of the Company to any Authenticating Agent under Section 6.12, the obligations of the Trustee under Section 4.2 and the last paragraph of Section 10.3 and the obligations of the Company and the Trustee under Section 3.5 and Article XII shall survive. Funds held in trust pursuant to this Section are not subject to the provisions of Article XIII.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 Application of Trust Money.</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Subject to the provisions of the last paragraph of Section 10.3, all money deposited with the Trustee pursuant to Section 4.1 and in accordance with the provisions of Article XIII shall be held in trust for the sole benefit of the Holders and not be subject to the subordination provisions of Article XIII, and such monies shall be applied by the Trustee, in accordance with the provisions of the Securities and this Indenture, to the payment, either directly or through any Paying Agent, to the Persons entitled thereto, of the principal, premium, if any, and interest for whose payment such money has been deposited with the Trustee.</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All moneys deposited with the Trustee pursuant to Section 4.1 (and held by it or any Paying Agent) for the payment of Securities subsequently converted shall be returned to the Company upon Company Request.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or assessed against all money deposited with the Trustee pursuant to Section 4.1 (other than income taxes and franchise taxes incurred or payable by the Trustee and such other taxes, fees or charges incurred or payable by the Trustee that are not directly the result of the deposit of such money with the Trustee).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1440" w:gutter="0" w:footer="0" w:header="0"/>
        </w:sectPr>
      </w:pPr>
    </w:p>
    <w:bookmarkStart w:id="101" w:name="page102"/>
    <w:bookmarkEnd w:id="101"/>
    <w:p>
      <w:pPr>
        <w:jc w:val="right"/>
        <w:ind w:right="6359"/>
        <w:spacing w:after="0"/>
        <w:rPr>
          <w:sz w:val="20"/>
          <w:szCs w:val="20"/>
          <w:color w:val="auto"/>
        </w:rPr>
      </w:pPr>
      <w:r>
        <w:rPr>
          <w:rFonts w:ascii="Courier New" w:cs="Courier New" w:eastAsia="Courier New" w:hAnsi="Courier New"/>
          <w:sz w:val="15"/>
          <w:szCs w:val="15"/>
          <w:color w:val="auto"/>
        </w:rPr>
        <w:t>ARTICLE V</w:t>
      </w:r>
    </w:p>
    <w:p>
      <w:pPr>
        <w:jc w:val="right"/>
        <w:ind w:right="6359"/>
        <w:spacing w:after="0"/>
        <w:rPr>
          <w:sz w:val="20"/>
          <w:szCs w:val="20"/>
          <w:color w:val="auto"/>
        </w:rPr>
      </w:pPr>
      <w:r>
        <w:rPr>
          <w:rFonts w:ascii="Courier New" w:cs="Courier New" w:eastAsia="Courier New" w:hAnsi="Courier New"/>
          <w:sz w:val="15"/>
          <w:szCs w:val="15"/>
          <w:color w:val="auto"/>
        </w:rPr>
        <w:t>REMEDIES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 Events of Default.</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"Event of Default", wherever used herein, means any one of the following events (whatever the reason for such Event of Default and whether it shall be occasioned by the provisions of Article XIII or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right="3359" w:firstLine="431"/>
        <w:spacing w:after="0" w:line="237" w:lineRule="auto"/>
        <w:tabs>
          <w:tab w:leader="none" w:pos="793"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at its Maturity, whether or not such payment is prohibited by the subordination provisions of the Securities or of this Indenture; or</w:t>
      </w:r>
    </w:p>
    <w:p>
      <w:pPr>
        <w:spacing w:after="0" w:line="174" w:lineRule="exact"/>
        <w:rPr>
          <w:rFonts w:ascii="Courier New" w:cs="Courier New" w:eastAsia="Courier New" w:hAnsi="Courier New"/>
          <w:sz w:val="15"/>
          <w:szCs w:val="15"/>
          <w:color w:val="auto"/>
        </w:rPr>
      </w:pPr>
    </w:p>
    <w:p>
      <w:pPr>
        <w:ind w:right="3259" w:firstLine="431"/>
        <w:spacing w:after="0" w:line="259" w:lineRule="auto"/>
        <w:tabs>
          <w:tab w:leader="none" w:pos="79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(including any Liquidated Damages) upon any Security when it becomes due and payable, and continuance of such default for a period of 30 days, whether or not such payment is prohibited by the subordination provisions of the Securities or of this Indenture; or</w:t>
      </w:r>
    </w:p>
    <w:p>
      <w:pPr>
        <w:spacing w:after="0" w:line="162" w:lineRule="exact"/>
        <w:rPr>
          <w:rFonts w:ascii="Courier New" w:cs="Courier New" w:eastAsia="Courier New" w:hAnsi="Courier New"/>
          <w:sz w:val="14"/>
          <w:szCs w:val="14"/>
          <w:color w:val="auto"/>
        </w:rPr>
      </w:pPr>
    </w:p>
    <w:p>
      <w:pPr>
        <w:ind w:right="3619" w:firstLine="431"/>
        <w:spacing w:after="0" w:line="237" w:lineRule="auto"/>
        <w:tabs>
          <w:tab w:leader="none" w:pos="793"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give a Company Notice in accordance with Section 14.3 whether or not such Company Notice is prohibited by the subordination provisions of the Securities or the Indenture; or</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the performance or breach of which is specifically dealt with elsewhere in this Section), and continuance of such default or breach for a period of 60 days after there has been given, by registered or certified mail, to the Company by the Trustee or to the Company and the Trustee by the Holders of at least 25% in principal amount of the Outstanding Securities a written notice specifying such default or breach and requiring it to be remedied and stating that such notice is a "Notice of Default" hereunder; or</w:t>
      </w:r>
    </w:p>
    <w:p>
      <w:pPr>
        <w:spacing w:after="0" w:line="178"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indebtedness under any bonds, debentures, notes or other evidences of indebtedness for money borrowed (or guarantee thereof) by the Company or any Significant Subsidiary or under any mortgage, indenture or instrument under which there may be issued or by which there may be secured or evidenced any indebtedness for money borrowed by the Company or any Significant Subsidiary (an "Instrument") with an aggregate principal amount in excess of U.S. $45,000,000, whether such indebtedness now exists or shall hereafter be created, is not paid at final maturity of any Instrument (either at its stated maturity or upon acceleration thereof), and such indebtedness is not discharged, or such acceleration is not rescinded or annulled, within a period of 30 days after there shall have been given, by registered or certified mail, to the Company by the Trustee or to the Company and the Trustee by the Holders of at least 25% in principal amount of the Outstanding Securities a written notice specifying such default and requiring the Company to cause such indebtedness to be discharged or cause such default to be cured or waived or such acceleration to be rescinded or annulled and stating that such notice is a "Notice of Default" hereunder; or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2" w:right="1440" w:bottom="1440" w:gutter="0" w:footer="0" w:header="0"/>
        </w:sectPr>
      </w:pPr>
    </w:p>
    <w:bookmarkStart w:id="102" w:name="page103"/>
    <w:bookmarkEnd w:id="102"/>
    <w:p>
      <w:pPr>
        <w:ind w:right="3259" w:firstLine="431"/>
        <w:spacing w:after="0" w:line="238" w:lineRule="auto"/>
        <w:tabs>
          <w:tab w:leader="none" w:pos="79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or any Significant Subsidiary in an involuntary case or proceeding under any applicable Federal or State bankruptcy, insolvency, reorganization or other similar law or (B) a decree or order adjudging the Company or any Significant Subsidiary a bankrupt or insolvent, or approving as properly filed a petition seeking reorganization, arrangement, adjustment or composition of or in respect of the Company or any Significant Subsidiary under any applicable Federal or State law, or appointing a custodian, receiver, liquidator, assignee, trustee, sequestrator or other similar official of the Company or any Significant Subsidiary or of any substantial part of the property of either, or ordering the winding up or liquidation of its affairs, and the continuance of any such decree or order for relief or any such other decree or order unstayed and in effect for a period of 60 consecutive days; or</w:t>
      </w:r>
    </w:p>
    <w:p>
      <w:pPr>
        <w:spacing w:after="0" w:line="183" w:lineRule="exact"/>
        <w:rPr>
          <w:rFonts w:ascii="Courier New" w:cs="Courier New" w:eastAsia="Courier New" w:hAnsi="Courier New"/>
          <w:sz w:val="15"/>
          <w:szCs w:val="15"/>
          <w:color w:val="auto"/>
        </w:rPr>
      </w:pPr>
    </w:p>
    <w:p>
      <w:pPr>
        <w:ind w:right="3179" w:firstLine="431"/>
        <w:spacing w:after="0" w:line="239" w:lineRule="auto"/>
        <w:tabs>
          <w:tab w:leader="none" w:pos="79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or any Significant Subsidiary of a voluntary case or proceeding under any applicable Federal or State bankruptcy, insolvency, reorganization or other similar law or of any other case or proceeding to be adjudicated a bankrupt or insolvent, or the consent by either to the entry of a decree or order for relief in respect of the Company or any Significant Subsidiary in an involuntary case or proceeding under any applicable Federal or State bankruptcy, insolvency, reorganization or other similar law or to the commencement of any bankruptcy or insolvency case or proceeding against either, or the filing by either of a petition or answer or consent seeking reorganization or similar relief under any applicable Federal or State law, or the consent by either to the filing of such petition or to the appointment of or taking possession by a custodian, receiver, liquidator, assignee, trustee, sequestrator or other similar official of the Company or any Significant Subsidiary or of any substantial part of the property of either, or the making by either of an assignment for the benefit of creditors, or the admission by either in writing of its inability to pay its debts generally as they become due, or the taking of corporate action by the Company or any Significant Subsidiary in furtherance of any such 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5.2 Acceleration of Maturity; Rescission and Annulment.</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an Event of Default (other than an Event of Default specified in Section 5.1(6) or 5.1(7) with respect to the Company) occurs and is continuing, then in every such case the Trustee or the Holders of not less than 25% in principal amount of the Outstanding Securities may, subject to the provisions of Article XIII, declare the principal of all the Securities to be due and payable immediately, by a notice in writing to the Company (and to the Trustee if given by the Holders), and upon any such declaration such principal amount and all accrued interest thereon shall become immediately due and payable. If an Event of Default specified in Section 5.1(6) or 5.1(7) with respect to the Company occurs, the principal amount of, and accrued interest on, all the Securities shall, subject to the provisions of Article XIII, ipso facto become immediately due and payable without any declaration or other Act of the Holders or any act on the part of the Trustee.</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At any time after such declaration of acceleration has been made and before a judgment or decree for payment of the money due has been obtained by the Trustee as hereinafter in this Article V provided, the Holders of a majority in principal amount of the Outstanding Securities, by written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7" w:right="1440" w:bottom="1440" w:gutter="0" w:footer="0" w:header="0"/>
        </w:sectPr>
      </w:pPr>
    </w:p>
    <w:bookmarkStart w:id="103" w:name="page104"/>
    <w:bookmarkEnd w:id="103"/>
    <w:p>
      <w:pPr>
        <w:ind w:right="3439"/>
        <w:spacing w:after="0" w:line="235" w:lineRule="auto"/>
        <w:rPr>
          <w:sz w:val="20"/>
          <w:szCs w:val="20"/>
          <w:color w:val="auto"/>
        </w:rPr>
      </w:pPr>
      <w:r>
        <w:rPr>
          <w:rFonts w:ascii="Courier New" w:cs="Courier New" w:eastAsia="Courier New" w:hAnsi="Courier New"/>
          <w:sz w:val="15"/>
          <w:szCs w:val="15"/>
          <w:color w:val="auto"/>
        </w:rPr>
        <w:t>notice to the Company and the Trustee, may, on behalf of all Holders, rescind and annul such declaration and its consequences if:</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the Company has paid or deposited with the Trustee a sum sufficient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w:t>
      </w:r>
    </w:p>
    <w:p>
      <w:pPr>
        <w:spacing w:after="0" w:line="169" w:lineRule="exact"/>
        <w:rPr>
          <w:sz w:val="20"/>
          <w:szCs w:val="20"/>
          <w:color w:val="auto"/>
        </w:rPr>
      </w:pPr>
    </w:p>
    <w:p>
      <w:pPr>
        <w:ind w:left="1220" w:hanging="348"/>
        <w:spacing w:after="0"/>
        <w:tabs>
          <w:tab w:leader="none" w:pos="122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w:t>
      </w:r>
    </w:p>
    <w:p>
      <w:pPr>
        <w:spacing w:after="0" w:line="174" w:lineRule="exact"/>
        <w:rPr>
          <w:rFonts w:ascii="Courier New" w:cs="Courier New" w:eastAsia="Courier New" w:hAnsi="Courier New"/>
          <w:sz w:val="15"/>
          <w:szCs w:val="15"/>
          <w:color w:val="auto"/>
        </w:rPr>
      </w:pPr>
    </w:p>
    <w:p>
      <w:pPr>
        <w:ind w:right="3539" w:firstLine="872"/>
        <w:spacing w:after="0" w:line="237" w:lineRule="auto"/>
        <w:tabs>
          <w:tab w:leader="none" w:pos="132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Securities which have become due otherwise than by such declaration of acceleration and any interest thereon at the rate borne by the Securities,</w:t>
      </w:r>
    </w:p>
    <w:p>
      <w:pPr>
        <w:spacing w:after="0" w:line="174" w:lineRule="exact"/>
        <w:rPr>
          <w:rFonts w:ascii="Courier New" w:cs="Courier New" w:eastAsia="Courier New" w:hAnsi="Courier New"/>
          <w:sz w:val="15"/>
          <w:szCs w:val="15"/>
          <w:color w:val="auto"/>
        </w:rPr>
      </w:pPr>
    </w:p>
    <w:p>
      <w:pPr>
        <w:ind w:right="3179" w:firstLine="872"/>
        <w:spacing w:after="0" w:line="235" w:lineRule="auto"/>
        <w:tabs>
          <w:tab w:leader="none" w:pos="141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applicable law, interest upon overdue interest at a rate of 4.75% per annum, and</w:t>
      </w:r>
    </w:p>
    <w:p>
      <w:pPr>
        <w:spacing w:after="0" w:line="175"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w:t>
      </w:r>
    </w:p>
    <w:p>
      <w:pPr>
        <w:spacing w:after="0" w:line="174"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other than the nonpayment of the principal of and any premium and interest on, Securities which have become due solely by such declaration of acceleration, have been cured or waived as provided in Section 5.13; and</w:t>
      </w:r>
    </w:p>
    <w:p>
      <w:pPr>
        <w:spacing w:after="0" w:line="176" w:lineRule="exact"/>
        <w:rPr>
          <w:rFonts w:ascii="Courier New" w:cs="Courier New" w:eastAsia="Courier New" w:hAnsi="Courier New"/>
          <w:sz w:val="15"/>
          <w:szCs w:val="15"/>
          <w:color w:val="auto"/>
        </w:rPr>
      </w:pPr>
    </w:p>
    <w:p>
      <w:pPr>
        <w:jc w:val="both"/>
        <w:ind w:right="3359" w:firstLine="431"/>
        <w:spacing w:after="0" w:line="237" w:lineRule="auto"/>
        <w:tabs>
          <w:tab w:leader="none" w:pos="793"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rescission and annulment would not conflict with any judgment or decree issued in appropriate judicial proceedings regarding the payment by the Trustee to the Holders of the amounts referred to in 5.2(1).</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No rescission or annulment referred to above shall affect any subsequent default or impair any right consequent thereon.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5.3 Collection of Indebtedness and Suits for Enforcement by Trustee.</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If the Company fails to pay all amounts declared due and payable under Section 5.2 forthwith upon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an Event of Default occurs and is continuing, the Trustee may in its discretion proceed to protect and enforce its rights and the rights of the Holders of Securities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5.4 Trustee May File Proofs of Claim.</w:t>
      </w:r>
    </w:p>
    <w:p>
      <w:pPr>
        <w:ind w:left="10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7" w:right="1440" w:bottom="1440" w:gutter="0" w:footer="0" w:header="0"/>
        </w:sectPr>
      </w:pPr>
    </w:p>
    <w:bookmarkStart w:id="104" w:name="page105"/>
    <w:bookmarkEnd w:id="104"/>
    <w:p>
      <w:pPr>
        <w:ind w:right="3179" w:firstLine="441"/>
        <w:spacing w:after="0" w:line="238" w:lineRule="auto"/>
        <w:rPr>
          <w:sz w:val="20"/>
          <w:szCs w:val="20"/>
          <w:color w:val="auto"/>
        </w:rPr>
      </w:pPr>
      <w:r>
        <w:rPr>
          <w:rFonts w:ascii="Courier New" w:cs="Courier New" w:eastAsia="Courier New" w:hAnsi="Courier New"/>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 creditors of either, the Trustee (irrespective of whether the principal of, and any interest on,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0" w:lineRule="exact"/>
        <w:rPr>
          <w:sz w:val="20"/>
          <w:szCs w:val="20"/>
          <w:color w:val="auto"/>
        </w:rPr>
      </w:pPr>
    </w:p>
    <w:p>
      <w:pPr>
        <w:ind w:right="3179" w:firstLine="431"/>
        <w:spacing w:after="0" w:line="238" w:lineRule="auto"/>
        <w:tabs>
          <w:tab w:leader="none" w:pos="793"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for the whole amount of principal, premium, if any, and interest owing and unpaid in respect of the Securities and take such other actions, including participating as a member, voting or otherwise, of any official committee of creditors appointed in such matter, and to file such other papers or documents, in each of the foregoing cases, as may be necessary or advisable in order to have the claims of the Trustee (including any claim for the reasonable compensation, expenses, disbursements and advances of the Trustee, its agents and counsel) and of the Holders of Securities allowed in such judicial proceeding, and</w:t>
      </w:r>
    </w:p>
    <w:p>
      <w:pPr>
        <w:spacing w:after="0" w:line="178"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 and to distribute the same; and any custodian, receiver, assignee, trustee, liquidator,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6.7.</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 provided, however, that the Trustee may, on behalf of such Holders, vote for the election of a trustee in bankruptcy or similar official and be a member of a creditors' or other similar committee.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5.5 Trustee May Enforce Claims Without Possession of Securities.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judgment has been recovered.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5.6 Application of Money Collected.</w:t>
      </w:r>
    </w:p>
    <w:p>
      <w:pPr>
        <w:ind w:left="10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7" w:right="1440" w:bottom="1440" w:gutter="0" w:footer="0" w:header="0"/>
        </w:sectPr>
      </w:pPr>
    </w:p>
    <w:bookmarkStart w:id="105" w:name="page106"/>
    <w:bookmarkEnd w:id="105"/>
    <w:p>
      <w:pPr>
        <w:ind w:right="3259" w:firstLine="441"/>
        <w:spacing w:after="0" w:line="238" w:lineRule="auto"/>
        <w:rPr>
          <w:sz w:val="20"/>
          <w:szCs w:val="20"/>
          <w:color w:val="auto"/>
        </w:rPr>
      </w:pPr>
      <w:r>
        <w:rPr>
          <w:rFonts w:ascii="Courier New" w:cs="Courier New" w:eastAsia="Courier New" w:hAnsi="Courier New"/>
          <w:sz w:val="15"/>
          <w:szCs w:val="15"/>
          <w:color w:val="auto"/>
        </w:rPr>
        <w:t>Subject to Article XIII, any money collected by the Trustee pursuant to this Article V shall be applied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To the payment of all amounts due the Trustee under Section 6.7;</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SECOND: To the payment of the amounts then due and unpaid for principal of, premium, if any, or interest (including Liquidated Damages, if any) on, the Securities in respect of which or for the benefit of which such money has been collected, ratably, without preference or priority of any kind, according to the amounts due and payable on such Securities for principal, premium, if any, and interest (including Liquidated Damages, if any), respectively; and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THIRD: Any remaining amounts shall be repaid to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5.7 Limitation on Suits.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No Holder of any Security shall have any right to institute any proceeding, judicial or otherwise, with respect to this Indenture, or for the appointment of a receiver or trustee, or for any other remedy hereunder, unless:</w:t>
      </w:r>
    </w:p>
    <w:p>
      <w:pPr>
        <w:spacing w:after="0" w:line="163" w:lineRule="exact"/>
        <w:rPr>
          <w:sz w:val="20"/>
          <w:szCs w:val="20"/>
          <w:color w:val="auto"/>
        </w:rPr>
      </w:pPr>
    </w:p>
    <w:p>
      <w:pPr>
        <w:ind w:right="3539" w:firstLine="431"/>
        <w:spacing w:after="0" w:line="235" w:lineRule="auto"/>
        <w:tabs>
          <w:tab w:leader="none" w:pos="79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176"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and if requested, shall have provided, reasonable indemnity against the costs, expenses and liabilities to be incurred in compliance with such request;</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(or if requested, receipt of indemnity) has failed to institute any such proceeding; and</w:t>
      </w:r>
    </w:p>
    <w:p>
      <w:pPr>
        <w:spacing w:after="0" w:line="174"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 day period by the Holders of a majority in principal amount of the Outstanding Securities;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seek to obtain priority or preference over any other of such Holders or to enforce any right under this Indenture, except in the manner herein provided and for the equal and ratable benefit of all such Holders.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7"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SECTION 5.8 Unconditional Right of Holders to Receive Principal, Premium and</w:t>
      </w:r>
    </w:p>
    <w:p>
      <w:pPr>
        <w:ind w:left="10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Interest and to Convert.</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Notwithstanding any other provision in this Indenture, but subject to the provisions of Article XIII, the Holder of any Security shall have the right, which is absolute and unconditional, to receive payment of the principal of, premium, if any, and (subject to Section 3.7) interest (including Liquidated Damages, if any) on such Security on the respective Stated Maturities expressed in such Security (or, in the case of redemption or repurchase, on the Redemption Date or Repurchase Date, as the case may be), and to convert such Security in accordance with Article XII, and to institute suit for the enforcement of any such payment and right to convert, and such rights shall not be impaired without the consent of such Holder.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5.9 Restoration of Rights and Remedies.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shall be restored severally and respectively to their former positions hereunder and thereafter all rights and remedies of the Trustee and such Holders shall continue as though no such proceeding had been instituted.</w:t>
      </w:r>
    </w:p>
    <w:p>
      <w:pPr>
        <w:spacing w:after="0" w:line="16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Rights and Remedies Cumulative.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Except as otherwise provided with respect to the replacement or payment of mutilated, destroyed, lost or stolen Securities in the last paragraph of Section 3.6,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4"/>
          <w:szCs w:val="14"/>
          <w:color w:val="auto"/>
        </w:rPr>
        <w:t>Delay or Omission Not Waiver.</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delay or omission of the Trustee or of any Holder of any Security to exercise any right or remedy accruing upon any Event of Default shall impair any such right or remedy or constitute a waiver of any such Event of Default or any acquiescence therein. Every right and remedy given by this Article V or by law to the Trustee or to the Holders of Securities may be exercised from time to time, and as often as may be deemed expedient, by the Trustee or (subject to the limitations contained in this Indenture) by the Holders of Securities as the case may be.</w:t>
      </w:r>
    </w:p>
    <w:p>
      <w:pPr>
        <w:spacing w:after="0" w:line="1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 of Securities.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22" w:right="1440" w:bottom="1440" w:gutter="0" w:footer="0" w:header="0"/>
        </w:sectPr>
      </w:pPr>
    </w:p>
    <w:bookmarkStart w:id="107" w:name="page108"/>
    <w:bookmarkEnd w:id="107"/>
    <w:p>
      <w:pPr>
        <w:jc w:val="both"/>
        <w:ind w:right="3359" w:firstLine="441"/>
        <w:spacing w:after="0" w:line="259" w:lineRule="auto"/>
        <w:rPr>
          <w:sz w:val="20"/>
          <w:szCs w:val="20"/>
          <w:color w:val="auto"/>
        </w:rPr>
      </w:pPr>
      <w:r>
        <w:rPr>
          <w:rFonts w:ascii="Courier New" w:cs="Courier New" w:eastAsia="Courier New" w:hAnsi="Courier New"/>
          <w:sz w:val="14"/>
          <w:szCs w:val="14"/>
          <w:color w:val="auto"/>
        </w:rPr>
        <w:t>Subject to Section 6.3, 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163" w:lineRule="exact"/>
        <w:rPr>
          <w:sz w:val="20"/>
          <w:szCs w:val="20"/>
          <w:color w:val="auto"/>
        </w:rPr>
      </w:pPr>
    </w:p>
    <w:p>
      <w:pPr>
        <w:ind w:right="3439" w:firstLine="431"/>
        <w:spacing w:after="0" w:line="235"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and</w:t>
      </w:r>
    </w:p>
    <w:p>
      <w:pPr>
        <w:spacing w:after="0" w:line="175" w:lineRule="exact"/>
        <w:rPr>
          <w:rFonts w:ascii="Courier New" w:cs="Courier New" w:eastAsia="Courier New" w:hAnsi="Courier New"/>
          <w:sz w:val="15"/>
          <w:szCs w:val="15"/>
          <w:color w:val="auto"/>
        </w:rPr>
      </w:pPr>
    </w:p>
    <w:p>
      <w:pPr>
        <w:ind w:right="3619" w:firstLine="431"/>
        <w:spacing w:after="0" w:line="235"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and</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need not take any action which might involve it in personal liability or be unjustly prejudicial to the Holders of Securities not consenting.</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Holders, either (i) through the written consent of not less than a majority in principal amount of the Outstanding Securities or (ii) by the adoption of a resolution, at a meeting of Holders of the Outstanding Securities at which a quorum is present, by the Holders of at least 66-2/3% in principal amount of the Outstanding Securities represented at such meeting, may on behalf of the Holders of all the Securities waive any past default hereunder and its consequences, except a default (A) in the payment of the principal of, premium, if any, or interest (including Liquidated Damages) on any Security which has not been cured, or (B) in respect of a covenant or provision hereof which under Article VIII cannot be modified or amended without the consent of the Holder of each Outstanding Security affected.</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Undertaking for Costs.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Company, to any suit instituted by the Trustee, to any suit instituted by any Holder, or group of Holders, holding in the aggregate more than 10% in principal amount of the Outstanding Securities, or to any suit instituted by any Holder of any Security for the enforcement of the payment of the principal of, premium, if any, or interest on any Security on or after the respective Stated Maturity or Maturities expressed in such Security (or, in the case of redemption or repurchase, on or after the Redemption Date or Repurchase Date, as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7" w:right="1440" w:bottom="1440" w:gutter="0" w:footer="0" w:header="0"/>
        </w:sectPr>
      </w:pPr>
    </w:p>
    <w:bookmarkStart w:id="108" w:name="page109"/>
    <w:bookmarkEnd w:id="108"/>
    <w:p>
      <w:pPr>
        <w:ind w:right="3259"/>
        <w:spacing w:after="0" w:line="235" w:lineRule="auto"/>
        <w:rPr>
          <w:sz w:val="20"/>
          <w:szCs w:val="20"/>
          <w:color w:val="auto"/>
        </w:rPr>
      </w:pPr>
      <w:r>
        <w:rPr>
          <w:rFonts w:ascii="Courier New" w:cs="Courier New" w:eastAsia="Courier New" w:hAnsi="Courier New"/>
          <w:sz w:val="15"/>
          <w:szCs w:val="15"/>
          <w:color w:val="auto"/>
        </w:rPr>
        <w:t>the case may be) or for the enforcement of the right to convert any Security in accordance with Article XII.</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4"/>
          <w:szCs w:val="14"/>
          <w:color w:val="auto"/>
        </w:rPr>
        <w:t>Waiver of Stay, Usury or Extension Laws.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covenants (to the extent that it may lawfully do so) that it will not at any time insist upon, or plead, or in any manner whatsoever claim or take the benefit or advantage of, any stay, usury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by reason of such law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3080"/>
        <w:spacing w:after="0"/>
        <w:rPr>
          <w:sz w:val="20"/>
          <w:szCs w:val="20"/>
          <w:color w:val="auto"/>
        </w:rPr>
      </w:pPr>
      <w:r>
        <w:rPr>
          <w:rFonts w:ascii="Courier New" w:cs="Courier New" w:eastAsia="Courier New" w:hAnsi="Courier New"/>
          <w:sz w:val="15"/>
          <w:szCs w:val="15"/>
          <w:color w:val="auto"/>
        </w:rPr>
        <w:t>THE TRUSTEE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 Certain Duties and Responsibilities.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780" w:hanging="349"/>
        <w:spacing w:after="0"/>
        <w:tabs>
          <w:tab w:leader="none" w:pos="7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w:t>
      </w:r>
    </w:p>
    <w:p>
      <w:pPr>
        <w:spacing w:after="0" w:line="174" w:lineRule="exact"/>
        <w:rPr>
          <w:rFonts w:ascii="Courier New" w:cs="Courier New" w:eastAsia="Courier New" w:hAnsi="Courier New"/>
          <w:sz w:val="15"/>
          <w:szCs w:val="15"/>
          <w:color w:val="auto"/>
        </w:rPr>
      </w:pPr>
    </w:p>
    <w:p>
      <w:pPr>
        <w:ind w:right="3179" w:firstLine="872"/>
        <w:spacing w:after="0" w:line="260" w:lineRule="auto"/>
        <w:tabs>
          <w:tab w:leader="none" w:pos="1234"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62"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not to verify the contents thereof.</w:t>
      </w:r>
    </w:p>
    <w:p>
      <w:pPr>
        <w:spacing w:after="0" w:line="177" w:lineRule="exact"/>
        <w:rPr>
          <w:rFonts w:ascii="Courier New" w:cs="Courier New" w:eastAsia="Courier New" w:hAnsi="Courier New"/>
          <w:sz w:val="15"/>
          <w:szCs w:val="15"/>
          <w:color w:val="auto"/>
        </w:rPr>
      </w:pPr>
    </w:p>
    <w:p>
      <w:pPr>
        <w:jc w:val="both"/>
        <w:ind w:right="3179" w:firstLine="431"/>
        <w:spacing w:after="0" w:line="259" w:lineRule="auto"/>
        <w:tabs>
          <w:tab w:leader="none" w:pos="793"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62" w:lineRule="exact"/>
        <w:rPr>
          <w:rFonts w:ascii="Courier New" w:cs="Courier New" w:eastAsia="Courier New" w:hAnsi="Courier New"/>
          <w:sz w:val="14"/>
          <w:szCs w:val="14"/>
          <w:color w:val="auto"/>
        </w:rPr>
      </w:pPr>
    </w:p>
    <w:p>
      <w:pPr>
        <w:ind w:right="3359" w:firstLine="431"/>
        <w:spacing w:after="0" w:line="237" w:lineRule="auto"/>
        <w:tabs>
          <w:tab w:leader="none" w:pos="79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174" w:lineRule="exact"/>
        <w:rPr>
          <w:rFonts w:ascii="Courier New" w:cs="Courier New" w:eastAsia="Courier New" w:hAnsi="Courier New"/>
          <w:sz w:val="15"/>
          <w:szCs w:val="15"/>
          <w:color w:val="auto"/>
        </w:rPr>
      </w:pPr>
    </w:p>
    <w:p>
      <w:pPr>
        <w:ind w:right="3359" w:firstLine="872"/>
        <w:spacing w:after="0" w:line="235" w:lineRule="auto"/>
        <w:tabs>
          <w:tab w:leader="none" w:pos="1234"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(3) shall not be construed to limit the effect of paragraph (1) of this Section;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7" w:right="1440" w:bottom="1440" w:gutter="0" w:footer="0" w:header="0"/>
        </w:sectPr>
      </w:pPr>
    </w:p>
    <w:bookmarkStart w:id="109" w:name="page110"/>
    <w:bookmarkEnd w:id="109"/>
    <w:p>
      <w:pPr>
        <w:ind w:right="3179" w:firstLine="872"/>
        <w:spacing w:after="0" w:line="237" w:lineRule="auto"/>
        <w:tabs>
          <w:tab w:leader="none" w:pos="132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unless it shall be proved that the Trustee was negligent in ascertaining the pertinent facts;</w:t>
      </w:r>
    </w:p>
    <w:p>
      <w:pPr>
        <w:spacing w:after="0" w:line="174" w:lineRule="exact"/>
        <w:rPr>
          <w:rFonts w:ascii="Courier New" w:cs="Courier New" w:eastAsia="Courier New" w:hAnsi="Courier New"/>
          <w:sz w:val="15"/>
          <w:szCs w:val="15"/>
          <w:color w:val="auto"/>
        </w:rPr>
      </w:pPr>
    </w:p>
    <w:p>
      <w:pPr>
        <w:ind w:right="3179" w:firstLine="872"/>
        <w:spacing w:after="0" w:line="238" w:lineRule="auto"/>
        <w:tabs>
          <w:tab w:leader="none" w:pos="141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w:t>
      </w:r>
    </w:p>
    <w:p>
      <w:pPr>
        <w:spacing w:after="0" w:line="175" w:lineRule="exact"/>
        <w:rPr>
          <w:rFonts w:ascii="Courier New" w:cs="Courier New" w:eastAsia="Courier New" w:hAnsi="Courier New"/>
          <w:sz w:val="15"/>
          <w:szCs w:val="15"/>
          <w:color w:val="auto"/>
        </w:rPr>
      </w:pPr>
    </w:p>
    <w:p>
      <w:pPr>
        <w:ind w:right="3259" w:firstLine="872"/>
        <w:spacing w:after="0" w:line="238" w:lineRule="auto"/>
        <w:tabs>
          <w:tab w:leader="none" w:pos="132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ind w:right="3359" w:firstLine="431"/>
        <w:spacing w:after="0" w:line="260" w:lineRule="auto"/>
        <w:tabs>
          <w:tab w:leader="none" w:pos="79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 Notice of Defaults.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Within 90 days after the occurrence of any default hereunder as to which a Responsible Officer of the Trustee has received written notice, the Trustee shall give to all Holders of Securities, in the manner provided in Section 1.6, notice of such default, unless such default shall have been cured or waived; provided, however, that, except in the case of a default in the payment of the principal of, premium, if any, or interest on any Security, the Trustee shall be protected in withholding such notice if and so long as the board of directors, the executive committee or a trust committee of directors or Responsible Officers of the Trustee in good faith determines that the withholding of such notice is in the interest of the Holders; and provided, further, that in the case of any default of the character specified in Section 5.1(4), no such notice to Holders of Securities shall be given until at least 60 days after the occurrence thereof or, if applicable, the cure period specified therein. For the purpose of this Section, the term "default" means any event which is, or after notice or lapse of time or both would become, an Event of Default.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6.3 Certain Rights of Trustee.</w:t>
      </w:r>
    </w:p>
    <w:p>
      <w:pPr>
        <w:ind w:left="10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Subject to the provisions of Section 6.1:</w:t>
      </w:r>
    </w:p>
    <w:p>
      <w:pPr>
        <w:spacing w:after="0" w:line="175" w:lineRule="exact"/>
        <w:rPr>
          <w:sz w:val="20"/>
          <w:szCs w:val="20"/>
          <w:color w:val="auto"/>
        </w:rPr>
      </w:pPr>
    </w:p>
    <w:p>
      <w:pPr>
        <w:ind w:right="3359" w:firstLine="431"/>
        <w:spacing w:after="0" w:line="257" w:lineRule="auto"/>
        <w:tabs>
          <w:tab w:leader="none" w:pos="793"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Officers' Certificate, other certificate, statement, instrument, opinion, report, notice, request, direction, consent, order, bond, debenture, note, coupon, other evidence of indebtedness or other paper or document (collectively, the "Documents") believed by it to be genuine and to have been signed or presented by the proper party or parties, and the Trustee need not investigate any fact or matter stated in such Documents;</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7" w:right="1440" w:bottom="1440" w:gutter="0" w:footer="0" w:header="0"/>
        </w:sectPr>
      </w:pPr>
    </w:p>
    <w:bookmarkStart w:id="110" w:name="page111"/>
    <w:bookmarkEnd w:id="110"/>
    <w:p>
      <w:pPr>
        <w:ind w:right="3179" w:firstLine="431"/>
        <w:spacing w:after="0" w:line="260" w:lineRule="auto"/>
        <w:tabs>
          <w:tab w:leader="none" w:pos="793"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62" w:lineRule="exact"/>
        <w:rPr>
          <w:rFonts w:ascii="Courier New" w:cs="Courier New" w:eastAsia="Courier New" w:hAnsi="Courier New"/>
          <w:sz w:val="14"/>
          <w:szCs w:val="14"/>
          <w:color w:val="auto"/>
        </w:rPr>
      </w:pPr>
    </w:p>
    <w:p>
      <w:pPr>
        <w:ind w:right="3179" w:firstLine="431"/>
        <w:spacing w:after="0" w:line="237" w:lineRule="auto"/>
        <w:tabs>
          <w:tab w:leader="none" w:pos="793"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the one specifically prescribed) may, in the absence of bad faith on its part, request and rely upon an Officers' Certificate or Opinion of Counsel;</w:t>
      </w:r>
    </w:p>
    <w:p>
      <w:pPr>
        <w:spacing w:after="0" w:line="178"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76" w:lineRule="exact"/>
        <w:rPr>
          <w:rFonts w:ascii="Courier New" w:cs="Courier New" w:eastAsia="Courier New" w:hAnsi="Courier New"/>
          <w:sz w:val="15"/>
          <w:szCs w:val="15"/>
          <w:color w:val="auto"/>
        </w:rPr>
      </w:pPr>
    </w:p>
    <w:p>
      <w:pPr>
        <w:ind w:right="3259" w:firstLine="431"/>
        <w:spacing w:after="0" w:line="258" w:lineRule="auto"/>
        <w:tabs>
          <w:tab w:leader="none" w:pos="793"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of Securities pursuant to this Indenture, unless such Holders shall have offered, and, if requested by the Trustee, delivered, to the Trustee reasonable security or indemnity against the costs, expenses and liabilities which might be incurred by it in compliance with such request or direction;</w:t>
      </w:r>
    </w:p>
    <w:p>
      <w:pPr>
        <w:spacing w:after="0" w:line="163" w:lineRule="exact"/>
        <w:rPr>
          <w:rFonts w:ascii="Courier New" w:cs="Courier New" w:eastAsia="Courier New" w:hAnsi="Courier New"/>
          <w:sz w:val="14"/>
          <w:szCs w:val="14"/>
          <w:color w:val="auto"/>
        </w:rPr>
      </w:pPr>
    </w:p>
    <w:p>
      <w:pPr>
        <w:ind w:right="3179" w:firstLine="431"/>
        <w:spacing w:after="0" w:line="238" w:lineRule="auto"/>
        <w:tabs>
          <w:tab w:leader="none" w:pos="793"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77"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6.4 Not Responsible for Recitals or Issuance of Securities.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of the Securities or of the Common Stock issuable upon the conversion of the Securities. The Trustee shall not be accountable for the use or application by the Company of Securities or the proceeds thereof.</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 May Hold Securities, Act as Trustee under Other Indentures.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Trustee, any Authenticating Agent, any Paying Agent, any Conversion Agent or any other agent of the Company or the Trustee, in its individual or any other capacity, may become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7" w:right="1440" w:bottom="1440" w:gutter="0" w:footer="0" w:header="0"/>
        </w:sectPr>
      </w:pPr>
    </w:p>
    <w:bookmarkStart w:id="111" w:name="page112"/>
    <w:bookmarkEnd w:id="111"/>
    <w:p>
      <w:pPr>
        <w:ind w:right="3259"/>
        <w:spacing w:after="0" w:line="237" w:lineRule="auto"/>
        <w:rPr>
          <w:sz w:val="20"/>
          <w:szCs w:val="20"/>
          <w:color w:val="auto"/>
        </w:rPr>
      </w:pPr>
      <w:r>
        <w:rPr>
          <w:rFonts w:ascii="Courier New" w:cs="Courier New" w:eastAsia="Courier New" w:hAnsi="Courier New"/>
          <w:sz w:val="15"/>
          <w:szCs w:val="15"/>
          <w:color w:val="auto"/>
        </w:rPr>
        <w:t>owner or pledgee of Securities and may otherwise deal with the Company with the same rights it would have if it were not Trustee, Authenticating Agent, Paying Agent, Conversion Agent or such other agent.</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Trustee may become and act as trustee under other indentures under which other securities, or certificates of interest or participation in other securities, of the Company are outstanding in the same manner as if it were not Trustee hereunder.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6.6 Money Held in Trust.</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6.7 Compensation and Reimbursement.</w:t>
      </w:r>
    </w:p>
    <w:p>
      <w:pPr>
        <w:ind w:left="10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agrees</w:t>
      </w:r>
    </w:p>
    <w:p>
      <w:pPr>
        <w:spacing w:after="0" w:line="175" w:lineRule="exact"/>
        <w:rPr>
          <w:sz w:val="20"/>
          <w:szCs w:val="20"/>
          <w:color w:val="auto"/>
        </w:rPr>
      </w:pPr>
    </w:p>
    <w:p>
      <w:pPr>
        <w:ind w:right="3179" w:firstLine="431"/>
        <w:spacing w:after="0" w:line="237" w:lineRule="auto"/>
        <w:tabs>
          <w:tab w:leader="none" w:pos="793"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such reasonable compensation as the Company and the Trustee shall from time to time agree in writing for its acceptance of this Indenture and for all services rendered by it hereunder (which compensation shall not be limited by any provision of law in regard to the compensation of a trustee of an express trust);</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upon its request for all reasonable expenses, disbursements and advances incurred or made by the Trustee (including costs and expenses of enforcing this Indenture and defending itself against any claim (whether asserted by the Company, any Holder of Securities or any other Person) or liability in connection with the exercise of any of its powers or duties hereunder)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79"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(and its directors, officers, employees and agents) for, and to hold it harmless against, any loss, liability or expense incurred without negligence or bad faith on its part, arising out of or in connection with the acceptance or administration of this trust, including the reasonable costs, expenses and reasonable attorneys' fees of defending itself against any claim or liability in connection with the exercise or performance of any of its powers or duties hereunder.</w:t>
      </w:r>
    </w:p>
    <w:p>
      <w:pPr>
        <w:spacing w:after="0" w:line="17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When the Trustee incurs expenses or renders services in connection with an Event of Default specified in Section 5.1(6) or Section 5.1(7), the expenses (including the reasonable charges of its counsel) and the compensation for the services are intended to constitute expenses of the administration under any applicable Federal or state bankruptcy, insolvency or other similar law.</w:t>
      </w:r>
    </w:p>
    <w:p>
      <w:pPr>
        <w:spacing w:after="0" w:line="16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provisions of this Section shall survive the termination of this Indenture or the earlier resignation or removal of the Trustee.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2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SECTION 6.8 Corporate Trustee Required; Eligibility.</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There shall at all times be a Trustee hereunder which shall be a Person that is eligible pursuant to the Trust Indenture Act to act as such, having (or being part of a holding company group with) a combined capital and surplus of at least U.S. $50,000,000, subject to supervision or examination by federal or state authority, and in good standing. The Trustee or an Affiliate of the Trustee shall maintain an established place of business in the Borough of Manhattan, The City of New York.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and a successor shall be appointed pursuant to Section 6.9.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6.9 Resignation and Removal; Appointment of Successor.</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19" w:firstLine="431"/>
        <w:spacing w:after="0" w:line="237" w:lineRule="auto"/>
        <w:tabs>
          <w:tab w:leader="none" w:pos="79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6" w:lineRule="exact"/>
        <w:rPr>
          <w:rFonts w:ascii="Courier New" w:cs="Courier New" w:eastAsia="Courier New" w:hAnsi="Courier New"/>
          <w:sz w:val="15"/>
          <w:szCs w:val="15"/>
          <w:color w:val="auto"/>
        </w:rPr>
      </w:pPr>
    </w:p>
    <w:p>
      <w:pPr>
        <w:ind w:right="3179" w:firstLine="431"/>
        <w:spacing w:after="0" w:line="258" w:lineRule="auto"/>
        <w:tabs>
          <w:tab w:leader="none" w:pos="793"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by giving written notice thereof to the Company. If the instrument of acceptance by a successor Trustee required by Section 6.10 shall not have been delivered to the Trustee within 30 days after the giving of such notice of resignation, the resigning Trustee may petition any court of competent jurisdiction for the appointment of a successor Trustee.</w:t>
      </w:r>
    </w:p>
    <w:p>
      <w:pPr>
        <w:spacing w:after="0" w:line="164" w:lineRule="exact"/>
        <w:rPr>
          <w:rFonts w:ascii="Courier New" w:cs="Courier New" w:eastAsia="Courier New" w:hAnsi="Courier New"/>
          <w:sz w:val="14"/>
          <w:szCs w:val="14"/>
          <w:color w:val="auto"/>
        </w:rPr>
      </w:pPr>
    </w:p>
    <w:p>
      <w:pPr>
        <w:ind w:right="3259" w:firstLine="431"/>
        <w:spacing w:after="0" w:line="238" w:lineRule="auto"/>
        <w:tabs>
          <w:tab w:leader="none" w:pos="79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by an Act of the Holders of a majority in principal amount of the Outstanding Securities, delivered to the Trustee and the Company. If the instrument of acceptance by a successor Trustee required by Section 6.10 shall not have been delivered to the Trustee within 30 days after the giving of such notice of removal, the removed Trustee may petition any court of competent jurisdiction for the appointment of a successor Trustee.</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4" w:lineRule="exact"/>
        <w:rPr>
          <w:rFonts w:ascii="Courier New" w:cs="Courier New" w:eastAsia="Courier New" w:hAnsi="Courier New"/>
          <w:sz w:val="15"/>
          <w:szCs w:val="15"/>
          <w:color w:val="auto"/>
        </w:rPr>
      </w:pPr>
    </w:p>
    <w:p>
      <w:pPr>
        <w:jc w:val="both"/>
        <w:ind w:right="3179" w:firstLine="872"/>
        <w:spacing w:after="0" w:line="237" w:lineRule="auto"/>
        <w:tabs>
          <w:tab w:leader="none" w:pos="1234"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6.8 and shall fail to resign after written request therefor by the Company or by any Holder of a Security who has been a bona fide Holder of a Security for at least six months, or</w:t>
      </w:r>
    </w:p>
    <w:p>
      <w:pPr>
        <w:spacing w:after="0" w:line="176" w:lineRule="exact"/>
        <w:rPr>
          <w:rFonts w:ascii="Courier New" w:cs="Courier New" w:eastAsia="Courier New" w:hAnsi="Courier New"/>
          <w:sz w:val="15"/>
          <w:szCs w:val="15"/>
          <w:color w:val="auto"/>
        </w:rPr>
      </w:pPr>
    </w:p>
    <w:p>
      <w:pPr>
        <w:ind w:right="3179" w:firstLine="872"/>
        <w:spacing w:after="0" w:line="237" w:lineRule="auto"/>
        <w:tabs>
          <w:tab w:leader="none" w:pos="1322"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then, in any such case (i) the Company by a Board Resolution may remove the Trustee, or (ii) subject to Section 5.14, any Holder of a Security who has been a bona fide Holder of a Security for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2" w:right="1440" w:bottom="1440" w:gutter="0" w:footer="0" w:header="0"/>
        </w:sectPr>
      </w:pPr>
    </w:p>
    <w:bookmarkStart w:id="113" w:name="page114"/>
    <w:bookmarkEnd w:id="113"/>
    <w:p>
      <w:pPr>
        <w:ind w:right="3179"/>
        <w:spacing w:after="0" w:line="237" w:lineRule="auto"/>
        <w:rPr>
          <w:sz w:val="20"/>
          <w:szCs w:val="20"/>
          <w:color w:val="auto"/>
        </w:rPr>
      </w:pPr>
      <w:r>
        <w:rPr>
          <w:rFonts w:ascii="Courier New" w:cs="Courier New" w:eastAsia="Courier New" w:hAnsi="Courier New"/>
          <w:sz w:val="15"/>
          <w:szCs w:val="15"/>
          <w:color w:val="auto"/>
        </w:rPr>
        <w:t>at least six months may, on behalf of himself and all others similarly situated, petition any court of competent jurisdiction for the removal of the Trustee and the appointment of a successor Trustee.</w:t>
      </w:r>
    </w:p>
    <w:p>
      <w:pPr>
        <w:spacing w:after="0" w:line="175" w:lineRule="exact"/>
        <w:rPr>
          <w:sz w:val="20"/>
          <w:szCs w:val="20"/>
          <w:color w:val="auto"/>
        </w:rPr>
      </w:pPr>
    </w:p>
    <w:p>
      <w:pPr>
        <w:ind w:right="3179" w:firstLine="431"/>
        <w:spacing w:after="0" w:line="256" w:lineRule="auto"/>
        <w:tabs>
          <w:tab w:leader="none" w:pos="79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the Company, by a Board Resolution, shall promptly appoint a successor Trustee and shall comply with the applicable requirements of this Section and Section 6.10. If, within one year after such resignation, removal or incapability, or the occurrence of such vacancy, a successor Trustee shall be appointed by Act of the Holders of a majority in principal amount of the Outstanding Securities delivered to the Company and the retiring Trustee, the successor Trustee so appointed shall, forthwith upon its acceptance of such appointment in accordance with the applicable requirements of Section 6.10, become the successor Trustee and supersede the successor Trustee appointed by the Company. If no successor Trustee shall have been so appointed by the Company or the Holders of Securities and accepted appointment in the manner required by this Section and Section</w:t>
      </w:r>
    </w:p>
    <w:p>
      <w:pPr>
        <w:spacing w:after="0" w:line="4"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6.10, any Holder of a Security who has been a bona fide Holder of a Security for at least six months may, on behalf of himself and all others similarly situated, petition any court of competent jurisdiction for the appointment of a successor Trustee.</w:t>
      </w:r>
    </w:p>
    <w:p>
      <w:pPr>
        <w:spacing w:after="0" w:line="176" w:lineRule="exact"/>
        <w:rPr>
          <w:rFonts w:ascii="Courier New" w:cs="Courier New" w:eastAsia="Courier New" w:hAnsi="Courier New"/>
          <w:sz w:val="14"/>
          <w:szCs w:val="14"/>
          <w:color w:val="auto"/>
        </w:rPr>
      </w:pPr>
    </w:p>
    <w:p>
      <w:pPr>
        <w:ind w:right="3259" w:firstLine="431"/>
        <w:spacing w:after="0" w:line="259" w:lineRule="auto"/>
        <w:tabs>
          <w:tab w:leader="none" w:pos="79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and each appointment of a successor Trustee to all Holders of Securities in the manner provided in Section 1.6. Each notice shall include the name of the successor Trustee and the address of its Corporate Trust Office.</w:t>
      </w:r>
    </w:p>
    <w:p>
      <w:pPr>
        <w:spacing w:after="0" w:line="15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Acceptance of Appointment by Successor.</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184" w:lineRule="exact"/>
        <w:rPr>
          <w:sz w:val="20"/>
          <w:szCs w:val="20"/>
          <w:color w:val="auto"/>
        </w:rPr>
      </w:pPr>
    </w:p>
    <w:p>
      <w:pPr>
        <w:jc w:val="both"/>
        <w:ind w:right="3539" w:firstLine="441"/>
        <w:spacing w:after="0" w:line="265" w:lineRule="auto"/>
        <w:rPr>
          <w:sz w:val="20"/>
          <w:szCs w:val="20"/>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eligible under this Article.</w:t>
      </w:r>
    </w:p>
    <w:p>
      <w:pPr>
        <w:spacing w:after="0" w:line="15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Merger, Conversion, Consolidation or Succession to Business.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trust created by this Indenture), shall be the successor of the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27" w:right="1440" w:bottom="1440" w:gutter="0" w:footer="0" w:header="0"/>
        </w:sectPr>
      </w:pPr>
    </w:p>
    <w:bookmarkStart w:id="114" w:name="page115"/>
    <w:bookmarkEnd w:id="114"/>
    <w:p>
      <w:pPr>
        <w:ind w:right="3179"/>
        <w:spacing w:after="0" w:line="257" w:lineRule="auto"/>
        <w:rPr>
          <w:sz w:val="20"/>
          <w:szCs w:val="20"/>
          <w:color w:val="auto"/>
        </w:rPr>
      </w:pPr>
      <w:r>
        <w:rPr>
          <w:rFonts w:ascii="Courier New" w:cs="Courier New" w:eastAsia="Courier New" w:hAnsi="Courier New"/>
          <w:sz w:val="14"/>
          <w:szCs w:val="14"/>
          <w:color w:val="auto"/>
        </w:rPr>
        <w:t>Trustee hereunder, provided such corporation shall be otherwise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Authenticating Agents.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Trustee may, with the consent of the Company, appoint an Authenticating Agent or Agents acceptable to the Company with respect to the Securities which shall be authorized to act on behalf of the Trustee to authenticate Securities issued upon original issue and upon registration of transfer or redemption, exchange or substitution pursuant to this Indenture.</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Securities authenticated by an Authenticating Agent shall be entitled to the benefits of this Indenture and shall be valid and obligatory for all purposes as if authenticated by the Trustee hereunder, and every reference in this Indenture to the authentication and delivery of Securities by the Trustee or the Trustee's certificate of authentication shall be deemed to include authentication and delivery on behalf of the Trustee by an Authenticating Agent and a certificate of authentication executed on behalf of the Trustee by an Authenticating Agent. Each Authenticating Agent shall be subject to acceptance by the Company and shall at all times be a corporation organized and doing business under the laws of the United States of America, any State thereof or the District of Columbia, authorized under such laws to act as Authenticating Agent and subject to supervision or examination by government or other fiscal authority. If at any time an Authenticating Agent shall cease to be eligible in accordance with the provisions of this Section 6.12, such Authenticating Agent shall resign immediately in the manner and with the effect specified in this Section 6.12.</w:t>
      </w:r>
    </w:p>
    <w:p>
      <w:pPr>
        <w:spacing w:after="0" w:line="18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6.12, without the execution or filing of any paper or any further act on the part of the Trustee or the Authenticating Agent.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 may appoint a successor Authenticating Agent which shall be subject to acceptance by the Company.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7" w:right="1440" w:bottom="1440" w:gutter="0" w:footer="0" w:header="0"/>
        </w:sectPr>
      </w:pPr>
    </w:p>
    <w:bookmarkStart w:id="115" w:name="page116"/>
    <w:bookmarkEnd w:id="115"/>
    <w:p>
      <w:pPr>
        <w:ind w:right="3439" w:firstLine="441"/>
        <w:spacing w:after="0" w:line="235" w:lineRule="auto"/>
        <w:rPr>
          <w:sz w:val="20"/>
          <w:szCs w:val="20"/>
          <w:color w:val="auto"/>
        </w:rPr>
      </w:pPr>
      <w:r>
        <w:rPr>
          <w:rFonts w:ascii="Courier New" w:cs="Courier New" w:eastAsia="Courier New" w:hAnsi="Courier New"/>
          <w:sz w:val="15"/>
          <w:szCs w:val="15"/>
          <w:color w:val="auto"/>
        </w:rPr>
        <w:t>The Company agrees to pay to each Authenticating Agent from time to time reasonable compensation for its services under this Section 6.12.</w:t>
      </w:r>
    </w:p>
    <w:p>
      <w:pPr>
        <w:spacing w:after="0" w:line="176" w:lineRule="exact"/>
        <w:rPr>
          <w:sz w:val="20"/>
          <w:szCs w:val="20"/>
          <w:color w:val="auto"/>
        </w:rPr>
      </w:pPr>
    </w:p>
    <w:p>
      <w:pPr>
        <w:jc w:val="both"/>
        <w:ind w:right="3619" w:firstLine="441"/>
        <w:spacing w:after="0" w:line="259" w:lineRule="auto"/>
        <w:rPr>
          <w:sz w:val="20"/>
          <w:szCs w:val="20"/>
          <w:color w:val="auto"/>
        </w:rPr>
      </w:pPr>
      <w:r>
        <w:rPr>
          <w:rFonts w:ascii="Courier New" w:cs="Courier New" w:eastAsia="Courier New" w:hAnsi="Courier New"/>
          <w:sz w:val="14"/>
          <w:szCs w:val="14"/>
          <w:color w:val="auto"/>
        </w:rPr>
        <w:t>If an Authenticating Agent is appointed with respect to the Securities pursuant to this Section 6.12, the Securities may have endorsed thereon, in addition to or in lieu of the Trustee's certification of authentication, an alternative certificate of authentication in the following form:</w:t>
      </w:r>
    </w:p>
    <w:p>
      <w:pPr>
        <w:spacing w:after="0" w:line="163"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This is one of the Securities referred to in the within-mentioned Indenture.</w:t>
      </w:r>
    </w:p>
    <w:p>
      <w:pPr>
        <w:spacing w:after="0" w:line="170"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STATE STREET BANK AND TRUST</w:t>
      </w:r>
    </w:p>
    <w:p>
      <w:pPr>
        <w:ind w:left="4400"/>
        <w:spacing w:after="0"/>
        <w:rPr>
          <w:sz w:val="20"/>
          <w:szCs w:val="20"/>
          <w:color w:val="auto"/>
        </w:rPr>
      </w:pPr>
      <w:r>
        <w:rPr>
          <w:rFonts w:ascii="Courier New" w:cs="Courier New" w:eastAsia="Courier New" w:hAnsi="Courier New"/>
          <w:sz w:val="15"/>
          <w:szCs w:val="15"/>
          <w:color w:val="auto"/>
        </w:rPr>
        <w:t>COMPANY,</w:t>
      </w:r>
    </w:p>
    <w:p>
      <w:pPr>
        <w:ind w:left="4400"/>
        <w:spacing w:after="0"/>
        <w:rPr>
          <w:sz w:val="20"/>
          <w:szCs w:val="20"/>
          <w:color w:val="auto"/>
        </w:rPr>
      </w:pPr>
      <w:r>
        <w:rPr>
          <w:rFonts w:ascii="Courier New" w:cs="Courier New" w:eastAsia="Courier New" w:hAnsi="Courier New"/>
          <w:sz w:val="15"/>
          <w:szCs w:val="15"/>
          <w:color w:val="auto"/>
        </w:rPr>
        <w:t>as Trustee</w:t>
      </w:r>
    </w:p>
    <w:p>
      <w:pPr>
        <w:spacing w:after="0" w:line="168"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By:</w:t>
      </w:r>
    </w:p>
    <w:p>
      <w:pPr>
        <w:spacing w:after="0" w:line="17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As Authenticating Agent</w:t>
      </w:r>
    </w:p>
    <w:p>
      <w:pPr>
        <w:spacing w:after="0" w:line="16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By:</w:t>
      </w:r>
    </w:p>
    <w:p>
      <w:pPr>
        <w:spacing w:after="0" w:line="17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Authorized Signatory</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4"/>
          <w:szCs w:val="14"/>
          <w:color w:val="auto"/>
        </w:rPr>
        <w:t>Disqualification; Conflicting Interests.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Preferential Collection of Claims Against Company.</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VII</w:t>
      </w:r>
    </w:p>
    <w:p>
      <w:pPr>
        <w:jc w:val="center"/>
        <w:ind w:right="3359"/>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Company May Consolidate, Etc., Only on Certain Terms.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shall not (i) consolidate with or merge into any other Person or convey, transfer or lease all its properties and assets substantially as an entirety to any Person, (ii) permit any Person to consolidate with or merge into the Company or (iii) permit any Person to convey, transfer, sell or lease such Person's properties and assets substantially as an entirety to the Company unless: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7" w:right="1440" w:bottom="1440" w:gutter="0" w:footer="0" w:header="0"/>
        </w:sectPr>
      </w:pPr>
    </w:p>
    <w:bookmarkStart w:id="116" w:name="page117"/>
    <w:bookmarkEnd w:id="116"/>
    <w:p>
      <w:pPr>
        <w:ind w:right="3179" w:firstLine="431"/>
        <w:spacing w:after="0" w:line="257" w:lineRule="auto"/>
        <w:tabs>
          <w:tab w:leader="none" w:pos="793"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transaction under clauses (i) and (ii) above, the Person formed by such consolidation or into or with which the Company is merged or the Person to which the properties and assets of the Company are so conveyed, transferred, sold or leased shall be a corporation, limited liability company, partnership or trust organized and validly existing under the laws of the United States of America, any State thereof or the District of Columbia and, if other than the Company, shall expressly assume, by an indenture supplemental hereto, executed and delivered to the Trustee, in form satisfactory to the Trustee, the due and punctual payment of the principal of, premium, if any, and interest (including Liquidated Damages, if any) on all of the Securities as applicable, and the performance or observance of every covenant of this Indenture on the part of the Company to be performed or observed and shall have provided for conversion rights in accordance with Article XII;</w:t>
      </w:r>
    </w:p>
    <w:p>
      <w:pPr>
        <w:spacing w:after="0" w:line="165" w:lineRule="exact"/>
        <w:rPr>
          <w:rFonts w:ascii="Courier New" w:cs="Courier New" w:eastAsia="Courier New" w:hAnsi="Courier New"/>
          <w:sz w:val="14"/>
          <w:szCs w:val="14"/>
          <w:color w:val="auto"/>
        </w:rPr>
      </w:pPr>
    </w:p>
    <w:p>
      <w:pPr>
        <w:ind w:right="3359" w:firstLine="431"/>
        <w:spacing w:after="0" w:line="237" w:lineRule="auto"/>
        <w:tabs>
          <w:tab w:leader="none" w:pos="79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any such transaction, no Event of Default, and no event that after notice or lapse of time or both, would become an Event of Default, shall have occurred and be continuing; and</w:t>
      </w:r>
    </w:p>
    <w:p>
      <w:pPr>
        <w:spacing w:after="0" w:line="174" w:lineRule="exact"/>
        <w:rPr>
          <w:rFonts w:ascii="Courier New" w:cs="Courier New" w:eastAsia="Courier New" w:hAnsi="Courier New"/>
          <w:sz w:val="15"/>
          <w:szCs w:val="15"/>
          <w:color w:val="auto"/>
        </w:rPr>
      </w:pPr>
    </w:p>
    <w:p>
      <w:pPr>
        <w:ind w:right="3259" w:firstLine="431"/>
        <w:spacing w:after="0" w:line="257" w:lineRule="auto"/>
        <w:tabs>
          <w:tab w:leader="none" w:pos="793"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transaction under clauses (i) and (ii) above, 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 together with any documents required under Section 8.3.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 Successor Substituted.</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all or substantially all the properties and assets of the Company in accordance with Section 7.1, the successor Person formed by such consolidation or into or with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7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ind w:left="2540"/>
        <w:spacing w:after="0"/>
        <w:rPr>
          <w:sz w:val="20"/>
          <w:szCs w:val="20"/>
          <w:color w:val="auto"/>
        </w:rPr>
      </w:pPr>
      <w:r>
        <w:rPr>
          <w:rFonts w:ascii="Courier New" w:cs="Courier New" w:eastAsia="Courier New" w:hAnsi="Courier New"/>
          <w:sz w:val="15"/>
          <w:szCs w:val="15"/>
          <w:color w:val="auto"/>
        </w:rPr>
        <w:t>SUPPLEMENTAL INDENTURES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 Supplemental Indentures Without Consent of Holders of Securities.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Without the consent of any Holders of Securities the Company, when authorized by a Board Resolution, and the Trustee, at any time and from time to time, may enter into one or more indentures supplemental hereto for any of the following purposes:</w:t>
      </w:r>
    </w:p>
    <w:p>
      <w:pPr>
        <w:spacing w:after="0" w:line="176" w:lineRule="exact"/>
        <w:rPr>
          <w:sz w:val="20"/>
          <w:szCs w:val="20"/>
          <w:color w:val="auto"/>
        </w:rPr>
      </w:pPr>
    </w:p>
    <w:p>
      <w:pPr>
        <w:ind w:right="3179" w:firstLine="431"/>
        <w:spacing w:after="0" w:line="260" w:lineRule="auto"/>
        <w:tabs>
          <w:tab w:leader="none" w:pos="79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and obligations of the Company herein and in the Securities as permitted by Article VII of this Indenture; or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27" w:right="1440" w:bottom="1440" w:gutter="0" w:footer="0" w:header="0"/>
        </w:sectPr>
      </w:pPr>
    </w:p>
    <w:bookmarkStart w:id="117" w:name="page118"/>
    <w:bookmarkEnd w:id="117"/>
    <w:p>
      <w:pPr>
        <w:ind w:right="3359" w:firstLine="431"/>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Securities or to surrender any right or power herein conferred upon the Company; or</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of Securities pursuant to Section 12.11 or to make provision with respect to the repurchase rights of Holders of Securities pursuant to Section 14.5; or</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changes or modifications to this Indenture necessary in connection with the registration of any Registrable Securities under the Securities Act as contemplated by Section 10.11, provided such action pursuant to this clause (5) shall not adversely affect the interests of the Holders of Securities; or</w:t>
      </w:r>
    </w:p>
    <w:p>
      <w:pPr>
        <w:spacing w:after="0" w:line="178"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the requirements of the Trust Indenture Act or the rules and regulations of the Commission thereunder in order to effect or maintain the qualification of this Indenture under the Trust Indenture Act, as contemplated by this Indenture or otherwise; or</w:t>
      </w:r>
    </w:p>
    <w:p>
      <w:pPr>
        <w:spacing w:after="0" w:line="176" w:lineRule="exact"/>
        <w:rPr>
          <w:rFonts w:ascii="Courier New" w:cs="Courier New" w:eastAsia="Courier New" w:hAnsi="Courier New"/>
          <w:sz w:val="15"/>
          <w:szCs w:val="15"/>
          <w:color w:val="auto"/>
        </w:rPr>
      </w:pPr>
    </w:p>
    <w:p>
      <w:pPr>
        <w:ind w:right="3259" w:firstLine="431"/>
        <w:spacing w:after="0" w:line="235"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or</w:t>
      </w:r>
    </w:p>
    <w:p>
      <w:pPr>
        <w:spacing w:after="0" w:line="175"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inconsistent with any other provision herein or which is otherwise defective, or to make any other provisions with respect to matters or questions arising under this Indenture as the Company and the Trustee may deem necessary or desirable, provided such action pursuant to this clause (9) shall not adversely affect the interests of the Holders of Securities in any material respect.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Upon Company Request, accompanied by a Board Resolution authorizing the execution of any such supplemental indenture, and subject to and upon receipt by the Trustee of the documents described in Section 8.3 hereof, the Trustee shall join with the Company in the execution of any supplemental indenture authorized or permitted by the terms of this Indenture and to make any further appropriate agreements and stipulations which may be therein contained.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 Supplemental Indentures with Consent of Holders of Securities.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With either (i) the written consent of the Holders of not less than a majority in principal amount of the Outstanding Securities, by the Act of said Holders delivered to the Company and the Trustee, or (ii) by the adoption of a resolution, at a meeting of Holders of the Outstanding Securities at which a quorum is present, by the Holders of at least 66-2/3% in principal amount of the Outstanding Securities represented at such meeting or, if less, by Holders of not less than a majority in aggregate principal amount of all Outstanding Securities,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7" w:right="1440" w:bottom="1440" w:gutter="0" w:footer="0" w:header="0"/>
        </w:sectPr>
      </w:pPr>
    </w:p>
    <w:bookmarkStart w:id="118" w:name="page119"/>
    <w:bookmarkEnd w:id="118"/>
    <w:p>
      <w:pPr>
        <w:ind w:right="3179"/>
        <w:spacing w:after="0" w:line="237" w:lineRule="auto"/>
        <w:rPr>
          <w:sz w:val="20"/>
          <w:szCs w:val="20"/>
          <w:color w:val="auto"/>
        </w:rPr>
      </w:pPr>
      <w:r>
        <w:rPr>
          <w:rFonts w:ascii="Courier New" w:cs="Courier New" w:eastAsia="Courier New" w:hAnsi="Courier New"/>
          <w:sz w:val="15"/>
          <w:szCs w:val="15"/>
          <w:color w:val="auto"/>
        </w:rPr>
        <w:t>under this Indenture; provided, however, that no such supplemental indenture shall, without the consent or affirmative vote of the Holder of each Outstanding Security affected thereby,</w:t>
      </w:r>
    </w:p>
    <w:p>
      <w:pPr>
        <w:spacing w:after="0" w:line="175" w:lineRule="exact"/>
        <w:rPr>
          <w:sz w:val="20"/>
          <w:szCs w:val="20"/>
          <w:color w:val="auto"/>
        </w:rPr>
      </w:pPr>
    </w:p>
    <w:p>
      <w:pPr>
        <w:ind w:right="3179" w:firstLine="431"/>
        <w:spacing w:after="0" w:line="257" w:lineRule="auto"/>
        <w:tabs>
          <w:tab w:leader="none" w:pos="793"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interest on, any Security, or reduce the principal amount of, or the premium, if any, or the rate of interest payable thereon, or reduce the amount payable upon a redemption or mandatory repurchase, or change the place or currency of payment of the principal of, premium, if any, or interest on any Security (including any payment of Liquidated Damages or Redemption Price or Repurchase Price in respect of such Security) or impair the right to institute suit for the enforcement of any payment in respect of any Security on or after the Stated Maturity thereof (or, in the case of redemption or any repurchase, on or after the Redemption Date or Repurchase Date, as the case may be) or, except as permitted by Section 12.11, adversely affect the right of Holders to convert any Security as provided in Article XII, or modify the provisions of this Indenture with respect to the subordination of the Securities in a manner adverse to the Holders; or</w:t>
      </w:r>
    </w:p>
    <w:p>
      <w:pPr>
        <w:spacing w:after="0" w:line="165" w:lineRule="exact"/>
        <w:rPr>
          <w:rFonts w:ascii="Courier New" w:cs="Courier New" w:eastAsia="Courier New" w:hAnsi="Courier New"/>
          <w:sz w:val="14"/>
          <w:szCs w:val="14"/>
          <w:color w:val="auto"/>
        </w:rPr>
      </w:pPr>
    </w:p>
    <w:p>
      <w:pPr>
        <w:ind w:right="3259" w:firstLine="431"/>
        <w:spacing w:after="0" w:line="238" w:lineRule="auto"/>
        <w:tabs>
          <w:tab w:leader="none" w:pos="79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requirements of Section 9.4 for quorum or voting, or 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5" w:lineRule="exact"/>
        <w:rPr>
          <w:rFonts w:ascii="Courier New" w:cs="Courier New" w:eastAsia="Courier New" w:hAnsi="Courier New"/>
          <w:sz w:val="15"/>
          <w:szCs w:val="15"/>
          <w:color w:val="auto"/>
        </w:rPr>
      </w:pPr>
    </w:p>
    <w:p>
      <w:pPr>
        <w:ind w:right="3179" w:firstLine="431"/>
        <w:spacing w:after="0" w:line="265" w:lineRule="auto"/>
        <w:tabs>
          <w:tab w:leader="none" w:pos="793"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the obligation of the Company to maintain an office or agency in the Borough of Manhattan, The City of New York, pursuant to Section 10.2; or</w:t>
      </w:r>
    </w:p>
    <w:p>
      <w:pPr>
        <w:spacing w:after="0" w:line="158" w:lineRule="exact"/>
        <w:rPr>
          <w:rFonts w:ascii="Courier New" w:cs="Courier New" w:eastAsia="Courier New" w:hAnsi="Courier New"/>
          <w:sz w:val="14"/>
          <w:szCs w:val="14"/>
          <w:color w:val="auto"/>
        </w:rPr>
      </w:pPr>
    </w:p>
    <w:p>
      <w:pPr>
        <w:ind w:right="3179" w:firstLine="431"/>
        <w:spacing w:after="0" w:line="259" w:lineRule="auto"/>
        <w:tabs>
          <w:tab w:leader="none" w:pos="793"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or Section 5.13 or 10.12, except to increase any percentage contained herein or therein or to provide that certain other provisions of this Indenture cannot be modified or waived without the consent of the Holder of each Outstanding Security affected thereby; or</w:t>
      </w:r>
    </w:p>
    <w:p>
      <w:pPr>
        <w:spacing w:after="0" w:line="162" w:lineRule="exact"/>
        <w:rPr>
          <w:rFonts w:ascii="Courier New" w:cs="Courier New" w:eastAsia="Courier New" w:hAnsi="Courier New"/>
          <w:sz w:val="14"/>
          <w:szCs w:val="14"/>
          <w:color w:val="auto"/>
        </w:rPr>
      </w:pPr>
    </w:p>
    <w:p>
      <w:pPr>
        <w:ind w:right="3879" w:firstLine="431"/>
        <w:spacing w:after="0" w:line="235" w:lineRule="auto"/>
        <w:tabs>
          <w:tab w:leader="none" w:pos="79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of Article XIV in a manner adverse to the Holders; or</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Section 10.9.</w:t>
      </w:r>
    </w:p>
    <w:p>
      <w:pPr>
        <w:spacing w:after="0" w:line="17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8.3 Execution of Supplemental Indentures.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and that such supplemental indenture has been duly authorized, executed and delivered by the Company and constitutes a valid and legally binding</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7" w:right="1440" w:bottom="1440" w:gutter="0" w:footer="0" w:header="0"/>
        </w:sectPr>
      </w:pPr>
    </w:p>
    <w:bookmarkStart w:id="119" w:name="page120"/>
    <w:bookmarkEnd w:id="119"/>
    <w:p>
      <w:pPr>
        <w:ind w:right="3179"/>
        <w:spacing w:after="0" w:line="237" w:lineRule="auto"/>
        <w:rPr>
          <w:sz w:val="20"/>
          <w:szCs w:val="20"/>
          <w:color w:val="auto"/>
        </w:rPr>
      </w:pPr>
      <w:r>
        <w:rPr>
          <w:rFonts w:ascii="Courier New" w:cs="Courier New" w:eastAsia="Courier New" w:hAnsi="Courier New"/>
          <w:sz w:val="15"/>
          <w:szCs w:val="15"/>
          <w:color w:val="auto"/>
        </w:rPr>
        <w:t>obligation of the Company enforceable against the Company in accordance with its terms. The Trustee may, but shall not be obligated to, enter into any such supplemental indenture which affects the Trustee's own rights, duties or immunities under this Indenture or otherwise.</w:t>
      </w:r>
    </w:p>
    <w:p>
      <w:pPr>
        <w:spacing w:after="0" w:line="171"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4"/>
          <w:szCs w:val="14"/>
          <w:color w:val="auto"/>
        </w:rPr>
        <w:t>Effect of Supplemental Indentures.</w:t>
      </w: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appertaining thereto shall be bound thereby.</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4"/>
          <w:szCs w:val="14"/>
          <w:color w:val="auto"/>
        </w:rPr>
        <w:t>Reference in Securities to Supplemental Indentures.</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Company and the Trustee, to any such supplemental indenture may be prepared and executed by the Company and authenticated and delivered by the Trustee in exchange for Outstanding Securities.</w:t>
      </w:r>
    </w:p>
    <w:p>
      <w:pPr>
        <w:spacing w:after="0" w:line="17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8.6</w:t>
      </w:r>
      <w:r>
        <w:rPr>
          <w:sz w:val="20"/>
          <w:szCs w:val="20"/>
          <w:color w:val="auto"/>
        </w:rPr>
        <w:tab/>
      </w:r>
      <w:r>
        <w:rPr>
          <w:rFonts w:ascii="Courier New" w:cs="Courier New" w:eastAsia="Courier New" w:hAnsi="Courier New"/>
          <w:sz w:val="14"/>
          <w:szCs w:val="14"/>
          <w:color w:val="auto"/>
        </w:rPr>
        <w:t>Notice of Supplemental Indentures.</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Promptly after the execution by the Company and the Trustee of any supplemental indenture pursuant to the provisions of Section 8.2, the Company shall give notice to all Holders of Securities of such fact, setting forth in general terms the substance of such supplemental indenture, in the manner provided in Section 1.6. Any failure of the Company to give such notice, or any defect therein, shall not in any way impair or affect the validity of any such supplemental indenture.</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IX</w:t>
      </w:r>
    </w:p>
    <w:p>
      <w:pPr>
        <w:jc w:val="center"/>
        <w:ind w:right="3099"/>
        <w:spacing w:after="0"/>
        <w:rPr>
          <w:sz w:val="20"/>
          <w:szCs w:val="20"/>
          <w:color w:val="auto"/>
        </w:rPr>
      </w:pPr>
      <w:r>
        <w:rPr>
          <w:rFonts w:ascii="Courier New" w:cs="Courier New" w:eastAsia="Courier New" w:hAnsi="Courier New"/>
          <w:sz w:val="15"/>
          <w:szCs w:val="15"/>
          <w:color w:val="auto"/>
        </w:rPr>
        <w:t>MEETINGS OF HOLDERS OF SECURITIES</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Purposes for Which Meetings May Be Called.</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A meeting of Holders of Securities may be called at any time and from time to time pursuant to this Article to make, give or take any request, demand, authorization, direction, notice, consent, waiver or other action provided by this Indenture to be made, given or taken by Holders of Securities.</w:t>
      </w:r>
    </w:p>
    <w:p>
      <w:pPr>
        <w:spacing w:after="0" w:line="15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Call, Notice and Place of Meetings.</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31"/>
        <w:spacing w:after="0" w:line="238" w:lineRule="auto"/>
        <w:tabs>
          <w:tab w:leader="none" w:pos="79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at any time call a meeting of Holders of Securities for any purpose specified in Section 9.1, to be held at such time and at such place in the Borough of Manhattan, The City of New York, as the Trustee shall determine. Notice of every meeting of Holders of Securities, setting forth the time and the place of such meeting and in general terms the action proposed to be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7" w:right="1440" w:bottom="1440" w:gutter="0" w:footer="0" w:header="0"/>
        </w:sectPr>
      </w:pPr>
    </w:p>
    <w:bookmarkStart w:id="120" w:name="page121"/>
    <w:bookmarkEnd w:id="120"/>
    <w:p>
      <w:pPr>
        <w:ind w:left="10" w:right="3179"/>
        <w:spacing w:after="0" w:line="265" w:lineRule="auto"/>
        <w:rPr>
          <w:sz w:val="20"/>
          <w:szCs w:val="20"/>
          <w:color w:val="auto"/>
        </w:rPr>
      </w:pPr>
      <w:r>
        <w:rPr>
          <w:rFonts w:ascii="Courier New" w:cs="Courier New" w:eastAsia="Courier New" w:hAnsi="Courier New"/>
          <w:sz w:val="14"/>
          <w:szCs w:val="14"/>
          <w:color w:val="auto"/>
        </w:rPr>
        <w:t>taken at such meeting, shall be given, in the manner provided in Section 1.6, not less than 21 nor more than 180 days prior to the date fixed for the meeting.</w:t>
      </w:r>
    </w:p>
    <w:p>
      <w:pPr>
        <w:spacing w:after="0" w:line="158" w:lineRule="exact"/>
        <w:rPr>
          <w:sz w:val="20"/>
          <w:szCs w:val="20"/>
          <w:color w:val="auto"/>
        </w:rPr>
      </w:pPr>
    </w:p>
    <w:p>
      <w:pPr>
        <w:ind w:left="10" w:right="3179" w:firstLine="431"/>
        <w:spacing w:after="0" w:line="256" w:lineRule="auto"/>
        <w:tabs>
          <w:tab w:leader="none" w:pos="803"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the Company, pursuant to a Board Resolution, or the Holders of at least 10% in principal amount of the Outstanding Securities shall have requested the Trustee to call a meeting of the Holders of Securities for any purpose specified in Section 9.1, by written request setting forth in reasonable detail the action proposed to be taken at the meeting, and the Trustee shall not have mailed the notice of such meeting within 21 days after receipt of such request or shall not thereafter proceed to cause the meeting to be held as provided herein, then the Company or the Holders of Securities in the amount specified, as the case may be, may determine the time and the place in the Borough of Manhattan, The City of New York, for such meeting and may call such meeting for such purposes by giving notice thereof as provided in paragraph</w:t>
      </w:r>
    </w:p>
    <w:p>
      <w:pPr>
        <w:ind w:left="350" w:hanging="350"/>
        <w:spacing w:after="0"/>
        <w:tabs>
          <w:tab w:leader="none" w:pos="3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9.3 Persons Entitled to Vote at Meetings.</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To be entitled to vote at any meeting of Holders of Securities, a Person shall be (i) a Holder of one or more Outstanding Securities, or (ii) a Person appointed by an instrument in writing as proxy for a Holder or Holders of one or more Outstanding Securities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9.4 Quorum; Action.</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Persons entitled to vote a majority in principal amount of the Outstanding Securities shall constitute a quorum. In the absence of a quorum within 30 minutes of the time appointed for any such meeting, the meeting shall, if convened at the request of Holders of Securities,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not less than 10 days as determined by the chairman of the meeting prior to the adjournment of such adjourned meeting (subject to repeated applications of this sentence). Notice of the reconvening of any adjourned meeting shall be given as provided in Section</w:t>
      </w:r>
    </w:p>
    <w:p>
      <w:pPr>
        <w:spacing w:after="0" w:line="4"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9.2(1), except that such notice need be given only once not less than five days prior to the date on which the meeting is scheduled to be reconvened. Notice of the reconvening of an adjourned meeting shall state expressly the percentage of the principal amount of the Outstanding Securities which shall constitute a quorum.</w:t>
      </w:r>
    </w:p>
    <w:p>
      <w:pPr>
        <w:spacing w:after="0" w:line="178"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Subject to the foregoing, at the reconvening of any meeting adjourned for a lack of a quorum, the Persons entitled to vote 25% in principal amount of the Outstanding Securities at the time shall constitute a quorum for the taking of any action set forth in the notice of the original meeting.</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At a meeting or an adjourned meeting duly reconvened and at which a quorum is present as aforesaid, any resolution and all matters (except as limited by the proviso to Section 8.2 and except to the extent Section 10.12 requires a different vote) shall be effectively passed and decided if passed</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9"/>
          </w:cols>
          <w:pgMar w:left="230" w:top="627" w:right="1440" w:bottom="1440" w:gutter="0" w:footer="0" w:header="0"/>
        </w:sectPr>
      </w:pPr>
    </w:p>
    <w:bookmarkStart w:id="121" w:name="page122"/>
    <w:bookmarkEnd w:id="121"/>
    <w:p>
      <w:pPr>
        <w:ind w:right="3179"/>
        <w:spacing w:after="0" w:line="237" w:lineRule="auto"/>
        <w:rPr>
          <w:sz w:val="20"/>
          <w:szCs w:val="20"/>
          <w:color w:val="auto"/>
        </w:rPr>
      </w:pPr>
      <w:r>
        <w:rPr>
          <w:rFonts w:ascii="Courier New" w:cs="Courier New" w:eastAsia="Courier New" w:hAnsi="Courier New"/>
          <w:sz w:val="15"/>
          <w:szCs w:val="15"/>
          <w:color w:val="auto"/>
        </w:rPr>
        <w:t>or decided by the lesser of (i) the Holders of not less than a majority in principal amount of Outstanding Securities and (ii) the Persons entitled to vote not less than 66-2/3% in principal amount of Outstanding Securities represented and entitled to vote at such meeting.</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resolution passed or decisions taken at any meeting of Holders of Securities duly held in accordance with this Section shall be binding on all the Holders of Securities whether or not present or represented at the meeting. The Trustee shall, in the name and at the expense of the Company, notify all the Holders of Securities of any such resolutions or decisions pursuant to Section 1.6.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9.5 Determination of Voting Rights; Conduct and Adjournment of Meetings.</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right="3179" w:firstLine="431"/>
        <w:spacing w:after="0" w:line="257" w:lineRule="auto"/>
        <w:tabs>
          <w:tab w:leader="none" w:pos="793"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1.4 and the appointment of any proxy shall be proved in the manner specified in Section 1.4 or by having the signature of the Person executing the proxy guaranteed by any bank, broker or other eligible institution participating in a recognized medallion signature guarantee program.</w:t>
      </w:r>
    </w:p>
    <w:p>
      <w:pPr>
        <w:spacing w:after="0" w:line="165" w:lineRule="exact"/>
        <w:rPr>
          <w:rFonts w:ascii="Courier New" w:cs="Courier New" w:eastAsia="Courier New" w:hAnsi="Courier New"/>
          <w:sz w:val="14"/>
          <w:szCs w:val="14"/>
          <w:color w:val="auto"/>
        </w:rPr>
      </w:pPr>
    </w:p>
    <w:p>
      <w:pPr>
        <w:ind w:right="3179" w:firstLine="431"/>
        <w:spacing w:after="0" w:line="238" w:lineRule="auto"/>
        <w:tabs>
          <w:tab w:leader="none" w:pos="79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by an instrument in writing, appoint a temporary chairman (which may be the Trustee) of the meeting, unless the meeting shall have been called by the Company or by Holders of Securities as provided in Section 9.2(1), in which case the Company or the Holders of Securities calling the meeting, as the case may be, shall in like manner appoint a temporary chairman. A permanent chairman and a permanent secretary of the meeting shall be elected by vote of the Persons entitled to vote a majority in principal amount of the Outstanding Securities represented at the meeting.</w:t>
      </w:r>
    </w:p>
    <w:p>
      <w:pPr>
        <w:spacing w:after="0" w:line="177" w:lineRule="exact"/>
        <w:rPr>
          <w:rFonts w:ascii="Courier New" w:cs="Courier New" w:eastAsia="Courier New" w:hAnsi="Courier New"/>
          <w:sz w:val="15"/>
          <w:szCs w:val="15"/>
          <w:color w:val="auto"/>
        </w:rPr>
      </w:pPr>
    </w:p>
    <w:p>
      <w:pPr>
        <w:ind w:right="3179" w:firstLine="431"/>
        <w:spacing w:after="0" w:line="258" w:lineRule="auto"/>
        <w:tabs>
          <w:tab w:leader="none" w:pos="793"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each Holder of a Security or proxy shall be entitled to one vote for each U.S. $1,000 principal amount of Securities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or proxy.</w:t>
      </w:r>
    </w:p>
    <w:p>
      <w:pPr>
        <w:spacing w:after="0" w:line="163" w:lineRule="exact"/>
        <w:rPr>
          <w:rFonts w:ascii="Courier New" w:cs="Courier New" w:eastAsia="Courier New" w:hAnsi="Courier New"/>
          <w:sz w:val="14"/>
          <w:szCs w:val="14"/>
          <w:color w:val="auto"/>
        </w:rPr>
      </w:pPr>
    </w:p>
    <w:p>
      <w:pPr>
        <w:ind w:right="3259" w:firstLine="431"/>
        <w:spacing w:after="0" w:line="237" w:lineRule="auto"/>
        <w:tabs>
          <w:tab w:leader="none" w:pos="79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meeting of Holders of Securities duly called pursuant to Section 9.2 at which a quorum is present may be adjourned from time to time by Persons entitled to vote a majority in principal amount of the Outstanding Securities represented at the meeting, and the meeting may be held as so adjourned without further notice.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9.6 Counting Votes and Recording Action of Meetings.</w:t>
      </w:r>
    </w:p>
    <w:p>
      <w:pPr>
        <w:ind w:left="1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879" w:firstLine="441"/>
        <w:spacing w:after="0" w:line="237" w:lineRule="auto"/>
        <w:rPr>
          <w:sz w:val="20"/>
          <w:szCs w:val="20"/>
          <w:color w:val="auto"/>
        </w:rPr>
      </w:pPr>
      <w:r>
        <w:rPr>
          <w:rFonts w:ascii="Courier New" w:cs="Courier New" w:eastAsia="Courier New" w:hAnsi="Courier New"/>
          <w:sz w:val="15"/>
          <w:szCs w:val="15"/>
          <w:color w:val="auto"/>
        </w:rPr>
        <w:t>The vote upon any resolution submitted to any meeting of Holders of Securities shall be by written ballots on which shall be subscribed the signatures of the Holders of Securities or of their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7" w:right="1440" w:bottom="1440" w:gutter="0" w:footer="0" w:header="0"/>
        </w:sectPr>
      </w:pPr>
    </w:p>
    <w:bookmarkStart w:id="122" w:name="page123"/>
    <w:bookmarkEnd w:id="122"/>
    <w:p>
      <w:pPr>
        <w:ind w:right="3179"/>
        <w:spacing w:after="0" w:line="257" w:lineRule="auto"/>
        <w:rPr>
          <w:sz w:val="20"/>
          <w:szCs w:val="20"/>
          <w:color w:val="auto"/>
        </w:rPr>
      </w:pPr>
      <w:r>
        <w:rPr>
          <w:rFonts w:ascii="Courier New" w:cs="Courier New" w:eastAsia="Courier New" w:hAnsi="Courier New"/>
          <w:sz w:val="14"/>
          <w:szCs w:val="14"/>
          <w:color w:val="auto"/>
        </w:rPr>
        <w:t>representatives by proxy and the principal amounts at Stated Maturity and serial numbers of the Outstanding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9.2 and, if applicable, Section 9.4.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w:t>
      </w: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Payment of Principal, Premium and Interest.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covenants and agrees that it will duly and punctually pay the principal of and premium, if any, and interest (including Liquidated Damages, if any) on the Securities in accordance with the terms of the Securities and this Indenture. The Company will deposit or cause to be deposited with the Trustee, no later than the opening of business on the date of the Stated Maturity of any Security or no later than the opening of business on the due date for any installment of interest, all payments so due, which payments shall be in immediately available funds on the date of such Stated Maturity or due date, as the case may be.</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Maintenance of Offices or Agencies.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will maintain in the Borough of Manhattan, The City of New York, an office or agency where the Securities may be surrendered for registration of transfer or exchange or for presentation for payment or for conversion, redemption or repurchase and where notices and demands to or upon the Company in respect of the Securities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82"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may at any time and from time to time vary or terminate the appointment of any such agent or appoint any additional agents for any or all of such purposes; provided, however, that until all of the Securities have been delivered to the Trustee for cancellation, or moneys sufficient to pay the principal of, premium, if any, and interest on the Securities have been made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7" w:right="1440" w:bottom="1440" w:gutter="0" w:footer="0" w:header="0"/>
        </w:sectPr>
      </w:pPr>
    </w:p>
    <w:bookmarkStart w:id="123" w:name="page124"/>
    <w:bookmarkEnd w:id="123"/>
    <w:p>
      <w:pPr>
        <w:ind w:right="3179"/>
        <w:spacing w:after="0" w:line="238" w:lineRule="auto"/>
        <w:rPr>
          <w:sz w:val="20"/>
          <w:szCs w:val="20"/>
          <w:color w:val="auto"/>
        </w:rPr>
      </w:pPr>
      <w:r>
        <w:rPr>
          <w:rFonts w:ascii="Courier New" w:cs="Courier New" w:eastAsia="Courier New" w:hAnsi="Courier New"/>
          <w:sz w:val="15"/>
          <w:szCs w:val="15"/>
          <w:color w:val="auto"/>
        </w:rPr>
        <w:t>available for payment and either paid or returned to the Company pursuant to the provisions of Section 10.3, the Company will maintain in the Borough of Manhattan, The City of New York, an office or agency where Securities may be presented or surrendered for payment and conversion, which shall initially be State Street Bank and Trust Company, N.A., an Affiliate of the Trustee, where Securities may be surrendered for registration of transfer or exchange and where notices and demands to or upon the Company in respect of the Securities and this Indenture may be served. The Company will give prompt written notice to the Trustee, and notice to the Holders in accordance with Section 1.6, of the appointment or termination of any such agents and of the location and any change in the location of any such office or agency.</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hereby initially designates the Trustee as Paying Agent, Security Registrar and Conversion Agent, and each of the Corporate Trust Office of the Trustee and the office or agency of State Street Bank and Trust Company, N.A. an Affiliate of the Trustee in the Borough of Manhattan, The City of New York, located at 61 Broadway, 15th Floor, New York, New York 10006 attention: Corporate Trust Administration (ANALOG DEVICES, INC. 4.75% Convertible Subordinated Notes due October 1, 2005) as one such office or agency of the Company for each of the aforesaid purposes.</w:t>
      </w:r>
    </w:p>
    <w:p>
      <w:pPr>
        <w:spacing w:after="0" w:line="1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Money for Security Payments to Be Held in Trust.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the Company shall act as its own Paying Agent, it will, on or before each due date of the principal of, premium, if any, or interest on any of the Securities, segregate and hold in trust for the benefit of the Persons entitled thereto a sum sufficient to pay the principal, premium, if any, or interest so becoming due until such sums shall be paid to such Persons or otherwise disposed of as herein provided and the Company will promptly notify the Trustee of its action or failure so to act.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Whenever the Company shall have one or more Paying Agents, it will, no later than the opening of business on each due date of the principal of, premium, if any, or interest on any Securities, deposit with the Trustee a sum in funds immediately payable on the payment date sufficient to pay the principal, premium, if any, or interest so becoming due, such sum to be held for the benefit of the Persons entitled to such principal, premium, if any, or interest, and (unless such Paying Agent is the Trustee) the Company will promptly notify the Trustee of any failure so to act.</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176" w:lineRule="exact"/>
        <w:rPr>
          <w:sz w:val="20"/>
          <w:szCs w:val="20"/>
          <w:color w:val="auto"/>
        </w:rPr>
      </w:pPr>
    </w:p>
    <w:p>
      <w:pPr>
        <w:ind w:right="3259" w:firstLine="431"/>
        <w:spacing w:after="0" w:line="237" w:lineRule="auto"/>
        <w:tabs>
          <w:tab w:leader="none" w:pos="79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all sums held by it for the payment of the principal of, premium, if any, or interest on Securities for the benefit of the Persons entitled thereto until such sums shall be paid to such Persons or otherwise disposed of as herein provided;</w:t>
      </w:r>
    </w:p>
    <w:p>
      <w:pPr>
        <w:spacing w:after="0" w:line="176"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in the making of any payment of principal, premium, if any, or interest;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7" w:right="1440" w:bottom="1440" w:gutter="0" w:footer="0" w:header="0"/>
        </w:sectPr>
      </w:pPr>
    </w:p>
    <w:bookmarkStart w:id="124" w:name="page125"/>
    <w:bookmarkEnd w:id="124"/>
    <w:p>
      <w:pPr>
        <w:ind w:right="3179" w:firstLine="431"/>
        <w:spacing w:after="0" w:line="237" w:lineRule="auto"/>
        <w:tabs>
          <w:tab w:leader="none" w:pos="793"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by such Paying Agent.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premium, if any, or interest on any Security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7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Existence.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Subject to Article VII, the Company will do or cause to be done all things necessary to preserve and keep in full force and effect its existence, rights (charter and statutory) and franchises; provided, however, that the Company shall not be required to preserve any such right or franchise if the Company shall determine that the preservation thereof is no longer desirable in the conduct of the business of the Company and that the loss thereof is not disadvantageous in any material respect to the Holders.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Maintenance of Properties.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will cause all properties used or useful in the conduct of its business or the business of any Significant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Significant Subsidiary and not disadvantageous in any material respect to the Holders.</w:t>
      </w:r>
    </w:p>
    <w:p>
      <w:pPr>
        <w:spacing w:after="0" w:line="17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Payment of Taxes and Other Claims.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Company will pay or discharge, or cause to be paid or discharged, before the same may become delinquent, (i) all taxes, assessments and governmental charges levied or imposed upon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27" w:right="1440" w:bottom="1440" w:gutter="0" w:footer="0" w:header="0"/>
        </w:sectPr>
      </w:pPr>
    </w:p>
    <w:bookmarkStart w:id="125" w:name="page126"/>
    <w:bookmarkEnd w:id="125"/>
    <w:p>
      <w:pPr>
        <w:ind w:right="3179"/>
        <w:spacing w:after="0" w:line="238" w:lineRule="auto"/>
        <w:rPr>
          <w:sz w:val="20"/>
          <w:szCs w:val="20"/>
          <w:color w:val="auto"/>
        </w:rPr>
      </w:pPr>
      <w:r>
        <w:rPr>
          <w:rFonts w:ascii="Courier New" w:cs="Courier New" w:eastAsia="Courier New" w:hAnsi="Courier New"/>
          <w:sz w:val="15"/>
          <w:szCs w:val="15"/>
          <w:color w:val="auto"/>
        </w:rPr>
        <w:t>Company or any Significant Subsidiary or upon the income, profits or property of the Company or any Significant Subsidiary, (ii) all claims for labor, materials and supplies which, if unpaid, might by law become a lien or charge upon the property of the Company or any Significant Subsidiary, and (iii) all stamps and other duties, if any, which may be imposed by the United States or any political subdivision thereof or therein in connection with the issuance, transfer, exchange or conversion of any Securities or with respect to this Indenture; provided, however, that, in the case of clauses (i) and (ii), the Company shall not be required to pay or discharge or cause to be paid or discharged any such tax, assessment, charge or claim (A) if the failure to do so will not, in the aggregate, have a material adverse impact on the Company, or (B) if the amount, applicability or validity is being contested in good faith by appropriate proceedings.</w:t>
      </w:r>
    </w:p>
    <w:p>
      <w:pPr>
        <w:spacing w:after="0" w:line="1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Registration and Listing.</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The Company (i)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Securities are issued and delivered, and qualified or listed as contemplated by clause (ii) (it being understood that the Company shall not be required to register the Securities under the Securities Act, except pursuant to the Registration Rights Agreement referred to in Section</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10.11); and (ii) will qualify the shares of Common Stock required to be issued and delivered upon conversion of Securities, prior to such issuance or delivery, for quotation on the Nasdaq National Market or, if the Common Stock is not then quoted on the Nasdaq National Market, list the Common Stock on each national securities exchange or quotation system on which outstanding Common Stock is listed or quoted at the time of such delivery.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Nothing in this Section will limit the application of Section 10.11.</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Statement by Officers as to Default.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shall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will deliver to the Trustee, forthwith upon becoming aware of any default or any Event of Default under the Indenture, an Officers' Certificate specifying with particularity such default or Event of Default and further stating what action the Company has taken, is taking or proposes to take with respect thereto. For the purpose of this Section, the term "default" means any event which is, or after notice or lapse of time or both would become, an Event of Default.</w:t>
      </w:r>
    </w:p>
    <w:p>
      <w:pPr>
        <w:spacing w:after="0" w:line="177"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Any notice required to be given under this Section 10.8 shall be delivered to the Trustee at its Corporate Trust Office.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7" w:right="1440" w:bottom="1440" w:gutter="0" w:footer="0" w:header="0"/>
        </w:sectPr>
      </w:pPr>
    </w:p>
    <w:bookmarkStart w:id="126" w:name="page127"/>
    <w:bookmarkEnd w:id="126"/>
    <w:p>
      <w:pPr>
        <w:spacing w:after="0"/>
        <w:tabs>
          <w:tab w:leader="none" w:pos="130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Delivery of Certain Information.</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At any time when the Company is not subject to Section 13 or 15(d) of the Exchange Act, upon the request of a Holder of a Restricted Security or the holder of shares of Common Stock issued upon conversion thereof, the Company will promptly furnish or cause to be furnished Rule 144A Information (as defined below) to such Holder of Restricted Securities or such holder of shares of Common Stock issued upon conversion of Restricted Securities, or to a prospective purchaser of any such security designated by any such Holder or holder, as the case may be, to the extent required to permit compliance by such Holder or holder with Rule 144A under the Securities Act (or any successor provision thereto) in connection with the resale of any such security; provided, however, that the Company shall not be required to furnish such information in connection with any request made on or after the date which is two years from the later of (i) the date such a security (or any such predecessor security) was last acquired from the Company or (ii) the date such a security (or any such predecessor security) was last acquired from an "affiliate" of the Company within the meaning of Rule 144 under the Securities Act (or any successor provision thereto). "Rule 144A Information" shall be such information as is specified pursuant to Rule 144A(d)(4) under the Securities Act (or any successor provision thereto).</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10.10</w:t>
      </w:r>
      <w:r>
        <w:rPr>
          <w:sz w:val="20"/>
          <w:szCs w:val="20"/>
          <w:color w:val="auto"/>
        </w:rPr>
        <w:tab/>
      </w:r>
      <w:r>
        <w:rPr>
          <w:rFonts w:ascii="Courier New" w:cs="Courier New" w:eastAsia="Courier New" w:hAnsi="Courier New"/>
          <w:sz w:val="14"/>
          <w:szCs w:val="14"/>
          <w:color w:val="auto"/>
        </w:rPr>
        <w:t>Resale of Certain Securities.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the period beginning on the last date of original issuance of the Securities and ending on the date that is two years from such date (or such shortened period under Rule 144(k) under the Securities Act or any successor rule), the Company will not, and will not permit any of its subsidiaries or other "affiliates" (as defined under Rule 144 under the Securities Act or any successor provision thereto) to, resell (i) any Securities which constitute "restricted securities" under Rule 144 or (ii) any securities into which the Securities have been converted under this Indenture which constitute "restricted securities" under Rule 144, that in either case have been reacquired by any of them. The Trustee shall have no responsibility in respect of the Company's performance of its agreement in the preceding sentence.</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10.11</w:t>
      </w:r>
      <w:r>
        <w:rPr>
          <w:sz w:val="20"/>
          <w:szCs w:val="20"/>
          <w:color w:val="auto"/>
        </w:rPr>
        <w:tab/>
      </w:r>
      <w:r>
        <w:rPr>
          <w:rFonts w:ascii="Courier New" w:cs="Courier New" w:eastAsia="Courier New" w:hAnsi="Courier New"/>
          <w:sz w:val="14"/>
          <w:szCs w:val="14"/>
          <w:color w:val="auto"/>
        </w:rPr>
        <w:t>Registration Rights.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39" w:firstLine="441"/>
        <w:spacing w:after="0" w:line="258" w:lineRule="auto"/>
        <w:rPr>
          <w:sz w:val="20"/>
          <w:szCs w:val="20"/>
          <w:color w:val="auto"/>
        </w:rPr>
      </w:pPr>
      <w:r>
        <w:rPr>
          <w:rFonts w:ascii="Courier New" w:cs="Courier New" w:eastAsia="Courier New" w:hAnsi="Courier New"/>
          <w:sz w:val="14"/>
          <w:szCs w:val="14"/>
          <w:color w:val="auto"/>
        </w:rPr>
        <w:t>The Company agrees that the Holders from time to time of Registrable Securities (as defined below) are entitled to the benefits of a Registration Rights Agreement, dated as of October 2, 2000 (the "Registration Rights Agreement"), executed by the Company. The provisions of Section 7 of the Registration Rights Agreement are incorporated herein by reference.</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Whenever in this Indenture there is mentioned, in any context, the payment of the principal of, premium, if any, or interest on, or in respect of, any Security, such mention shall be deemed to include mention of the payment of "Liquidated Damages" (which is defined herein as defined in the Registration Rights Agreement) provided for in this Section to the extent that, in such context, Liquidated Damages are, were or would be payable in respect thereof pursuant to the provisions of this Section and express mention of the payment of Liquidated Damages (if applicable) in any provisions hereof shall not be construed as excluding Liquidated Damages in those provisions hereof where such express mention is not made.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22" w:right="1440" w:bottom="1440" w:gutter="0" w:footer="0" w:header="0"/>
        </w:sectPr>
      </w:pPr>
    </w:p>
    <w:bookmarkStart w:id="127" w:name="page128"/>
    <w:bookmarkEnd w:id="127"/>
    <w:p>
      <w:pPr>
        <w:ind w:left="10" w:right="3259" w:firstLine="441"/>
        <w:spacing w:after="0" w:line="238" w:lineRule="auto"/>
        <w:rPr>
          <w:sz w:val="20"/>
          <w:szCs w:val="20"/>
          <w:color w:val="auto"/>
        </w:rPr>
      </w:pPr>
      <w:r>
        <w:rPr>
          <w:rFonts w:ascii="Courier New" w:cs="Courier New" w:eastAsia="Courier New" w:hAnsi="Courier New"/>
          <w:sz w:val="15"/>
          <w:szCs w:val="15"/>
          <w:color w:val="auto"/>
        </w:rPr>
        <w:t>If a Security, or the shares of Common Stock issuable upon conversion of a Security, is a Registrable Security (which is defined herein as defined in the Registration Rights Agreement), and the Holder thereof elects to sell such Registrable Security pursuant to the Shelf Registration Statement then, by its acceptance thereof, the Holder of such Registrable Security will have agreed to be bound by the terms of the Registration Rights Agreement relating to the Registrable Securities which are the subject of such election.</w:t>
      </w:r>
    </w:p>
    <w:p>
      <w:pPr>
        <w:spacing w:after="0" w:line="177"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For the purposes of the Registration Rights Agreement, the term "Holder" includes any Person that has a beneficial interest in any Restricted Global Security or any beneficial interest in a global security representing shares of Common Stock issuable upon conversion of a Security.</w:t>
      </w:r>
    </w:p>
    <w:p>
      <w:pPr>
        <w:spacing w:after="0" w:line="176"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If Liquidated Damages are payable under the Registration Rights Agreement, the Company shall deliver to the Trustee a certificate to that effect stating</w:t>
      </w:r>
    </w:p>
    <w:p>
      <w:pPr>
        <w:spacing w:after="0" w:line="1" w:lineRule="exact"/>
        <w:rPr>
          <w:sz w:val="20"/>
          <w:szCs w:val="20"/>
          <w:color w:val="auto"/>
        </w:rPr>
      </w:pPr>
    </w:p>
    <w:p>
      <w:pPr>
        <w:ind w:left="10" w:right="3179" w:hanging="10"/>
        <w:spacing w:after="0" w:line="238" w:lineRule="auto"/>
        <w:tabs>
          <w:tab w:leader="none" w:pos="36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Liquidated Damages that is payable and (ii) the date on which Liquidated Damages is payable. Unless and until a Responsible Officer of the Trustee receives at the Corporate Trust Office such a certificate, the Trustee may assume without inquiry that no Liquidated Damages are payable. If Liquidated Damages have been paid by the Company directly to the persons entitled to them, the Company shall deliver to the Trustee a certificate setting forth the particulars of such payment.</w:t>
      </w:r>
    </w:p>
    <w:p>
      <w:pPr>
        <w:spacing w:after="0" w:line="177"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provisions of this Section 10.11 shall survive any conversion of Securities into shares of Common Stock pursuant to Section 12 hereof, and may be enforced by the holder of Common Stock issued upon conversion of this Note.</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10.12</w:t>
      </w:r>
      <w:r>
        <w:rPr>
          <w:sz w:val="20"/>
          <w:szCs w:val="20"/>
          <w:color w:val="auto"/>
        </w:rPr>
        <w:tab/>
      </w:r>
      <w:r>
        <w:rPr>
          <w:rFonts w:ascii="Courier New" w:cs="Courier New" w:eastAsia="Courier New" w:hAnsi="Courier New"/>
          <w:sz w:val="14"/>
          <w:szCs w:val="14"/>
          <w:color w:val="auto"/>
        </w:rPr>
        <w:t>Waiver of Certain Covenants.</w:t>
      </w:r>
    </w:p>
    <w:p>
      <w:pPr>
        <w:ind w:left="13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Company may omit in any particular instance to comply with any covenant or condition set forth in Sections 10.4 (other than with respect to the existence of the Company (subject to Article VII)), 10.5 and 10. 6, inclusive (other than a covenant or condition which under Article VIII cannot be modified or amended without the consent of the Holder of each Outstanding Security affected), if before the time for such compliance the Holders shall, through the written consent of, or the adoption of a resolution at a meeting of Holders of the Outstanding Securities at which a quorum is present by, not less than the lesser of (x) a majority in principal amount of the Outstanding Securities and (y) 66% of the principal amount of Securities represented at the meeting,</w:t>
      </w:r>
    </w:p>
    <w:p>
      <w:pPr>
        <w:spacing w:after="0" w:line="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or any Paying or Conversion Agent in respect of any such covenant or condition shall remain in full force and effect.</w:t>
      </w:r>
    </w:p>
    <w:p>
      <w:pPr>
        <w:spacing w:after="0" w:line="17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XI</w:t>
      </w:r>
    </w:p>
    <w:p>
      <w:pPr>
        <w:jc w:val="center"/>
        <w:ind w:right="3170"/>
        <w:spacing w:after="0"/>
        <w:rPr>
          <w:sz w:val="20"/>
          <w:szCs w:val="20"/>
          <w:color w:val="auto"/>
        </w:rPr>
      </w:pPr>
      <w:r>
        <w:rPr>
          <w:rFonts w:ascii="Courier New" w:cs="Courier New" w:eastAsia="Courier New" w:hAnsi="Courier New"/>
          <w:sz w:val="15"/>
          <w:szCs w:val="15"/>
          <w:color w:val="auto"/>
        </w:rPr>
        <w:t>REDEMPTION OF SECURITIES</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Right of Redemption.</w:t>
      </w:r>
    </w:p>
    <w:p>
      <w:pPr>
        <w:ind w:left="13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9"/>
          </w:cols>
          <w:pgMar w:left="230" w:top="627" w:right="1440" w:bottom="1440" w:gutter="0" w:footer="0" w:header="0"/>
        </w:sectPr>
      </w:pPr>
    </w:p>
    <w:bookmarkStart w:id="128" w:name="page129"/>
    <w:bookmarkEnd w:id="128"/>
    <w:p>
      <w:pPr>
        <w:ind w:right="3539" w:firstLine="441"/>
        <w:spacing w:after="0" w:line="235" w:lineRule="auto"/>
        <w:rPr>
          <w:sz w:val="20"/>
          <w:szCs w:val="20"/>
          <w:color w:val="auto"/>
        </w:rPr>
      </w:pPr>
      <w:r>
        <w:rPr>
          <w:rFonts w:ascii="Courier New" w:cs="Courier New" w:eastAsia="Courier New" w:hAnsi="Courier New"/>
          <w:sz w:val="15"/>
          <w:szCs w:val="15"/>
          <w:color w:val="auto"/>
        </w:rPr>
        <w:t>The Securities may be redeemed in accordance with the provisions of the form of Securities set forth in Section 2.2.</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Applicability of Article.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Redemption of Securities at the election of the Company or otherwise, as permitted or required by any provision of the Securities or this Indenture, shall be made in accordance with such provision and this Article XI.</w:t>
      </w:r>
    </w:p>
    <w:p>
      <w:pPr>
        <w:spacing w:after="0" w:line="15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Election to Redeem; Notice to Trustee.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In case of any redemption at the election of the Company of any of the Securities, the Company shall, at least 45 days prior to the Redemption Date fixed by the Company (unless a shorter notice shall be satisfactory to the Trustee), notify the Trustee in writing of such Redemption Date.</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Selection by Trustee of Securities to Be Redeemed.</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less than all the Securities are to be redeemed, the particular Securities to be redeemed shall be selected by the Trustee within five Business Days after it receives the notice described in 11.3, from the Outstanding Securities not previously called for redemption, by lot or by such other method as the Trustee may deem fair and appropriate.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may be treated by the Trustee as Outstanding for the purpose of such selection. The Trustee shall promptly notify the Company and each Security Registrar in writing of the securities selected for redemption and, in the case of any Securities selected for partial redemption, the principal amount thereof to be redeemed.</w:t>
      </w:r>
    </w:p>
    <w:p>
      <w:pPr>
        <w:spacing w:after="0" w:line="167"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5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4"/>
          <w:szCs w:val="14"/>
          <w:color w:val="auto"/>
        </w:rPr>
        <w:t>Notice of Redemption.</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Notice of redemption shall be given in the manner provided in Section 1.6 to the Holders of Securities to be redeemed not less than 30 nor more than 60 days prior to the Redemption Date, and such notice shall be irrevocable.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27" w:right="1440" w:bottom="1440" w:gutter="0" w:footer="0" w:header="0"/>
        </w:sectPr>
      </w:pPr>
    </w:p>
    <w:bookmarkStart w:id="129" w:name="page130"/>
    <w:bookmarkEnd w:id="129"/>
    <w:p>
      <w:pPr>
        <w:ind w:left="780" w:hanging="349"/>
        <w:spacing w:after="0"/>
        <w:tabs>
          <w:tab w:leader="none" w:pos="78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4" w:lineRule="exact"/>
        <w:rPr>
          <w:rFonts w:ascii="Courier New" w:cs="Courier New" w:eastAsia="Courier New" w:hAnsi="Courier New"/>
          <w:sz w:val="15"/>
          <w:szCs w:val="15"/>
          <w:color w:val="auto"/>
        </w:rPr>
      </w:pPr>
    </w:p>
    <w:p>
      <w:pPr>
        <w:ind w:right="3799" w:firstLine="431"/>
        <w:spacing w:after="0" w:line="235"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and accrued interest (including Liquidated Damages, if any), if any, to the Redemption Date,</w:t>
      </w:r>
    </w:p>
    <w:p>
      <w:pPr>
        <w:spacing w:after="0" w:line="175" w:lineRule="exact"/>
        <w:rPr>
          <w:rFonts w:ascii="Courier New" w:cs="Courier New" w:eastAsia="Courier New" w:hAnsi="Courier New"/>
          <w:sz w:val="15"/>
          <w:szCs w:val="15"/>
          <w:color w:val="auto"/>
        </w:rPr>
      </w:pPr>
    </w:p>
    <w:p>
      <w:pPr>
        <w:ind w:right="3619" w:firstLine="431"/>
        <w:spacing w:after="0" w:line="237"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Outstanding Securities are to be redeemed, the aggregate principal amount of Securities to be redeemed and the aggregate principal amount of Securities which will be outstanding after such partial redemption,</w:t>
      </w:r>
    </w:p>
    <w:p>
      <w:pPr>
        <w:spacing w:after="0" w:line="176"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and accrued interest (including Liquidated Damages, if any), if any, to the Redemption Date, will become due and payable upon each such Security to be redeemed, and that interest thereon shall cease to accrue on and after said date,</w:t>
      </w:r>
    </w:p>
    <w:p>
      <w:pPr>
        <w:spacing w:after="0" w:line="176"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the date on which the right to convert the Securities to be redeemed will terminate and the places where such Securities may be surrendered for conversion, and</w:t>
      </w:r>
    </w:p>
    <w:p>
      <w:pPr>
        <w:spacing w:after="0" w:line="174" w:lineRule="exact"/>
        <w:rPr>
          <w:rFonts w:ascii="Courier New" w:cs="Courier New" w:eastAsia="Courier New" w:hAnsi="Courier New"/>
          <w:sz w:val="15"/>
          <w:szCs w:val="15"/>
          <w:color w:val="auto"/>
        </w:rPr>
      </w:pPr>
    </w:p>
    <w:p>
      <w:pPr>
        <w:ind w:right="3539" w:firstLine="431"/>
        <w:spacing w:after="0" w:line="237"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are to be surrendered for payment of the Redemption Price and accrued interest (including Liquidated Damages, if any), if any, to the Redemption Date.</w:t>
      </w:r>
    </w:p>
    <w:p>
      <w:pPr>
        <w:spacing w:after="0" w:line="17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In case of a partial redemption, the notice shall specify the serial and CUSIP numbers (if any) and the portions thereof called for redemption and that transfers and exchanges may occur on or prior to the Redemption Date.</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written request, by the Trustee in the name of and at the expense of the Company. Notice of redemption of Securities to be redeemed at the election of the Company received by the Trustee shall be given by the Trustee to each Paying Agent in the name of and at the expense of the Company.</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11.6</w:t>
      </w:r>
      <w:r>
        <w:rPr>
          <w:sz w:val="20"/>
          <w:szCs w:val="20"/>
          <w:color w:val="auto"/>
        </w:rPr>
        <w:tab/>
      </w:r>
      <w:r>
        <w:rPr>
          <w:rFonts w:ascii="Courier New" w:cs="Courier New" w:eastAsia="Courier New" w:hAnsi="Courier New"/>
          <w:sz w:val="14"/>
          <w:szCs w:val="14"/>
          <w:color w:val="auto"/>
        </w:rPr>
        <w:t>Deposit of Redemption Price.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or prior to the Redemption Date, the Company shall deposit with the Trustee (or, if the Company is acting as its own Paying Agent, segregate and hold in trust as provided in Section 10.3) an amount of money (which shall be in immediately available funds on such Redemption Date) sufficient to pay the Redemption Price of, and (except if the Redemption Date shall be an Interest Payment Date) accrued interest (including Liquidated Damages, if any) to the Redemption Date on, all the Securities which are to be redeemed on that date other than any Securities called for redemption on that date which have been converted prior to the date of such deposit.</w:t>
      </w:r>
    </w:p>
    <w:p>
      <w:pPr>
        <w:spacing w:after="0" w:line="179"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If any Security called for redemption is converted, any money deposited with the Trustee or so segregated and held in trust for the redemption of such Security shall (subject to any right of the Holder of such Security or any Predecessor Security to receive interest as provided in the last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22" w:right="1440" w:bottom="1440" w:gutter="0" w:footer="0" w:header="0"/>
        </w:sectPr>
      </w:pPr>
    </w:p>
    <w:bookmarkStart w:id="130" w:name="page131"/>
    <w:bookmarkEnd w:id="130"/>
    <w:p>
      <w:pPr>
        <w:ind w:right="3259"/>
        <w:spacing w:after="0" w:line="235" w:lineRule="auto"/>
        <w:rPr>
          <w:sz w:val="20"/>
          <w:szCs w:val="20"/>
          <w:color w:val="auto"/>
        </w:rPr>
      </w:pPr>
      <w:r>
        <w:rPr>
          <w:rFonts w:ascii="Courier New" w:cs="Courier New" w:eastAsia="Courier New" w:hAnsi="Courier New"/>
          <w:sz w:val="15"/>
          <w:szCs w:val="15"/>
          <w:color w:val="auto"/>
        </w:rPr>
        <w:t>paragraph of Section 3.7) be paid to the Company on Company Request or, if then held by the Company, shall be discharged from such trust.</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11.7</w:t>
      </w:r>
      <w:r>
        <w:rPr>
          <w:sz w:val="20"/>
          <w:szCs w:val="20"/>
          <w:color w:val="auto"/>
        </w:rPr>
        <w:tab/>
      </w:r>
      <w:r>
        <w:rPr>
          <w:rFonts w:ascii="Courier New" w:cs="Courier New" w:eastAsia="Courier New" w:hAnsi="Courier New"/>
          <w:sz w:val="14"/>
          <w:szCs w:val="14"/>
          <w:color w:val="auto"/>
        </w:rPr>
        <w:t>Securities Payable on Redemption Date.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including accrued interest) such Securities shall cease to bear interest. Upon surrender of any Security for redemption in accordance with said notice such Security shall be paid by the Company at the Redemption Price together with accrued and unpaid interest (including Liquidated Damages, if any) to the Redemption Date; provided, however, that installments of interest on Securities whose Stated Maturity is on or prior to the Redemption Date shall be payable to the Holders of such Securities, or one or more Predecessor Securities, registered as such on the relevant Record Date according to their terms and the provisions of Section 3.7.</w:t>
      </w:r>
    </w:p>
    <w:p>
      <w:pPr>
        <w:spacing w:after="0" w:line="18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amount of, premium, if any, and, to the extent permitted by applicable law, accrued interest on such Security shall, until paid, bear interest from the Redemption Date at a rate of 4.75% per annum and such Security shall remain convertible until the Redemption Price of such Security (or portion thereof, as the case may be) shall have been paid or duly provided for.</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Security which is to be redeemed only in part shall be surrendered at the Corporate Trust Office or an office or agency of the Company designated for that purpose pursuant to Section 10.2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11.8</w:t>
      </w:r>
      <w:r>
        <w:rPr>
          <w:sz w:val="20"/>
          <w:szCs w:val="20"/>
          <w:color w:val="auto"/>
        </w:rPr>
        <w:tab/>
      </w:r>
      <w:r>
        <w:rPr>
          <w:rFonts w:ascii="Courier New" w:cs="Courier New" w:eastAsia="Courier New" w:hAnsi="Courier New"/>
          <w:sz w:val="14"/>
          <w:szCs w:val="14"/>
          <w:color w:val="auto"/>
        </w:rPr>
        <w:t>Conversion Arrangement on Call for Redemption.</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any redemption of Securities, the Company may arrange for the purchase and conversion of any Securities by an agreement with one or more investment bankers or other purchasers (the "Purchasers") to purchase such securities by paying to the Trustee in trust for the Holders, on or before the Redemption Date, an amount not less than the applicable Redemption Price, together with interest accrued to the Redemption Date, of such Securities. Notwithstanding anything to the contrary contained in this Article XI, the obligation of the Company to pay the Redemption Price, together with interest accrued to the Redemption Date, shall be deemed to be satisfied and discharged to the extent such amount is so paid by such Purchasers. If such an agreement is entered into (a copy of which shall be filed with the Trustee prior to the close of business on the Business Day immediately prior to the Redemption Date), any Securities called for redemption that are not duly surrendered for conversion by the Holders thereof may, at the option of</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27" w:right="1440" w:bottom="1440" w:gutter="0" w:footer="0" w:header="0"/>
        </w:sectPr>
      </w:pPr>
    </w:p>
    <w:bookmarkStart w:id="131" w:name="page132"/>
    <w:bookmarkEnd w:id="131"/>
    <w:p>
      <w:pPr>
        <w:ind w:right="3179"/>
        <w:spacing w:after="0" w:line="239" w:lineRule="auto"/>
        <w:rPr>
          <w:sz w:val="20"/>
          <w:szCs w:val="20"/>
          <w:color w:val="auto"/>
        </w:rPr>
      </w:pPr>
      <w:r>
        <w:rPr>
          <w:rFonts w:ascii="Courier New" w:cs="Courier New" w:eastAsia="Courier New" w:hAnsi="Courier New"/>
          <w:sz w:val="15"/>
          <w:szCs w:val="15"/>
          <w:color w:val="auto"/>
        </w:rPr>
        <w:t>the Company, be deemed, to the fullest extent permitted by law, and consistent with any agreement or agreements with such Purchasers, to be acquired by such Purchasers from such Holders and (notwithstanding anything to the contrary contained in Article XII) surrendered by such Purchasers for conversion, all as of immediately prior to the close of business on the Redemption Date (and the right to convert any such Securities shall be extended through such time), subject to payment of the above amount as aforesaid. At the direction of the Company, the Trustee shall hold and dispose of any such amount paid to it by the Purchasers to the Holders in the same manner as it would monies deposited with it by the Company for the redemption of Securities. Without the Trustee's prior written consent, no arrangement between the Company and such Purchasers for the purchase and conversion of any Securities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Securities between the Company and such Purchasers, including the costs and expenses, including reasonable legal fees, incurred by the Trustee in the defense of any claim or liability arising out of or in connection with the exercise or performance of any of its powers, duties, responsibilities or obligations under this Indenture.</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XII</w:t>
      </w:r>
    </w:p>
    <w:p>
      <w:pPr>
        <w:ind w:left="2100"/>
        <w:spacing w:after="0"/>
        <w:rPr>
          <w:sz w:val="20"/>
          <w:szCs w:val="20"/>
          <w:color w:val="auto"/>
        </w:rPr>
      </w:pPr>
      <w:r>
        <w:rPr>
          <w:rFonts w:ascii="Courier New" w:cs="Courier New" w:eastAsia="Courier New" w:hAnsi="Courier New"/>
          <w:sz w:val="15"/>
          <w:szCs w:val="15"/>
          <w:color w:val="auto"/>
        </w:rPr>
        <w:t>CONVERSION OF SECURITIES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Conversion Privilege and Conversion Rate.</w:t>
      </w:r>
    </w:p>
    <w:p>
      <w:pPr>
        <w:ind w:left="1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Subject to and upon compliance with the provisions of this Article, at the option of the Holder thereof, any Security may be converted into fully paid and nonassessable shares (calculated as to each conversion to the nearest 1/100th of a share) of Common Stock of the Company at the Conversion Rate, determined as hereinafter provided, in effect at the time of conversion. Such conversion right shall commence on the initial issuance date of the Securities and expire at the close of business on the Business Day prior to the date of Maturity of the Securities, subject, in the case of conversion of any Global Security, to any Applicable Procedures. In case a Security or portion thereof is called for redemption at the election of the Company or the Holder thereof exercises his right to require the Company to repurchase the Security, such conversion right in respect of the Security, or portion thereof so called, shall expire at the close of business on the Business Day prior to the Redemption Date or the Repurchase Date, as the case may be, unless the Company defaults in making the payment due upon redemption or repurchase, as the case may be (in each case subject as aforesaid to any Applicable Procedures with respect to any Global Security).</w:t>
      </w:r>
    </w:p>
    <w:p>
      <w:pPr>
        <w:spacing w:after="0" w:line="18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rate at which shares of Common Stock shall be delivered upon conversion (herein called the "Conversion Rate") shall be initially 7.7056 shares of Common Stock for each U.S.$1,000 principal amount of Securities. The Conversion Rate shall be adjusted in certain instances as provided in this Article XII.</w:t>
      </w:r>
    </w:p>
    <w:p>
      <w:pPr>
        <w:spacing w:after="0" w:line="15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12.2</w:t>
      </w:r>
      <w:r>
        <w:rPr>
          <w:sz w:val="20"/>
          <w:szCs w:val="20"/>
          <w:color w:val="auto"/>
        </w:rPr>
        <w:tab/>
      </w:r>
      <w:r>
        <w:rPr>
          <w:rFonts w:ascii="Courier New" w:cs="Courier New" w:eastAsia="Courier New" w:hAnsi="Courier New"/>
          <w:sz w:val="14"/>
          <w:szCs w:val="14"/>
          <w:color w:val="auto"/>
        </w:rPr>
        <w:t>Exercise of Conversion Privilege.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27" w:right="1440" w:bottom="1440" w:gutter="0" w:footer="0" w:header="0"/>
        </w:sectPr>
      </w:pPr>
    </w:p>
    <w:bookmarkStart w:id="132" w:name="page133"/>
    <w:bookmarkEnd w:id="132"/>
    <w:p>
      <w:pPr>
        <w:ind w:right="3179" w:firstLine="441"/>
        <w:spacing w:after="0" w:line="256" w:lineRule="auto"/>
        <w:rPr>
          <w:sz w:val="20"/>
          <w:szCs w:val="20"/>
          <w:color w:val="auto"/>
        </w:rPr>
      </w:pPr>
      <w:r>
        <w:rPr>
          <w:rFonts w:ascii="Courier New" w:cs="Courier New" w:eastAsia="Courier New" w:hAnsi="Courier New"/>
          <w:sz w:val="14"/>
          <w:szCs w:val="14"/>
          <w:color w:val="auto"/>
        </w:rPr>
        <w:t>In order to exercise the conversion privilege, the Holder of any Security to be converted shall surrender such Security, duly endorsed in blank, at any office or agency of the Company maintained for that purpose pursuant to Section 10.2, accompanied by a duly signed conversion notice substantially in the form set forth in Section 2.4 stating that the Holder elects to convert such Security or, if less than the entire principal amount thereof is to be converted, the portion thereof to be converted. Each Security surrendered for conversion (in whole or in part) during the Record Date Period shall (except in the case of any Security or portion thereof which has been called for redemption on a Redemption Date, occurring, within such Record Date Period and, as a result, the right to convert would terminate in such period) be accompanied by payment in New York Clearing House funds or other funds acceptable to the Company of an amount equal to the interest payable on such Interest Payment Date on the principal amount of such Security (or part thereof, as the case may be) being surrendered for conversion. The interest so payable on such Interest Payment Date with respect to any Security (or portion thereof, if applicable) which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Except as provided in this paragraph and subject to the last paragraph of Section 3.7, no cash payment or adjustment shall be made upon any conversion on account of any interest accrued from the Interest Payment Date next preceding the conversion date, in respect of any Security (or part thereof, as the case may be) surrendered for conversion, or on account of any dividends on the Common Stock issued upon conversion. The Company's delivery to the Holder of the number of shares of Common Stock (and cash in lieu of fractions thereof, as provided in this Indenture) into which a Security is convertible will be deemed to satisfy the Company's obligation to pay the principal amount of the Security.</w:t>
      </w:r>
    </w:p>
    <w:p>
      <w:pPr>
        <w:spacing w:after="0" w:line="34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deliver to the Trustee, for delivery to the Holder, a certificate or certificates for the number of full shares of Common Stock issuable upon conversion, together with payment in lieu of any fraction of a share, as provided in Section 12.3.</w:t>
      </w:r>
    </w:p>
    <w:p>
      <w:pPr>
        <w:spacing w:after="0" w:line="181"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All shares of Common Stock delivered upon such conversion of Restricted Securities shall bear restrictive legends substantially in the form of the legends required to be set forth on the Restricted Securities pursuant to Section 3.5 and shall be subject to the restrictions on transfer provided in such legends. Neither the Trustee nor any agent maintained for the purpose of such conversion shall have any responsibility for the inclusion or content of any such restrictive legends on such Common Stock; provided, however, that the Trustee or any agent maintained for the purpose of such conversion shall have provided, to the Company or to the Company's transfer agent for such Common Stock, prior to or concurrently with a request to the Company to deliver such Common Stock, written notice that the Securities delivered for conversion are Restricted Securities.</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27" w:right="1440" w:bottom="1440" w:gutter="0" w:footer="0" w:header="0"/>
        </w:sectPr>
      </w:pPr>
    </w:p>
    <w:bookmarkStart w:id="133" w:name="page134"/>
    <w:bookmarkEnd w:id="133"/>
    <w:p>
      <w:pPr>
        <w:ind w:right="3179" w:firstLine="441"/>
        <w:spacing w:after="0" w:line="238"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an aggregate principal amount equal to the unconverted portion of the principal amount of such Security. A Security may be converted in part, but only if the principal amount of such Security to be converted is any integral multiple of U.S. $1,000 and the principal amount of such security to remain Outstanding after such conversion is equal to U.S. $1,000 or any integral multiple of $1,000 in excess thereof.</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shares of Common Stock to be issued upon conversion of a Restricted Security, or Securities to be issued upon conversion of a Restricted Security in part only, are to be registered in a name other than that of the beneficial owner of such Restricted Security, then such Holder must deliver to the Conversion Agent a Surrender Certificate, dated the date of surrender of such Restricted Security and signed by such beneficial owner, as to compliance with the restrictions on transfer applicable to such Restricted Security. Neither the Trustee nor any Conversion Agent, Registrar or Transfer Agent shall be required to register in a name other than that of the beneficial owner, shares of Common Stock or Securities issued upon conversion of any such Restricted Security not so accompanied by a properly completed Surrender Certificate.</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Fractions of Shares.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fractional shares of Common Stock shall be issued upon conversion of any Security or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calculate and pay a cash adjustment in respect of such fraction (calculated to the nearest 1/100th of a share) in an amount equal to the same fraction of the Closing Price Per Share at the close of business on the day of conversion.</w:t>
      </w: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4"/>
          <w:szCs w:val="14"/>
          <w:color w:val="auto"/>
        </w:rPr>
        <w:t>Adjustment of Conversion Rate.</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Conversion Rate shall be subject to adjustments from time to time as follows:</w:t>
      </w:r>
    </w:p>
    <w:p>
      <w:pPr>
        <w:spacing w:after="0" w:line="176" w:lineRule="exact"/>
        <w:rPr>
          <w:sz w:val="20"/>
          <w:szCs w:val="20"/>
          <w:color w:val="auto"/>
        </w:rPr>
      </w:pPr>
    </w:p>
    <w:p>
      <w:pPr>
        <w:ind w:right="3179" w:firstLine="431"/>
        <w:spacing w:after="0" w:line="238" w:lineRule="auto"/>
        <w:tabs>
          <w:tab w:leader="none" w:pos="79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shares of any class of capital stock payable in shares of Common Stock, the Conversion Rate in effect at the opening of business on the day following the date fixed for the determination of shareholders entitled to receive such 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 date fixed for such determination. If, after any such date fixed for determination, any dividend or distribution is not in fact paid, the Conversion Rate shall be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27" w:right="1440" w:bottom="1440" w:gutter="0" w:footer="0" w:header="0"/>
        </w:sectPr>
      </w:pPr>
    </w:p>
    <w:bookmarkStart w:id="134" w:name="page135"/>
    <w:bookmarkEnd w:id="134"/>
    <w:p>
      <w:pPr>
        <w:ind w:right="3179"/>
        <w:spacing w:after="0" w:line="238" w:lineRule="auto"/>
        <w:rPr>
          <w:sz w:val="20"/>
          <w:szCs w:val="20"/>
          <w:color w:val="auto"/>
        </w:rPr>
      </w:pPr>
      <w:r>
        <w:rPr>
          <w:rFonts w:ascii="Courier New" w:cs="Courier New" w:eastAsia="Courier New" w:hAnsi="Courier New"/>
          <w:sz w:val="15"/>
          <w:szCs w:val="15"/>
          <w:color w:val="auto"/>
        </w:rPr>
        <w:t>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79" w:lineRule="exact"/>
        <w:rPr>
          <w:sz w:val="20"/>
          <w:szCs w:val="20"/>
          <w:color w:val="auto"/>
        </w:rPr>
      </w:pPr>
    </w:p>
    <w:p>
      <w:pPr>
        <w:ind w:right="3179" w:firstLine="431"/>
        <w:spacing w:after="0" w:line="256" w:lineRule="auto"/>
        <w:tabs>
          <w:tab w:leader="none" w:pos="793"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12.4) of the Common Stock on the date fixed for the determination of stockholders entitled to receive such rights, options or warrants (other than any rights, options or warrants that by their terms will also be issued to any Holder upon conversion of a Security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right="3179" w:firstLine="431"/>
        <w:spacing w:after="0" w:line="238" w:lineRule="auto"/>
        <w:tabs>
          <w:tab w:leader="none" w:pos="793"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case outstanding shares of Common Stock shall be combined into a smaller number of shares of Common Stock, the Conversion Rate in effect at the opening of business on the day following the day upon which such subdivision or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27" w:right="1440" w:bottom="1440" w:gutter="0" w:footer="0" w:header="0"/>
        </w:sectPr>
      </w:pPr>
    </w:p>
    <w:bookmarkStart w:id="135" w:name="page136"/>
    <w:bookmarkEnd w:id="135"/>
    <w:p>
      <w:pPr>
        <w:ind w:left="10" w:right="3179" w:firstLine="431"/>
        <w:spacing w:after="0" w:line="256" w:lineRule="auto"/>
        <w:tabs>
          <w:tab w:leader="none" w:pos="803"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by dividend or otherwise, distribute to all holders of its Common Stock evidences of its indebtedness, shares of any class of capital stock or other property (including cash or assets or securities, but excluding (i) any rights, options or warrants referred to in paragraph (2) of this Section and any other rights, options or warrants that by their terms will also be issued to any Holder upon conversion of a Security into shares of Common Stock without any action required by the Company or any other Person, (ii) any dividend or distribution paid exclusively in cash, (iii) any dividend or distribution referred to in paragraph (1) of this Section and (iv) mergers or consolidations to which Section 12.11 applies),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12.4)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of the Board of Directors determines not to make such distribution, to the Conversion Rate that would have been in effect if such determination date had not been fixed.</w:t>
      </w:r>
    </w:p>
    <w:p>
      <w:pPr>
        <w:spacing w:after="0" w:line="348" w:lineRule="exact"/>
        <w:rPr>
          <w:rFonts w:ascii="Courier New" w:cs="Courier New" w:eastAsia="Courier New" w:hAnsi="Courier New"/>
          <w:sz w:val="14"/>
          <w:szCs w:val="14"/>
          <w:color w:val="auto"/>
        </w:rPr>
      </w:pPr>
    </w:p>
    <w:p>
      <w:pPr>
        <w:ind w:left="10" w:right="3179" w:firstLine="431"/>
        <w:spacing w:after="0" w:line="256" w:lineRule="auto"/>
        <w:tabs>
          <w:tab w:leader="none" w:pos="803"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by dividend or otherwise, distribute to all holders of its Common Stock cash (excluding any cash that is distributed as part of a distribution referred to in paragraph (4) of this Section or cash distributed upon a merger or consolidation to which Section 12.11 applies) in an aggregate amount that, combined together with (I) the aggregate amount of any other all-cash distributions to all holders of its Common Stock made exclusively in cash within the 365-day period preceding the date of payment of such distribution and in respect of which no adjustment pursuant to this paragraph</w:t>
      </w:r>
    </w:p>
    <w:p>
      <w:pPr>
        <w:spacing w:after="0" w:line="2" w:lineRule="exact"/>
        <w:rPr>
          <w:rFonts w:ascii="Courier New" w:cs="Courier New" w:eastAsia="Courier New" w:hAnsi="Courier New"/>
          <w:sz w:val="14"/>
          <w:szCs w:val="14"/>
          <w:color w:val="auto"/>
        </w:rPr>
      </w:pPr>
    </w:p>
    <w:p>
      <w:pPr>
        <w:ind w:left="10" w:right="3179" w:hanging="10"/>
        <w:spacing w:after="0" w:line="239" w:lineRule="auto"/>
        <w:tabs>
          <w:tab w:leader="none" w:pos="36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365-day period preceding the date of payment of such distribution and in respect of which no adjustment pursuant to paragraph (6) of this Section 12.4 has been made (the "combined cash and tender amount") exceeds 12.5% of the product of the current market price per share (determined as provided in paragraph (8) of this Section 12.4)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9"/>
          </w:cols>
          <w:pgMar w:left="230" w:top="627" w:right="1440" w:bottom="1440" w:gutter="0" w:footer="0" w:header="0"/>
        </w:sectPr>
      </w:pPr>
    </w:p>
    <w:bookmarkStart w:id="136" w:name="page137"/>
    <w:bookmarkEnd w:id="136"/>
    <w:p>
      <w:pPr>
        <w:ind w:left="10" w:right="3179" w:hanging="10"/>
        <w:spacing w:after="0" w:line="238" w:lineRule="auto"/>
        <w:tabs>
          <w:tab w:leader="none" w:pos="36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of the Common Stock on the date fixed for such determination less an amount equal to the quotient of (x) the excess of such combined cash and tender amount over such aggregate current market price divided by (y) the number of shares of Common Stock outstanding on such date for determination and (ii) the denominator of which shall be equal to the current market price per share (determined as provided in paragraph (8) of this Section 12.4) of the Common Stock on such date fixed for determination.</w:t>
      </w:r>
    </w:p>
    <w:p>
      <w:pPr>
        <w:spacing w:after="0" w:line="176" w:lineRule="exact"/>
        <w:rPr>
          <w:rFonts w:ascii="Courier New" w:cs="Courier New" w:eastAsia="Courier New" w:hAnsi="Courier New"/>
          <w:sz w:val="15"/>
          <w:szCs w:val="15"/>
          <w:color w:val="auto"/>
        </w:rPr>
      </w:pPr>
    </w:p>
    <w:p>
      <w:pPr>
        <w:ind w:left="10" w:right="3179" w:firstLine="431"/>
        <w:spacing w:after="0" w:line="256" w:lineRule="auto"/>
        <w:tabs>
          <w:tab w:leader="none" w:pos="803"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w:t>
      </w:r>
    </w:p>
    <w:p>
      <w:pPr>
        <w:spacing w:after="0" w:line="2" w:lineRule="exact"/>
        <w:rPr>
          <w:rFonts w:ascii="Courier New" w:cs="Courier New" w:eastAsia="Courier New" w:hAnsi="Courier New"/>
          <w:sz w:val="14"/>
          <w:szCs w:val="14"/>
          <w:color w:val="auto"/>
        </w:rPr>
      </w:pPr>
    </w:p>
    <w:p>
      <w:pPr>
        <w:ind w:left="10" w:right="33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365-day period preceding the expiration of such tender offer and in respect of which no adjustment pursuant to this paragraph (6) has been made and (II) the aggregate amount of any cash distributions to all holders of the Common Stock within</w:t>
      </w:r>
    </w:p>
    <w:p>
      <w:pPr>
        <w:spacing w:after="0" w:line="2"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365-day period preceding the expiration of such tender offer and in respect of which no adjustment pursuant to paragraph (5) of this Section has been made (the "combined tender and cash amount") exceeds 15% of the product of the current market price per share of the Common Stock (determined as provided in paragraph</w:t>
      </w:r>
    </w:p>
    <w:p>
      <w:pPr>
        <w:spacing w:after="0" w:line="1" w:lineRule="exact"/>
        <w:rPr>
          <w:rFonts w:ascii="Courier New" w:cs="Courier New" w:eastAsia="Courier New" w:hAnsi="Courier New"/>
          <w:sz w:val="14"/>
          <w:szCs w:val="14"/>
          <w:color w:val="auto"/>
        </w:rPr>
      </w:pPr>
    </w:p>
    <w:p>
      <w:pPr>
        <w:ind w:left="10" w:right="3179" w:hanging="10"/>
        <w:spacing w:after="0" w:line="239" w:lineRule="auto"/>
        <w:tabs>
          <w:tab w:leader="none" w:pos="36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12.4)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12.4) on the date of the Expiration Time multiplied by (II) the number of shares of Common Stock outstanding (including any tendered shares) on the Expiration Time less (B) the combined tender and cash amount, and (ii) the denominator of which shall be equal to the product of (A) the current market price per share of the Common Stock (determined as provided in paragraph (8) of this Section 12.4)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75" w:lineRule="exact"/>
        <w:rPr>
          <w:rFonts w:ascii="Courier New" w:cs="Courier New" w:eastAsia="Courier New" w:hAnsi="Courier New"/>
          <w:sz w:val="15"/>
          <w:szCs w:val="15"/>
          <w:color w:val="auto"/>
        </w:rPr>
      </w:pPr>
    </w:p>
    <w:p>
      <w:pPr>
        <w:ind w:left="10" w:right="3179" w:firstLine="431"/>
        <w:spacing w:after="0" w:line="238" w:lineRule="auto"/>
        <w:tabs>
          <w:tab w:leader="none" w:pos="803"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Common Stock into securities other than Common Stock (other than any reclassification upon a consolidation or merger to which Section 12.11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9"/>
          </w:cols>
          <w:pgMar w:left="230" w:top="627" w:right="1440" w:bottom="1440" w:gutter="0" w:footer="0" w:header="0"/>
        </w:sectPr>
      </w:pPr>
    </w:p>
    <w:bookmarkStart w:id="137" w:name="page138"/>
    <w:bookmarkEnd w:id="137"/>
    <w:p>
      <w:pPr>
        <w:ind w:left="10"/>
        <w:spacing w:after="0"/>
        <w:rPr>
          <w:sz w:val="20"/>
          <w:szCs w:val="20"/>
          <w:color w:val="auto"/>
        </w:rPr>
      </w:pPr>
      <w:r>
        <w:rPr>
          <w:rFonts w:ascii="Courier New" w:cs="Courier New" w:eastAsia="Courier New" w:hAnsi="Courier New"/>
          <w:sz w:val="15"/>
          <w:szCs w:val="15"/>
          <w:color w:val="auto"/>
        </w:rPr>
        <w:t>such determination" within the meaning of paragraph (4) of this Section), and</w:t>
      </w:r>
    </w:p>
    <w:p>
      <w:pPr>
        <w:spacing w:after="0" w:line="5" w:lineRule="exact"/>
        <w:rPr>
          <w:sz w:val="20"/>
          <w:szCs w:val="20"/>
          <w:color w:val="auto"/>
        </w:rPr>
      </w:pPr>
    </w:p>
    <w:p>
      <w:pPr>
        <w:ind w:left="10" w:right="3179" w:hanging="10"/>
        <w:spacing w:after="0" w:line="256" w:lineRule="auto"/>
        <w:tabs>
          <w:tab w:leader="none" w:pos="36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of this Section 12.4).</w:t>
      </w:r>
    </w:p>
    <w:p>
      <w:pPr>
        <w:spacing w:after="0" w:line="168" w:lineRule="exact"/>
        <w:rPr>
          <w:rFonts w:ascii="Courier New" w:cs="Courier New" w:eastAsia="Courier New" w:hAnsi="Courier New"/>
          <w:sz w:val="14"/>
          <w:szCs w:val="14"/>
          <w:color w:val="auto"/>
        </w:rPr>
      </w:pPr>
    </w:p>
    <w:p>
      <w:pPr>
        <w:ind w:left="790" w:hanging="349"/>
        <w:spacing w:after="0"/>
        <w:tabs>
          <w:tab w:leader="none" w:pos="79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paragraphs (2), (4), (5) or</w:t>
      </w:r>
    </w:p>
    <w:p>
      <w:pPr>
        <w:spacing w:after="0" w:line="5" w:lineRule="exact"/>
        <w:rPr>
          <w:rFonts w:ascii="Courier New" w:cs="Courier New" w:eastAsia="Courier New" w:hAnsi="Courier New"/>
          <w:sz w:val="15"/>
          <w:szCs w:val="15"/>
          <w:color w:val="auto"/>
        </w:rPr>
      </w:pPr>
    </w:p>
    <w:p>
      <w:pPr>
        <w:ind w:left="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 of this Section 12.4, the current market price per share of Common Stock on any date shall be calculated by the Company and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the regular way in the applicable securities market or on the applicable securities exchange without the right to receive such issuance or distribution.</w:t>
      </w:r>
    </w:p>
    <w:p>
      <w:pPr>
        <w:spacing w:after="0" w:line="166" w:lineRule="exact"/>
        <w:rPr>
          <w:rFonts w:ascii="Courier New" w:cs="Courier New" w:eastAsia="Courier New" w:hAnsi="Courier New"/>
          <w:sz w:val="15"/>
          <w:szCs w:val="15"/>
          <w:color w:val="auto"/>
        </w:rPr>
      </w:pPr>
    </w:p>
    <w:p>
      <w:pPr>
        <w:ind w:left="10" w:right="3179" w:firstLine="431"/>
        <w:spacing w:after="0" w:line="256" w:lineRule="auto"/>
        <w:tabs>
          <w:tab w:leader="none" w:pos="80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(plus any adjustments not previously made by reason of this paragraph</w:t>
      </w:r>
    </w:p>
    <w:p>
      <w:pPr>
        <w:ind w:left="10" w:right="31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 would require an increase or decrease of at least one percent in such rate; provided, however, that any adjustments which by reason of this paragraph (9) are not required to be made shall be carried forward and taken into account in any subsequent adjustment. All calculations under this Article shall be made to the nearest cent or to the nearest one-hundredth of a share, as the case may be.</w:t>
      </w:r>
    </w:p>
    <w:p>
      <w:pPr>
        <w:spacing w:after="0" w:line="164" w:lineRule="exact"/>
        <w:rPr>
          <w:rFonts w:ascii="Courier New" w:cs="Courier New" w:eastAsia="Courier New" w:hAnsi="Courier New"/>
          <w:sz w:val="14"/>
          <w:szCs w:val="14"/>
          <w:color w:val="auto"/>
        </w:rPr>
      </w:pPr>
    </w:p>
    <w:p>
      <w:pPr>
        <w:ind w:left="10" w:right="3179" w:firstLine="431"/>
        <w:spacing w:after="0" w:line="238" w:lineRule="auto"/>
        <w:tabs>
          <w:tab w:leader="none" w:pos="891"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increases in the Conversion Rate, for the remaining term of the Securities or any shorter term, in addition to those required by paragraphs (1), (2), (3), (4), (5) and (6) of this Section 12.4,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79" w:lineRule="exact"/>
        <w:rPr>
          <w:rFonts w:ascii="Courier New" w:cs="Courier New" w:eastAsia="Courier New" w:hAnsi="Courier New"/>
          <w:sz w:val="15"/>
          <w:szCs w:val="15"/>
          <w:color w:val="auto"/>
        </w:rPr>
      </w:pPr>
    </w:p>
    <w:p>
      <w:pPr>
        <w:ind w:left="10" w:right="3439" w:firstLine="431"/>
        <w:spacing w:after="0" w:line="238" w:lineRule="auto"/>
        <w:tabs>
          <w:tab w:leader="none" w:pos="891"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 exchange offer of the character described in Rule 13e-4(h)(5) under the Exchange Act or any successor rule thereto.</w:t>
      </w:r>
    </w:p>
    <w:p>
      <w:pPr>
        <w:spacing w:after="0" w:line="175" w:lineRule="exact"/>
        <w:rPr>
          <w:rFonts w:ascii="Courier New" w:cs="Courier New" w:eastAsia="Courier New" w:hAnsi="Courier New"/>
          <w:sz w:val="15"/>
          <w:szCs w:val="15"/>
          <w:color w:val="auto"/>
        </w:rPr>
      </w:pPr>
    </w:p>
    <w:p>
      <w:pPr>
        <w:ind w:left="10" w:right="3179" w:firstLine="431"/>
        <w:spacing w:after="0" w:line="238" w:lineRule="auto"/>
        <w:tabs>
          <w:tab w:leader="none" w:pos="891"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provided, however, that no such increase shall be taken into</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29"/>
          </w:cols>
          <w:pgMar w:left="230" w:top="622" w:right="1440" w:bottom="1440" w:gutter="0" w:footer="0" w:header="0"/>
        </w:sectPr>
      </w:pPr>
    </w:p>
    <w:bookmarkStart w:id="138" w:name="page139"/>
    <w:bookmarkEnd w:id="138"/>
    <w:p>
      <w:pPr>
        <w:ind w:right="3259"/>
        <w:spacing w:after="0" w:line="257" w:lineRule="auto"/>
        <w:rPr>
          <w:sz w:val="20"/>
          <w:szCs w:val="20"/>
          <w:color w:val="auto"/>
        </w:rPr>
      </w:pPr>
      <w:r>
        <w:rPr>
          <w:rFonts w:ascii="Courier New" w:cs="Courier New" w:eastAsia="Courier New" w:hAnsi="Courier New"/>
          <w:sz w:val="14"/>
          <w:szCs w:val="14"/>
          <w:color w:val="auto"/>
        </w:rPr>
        <w:t>account for purposes of determining whether the Closing Price Per Share of the Common Stock equals or exceeds 105% of the Conversion Price in connection with an event which would otherwise be a Change of Control pursuant to Section 14.4. Whenever the Conversion Rate is increased pursuant to the preceding sentence, the Company shall give notice of the increase to the Holders in the manner provided in Section 1.6 at least fifteen (15) days prior to the date the increased Conversion Rate takes effect, and such notice shall state the increased Conversion Rate and the period during which it will be in effect.</w:t>
      </w:r>
    </w:p>
    <w:p>
      <w:pPr>
        <w:spacing w:after="0" w:line="16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Notice of Adjustments of Conversion Rate.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Whenever the Conversion Rate is adjusted as herein provided:</w:t>
      </w:r>
    </w:p>
    <w:p>
      <w:pPr>
        <w:spacing w:after="0" w:line="175" w:lineRule="exact"/>
        <w:rPr>
          <w:sz w:val="20"/>
          <w:szCs w:val="20"/>
          <w:color w:val="auto"/>
        </w:rPr>
      </w:pPr>
    </w:p>
    <w:p>
      <w:pPr>
        <w:ind w:right="3179" w:firstLine="431"/>
        <w:spacing w:after="0" w:line="238" w:lineRule="auto"/>
        <w:tabs>
          <w:tab w:leader="none" w:pos="793"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compute the adjusted Conversion Rate in accordance with Section 12.4 and shall prepare a certificate signed by the Chief Financial Officer of the Company setting forth the adjusted Conversion Rate and showing in reasonable detail the facts upon which such adjustment is based, and such certificate shall promptly be filed with the Trustee and with each Conversion Agent; and</w:t>
      </w:r>
    </w:p>
    <w:p>
      <w:pPr>
        <w:spacing w:after="0" w:line="175"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such adjustment, a notice stating that the Conversion Rate has been adjusted and setting forth the adjusted Conversion Rate shall be required, and as soon as practicable after it is required, such notice shall be provided by the Company to all Holders in accordance with Section 1.6.</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Neither the Trustee nor any Conversion Agent shall be under any duty or responsibility with respect to any such certificate or the information and calculations contained therein, except to exhibit the same to any Holder of Securities desiring inspection thereof at its office during normal business hours, and shall not be deemed to have knowledge of any adjustment in the Conversion Rate unless and until a Responsible Officer of the Trustee shall have received such a certificate. Until a Responsible Officer of the Trustee receives such a certificate, the Trustee and each Conversion Agent may assume without inquiry that the last Conversion Rate of which the Trustee has knowledge of remains in effect.</w:t>
      </w:r>
    </w:p>
    <w:p>
      <w:pPr>
        <w:spacing w:after="0" w:line="17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12.6</w:t>
      </w:r>
      <w:r>
        <w:rPr>
          <w:sz w:val="20"/>
          <w:szCs w:val="20"/>
          <w:color w:val="auto"/>
        </w:rPr>
        <w:tab/>
      </w:r>
      <w:r>
        <w:rPr>
          <w:rFonts w:ascii="Courier New" w:cs="Courier New" w:eastAsia="Courier New" w:hAnsi="Courier New"/>
          <w:sz w:val="14"/>
          <w:szCs w:val="14"/>
          <w:color w:val="auto"/>
        </w:rPr>
        <w:t>Notice of Certain Corporate Action.</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case:</w:t>
      </w:r>
    </w:p>
    <w:p>
      <w:pPr>
        <w:spacing w:after="0" w:line="175" w:lineRule="exact"/>
        <w:rPr>
          <w:sz w:val="20"/>
          <w:szCs w:val="20"/>
          <w:color w:val="auto"/>
        </w:rPr>
      </w:pPr>
    </w:p>
    <w:p>
      <w:pPr>
        <w:ind w:right="3179" w:firstLine="431"/>
        <w:spacing w:after="0" w:line="237" w:lineRule="auto"/>
        <w:tabs>
          <w:tab w:leader="none" w:pos="793"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payable (i) otherwise than exclusively in cash or (ii) exclusively in cash in an amount that would require any adjustment pursuant to Section 12.4; or</w:t>
      </w:r>
    </w:p>
    <w:p>
      <w:pPr>
        <w:spacing w:after="0" w:line="176" w:lineRule="exact"/>
        <w:rPr>
          <w:rFonts w:ascii="Courier New" w:cs="Courier New" w:eastAsia="Courier New" w:hAnsi="Courier New"/>
          <w:sz w:val="15"/>
          <w:szCs w:val="15"/>
          <w:color w:val="auto"/>
        </w:rPr>
      </w:pPr>
    </w:p>
    <w:p>
      <w:pPr>
        <w:ind w:right="3179" w:firstLine="431"/>
        <w:spacing w:after="0" w:line="260" w:lineRule="auto"/>
        <w:tabs>
          <w:tab w:leader="none" w:pos="793"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authorize the granting to all or substantially all of the holders of its Common Stock of rights, options or warrants to subscribe for or purchase any shares of capital stock of any class or of any other rights; or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27" w:right="1440" w:bottom="1440" w:gutter="0" w:footer="0" w:header="0"/>
        </w:sectPr>
      </w:pPr>
    </w:p>
    <w:bookmarkStart w:id="139" w:name="page140"/>
    <w:bookmarkEnd w:id="139"/>
    <w:p>
      <w:pPr>
        <w:ind w:left="10" w:right="3259" w:firstLine="431"/>
        <w:spacing w:after="0" w:line="259" w:lineRule="auto"/>
        <w:tabs>
          <w:tab w:leader="none" w:pos="803"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reclassification of the Common Stock, or of any consolidation, merger or share exchange to which the Company is a party and for which approval of any stockholders of the Company is required, or of the conveyance, sale, transfer or lease of all or substantially all of the assets of the Company; or</w:t>
      </w:r>
    </w:p>
    <w:p>
      <w:pPr>
        <w:spacing w:after="0" w:line="162" w:lineRule="exact"/>
        <w:rPr>
          <w:rFonts w:ascii="Courier New" w:cs="Courier New" w:eastAsia="Courier New" w:hAnsi="Courier New"/>
          <w:sz w:val="14"/>
          <w:szCs w:val="14"/>
          <w:color w:val="auto"/>
        </w:rPr>
      </w:pPr>
    </w:p>
    <w:p>
      <w:pPr>
        <w:ind w:left="10" w:right="3179" w:firstLine="431"/>
        <w:spacing w:after="0" w:line="256" w:lineRule="auto"/>
        <w:tabs>
          <w:tab w:leader="none" w:pos="803"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voluntary or involuntary dissolution, liquidation or winding up of the Company; then the Company shall cause to be filed at each office or agency maintained for the purpose of conversion of Securities pursuant to Section 10.2, and shall cause to be provided to all Holders in accordance with Section 1.6, at least 20 days (or 10 days in any case specified in clause (1) or</w:t>
      </w:r>
    </w:p>
    <w:p>
      <w:pPr>
        <w:spacing w:after="0" w:line="1"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prior to the applicable record or effective date hereinafter specified, a notice stating (x)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(y) the date on which such reclassification, consolidation, merger, conveyance, transfer, sale, lease,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conveyance, transfer, sale, lease, dissolution, liquidation or winding up. Neither the failure to give such notice or the notice referred to in the following paragraph nor any defect therein shall affect the legality or validity of the proceedings described in clauses (1) through (4) of this Section 12.6. If at the time the Trustee shall not be the conversion agent, a copy of such notice shall also forthwith be filed by the Company with the Trustee.</w:t>
      </w:r>
    </w:p>
    <w:p>
      <w:pPr>
        <w:spacing w:after="0" w:line="33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shall cause to be filed at the Corporate Trust Office and each office or agency maintained for the purpose of conversion of Securities pursuant to Section 10.2, and shall cause to be provided to all Holders in accordance with Section 1.6, notice of any tender offer by the Company or any Subsidiary for all or any portion of the Common Stock at or about the time that such notice of tender offer is provided to the public generally.</w:t>
      </w:r>
    </w:p>
    <w:p>
      <w:pPr>
        <w:spacing w:after="0" w:line="170"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4"/>
          <w:szCs w:val="14"/>
          <w:color w:val="auto"/>
        </w:rPr>
        <w:t>Company to Reserve Common Stock.</w:t>
      </w:r>
    </w:p>
    <w:p>
      <w:pPr>
        <w:ind w:left="13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59" w:firstLine="441"/>
        <w:spacing w:after="0" w:line="259" w:lineRule="auto"/>
        <w:rPr>
          <w:sz w:val="20"/>
          <w:szCs w:val="20"/>
          <w:color w:val="auto"/>
        </w:rPr>
      </w:pPr>
      <w:r>
        <w:rPr>
          <w:rFonts w:ascii="Courier New" w:cs="Courier New" w:eastAsia="Courier New" w:hAnsi="Courier New"/>
          <w:sz w:val="14"/>
          <w:szCs w:val="14"/>
          <w:color w:val="auto"/>
        </w:rPr>
        <w:t>The Company shall at all times reserve and keep available, free from preemptive rights, out of its authorized but unissued Common Stock, for the purpose of effecting the conversion of Securities, the full number of shares of Common Stock then issuable upon the conversion of all Outstanding Securities.</w:t>
      </w:r>
    </w:p>
    <w:p>
      <w:pPr>
        <w:spacing w:after="0" w:line="157"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Taxes on Conversions.</w:t>
      </w:r>
    </w:p>
    <w:p>
      <w:pPr>
        <w:ind w:left="13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Except as provided in the next sentence, the Company will pay any and all taxes and duties that may be payable in respect of the issue or delivery of shares of Common Stock on conversion of Securities pursuant hereto. The Company shall not, however, be required to pay any tax or duty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w:t>
      </w:r>
    </w:p>
    <w:p>
      <w:pPr>
        <w:spacing w:after="0" w:line="17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9"/>
          </w:cols>
          <w:pgMar w:left="230" w:top="627" w:right="1440" w:bottom="1440" w:gutter="0" w:footer="0" w:header="0"/>
        </w:sectPr>
      </w:pPr>
    </w:p>
    <w:bookmarkStart w:id="140" w:name="page141"/>
    <w:bookmarkEnd w:id="140"/>
    <w:p>
      <w:pPr>
        <w:ind w:right="3439"/>
        <w:spacing w:after="0" w:line="235" w:lineRule="auto"/>
        <w:rPr>
          <w:sz w:val="20"/>
          <w:szCs w:val="20"/>
          <w:color w:val="auto"/>
        </w:rPr>
      </w:pPr>
      <w:r>
        <w:rPr>
          <w:rFonts w:ascii="Courier New" w:cs="Courier New" w:eastAsia="Courier New" w:hAnsi="Courier New"/>
          <w:sz w:val="15"/>
          <w:szCs w:val="15"/>
          <w:color w:val="auto"/>
        </w:rPr>
        <w:t>paid to the Company the amount of any such tax or duty, or has established to the satisfaction of the Company that such tax or duty has been paid.</w:t>
      </w:r>
    </w:p>
    <w:p>
      <w:pPr>
        <w:spacing w:after="0" w:line="17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12.9</w:t>
      </w:r>
      <w:r>
        <w:rPr>
          <w:sz w:val="20"/>
          <w:szCs w:val="20"/>
          <w:color w:val="auto"/>
        </w:rPr>
        <w:tab/>
      </w:r>
      <w:r>
        <w:rPr>
          <w:rFonts w:ascii="Courier New" w:cs="Courier New" w:eastAsia="Courier New" w:hAnsi="Courier New"/>
          <w:sz w:val="14"/>
          <w:szCs w:val="14"/>
          <w:color w:val="auto"/>
        </w:rPr>
        <w:t>Covenant as to Common Stock.</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agrees that all shares of Common Stock which may be delivered upon conversion of Securities, upon such delivery, will have been duly authorized and validly issued and will be fully paid and nonassessable and, except as provided in Section 12.8, the Company will pay all taxes, liens and charges with respect to the issue thereof.</w:t>
      </w:r>
    </w:p>
    <w:p>
      <w:pPr>
        <w:spacing w:after="0" w:line="17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12.10</w:t>
      </w:r>
      <w:r>
        <w:rPr>
          <w:sz w:val="20"/>
          <w:szCs w:val="20"/>
          <w:color w:val="auto"/>
        </w:rPr>
        <w:tab/>
      </w:r>
      <w:r>
        <w:rPr>
          <w:rFonts w:ascii="Courier New" w:cs="Courier New" w:eastAsia="Courier New" w:hAnsi="Courier New"/>
          <w:sz w:val="14"/>
          <w:szCs w:val="14"/>
          <w:color w:val="auto"/>
        </w:rPr>
        <w:t>Cancellation of Converted Securities.</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All Securities delivered for conversion shall be delivered to the Trustee or its agent to be canceled by or at the direction of the Trustee, which shall dispose of the same as provided in Section 3.9.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12.11 Provision in Case of Consolidation, Merger or Sale of Assets.</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 thereafter, during the period such Security shall be convertible as specified in Section 12.1,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a Person with which the Company consolidated or merged with or into or which merged into or with the Company or to which such conveyance, sale, transfer or lease was made, as the case may be (a "Constituent Person"), or (B)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12.11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w:t>
      </w: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27" w:right="1440" w:bottom="1440" w:gutter="0" w:footer="0" w:header="0"/>
        </w:sectPr>
      </w:pPr>
    </w:p>
    <w:bookmarkStart w:id="141" w:name="page142"/>
    <w:bookmarkEnd w:id="141"/>
    <w:p>
      <w:pPr>
        <w:ind w:left="10" w:right="3259"/>
        <w:spacing w:after="0" w:line="238" w:lineRule="auto"/>
        <w:rPr>
          <w:sz w:val="20"/>
          <w:szCs w:val="20"/>
          <w:color w:val="auto"/>
        </w:rPr>
      </w:pPr>
      <w:r>
        <w:rPr>
          <w:rFonts w:ascii="Courier New" w:cs="Courier New" w:eastAsia="Courier New" w:hAnsi="Courier New"/>
          <w:sz w:val="15"/>
          <w:szCs w:val="15"/>
          <w:color w:val="auto"/>
        </w:rPr>
        <w:t>equivalent as may be practicable to the adjustments provided for in this Article. The above provisions of this Section 12.11 shall similarly apply to successive consolidations, mergers, conveyances, sales, transfers or leases. Notice of the execution of such a supplemental indenture shall be given by the Company to the Holder of each Security as provided in Section 1.6 promptly upon such execution.</w:t>
      </w:r>
    </w:p>
    <w:p>
      <w:pPr>
        <w:spacing w:after="0" w:line="17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Neither the Trustee nor any Conversion Agent shall be under any responsibility to determine the correctness of any provisions contained in any such supplemental indenture relating either to the kind or amount of shares of stock or other securities or property or cash receivable by Holders of Securities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12.12 Rights Issued in Respect of Common Stock.</w:t>
      </w:r>
    </w:p>
    <w:p>
      <w:pPr>
        <w:ind w:left="12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Rights or warrants distributed by the Company to all holders of Common Stock entitling the holders thereof to subscribe for or purchase shares of the Company's capital stock (either initially or under certain circumstances), which rights or warrants, until the occurrence of a specified event or events ("Trigger Event"):</w:t>
      </w:r>
    </w:p>
    <w:p>
      <w:pPr>
        <w:spacing w:after="0" w:line="173" w:lineRule="exact"/>
        <w:rPr>
          <w:sz w:val="20"/>
          <w:szCs w:val="20"/>
          <w:color w:val="auto"/>
        </w:rPr>
      </w:pPr>
    </w:p>
    <w:p>
      <w:pPr>
        <w:ind w:left="790" w:hanging="349"/>
        <w:spacing w:after="0"/>
        <w:tabs>
          <w:tab w:leader="none" w:pos="79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deemed to be transferred with such shares of Common Stock,</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exercisable, and</w:t>
      </w:r>
    </w:p>
    <w:p>
      <w:pPr>
        <w:spacing w:after="0" w:line="169" w:lineRule="exact"/>
        <w:rPr>
          <w:rFonts w:ascii="Courier New" w:cs="Courier New" w:eastAsia="Courier New" w:hAnsi="Courier New"/>
          <w:sz w:val="15"/>
          <w:szCs w:val="15"/>
          <w:color w:val="auto"/>
        </w:rPr>
      </w:pPr>
    </w:p>
    <w:p>
      <w:pPr>
        <w:ind w:left="970" w:hanging="529"/>
        <w:spacing w:after="0"/>
        <w:tabs>
          <w:tab w:leader="none" w:pos="97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also issued in respect of future issuances of Common Stock</w:t>
      </w:r>
    </w:p>
    <w:p>
      <w:pPr>
        <w:spacing w:after="0" w:line="17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shall not be deemed distributed for purposes of Sections 12.4(2) and 12.4(4) until the occurrence of the earliest Trigger Event. In addition, in the event of any distribution of rights or warrants, or any Trigger Event with respect thereto, that shall have resulted in an adjustment to the Conversion Rate under Section 12.4(2), (1) in the case of any such rights or warrants which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of Common Stock with respect to such rights or warrants (assuming such holder had retained such rights or warrants), made to all holders of Common Stock as of the date of such redemption or repurchase, and</w:t>
      </w:r>
    </w:p>
    <w:p>
      <w:pPr>
        <w:spacing w:after="0" w:line="4" w:lineRule="exact"/>
        <w:rPr>
          <w:sz w:val="20"/>
          <w:szCs w:val="20"/>
          <w:color w:val="auto"/>
        </w:rPr>
      </w:pPr>
    </w:p>
    <w:p>
      <w:pPr>
        <w:ind w:left="10" w:right="3179" w:hanging="10"/>
        <w:spacing w:after="0" w:line="237" w:lineRule="auto"/>
        <w:tabs>
          <w:tab w:leader="none" w:pos="36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rights or warrants all of which shall have expired without exercise by any holder thereof, the Conversion Price shall be readjusted as if such issuance had not occurred.</w:t>
      </w:r>
    </w:p>
    <w:p>
      <w:pPr>
        <w:spacing w:after="0" w:line="169" w:lineRule="exact"/>
        <w:rPr>
          <w:sz w:val="20"/>
          <w:szCs w:val="20"/>
          <w:color w:val="auto"/>
        </w:rPr>
      </w:pPr>
    </w:p>
    <w:p>
      <w:pPr>
        <w:ind w:left="10"/>
        <w:spacing w:after="0"/>
        <w:tabs>
          <w:tab w:leader="none" w:pos="1569" w:val="left"/>
        </w:tabs>
        <w:rPr>
          <w:sz w:val="20"/>
          <w:szCs w:val="20"/>
          <w:color w:val="auto"/>
        </w:rPr>
      </w:pPr>
      <w:r>
        <w:rPr>
          <w:rFonts w:ascii="Courier New" w:cs="Courier New" w:eastAsia="Courier New" w:hAnsi="Courier New"/>
          <w:sz w:val="15"/>
          <w:szCs w:val="15"/>
          <w:color w:val="auto"/>
        </w:rPr>
        <w:t>SECTION 12.13</w:t>
      </w:r>
      <w:r>
        <w:rPr>
          <w:sz w:val="20"/>
          <w:szCs w:val="20"/>
          <w:color w:val="auto"/>
        </w:rPr>
        <w:tab/>
      </w:r>
      <w:r>
        <w:rPr>
          <w:rFonts w:ascii="Courier New" w:cs="Courier New" w:eastAsia="Courier New" w:hAnsi="Courier New"/>
          <w:sz w:val="14"/>
          <w:szCs w:val="14"/>
          <w:color w:val="auto"/>
        </w:rPr>
        <w:t>Responsibility of Trustee for Conversion Provisions.</w:t>
      </w:r>
    </w:p>
    <w:p>
      <w:pPr>
        <w:ind w:left="159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59" w:firstLine="793"/>
        <w:spacing w:after="0" w:line="259" w:lineRule="auto"/>
        <w:rPr>
          <w:sz w:val="20"/>
          <w:szCs w:val="20"/>
          <w:color w:val="auto"/>
        </w:rPr>
      </w:pPr>
      <w:r>
        <w:rPr>
          <w:rFonts w:ascii="Courier New" w:cs="Courier New" w:eastAsia="Courier New" w:hAnsi="Courier New"/>
          <w:sz w:val="14"/>
          <w:szCs w:val="14"/>
          <w:color w:val="auto"/>
        </w:rPr>
        <w:t>The Trustee, subject to the provisions of Section 6.1, and any Conversion Agent shall not at any time be under any duty or responsibility to any Holder of Securities to determine whether any facts exist which may require any adjustment of the Conversion Rate, or with respect to the nature or</w:t>
      </w:r>
    </w:p>
    <w:p>
      <w:pPr>
        <w:spacing w:after="0" w:line="15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9"/>
          </w:cols>
          <w:pgMar w:left="230" w:top="627" w:right="1440" w:bottom="1440" w:gutter="0" w:footer="0" w:header="0"/>
        </w:sectPr>
      </w:pPr>
    </w:p>
    <w:bookmarkStart w:id="142" w:name="page143"/>
    <w:bookmarkEnd w:id="142"/>
    <w:p>
      <w:pPr>
        <w:ind w:right="3179"/>
        <w:spacing w:after="0" w:line="238" w:lineRule="auto"/>
        <w:rPr>
          <w:sz w:val="20"/>
          <w:szCs w:val="20"/>
          <w:color w:val="auto"/>
        </w:rPr>
      </w:pPr>
      <w:r>
        <w:rPr>
          <w:rFonts w:ascii="Courier New" w:cs="Courier New" w:eastAsia="Courier New" w:hAnsi="Courier New"/>
          <w:sz w:val="15"/>
          <w:szCs w:val="15"/>
          <w:color w:val="auto"/>
        </w:rPr>
        <w:t>extent of any such adjustment when made, or with respect to the method employed, herein or in any supplemental indenture provided to be employed, in making the same, or whether a supplemental indenture need be entered into. Neither the Trustee, subject to the provisions of Section 6.1, nor any Conversion Agent shall be accountable with respect to the validity or value (or the kind or amount) of any Common Stock, or of any other securities or property or cash, which may at any time be issued or delivered upon the conversion of any Security; and it or they do not make any representation with respect thereto. Neither the Trustee, subject to the provisions of Section 6.1, nor any Conversion Agent shall be responsible for any failure of the Company to make or calculate any cash payment or to issue, transfer or deliver any shares of Common Stock or share certificates or other securities or property or cash upon the surrender of any Security for the purpose of conversion; and the Trustee, subject to the provisions of Section 6.1, and any Conversion Agent shall not be responsible for any failure of the Company to comply with any of the covenants of the Company contained in this Article.</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XIII</w:t>
      </w:r>
    </w:p>
    <w:p>
      <w:pPr>
        <w:ind w:left="2200"/>
        <w:spacing w:after="0"/>
        <w:rPr>
          <w:sz w:val="20"/>
          <w:szCs w:val="20"/>
          <w:color w:val="auto"/>
        </w:rPr>
      </w:pPr>
      <w:r>
        <w:rPr>
          <w:rFonts w:ascii="Courier New" w:cs="Courier New" w:eastAsia="Courier New" w:hAnsi="Courier New"/>
          <w:sz w:val="15"/>
          <w:szCs w:val="15"/>
          <w:color w:val="auto"/>
        </w:rPr>
        <w:t>SUBORDINATION OF SECURITIES</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4"/>
          <w:szCs w:val="14"/>
          <w:color w:val="auto"/>
        </w:rPr>
        <w:t>Securities Subordinate to Senior Debt.</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covenants and agrees, and each Holder of a Security, by its acceptance thereof, likewise covenants and agrees, that, to the extent and in the manner hereinafter set forth in this Article (subject to the provisions of Article IV), the indebtedness represented by the Securities and the payment of the principal of, or premium, if any, or interest (including Liquidated Damages, if any) on, each and all of the Securities (including, but not limited to, the Redemption Price with respect to the Securities to be called for redemption in accordance with Article XI or the Repurchase Price with respect to Securities submitted for repurchase in accordance with Article XIV), are hereby expressly made subordinate and subject in right of payment to the prior payment in full of all Senior Debt.</w:t>
      </w:r>
    </w:p>
    <w:p>
      <w:pPr>
        <w:spacing w:after="0" w:line="17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4"/>
          <w:szCs w:val="14"/>
          <w:color w:val="auto"/>
        </w:rPr>
        <w:t>No Payment in Certain Circumstances, Payment over of Proceeds upon</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Dissolution, Etc.</w:t>
      </w:r>
    </w:p>
    <w:p>
      <w:pPr>
        <w:ind w:left="122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No payment shall be made with respect to the principal of, or premium, if any, or interest (including Liquidated Damages, if any) on the Securities (including, but not limited to, the Redemption Price with respect to the Securities to be called for redemption in accordance with Article XI or the Repurchase Price with respect to Securities submitted for repurchase in accordance with Article XIV), except payments and distributions made by the Trustee as permitted by Section 13.9, if:</w:t>
      </w:r>
    </w:p>
    <w:p>
      <w:pPr>
        <w:spacing w:after="0" w:line="177" w:lineRule="exact"/>
        <w:rPr>
          <w:sz w:val="20"/>
          <w:szCs w:val="20"/>
          <w:color w:val="auto"/>
        </w:rPr>
      </w:pPr>
    </w:p>
    <w:p>
      <w:pPr>
        <w:ind w:right="3259" w:firstLine="872"/>
        <w:spacing w:after="0" w:line="257" w:lineRule="auto"/>
        <w:tabs>
          <w:tab w:leader="none" w:pos="1234"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the payment of principal, premium, if any, or interest (including a default under any repurchase or redemption obligation) or other amounts with respect to any Senior Debt occurs and is continuing (or, in the case of Senior Debt for which there is a period of grace, in the event of such a default that continues beyond the period of grace, if any, specified in the instrument or lease evidencing such Senior Debt) unless and until such default shall have been cured or waived or shall have ceased to exist; or</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27" w:right="1440" w:bottom="1440" w:gutter="0" w:footer="0" w:header="0"/>
        </w:sectPr>
      </w:pPr>
    </w:p>
    <w:bookmarkStart w:id="143" w:name="page144"/>
    <w:bookmarkEnd w:id="143"/>
    <w:p>
      <w:pPr>
        <w:ind w:right="3179" w:firstLine="872"/>
        <w:spacing w:after="0" w:line="237" w:lineRule="auto"/>
        <w:tabs>
          <w:tab w:leader="none" w:pos="132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occurs and is continuing with respect to Designated Senior Debt that then permits holders of such Designated Senior Debt to accelerate its maturity and the Trustee receives a notice of the default (a "Payment Blockage Notice") from a Representative or holder of Designated Senior Debt.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the Trustee receives any Payment Blockage Notice pursuant to clause (ii) above, no subsequent Payment Blockage Notice shall be effective for purposes of this Section unless and until (A) at least 365 days shall have elapsed since the initial effectiveness of the immediately prior Payment Blockage Notice, and (B) all scheduled payments of principal, premium, if any, and interest on the Securities that have come due have been paid in full in cash. No nonpayment default that existed or was continuing on the date of delivery of any Payment Blockage Notice to the Trustee shall be, or be made, the basis for a subsequent Payment Blockage Notice.</w:t>
      </w:r>
    </w:p>
    <w:p>
      <w:pPr>
        <w:spacing w:after="0" w:line="179"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Company may and shall resume payments on and distributions in respect of the Securities upon the earlier of:</w:t>
      </w:r>
    </w:p>
    <w:p>
      <w:pPr>
        <w:spacing w:after="0" w:line="176" w:lineRule="exact"/>
        <w:rPr>
          <w:sz w:val="20"/>
          <w:szCs w:val="20"/>
          <w:color w:val="auto"/>
        </w:rPr>
      </w:pPr>
    </w:p>
    <w:p>
      <w:pPr>
        <w:ind w:right="3179" w:firstLine="431"/>
        <w:spacing w:after="0" w:line="235" w:lineRule="auto"/>
        <w:tabs>
          <w:tab w:leader="none" w:pos="79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clause (i) above, the date upon which the default is cured or waived or ceases to exist, or</w:t>
      </w:r>
    </w:p>
    <w:p>
      <w:pPr>
        <w:spacing w:after="0" w:line="175" w:lineRule="exact"/>
        <w:rPr>
          <w:rFonts w:ascii="Courier New" w:cs="Courier New" w:eastAsia="Courier New" w:hAnsi="Courier New"/>
          <w:sz w:val="15"/>
          <w:szCs w:val="15"/>
          <w:color w:val="auto"/>
        </w:rPr>
      </w:pPr>
    </w:p>
    <w:p>
      <w:pPr>
        <w:ind w:right="3359" w:firstLine="431"/>
        <w:spacing w:after="0" w:line="238" w:lineRule="auto"/>
        <w:tabs>
          <w:tab w:leader="none" w:pos="79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clause (ii) above, the date upon which the default is cured or waived or ceases to exist or 179 days after the Trustee's receipt of the Payment Blockage Notice if the maturity of such Designated Senior Debt has not been accelerated, unless this Article XIII otherwise prohibits the payment or distribution at the time of such payment or distribution.</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Senior Debt shall be entitled to receive payment in full of all amounts due or to become due on or in respect of all Senior Debt in cash before the Holders of the Securities are entitled to receive any payment on account of principal of (or premium, if any) or interest (including any Liquidated Damages) on the Securities or on account of the purchase, redemption or other acquisition of Securities, and to that end the holders of Senior Debt shall be entitled to receive, for application to the payment thereof, any payment or distribution of any kind or character, whether in cash, property or securities, which may be payable or deliverable in respect of the Securities in any such case, proceeding, dissolution, liquidation or other winding up or event.</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the event that, notwithstanding the foregoing provisions of this Section, the Trustee or the Holder of any Security shall have received any payment or distribution of assets of the Company of any kind or character, whether in cash, securities or other property, before all Senior Debt is paid in full,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27" w:right="1440" w:bottom="1440" w:gutter="0" w:footer="0" w:header="0"/>
        </w:sectPr>
      </w:pPr>
    </w:p>
    <w:bookmarkStart w:id="144" w:name="page145"/>
    <w:bookmarkEnd w:id="144"/>
    <w:p>
      <w:pPr>
        <w:ind w:right="3359"/>
        <w:spacing w:after="0" w:line="237" w:lineRule="auto"/>
        <w:rPr>
          <w:sz w:val="20"/>
          <w:szCs w:val="20"/>
          <w:color w:val="auto"/>
        </w:rPr>
      </w:pPr>
      <w:r>
        <w:rPr>
          <w:rFonts w:ascii="Courier New" w:cs="Courier New" w:eastAsia="Courier New" w:hAnsi="Courier New"/>
          <w:sz w:val="15"/>
          <w:szCs w:val="15"/>
          <w:color w:val="auto"/>
        </w:rPr>
        <w:t>Debt remaining unpaid, to the extent necessary to pay all Senior Debt in full, after giving effect to any concurrent payment or distribution to or for the holders of Senior Debt.</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For purposes of this Article only, the words "cash, securities or other property" shall not be deemed to include shares of capital stock of the Company as reorganized or readjusted, or securities of the Company or any other corporation provided for by a plan of reorganization or readjustment, which shares of stock or securities are subordinated in right of payment to all then outstanding Senior Debt to substantially the same extent as, or to a greater extent than, the Securities are so subordinated as provided in this Article.</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the event that, notwithstanding the foregoing, the Company shall make any payment to the Trustee or the Holder of any Security prohibited by the foregoing provisions of this Section, then and in such event such payment shall be paid over and delivered forthwith to the Company, in the case of the Trustee, or the Trustee, in the case of such Holder.</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13.3</w:t>
      </w:r>
      <w:r>
        <w:rPr>
          <w:sz w:val="20"/>
          <w:szCs w:val="20"/>
          <w:color w:val="auto"/>
        </w:rPr>
        <w:tab/>
      </w:r>
      <w:r>
        <w:rPr>
          <w:rFonts w:ascii="Courier New" w:cs="Courier New" w:eastAsia="Courier New" w:hAnsi="Courier New"/>
          <w:sz w:val="14"/>
          <w:szCs w:val="14"/>
          <w:color w:val="auto"/>
        </w:rPr>
        <w:t>Prior Payment to Senior Debt upon Acceleration of Securities.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the event of the acceleration of the Securities because of an Event of Default, no payment or distribution shall be made to the Trustee or any Holder of Securities in respect of the principal of, premium, if any, or interest (including Liquidated Damages, if any) on the Securities (including, but not limited to, the Redemption Price with respect to the Securities called for redemption in accordance with Article XI or the Repurchase Price with respect to the Securities submitted for repurchase in accordance with Article XIV), except payments and distributions made by the Trustee as permitted by the second paragraph of Section 13.9, until all Senior Debt has been paid in full in cash or other payment satisfactory to the holders of Senior Debt or such acceleration is rescinded in accordance with the terms of this Indenture. If payment of the Securities is accelerated because of an Event of Default, the Company shall promptly notify holders of Senior Debt of the acceleration.</w:t>
      </w:r>
    </w:p>
    <w:p>
      <w:pPr>
        <w:spacing w:after="0" w:line="1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Payment Permitted If No Default.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Nothing contained in this Article or elsewhere in this Indenture or in any of the Securities shall prevent (a) the Company, at any time except during the pendency of any case, proceeding, dissolution, liquidation or other winding up, assignment for the benefit of creditors or other marshaling of assets and liabilities of the Company referred to in Section 13.2, or during the circumstances referred to in the first paragraph of Section 13.2, or under the conditions described in Section 13.3, from making payments at any time of principal of (and premium, if any) or interest on the Securities, or (b) the application by the Trustee of any money deposited with it hereunder to the payment of or on account of the principal of (and premium, if any) or interest on the Securities or the retention of such payment by the Holders, if, at the time of such application by the Trustee, it did not have knowledge that such payment would have been prohibited by the provisions of this Article.</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13.5</w:t>
      </w:r>
      <w:r>
        <w:rPr>
          <w:sz w:val="20"/>
          <w:szCs w:val="20"/>
          <w:color w:val="auto"/>
        </w:rPr>
        <w:tab/>
      </w:r>
      <w:r>
        <w:rPr>
          <w:rFonts w:ascii="Courier New" w:cs="Courier New" w:eastAsia="Courier New" w:hAnsi="Courier New"/>
          <w:sz w:val="14"/>
          <w:szCs w:val="14"/>
          <w:color w:val="auto"/>
        </w:rPr>
        <w:t>Subrogation to Rights of Holders of Senior Debt.</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Subject to the payment in full of all Senior Debt, the Holders of the Securities shall be subrogated to the extent of the payments or distributions made to the holders of such Senior Debt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27" w:right="1440" w:bottom="1440" w:gutter="0" w:footer="0" w:header="0"/>
        </w:sectPr>
      </w:pPr>
    </w:p>
    <w:bookmarkStart w:id="145" w:name="page146"/>
    <w:bookmarkEnd w:id="145"/>
    <w:p>
      <w:pPr>
        <w:ind w:right="3179"/>
        <w:spacing w:after="0" w:line="238" w:lineRule="auto"/>
        <w:rPr>
          <w:sz w:val="20"/>
          <w:szCs w:val="20"/>
          <w:color w:val="auto"/>
        </w:rPr>
      </w:pPr>
      <w:r>
        <w:rPr>
          <w:rFonts w:ascii="Courier New" w:cs="Courier New" w:eastAsia="Courier New" w:hAnsi="Courier New"/>
          <w:sz w:val="15"/>
          <w:szCs w:val="15"/>
          <w:color w:val="auto"/>
        </w:rPr>
        <w:t>pursuant to the provisions of this Article to the rights of the holders of such Senior Debt to receive payments and distributions of cash, property and securities applicable to the Senior Debt until the principal of (and premium, if any) and interest on the Securities shall be paid in full. For purposes of such subrogation, no payments or distributions to the holders of the Senior Debt of any cash, property or securities to which the Holders of the Securities or the Trustee would be entitled except for the provisions of this Article, and no payments over pursuant to the provisions of this Article to the holders of Senior Debt by Holders of the Securities or the Trustee, shall, as among the Company, its creditors other than holders of Senior Debt and the Holders of the Securities, be deemed to be a payment or distribution by the Company to or on account of the Senior Debt.</w:t>
      </w:r>
    </w:p>
    <w:p>
      <w:pPr>
        <w:spacing w:after="0" w:line="17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13.6</w:t>
      </w:r>
      <w:r>
        <w:rPr>
          <w:sz w:val="20"/>
          <w:szCs w:val="20"/>
          <w:color w:val="auto"/>
        </w:rPr>
        <w:tab/>
      </w:r>
      <w:r>
        <w:rPr>
          <w:rFonts w:ascii="Courier New" w:cs="Courier New" w:eastAsia="Courier New" w:hAnsi="Courier New"/>
          <w:sz w:val="14"/>
          <w:szCs w:val="14"/>
          <w:color w:val="auto"/>
        </w:rPr>
        <w:t>Provisions Solely to Define Relative Rights.</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provisions of this Article are and are intended solely for the purpose of defining the relative rights of the Holders of the Securities on the one hand and the holders of Senior Debt on the other hand. Nothing contained in this Article or elsewhere in this Indenture or in the Securities is intended to or shall (i) impair, as among the Company, its creditors other than holders of Senior Debt and the Holders of the Securities, the obligation of the Company, which is absolute and unconditional, to pay to the Holders of the Securities the principal of (and premium, if any) and interest (including Liquidated Damages, if any) on the Securities as and when the same shall become due and payable in accordance with their terms; or (ii) affect the relative rights against the Company of the Holders of the Securities and creditors of the Company other than the holders of Senior Debt; or (iii) prevent the Trustee or the Holder of any Security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5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13.7</w:t>
      </w:r>
      <w:r>
        <w:rPr>
          <w:sz w:val="20"/>
          <w:szCs w:val="20"/>
          <w:color w:val="auto"/>
        </w:rPr>
        <w:tab/>
      </w:r>
      <w:r>
        <w:rPr>
          <w:rFonts w:ascii="Courier New" w:cs="Courier New" w:eastAsia="Courier New" w:hAnsi="Courier New"/>
          <w:sz w:val="14"/>
          <w:szCs w:val="14"/>
          <w:color w:val="auto"/>
        </w:rPr>
        <w:t>Trustee to Effectuate Subordination.</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Each Holder of a Security by its acceptance thereof authorizes and directs the Trustee on its behalf to take such action as may be necessary or appropriate to effectuate the subordination provided in this Article and appoints the Trustee its attorney-in-fact for any and all such purposes.</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13.8</w:t>
      </w:r>
      <w:r>
        <w:rPr>
          <w:sz w:val="20"/>
          <w:szCs w:val="20"/>
          <w:color w:val="auto"/>
        </w:rPr>
        <w:tab/>
      </w:r>
      <w:r>
        <w:rPr>
          <w:rFonts w:ascii="Courier New" w:cs="Courier New" w:eastAsia="Courier New" w:hAnsi="Courier New"/>
          <w:sz w:val="14"/>
          <w:szCs w:val="14"/>
          <w:color w:val="auto"/>
        </w:rPr>
        <w:t>No Waiver of Subordination Provisions.</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No right of any present or future holder of any Senior Debt to enforce subordination as herein provided shall at any time in any way be prejudiced or impaired by any act or failure to act on the part of the Company, or by any non-compliance by the Company with the terms, provisions and covenants of this Indenture, regardless of any knowledge thereof any such holder may have or be otherwise charged with.</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Without in any way limiting the generality of the foregoing paragraph, the holders of Senior Debt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do any one or more of the following:</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28" w:right="1440" w:bottom="1440" w:gutter="0" w:footer="0" w:header="0"/>
        </w:sectPr>
      </w:pPr>
    </w:p>
    <w:bookmarkStart w:id="146" w:name="page147"/>
    <w:bookmarkEnd w:id="146"/>
    <w:p>
      <w:pPr>
        <w:ind w:left="10" w:right="3179" w:hanging="10"/>
        <w:spacing w:after="0" w:line="256" w:lineRule="auto"/>
        <w:tabs>
          <w:tab w:leader="none" w:pos="36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manner, place or terms of payment or extend the time of payment of, or renew or alter, Senior Debt, or otherwise amend or supplement in any manner Senior Debt or any instrument evidencing the same or any agreement under which Senior Debt is outstanding; (ii) sell, exchange, release or otherwise deal with any property pledged, mortgaged or otherwise securing Senior Debt; (iii) release any Person liable in any manner for the collection of Senior Debt; and</w:t>
      </w:r>
    </w:p>
    <w:p>
      <w:pPr>
        <w:spacing w:after="0" w:line="2" w:lineRule="exact"/>
        <w:rPr>
          <w:rFonts w:ascii="Courier New" w:cs="Courier New" w:eastAsia="Courier New" w:hAnsi="Courier New"/>
          <w:sz w:val="14"/>
          <w:szCs w:val="14"/>
          <w:color w:val="auto"/>
        </w:rPr>
      </w:pPr>
    </w:p>
    <w:p>
      <w:pPr>
        <w:ind w:left="10" w:right="3259" w:hanging="10"/>
        <w:spacing w:after="0" w:line="235" w:lineRule="auto"/>
        <w:tabs>
          <w:tab w:leader="none" w:pos="45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or refrain from exercising any rights against the Company and any other Person.</w:t>
      </w:r>
    </w:p>
    <w:p>
      <w:pPr>
        <w:sectPr>
          <w:pgSz w:w="11900" w:h="16838" w:orient="portrait"/>
          <w:cols w:equalWidth="0" w:num="1">
            <w:col w:w="10229"/>
          </w:cols>
          <w:pgMar w:left="230" w:top="627" w:right="1440" w:bottom="1440" w:gutter="0" w:footer="0" w:header="0"/>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SECTION 13.9</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to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sectPr>
          <w:pgSz w:w="11900" w:h="16838" w:orient="portrait"/>
          <w:cols w:equalWidth="0" w:num="2">
            <w:col w:w="1050" w:space="540"/>
            <w:col w:w="8639"/>
          </w:cols>
          <w:pgMar w:left="230" w:top="627" w:right="1440" w:bottom="1440" w:gutter="0" w:footer="0" w:header="0"/>
          <w:type w:val="continuous"/>
        </w:sectPr>
      </w:pPr>
    </w:p>
    <w:p>
      <w:pPr>
        <w:ind w:left="10" w:right="3179" w:firstLine="441"/>
        <w:spacing w:after="0" w:line="239" w:lineRule="auto"/>
        <w:rPr>
          <w:sz w:val="20"/>
          <w:szCs w:val="20"/>
          <w:color w:val="auto"/>
        </w:rPr>
      </w:pPr>
      <w:r>
        <w:rPr>
          <w:rFonts w:ascii="Courier New" w:cs="Courier New" w:eastAsia="Courier New" w:hAnsi="Courier New"/>
          <w:sz w:val="15"/>
          <w:szCs w:val="15"/>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a Responsible Officer of the Trustee shall have received written notice thereof from the Company or a Representative or a holder of Senior Debt (including, without limitation, a holder of Designated Senior Debt) and, prior to the receipt of any such written notice, the Trustee, subject to the provisions of Section 6.1, shall be entitled in all respects to assume that no such facts exist; provided, however, that if the Trustee shall not have received the notice provided for in this Section 13.9 at least two Business Days prior to the date upon which by the terms hereof any money may become payable for any purpose (including, without limitation, the payment of the principal of (and premium, if any) or interest (including Liquidated Damages, if any)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one Business Day prior to such date.</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Notwithstanding anything in this Article XIII to the contrary, nothing shall prevent any payment by the Trustee to the Holders of monies deposited with it pursuant to Section 4.1 and in compliance with Section 4.3, and any such payment shall not be subject to the provisions of Section 13.2 or 13.3.</w:t>
      </w:r>
    </w:p>
    <w:p>
      <w:pPr>
        <w:spacing w:after="0" w:line="176"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Subject to the provisions of Section 6.1, the Trustee shall be entitled to rely on the delivery to it of a written notice by a Person representing himself to be a Representative or a holder of Senior Debt (including, without limitation, a holder of Designated Senior Debt) to establish that such notice has been given by a Representative or a holder of Senior Debt (including, without limitation, a holder of Designated Senior Debt). In the event that the Trustee determines in good faith that further evidence is required with respect to the right of any Person as a holder of Senior Debt to participate in any payment or distribution pursuant to this Article,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5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29"/>
          </w:cols>
          <w:pgMar w:left="230" w:top="627" w:right="1440" w:bottom="1440" w:gutter="0" w:footer="0" w:header="0"/>
          <w:type w:val="continuous"/>
        </w:sectPr>
      </w:pPr>
    </w:p>
    <w:bookmarkStart w:id="147" w:name="page148"/>
    <w:bookmarkEnd w:id="147"/>
    <w:p>
      <w:pPr>
        <w:spacing w:after="0"/>
        <w:tabs>
          <w:tab w:leader="none" w:pos="1380" w:val="left"/>
        </w:tabs>
        <w:rPr>
          <w:sz w:val="20"/>
          <w:szCs w:val="20"/>
          <w:color w:val="auto"/>
        </w:rPr>
      </w:pPr>
      <w:r>
        <w:rPr>
          <w:rFonts w:ascii="Courier New" w:cs="Courier New" w:eastAsia="Courier New" w:hAnsi="Courier New"/>
          <w:sz w:val="15"/>
          <w:szCs w:val="15"/>
          <w:color w:val="auto"/>
        </w:rPr>
        <w:t>SECTION 13.10</w:t>
      </w:r>
      <w:r>
        <w:rPr>
          <w:sz w:val="20"/>
          <w:szCs w:val="20"/>
          <w:color w:val="auto"/>
        </w:rPr>
        <w:tab/>
      </w:r>
      <w:r>
        <w:rPr>
          <w:rFonts w:ascii="Courier New" w:cs="Courier New" w:eastAsia="Courier New" w:hAnsi="Courier New"/>
          <w:sz w:val="14"/>
          <w:szCs w:val="14"/>
          <w:color w:val="auto"/>
        </w:rPr>
        <w:t>Reliance on Judicial Order or Certificate of Liquidating Agent.</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Upon any payment or distribution of assets of the Company referred to in this Article, the Trustee, subject to the provisions of Section 6.1,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and other indebtedness of the Company, the amount thereof or payable thereon, the amount or amounts paid or distributed thereon and all other facts pertinent thereto or to this Article.</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13.11</w:t>
      </w:r>
      <w:r>
        <w:rPr>
          <w:sz w:val="20"/>
          <w:szCs w:val="20"/>
          <w:color w:val="auto"/>
        </w:rPr>
        <w:tab/>
      </w:r>
      <w:r>
        <w:rPr>
          <w:rFonts w:ascii="Courier New" w:cs="Courier New" w:eastAsia="Courier New" w:hAnsi="Courier New"/>
          <w:sz w:val="14"/>
          <w:szCs w:val="14"/>
          <w:color w:val="auto"/>
        </w:rPr>
        <w:t>Trustee Not Fiduciary for Holders of Senior Debt.</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Trustee shall not be deemed to owe any fiduciary duty to the holders of Senior Debt and shall not be liable to any such holders if it shall in good faith mistakenly pay over or distribute to Holders of Securities or to the Company or to any other Person cash, property or securities to which any holders of Senior Debt shall be entitled by virtue of this Article or otherwise.</w:t>
      </w:r>
    </w:p>
    <w:p>
      <w:pPr>
        <w:spacing w:after="0" w:line="15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13.12</w:t>
      </w:r>
      <w:r>
        <w:rPr>
          <w:sz w:val="20"/>
          <w:szCs w:val="20"/>
          <w:color w:val="auto"/>
        </w:rPr>
        <w:tab/>
      </w:r>
      <w:r>
        <w:rPr>
          <w:rFonts w:ascii="Courier New" w:cs="Courier New" w:eastAsia="Courier New" w:hAnsi="Courier New"/>
          <w:sz w:val="14"/>
          <w:szCs w:val="14"/>
          <w:color w:val="auto"/>
        </w:rPr>
        <w:t>Reliance by Holders of Senior Debt on Subordination Provisions.</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Each Holder by accepting a Security acknowledges and agrees that the foregoing subordination provisions are, and are intended to be, an inducement and a consideration to each holder of any Senior Debt, whether such Senior Debt was created or acquired before or after the issuance of the Securities, to acquire and continue to hold, or to continue to hold, such Senior Debt and such holder of Senior Debt shall be deemed conclusively to have relied on such subordination provisions in acquiring and continuing to hold, or in continuing to hold, such Senior Debt, and no amendment or modification of the provisions contained herein shall diminish the rights of such holders of Senior Debt unless such holders shall have agreed in writing thereto.</w:t>
      </w:r>
    </w:p>
    <w:p>
      <w:pPr>
        <w:spacing w:after="0" w:line="17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13.13</w:t>
      </w:r>
      <w:r>
        <w:rPr>
          <w:sz w:val="20"/>
          <w:szCs w:val="20"/>
          <w:color w:val="auto"/>
        </w:rPr>
        <w:tab/>
      </w:r>
      <w:r>
        <w:rPr>
          <w:rFonts w:ascii="Courier New" w:cs="Courier New" w:eastAsia="Courier New" w:hAnsi="Courier New"/>
          <w:sz w:val="14"/>
          <w:szCs w:val="14"/>
          <w:color w:val="auto"/>
        </w:rPr>
        <w:t>Rights of Trustee as Holder of Senior Debt; Preservation of</w:t>
      </w:r>
    </w:p>
    <w:p>
      <w:pPr>
        <w:ind w:left="1400"/>
        <w:spacing w:after="0"/>
        <w:rPr>
          <w:sz w:val="20"/>
          <w:szCs w:val="20"/>
          <w:color w:val="auto"/>
        </w:rPr>
      </w:pP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5"/>
          <w:szCs w:val="15"/>
          <w:color w:val="auto"/>
        </w:rPr>
        <w:t>Trustee's Rights.</w:t>
      </w:r>
    </w:p>
    <w:p>
      <w:pPr>
        <w:ind w:left="140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78"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Nothing in this Article shall apply to claims of, or payments to, the Trustee under or pursuant to Section 6.7.</w:t>
      </w:r>
    </w:p>
    <w:p>
      <w:pPr>
        <w:spacing w:after="0" w:line="17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13.14</w:t>
      </w:r>
      <w:r>
        <w:rPr>
          <w:sz w:val="20"/>
          <w:szCs w:val="20"/>
          <w:color w:val="auto"/>
        </w:rPr>
        <w:tab/>
      </w:r>
      <w:r>
        <w:rPr>
          <w:rFonts w:ascii="Courier New" w:cs="Courier New" w:eastAsia="Courier New" w:hAnsi="Courier New"/>
          <w:sz w:val="14"/>
          <w:szCs w:val="14"/>
          <w:color w:val="auto"/>
        </w:rPr>
        <w:t>Article Applicable to Paying Agents.</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case at any time any Paying Agent other than the Trustee shall have been appointed by the Company and be then acting hereunder, the term "Trustee" as used in this Article shall in such case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22" w:right="1440" w:bottom="1440" w:gutter="0" w:footer="0" w:header="0"/>
        </w:sectPr>
      </w:pPr>
    </w:p>
    <w:bookmarkStart w:id="148" w:name="page149"/>
    <w:bookmarkEnd w:id="148"/>
    <w:p>
      <w:pPr>
        <w:ind w:right="3179"/>
        <w:spacing w:after="0" w:line="238" w:lineRule="auto"/>
        <w:rPr>
          <w:sz w:val="20"/>
          <w:szCs w:val="20"/>
          <w:color w:val="auto"/>
        </w:rPr>
      </w:pPr>
      <w:r>
        <w:rPr>
          <w:rFonts w:ascii="Courier New" w:cs="Courier New" w:eastAsia="Courier New" w:hAnsi="Courier New"/>
          <w:sz w:val="15"/>
          <w:szCs w:val="15"/>
          <w:color w:val="auto"/>
        </w:rPr>
        <w:t>(unless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13.13 shall not apply to the Company or any Affiliate of the Company if it or such Affiliate acts as Paying Agent.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13.15 Certain Conversions and Repurchases Deemed Payment.</w:t>
      </w:r>
    </w:p>
    <w:p>
      <w:pPr>
        <w:ind w:left="1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For the purposes of this Article only, (i) the issuance and delivery of junior securities upon conversion of Securities in accordance with Article XII or upon the repurchase of Securities in accordance with Article XIV shall not be deemed to constitute a payment or distribution on account of the principal of or premium or interest (including Liquidated Damages, if any) on Securities or on account of the purchase or other acquisition of Securities, and (ii) the payment, issuance or delivery of cash (except in satisfaction of fractional shares pursuant to Section 12.3 or 14.3(7)), property or securities (other than junior securities) upon conversion of a Security shall be deemed to constitute payment on account of the principal of such Security. For the purposes of this Section, the term "junior securities" means shares of any stock of any class of the Company and securities into which the Securities are convertible pursuant to Article XII. Nothing contained in this Article or elsewhere in this Indenture or in the Securities is intended to or shall impair, as among the Company, its creditors other than holders of Senior Debt and the Holders of the Securities, the right, which is absolute and unconditional, of the Holder of any Security to convert such Security in accordance with Article XII or to exchange such Security for Common Stock in accordance with Article XIV if the Company elects to satisfy the obligations under Article XIV by the delivery of Common Stock.</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XIV</w:t>
      </w:r>
    </w:p>
    <w:p>
      <w:pPr>
        <w:ind w:left="1480"/>
        <w:spacing w:after="0"/>
        <w:rPr>
          <w:sz w:val="20"/>
          <w:szCs w:val="20"/>
          <w:color w:val="auto"/>
        </w:rPr>
      </w:pPr>
      <w:r>
        <w:rPr>
          <w:rFonts w:ascii="Courier New" w:cs="Courier New" w:eastAsia="Courier New" w:hAnsi="Courier New"/>
          <w:sz w:val="15"/>
          <w:szCs w:val="15"/>
          <w:color w:val="auto"/>
        </w:rPr>
        <w:t>REPURCHASE OF SECURITIES AT THE OPTION OF THE</w:t>
      </w:r>
    </w:p>
    <w:p>
      <w:pPr>
        <w:ind w:left="1760"/>
        <w:spacing w:after="0"/>
        <w:rPr>
          <w:sz w:val="20"/>
          <w:szCs w:val="20"/>
          <w:color w:val="auto"/>
        </w:rPr>
      </w:pPr>
      <w:r>
        <w:rPr>
          <w:rFonts w:ascii="Courier New" w:cs="Courier New" w:eastAsia="Courier New" w:hAnsi="Courier New"/>
          <w:sz w:val="15"/>
          <w:szCs w:val="15"/>
          <w:color w:val="auto"/>
        </w:rPr>
        <w:t>HOLDER UPON A CHANGE IN CONTROL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14.1 Right to Require Repurchase.</w:t>
      </w:r>
    </w:p>
    <w:p>
      <w:pPr>
        <w:ind w:left="1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the event that a Change in Control (as hereinafter defined) shall occur, then each Holder shall have the right, at the Holder's option, but subject to the provisions of Section 14.2, to require the Company to repurchase, and upon the exercise of such right the Company shall repurchase, all of such Holder's Securities not theretofore called for redemption, or any portion of the principal amount thereof that is equal to U.S. $1,000 or any integral multiple of U.S. $1,000 in excess thereof (provided that no single Security may be repurchased in part unless the portion of the principal amount of such Security to be Outstanding after such repurchase is equal to U.S. $1,000 or integral multiples of U.S. $1,000 in excess thereof), on the date (the "Repurchase Date") that is 45 days after the date of the Company Notice (as defined in Section 14.3) at a purchase price equal to 100% of the principal amount of the Securities to be repurchased plus interest accrued to the Repurchase Date (the "Repurchase Price"); provided, however, that installments of interest on Securities whose Stated Maturity is on or prior to the Repurchase Date shall be payable to the Holders of such Securities, or one or more Predecessor Securities, registered as such on the relevant Record Date according to their terms and the provisions of Section 3.7. Such right to require the repurchase of the Securities shall not continue after a discharge of the Company from its obligations with respect to the Securities in accordance with Article IV, unless a Change in Control shall have occurred prior to such discharge.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27" w:right="1440" w:bottom="1440" w:gutter="0" w:footer="0" w:header="0"/>
        </w:sectPr>
      </w:pPr>
    </w:p>
    <w:bookmarkStart w:id="149" w:name="page150"/>
    <w:bookmarkEnd w:id="149"/>
    <w:p>
      <w:pPr>
        <w:ind w:right="3179"/>
        <w:spacing w:after="0" w:line="257" w:lineRule="auto"/>
        <w:rPr>
          <w:sz w:val="20"/>
          <w:szCs w:val="20"/>
          <w:color w:val="auto"/>
        </w:rPr>
      </w:pPr>
      <w:r>
        <w:rPr>
          <w:rFonts w:ascii="Courier New" w:cs="Courier New" w:eastAsia="Courier New" w:hAnsi="Courier New"/>
          <w:sz w:val="14"/>
          <w:szCs w:val="14"/>
          <w:color w:val="auto"/>
        </w:rPr>
        <w:t>At the option of the Company, the Repurchase Price may be paid in cash or, subject to the fulfillment by the Company of the conditions set forth Section 14.2, by delivery of shares of Common Stock having a fair market value equal to the Repurchase Price. Whenever in this Indenture (including Sections 2.2, 3.1, 5.1(1) and 5.8)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Indenture shall not be construed as excluding the Repurchase Price in those provisions of this Indenture when such express mention is not made; provided, however, that for the purposes of Article XIII such reference shall be deemed to include reference to the Repurchase Price only to the extent the Repurchase Price is payable in cash.</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Conditions to the Company's Election to Pay the Repurchase Price</w:t>
      </w:r>
    </w:p>
    <w:p>
      <w:pPr>
        <w:ind w:left="1220"/>
        <w:spacing w:after="0"/>
        <w:rPr>
          <w:sz w:val="20"/>
          <w:szCs w:val="20"/>
          <w:color w:val="auto"/>
        </w:rPr>
      </w:pPr>
      <w:r>
        <w:rPr>
          <w:rFonts w:ascii="Courier New" w:cs="Courier New" w:eastAsia="Courier New" w:hAnsi="Courier New"/>
          <w:sz w:val="15"/>
          <w:szCs w:val="15"/>
          <w:color w:val="auto"/>
        </w:rPr>
        <w:t>----------------------------------------------------------------</w:t>
      </w:r>
    </w:p>
    <w:p>
      <w:pPr>
        <w:ind w:left="1220"/>
        <w:spacing w:after="0"/>
        <w:rPr>
          <w:sz w:val="20"/>
          <w:szCs w:val="20"/>
          <w:color w:val="auto"/>
        </w:rPr>
      </w:pPr>
      <w:r>
        <w:rPr>
          <w:rFonts w:ascii="Courier New" w:cs="Courier New" w:eastAsia="Courier New" w:hAnsi="Courier New"/>
          <w:sz w:val="15"/>
          <w:szCs w:val="15"/>
          <w:color w:val="auto"/>
        </w:rPr>
        <w:t>in Common Stock.</w:t>
      </w:r>
    </w:p>
    <w:p>
      <w:pPr>
        <w:ind w:left="122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may elect to pay the Repurchase Price by delivery of shares of Common Stock pursuant to Section 14.1 if and only if the following conditions shall have been satisfied:</w:t>
      </w:r>
    </w:p>
    <w:p>
      <w:pPr>
        <w:spacing w:after="0" w:line="175" w:lineRule="exact"/>
        <w:rPr>
          <w:sz w:val="20"/>
          <w:szCs w:val="20"/>
          <w:color w:val="auto"/>
        </w:rPr>
      </w:pPr>
    </w:p>
    <w:p>
      <w:pPr>
        <w:ind w:right="3259" w:firstLine="431"/>
        <w:spacing w:after="0" w:line="257" w:lineRule="auto"/>
        <w:tabs>
          <w:tab w:leader="none" w:pos="793"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Common Stock deliverable in payment of the Repurchase Price shall have a fair market value as of the Repurchase Date of not less than the Repurchase Price. For purposes of Section 14.1 and this Section 14.2, the fair market value of shares of Common Stock shall be determined by the Company and shall be equal to 95% of the average of the Closing Prices Per Share of the Common Stock for the five consecutive Trading Days immediately preceding and including the third Trading Day prior to the Repurchase Date;</w:t>
      </w:r>
    </w:p>
    <w:p>
      <w:pPr>
        <w:spacing w:after="0" w:line="167" w:lineRule="exact"/>
        <w:rPr>
          <w:rFonts w:ascii="Courier New" w:cs="Courier New" w:eastAsia="Courier New" w:hAnsi="Courier New"/>
          <w:sz w:val="14"/>
          <w:szCs w:val="14"/>
          <w:color w:val="auto"/>
        </w:rPr>
      </w:pPr>
    </w:p>
    <w:p>
      <w:pPr>
        <w:ind w:right="3179" w:firstLine="431"/>
        <w:spacing w:after="0" w:line="257" w:lineRule="auto"/>
        <w:tabs>
          <w:tab w:leader="none" w:pos="793"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Price shall be paid only in cash in the event any shares of Common Stock to be issued upon repurchase of Securities hereunder (i) require registration under any federal securities law before such shares may be freely transferable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66" w:lineRule="exact"/>
        <w:rPr>
          <w:rFonts w:ascii="Courier New" w:cs="Courier New" w:eastAsia="Courier New" w:hAnsi="Courier New"/>
          <w:sz w:val="14"/>
          <w:szCs w:val="14"/>
          <w:color w:val="auto"/>
        </w:rPr>
      </w:pPr>
    </w:p>
    <w:p>
      <w:pPr>
        <w:ind w:right="3179" w:firstLine="431"/>
        <w:spacing w:after="0" w:line="237" w:lineRule="auto"/>
        <w:tabs>
          <w:tab w:leader="none" w:pos="79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Repurchase Price may not be made in Common Stock unless such stock is, or shall have been, approved for quotation on the Nasdaq National Market or listed on a national securities exchange, in either case, prior to the Repurchase Date; and</w:t>
      </w:r>
    </w:p>
    <w:p>
      <w:pPr>
        <w:spacing w:after="0" w:line="176"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which may be issued upon repurchase of Securities will be issued out of the Company's authorized but unissued Common Stock and, will upon issue, be duly and validly issued and fully paid and non-assessable and free of any preemptive or similar rights.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all of the conditions set forth in this Section 14.2 are not satisfied in accordance with the terms thereof, the Repurchase Price shall be paid by the Company only in cash.</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27"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SECTION 14.3 Notices; Method of Exercising Repurchase Right, Etc.</w:t>
      </w:r>
    </w:p>
    <w:p>
      <w:pPr>
        <w:ind w:left="1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31"/>
        <w:spacing w:after="0" w:line="257" w:lineRule="auto"/>
        <w:tabs>
          <w:tab w:leader="none" w:pos="793"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 shall have theretofore called for redemption all of the Outstanding Securities, on or before the 30th day after the occurrence of a Change in Control, the Company or, at the request and expense of the Company on or before the 15th day after such occurrence, the Trustee, shall give to all Holders of Securities, in the manner provided in Section 1.6, notice (the "Company Notice") of the occurrence of the Change of Control and of the repurchase right set forth herein arising as a result thereof. The Company shall also deliver a copy of such notice of a repurchase right to the Trustee.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notice of a repurchase right shall state:</w:t>
      </w:r>
    </w:p>
    <w:p>
      <w:pPr>
        <w:spacing w:after="0" w:line="169" w:lineRule="exact"/>
        <w:rPr>
          <w:sz w:val="20"/>
          <w:szCs w:val="20"/>
          <w:color w:val="auto"/>
        </w:rPr>
      </w:pPr>
    </w:p>
    <w:p>
      <w:pPr>
        <w:ind w:left="1220" w:hanging="348"/>
        <w:spacing w:after="0"/>
        <w:tabs>
          <w:tab w:leader="none" w:pos="12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Date,</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 be exercised,</w:t>
      </w:r>
    </w:p>
    <w:p>
      <w:pPr>
        <w:spacing w:after="0" w:line="174" w:lineRule="exact"/>
        <w:rPr>
          <w:rFonts w:ascii="Courier New" w:cs="Courier New" w:eastAsia="Courier New" w:hAnsi="Courier New"/>
          <w:sz w:val="15"/>
          <w:szCs w:val="15"/>
          <w:color w:val="auto"/>
        </w:rPr>
      </w:pPr>
    </w:p>
    <w:p>
      <w:pPr>
        <w:ind w:right="3259" w:firstLine="872"/>
        <w:spacing w:after="0" w:line="235" w:lineRule="auto"/>
        <w:tabs>
          <w:tab w:leader="none" w:pos="141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and whether the Repurchase Price shall be paid by the Company in cash or by delivery of shares of Common Stock,</w:t>
      </w:r>
    </w:p>
    <w:p>
      <w:pPr>
        <w:spacing w:after="0" w:line="175" w:lineRule="exact"/>
        <w:rPr>
          <w:rFonts w:ascii="Courier New" w:cs="Courier New" w:eastAsia="Courier New" w:hAnsi="Courier New"/>
          <w:sz w:val="15"/>
          <w:szCs w:val="15"/>
          <w:color w:val="auto"/>
        </w:rPr>
      </w:pPr>
    </w:p>
    <w:p>
      <w:pPr>
        <w:ind w:right="3359" w:firstLine="872"/>
        <w:spacing w:after="0" w:line="259" w:lineRule="auto"/>
        <w:tabs>
          <w:tab w:leader="none" w:pos="132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the procedure which a Holder must follow to exercise a repurchase right, and the place or places where such Securities are to be surrendered for payment of the Repurchase Price and accrued interest (including Liquidated Damages, if any), if any to the Repurchase Date,</w:t>
      </w:r>
    </w:p>
    <w:p>
      <w:pPr>
        <w:spacing w:after="0" w:line="162" w:lineRule="exact"/>
        <w:rPr>
          <w:rFonts w:ascii="Courier New" w:cs="Courier New" w:eastAsia="Courier New" w:hAnsi="Courier New"/>
          <w:sz w:val="14"/>
          <w:szCs w:val="14"/>
          <w:color w:val="auto"/>
        </w:rPr>
      </w:pPr>
    </w:p>
    <w:p>
      <w:pPr>
        <w:ind w:right="3259" w:firstLine="872"/>
        <w:spacing w:after="0" w:line="237" w:lineRule="auto"/>
        <w:tabs>
          <w:tab w:leader="none" w:pos="123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Repurchase Date the Repurchase Price, and accrued interest (including Liquidated Damages, if any), if any to the Repurchase Date, will become due and payable upon each such Security designated by the Holder to be repurchased, and that interest thereon shall cease to accrue on and after said date,</w:t>
      </w:r>
    </w:p>
    <w:p>
      <w:pPr>
        <w:spacing w:after="0" w:line="178" w:lineRule="exact"/>
        <w:rPr>
          <w:rFonts w:ascii="Courier New" w:cs="Courier New" w:eastAsia="Courier New" w:hAnsi="Courier New"/>
          <w:sz w:val="15"/>
          <w:szCs w:val="15"/>
          <w:color w:val="auto"/>
        </w:rPr>
      </w:pPr>
    </w:p>
    <w:p>
      <w:pPr>
        <w:ind w:right="3359" w:firstLine="872"/>
        <w:spacing w:after="0" w:line="237" w:lineRule="auto"/>
        <w:tabs>
          <w:tab w:leader="none" w:pos="132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then in effect, the date on which the right to convert the principal amount of the Securities to be repurchased will terminate and the place or places where such Securities may be surrendered for conversion, and</w:t>
      </w:r>
    </w:p>
    <w:p>
      <w:pPr>
        <w:spacing w:after="0" w:line="176" w:lineRule="exact"/>
        <w:rPr>
          <w:rFonts w:ascii="Courier New" w:cs="Courier New" w:eastAsia="Courier New" w:hAnsi="Courier New"/>
          <w:sz w:val="15"/>
          <w:szCs w:val="15"/>
          <w:color w:val="auto"/>
        </w:rPr>
      </w:pPr>
    </w:p>
    <w:p>
      <w:pPr>
        <w:ind w:right="3259" w:firstLine="872"/>
        <w:spacing w:after="0" w:line="237" w:lineRule="auto"/>
        <w:tabs>
          <w:tab w:leader="none" w:pos="141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that the Security Certificate with the Election of Holder to Require Repurchase as specified in Section 2.2 shall be delivered, and if the Security is a Restricted Securities Certificate the place or places that the Surrender Certificate required by Section 14.3(9) shall be delivered.</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No failure of the Company to give the foregoing notices or defect therein shall limit any Holder' s right to exercise a repurchase right or affect the validity of the proceedings for the repurchase of Securities.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If any of the foregoing provisions or other provisions of this Article XIV are inconsistent with applicable law, such law shall govern.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961" w:right="1440" w:bottom="1440" w:gutter="0" w:footer="0" w:header="0"/>
        </w:sectPr>
      </w:pPr>
    </w:p>
    <w:bookmarkStart w:id="151" w:name="page152"/>
    <w:bookmarkEnd w:id="151"/>
    <w:p>
      <w:pPr>
        <w:ind w:left="-431" w:right="3179" w:firstLine="431"/>
        <w:spacing w:after="0" w:line="238" w:lineRule="auto"/>
        <w:tabs>
          <w:tab w:leader="none" w:pos="36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 repurchase right, a Holder shall deliver to the Trustee on or before the 30th day after the date of the Company Notice (i) irrevocable written notice of the Holder's exercise of such right, which notice shall set forth the name of the Holder, the principal amount of the Securities to be repurchased (and, if any Security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in the event that the Repurchase Price shall be paid in shares of Common Stock, the name or names (with addresses) in which the certificate or certificates for shares of Common Stock shall be issued, and (ii) the Securities with respect to which the repurchase right is being exercised. Such written notice shall be irrevocable, except that the right of the Holder to convert the Securities with respect to which the repurchase right is being exercised shall continue until the close of business on the Business Day prior to the Repurchase Date.</w:t>
      </w:r>
    </w:p>
    <w:p>
      <w:pPr>
        <w:spacing w:after="0" w:line="185" w:lineRule="exact"/>
        <w:rPr>
          <w:rFonts w:ascii="Courier New" w:cs="Courier New" w:eastAsia="Courier New" w:hAnsi="Courier New"/>
          <w:sz w:val="15"/>
          <w:szCs w:val="15"/>
          <w:color w:val="auto"/>
        </w:rPr>
      </w:pPr>
    </w:p>
    <w:p>
      <w:pPr>
        <w:ind w:left="-431" w:right="3179" w:firstLine="431"/>
        <w:spacing w:after="0" w:line="238" w:lineRule="auto"/>
        <w:tabs>
          <w:tab w:leader="none" w:pos="36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pay or cause to be paid to the Trustee the Repurchase Price in cash or shares of Common Stock, as provided above, for payment to the Holder on the Repurchase Date or, if shares of Common Stock are to be paid, as promptly after the Repurchase Date as practicable, provided, however, that installments of interest that mature on or prior to the Repurchase Date shall be payable in cash to the Holders of such Securities, or one or more Predecessor Securities, registered as such at the close of business on the relevant Regular Record Date.</w:t>
      </w:r>
    </w:p>
    <w:p>
      <w:pPr>
        <w:spacing w:after="0" w:line="178" w:lineRule="exact"/>
        <w:rPr>
          <w:rFonts w:ascii="Courier New" w:cs="Courier New" w:eastAsia="Courier New" w:hAnsi="Courier New"/>
          <w:sz w:val="15"/>
          <w:szCs w:val="15"/>
          <w:color w:val="auto"/>
        </w:rPr>
      </w:pPr>
    </w:p>
    <w:p>
      <w:pPr>
        <w:ind w:left="-431" w:right="3179" w:firstLine="431"/>
        <w:spacing w:after="0" w:line="238" w:lineRule="auto"/>
        <w:tabs>
          <w:tab w:leader="none" w:pos="36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Security (or portion thereof) surrendered for repurchase shall not be so paid on the Repurchase Date, the principal amount of such Security (or portion thereof, as the case may be) shall, until paid, bear interest to the extent permitted by applicable law from the Repurchase Date at the rate of 4.75% per annum, and each Security shall remain convertible into Common Stock until the principal of such Security (or portion thereof, as the case may be) shall have been paid or duly provided for.</w:t>
      </w:r>
    </w:p>
    <w:p>
      <w:pPr>
        <w:spacing w:after="0" w:line="176" w:lineRule="exact"/>
        <w:rPr>
          <w:rFonts w:ascii="Courier New" w:cs="Courier New" w:eastAsia="Courier New" w:hAnsi="Courier New"/>
          <w:sz w:val="15"/>
          <w:szCs w:val="15"/>
          <w:color w:val="auto"/>
        </w:rPr>
      </w:pPr>
    </w:p>
    <w:p>
      <w:pPr>
        <w:ind w:left="-431" w:right="3179" w:firstLine="431"/>
        <w:spacing w:after="0" w:line="238" w:lineRule="auto"/>
        <w:tabs>
          <w:tab w:leader="none" w:pos="36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containing identical terms and conditions, each in an authorized denomination in aggregate principal amount equal to and in exchange for the unrepurchased portion of the principal of the Security so surrendered.</w:t>
      </w:r>
    </w:p>
    <w:p>
      <w:pPr>
        <w:spacing w:after="0" w:line="179" w:lineRule="exact"/>
        <w:rPr>
          <w:rFonts w:ascii="Courier New" w:cs="Courier New" w:eastAsia="Courier New" w:hAnsi="Courier New"/>
          <w:sz w:val="15"/>
          <w:szCs w:val="15"/>
          <w:color w:val="auto"/>
        </w:rPr>
      </w:pPr>
    </w:p>
    <w:p>
      <w:pPr>
        <w:ind w:left="-431" w:right="3179" w:firstLine="431"/>
        <w:spacing w:after="0" w:line="238" w:lineRule="auto"/>
        <w:tabs>
          <w:tab w:leader="none" w:pos="36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provided, however, that any surrender for repurchase on a date when the stock transfer books of the Company shall be closed</w:t>
      </w:r>
    </w:p>
    <w:p>
      <w:pPr>
        <w:spacing w:after="0" w:line="2"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9788"/>
          </w:cols>
          <w:pgMar w:left="671" w:top="627" w:right="1440" w:bottom="1440" w:gutter="0" w:footer="0" w:header="0"/>
        </w:sectPr>
      </w:pPr>
    </w:p>
    <w:bookmarkStart w:id="152" w:name="page153"/>
    <w:bookmarkEnd w:id="152"/>
    <w:p>
      <w:pPr>
        <w:ind w:right="3179"/>
        <w:spacing w:after="0" w:line="238" w:lineRule="auto"/>
        <w:rPr>
          <w:sz w:val="20"/>
          <w:szCs w:val="20"/>
          <w:color w:val="auto"/>
        </w:rPr>
      </w:pPr>
      <w:r>
        <w:rPr>
          <w:rFonts w:ascii="Courier New" w:cs="Courier New" w:eastAsia="Courier New" w:hAnsi="Courier New"/>
          <w:sz w:val="15"/>
          <w:szCs w:val="15"/>
          <w:color w:val="auto"/>
        </w:rPr>
        <w:t>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Common Stock issued upon repurchase of any Security declared prior to the Repurchase Date.</w:t>
      </w:r>
    </w:p>
    <w:p>
      <w:pPr>
        <w:spacing w:after="0" w:line="176" w:lineRule="exact"/>
        <w:rPr>
          <w:sz w:val="20"/>
          <w:szCs w:val="20"/>
          <w:color w:val="auto"/>
        </w:rPr>
      </w:pPr>
    </w:p>
    <w:p>
      <w:pPr>
        <w:ind w:right="3179" w:firstLine="431"/>
        <w:spacing w:after="0" w:line="238" w:lineRule="auto"/>
        <w:tabs>
          <w:tab w:leader="none" w:pos="79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fractions of shares shall be issued upon repurchase of Securities. If more than one Security shall be repurchased from the same Holder and the Repurchase Price shall be payable in shares of Common Stock, the number of full shares which shall be issuable upon such repurchase shall be computed on the basis of the aggregate principal amount of the Securities so repurchased. Instead of any fractional share of Common Stock which would otherwise be issuable on the repurchase of any Security or Securities, the Company will deliver to the applicable Holder its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 share of Common Stock is the Closing Price Per Share of the Common Stock on the Trading Day immediately preceding the Repurchase Date.</w:t>
      </w:r>
    </w:p>
    <w:p>
      <w:pPr>
        <w:spacing w:after="0" w:line="183"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and delivery of certificates for shares of Common Stock on repurchase of Securities shall be made without charge to the Holder of Securities being repurchased for such certificates or for any tax or duty in respect of the issuance or delivery of such certificates or the securities represented thereby; provided, however, that the Company shall not be required to pay any tax or duty which may be payable in respect of (i) income of the Holder or (ii) any transfer involved in the issuance or delivery of certificates for shares of Common Stock in a name other than that of the Holder of the Securities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81"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Common Stock to be delivered upon repurchase of a Security are to be registered in a name other than that of the beneficial owner of such Security, then such Holder must deliver to the Trustee a Surrender Certificate, dated the date of surrender of such Restricted Security and signed by such beneficial owner, as to compliance with the restrictions on transfer applicable to such Restricted Security. Neither the Trustee nor any Registrar or Transfer Agent or other agents shall be required to register in a name other than that of the beneficial owner shares of Common Stock issued upon repurchase of any such Restricted Security not so accompanied by a properly completed Surrender Certificate.</w:t>
      </w:r>
    </w:p>
    <w:p>
      <w:pPr>
        <w:spacing w:after="0" w:line="179" w:lineRule="exact"/>
        <w:rPr>
          <w:rFonts w:ascii="Courier New" w:cs="Courier New" w:eastAsia="Courier New" w:hAnsi="Courier New"/>
          <w:sz w:val="15"/>
          <w:szCs w:val="15"/>
          <w:color w:val="auto"/>
        </w:rPr>
      </w:pPr>
    </w:p>
    <w:p>
      <w:pPr>
        <w:ind w:right="3359" w:firstLine="431"/>
        <w:spacing w:after="0" w:line="237" w:lineRule="auto"/>
        <w:tabs>
          <w:tab w:leader="none" w:pos="88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delivered for repurchase shall be delivered to the Trustee to be canceled at the direction of the Trustee, which shall dispose of the same as provided in Section 3.9.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14.4 Certain Definitions.</w:t>
      </w:r>
    </w:p>
    <w:p>
      <w:pPr>
        <w:ind w:left="11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purposes of this Article XIV,</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628" w:right="1440" w:bottom="1440" w:gutter="0" w:footer="0" w:header="0"/>
        </w:sectPr>
      </w:pPr>
    </w:p>
    <w:bookmarkStart w:id="153" w:name="page154"/>
    <w:bookmarkEnd w:id="153"/>
    <w:p>
      <w:pPr>
        <w:ind w:left="-431" w:right="3179" w:firstLine="431"/>
        <w:spacing w:after="0" w:line="237" w:lineRule="auto"/>
        <w:tabs>
          <w:tab w:leader="none" w:pos="36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shall be determined in accordance with Rule 13(d)(3), as in effect on the date of the original execution of this Indenture, promulgated by the Commission pursuant to the Exchange Act;</w:t>
      </w:r>
    </w:p>
    <w:p>
      <w:pPr>
        <w:spacing w:after="0" w:line="174" w:lineRule="exact"/>
        <w:rPr>
          <w:rFonts w:ascii="Courier New" w:cs="Courier New" w:eastAsia="Courier New" w:hAnsi="Courier New"/>
          <w:sz w:val="15"/>
          <w:szCs w:val="15"/>
          <w:color w:val="auto"/>
        </w:rPr>
      </w:pPr>
    </w:p>
    <w:p>
      <w:pPr>
        <w:ind w:left="-431" w:right="3539" w:firstLine="431"/>
        <w:spacing w:after="0" w:line="235" w:lineRule="auto"/>
        <w:tabs>
          <w:tab w:leader="none" w:pos="36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at the time, after the original issuance of the Securities, of:</w:t>
      </w:r>
    </w:p>
    <w:p>
      <w:pPr>
        <w:spacing w:after="0" w:line="175" w:lineRule="exact"/>
        <w:rPr>
          <w:rFonts w:ascii="Courier New" w:cs="Courier New" w:eastAsia="Courier New" w:hAnsi="Courier New"/>
          <w:sz w:val="15"/>
          <w:szCs w:val="15"/>
          <w:color w:val="auto"/>
        </w:rPr>
      </w:pPr>
    </w:p>
    <w:p>
      <w:pPr>
        <w:ind w:left="-431" w:right="3259" w:firstLine="872"/>
        <w:spacing w:after="0" w:line="238" w:lineRule="auto"/>
        <w:tabs>
          <w:tab w:leader="none" w:pos="803"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other than any such acquisition by the Company, any subsidiary of the Company or any employee benefit plan of the Company; or</w:t>
      </w:r>
    </w:p>
    <w:p>
      <w:pPr>
        <w:spacing w:after="0" w:line="178" w:lineRule="exact"/>
        <w:rPr>
          <w:rFonts w:ascii="Courier New" w:cs="Courier New" w:eastAsia="Courier New" w:hAnsi="Courier New"/>
          <w:sz w:val="15"/>
          <w:szCs w:val="15"/>
          <w:color w:val="auto"/>
        </w:rPr>
      </w:pPr>
    </w:p>
    <w:p>
      <w:pPr>
        <w:ind w:left="-431" w:right="3179" w:firstLine="872"/>
        <w:spacing w:after="0" w:line="256" w:lineRule="auto"/>
        <w:tabs>
          <w:tab w:leader="none" w:pos="891"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consolidation of the Company with, or merger of the Company into, any other Person, any merger of another Person into the Company, or any conveyance, sale, transfer or lease of all or substantially all of the assets of the Company to another Person (other than (a) any such transaction which does not result in any reclassification, conversion, exchange or cancellation of outstanding shares of capital stock of the Company, (b) any such transaction pursuant to which the holders of the Common Stock immediately prior to such transaction have the entitlement to exercise, directly or indirectly, 50% or more of the total voting power of all shares of capital stock entitled to vote generally in the election of directors of the continuing or surviving corporation immediately after such transaction or (c) any merger which is effected solely to change the jurisdiction of incorporation of the Company and results in a reclassification, conversion or exchange of outstanding shares of Common Stock solely into shares of common stock of the surviving entity); provided, however, that a Change in Control shall not be deemed to have occurred if (I)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(i) above) or the period of 10 consecutive Trading Days ending immediately before the Change in Control (in the case of a Change in Control under clause (ii) above) shall equal or exceed 105% of the Conversion Price of the Securities in effect on each such Trading Day or (II) all of the consideration (excluding cash payments for fractional shares and cash payments made pursuant to dissenters' appraisal rights) in a merger or consolidation otherwise constituting a Change of Control under clause (i) and/or clause (ii) above consists of shares of common stock traded on a national securities exchange or quoted on the Nasdaq National Market (or will be so traded or quoted immediately following such merger or consolidation) and as a result of such merger or consolidation the notes become convertible into such common stock.</w:t>
      </w:r>
    </w:p>
    <w:p>
      <w:pPr>
        <w:spacing w:after="0" w:line="348" w:lineRule="exact"/>
        <w:rPr>
          <w:rFonts w:ascii="Courier New" w:cs="Courier New" w:eastAsia="Courier New" w:hAnsi="Courier New"/>
          <w:sz w:val="14"/>
          <w:szCs w:val="14"/>
          <w:color w:val="auto"/>
        </w:rPr>
      </w:pPr>
    </w:p>
    <w:p>
      <w:pPr>
        <w:ind w:left="-431" w:right="3699" w:firstLine="431"/>
        <w:spacing w:after="0" w:line="235" w:lineRule="auto"/>
        <w:tabs>
          <w:tab w:leader="none" w:pos="36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"Conversion Price" shall equal U.S.$1,000 divided by the Conversion Rate (rounded to the nearest cent); and</w:t>
      </w:r>
    </w:p>
    <w:p>
      <w:pPr>
        <w:spacing w:after="0" w:line="170"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9788"/>
          </w:cols>
          <w:pgMar w:left="671" w:top="627" w:right="1440" w:bottom="1440" w:gutter="0" w:footer="0" w:header="0"/>
        </w:sectPr>
      </w:pPr>
    </w:p>
    <w:bookmarkStart w:id="154" w:name="page155"/>
    <w:bookmarkEnd w:id="154"/>
    <w:p>
      <w:pPr>
        <w:jc w:val="both"/>
        <w:ind w:right="3179" w:firstLine="431"/>
        <w:spacing w:after="0" w:line="237" w:lineRule="auto"/>
        <w:tabs>
          <w:tab w:leader="none" w:pos="793"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14.4(2)(i), the term "person" shall include any syndicate or group which would be deemed to be a "person" under Section 13(d)(3) of the Exchange Act, as in effect on the date of the original execution of this Indenture.</w:t>
      </w:r>
    </w:p>
    <w:p>
      <w:pPr>
        <w:spacing w:after="0" w:line="17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14.5</w:t>
      </w:r>
      <w:r>
        <w:rPr>
          <w:sz w:val="20"/>
          <w:szCs w:val="20"/>
          <w:color w:val="auto"/>
        </w:rPr>
        <w:tab/>
      </w:r>
      <w:r>
        <w:rPr>
          <w:rFonts w:ascii="Courier New" w:cs="Courier New" w:eastAsia="Courier New" w:hAnsi="Courier New"/>
          <w:sz w:val="14"/>
          <w:szCs w:val="14"/>
          <w:color w:val="auto"/>
        </w:rPr>
        <w:t>Consolidation, Merger, etc.</w:t>
      </w:r>
    </w:p>
    <w:p>
      <w:pPr>
        <w:ind w:left="1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the case of any merger, consolidation, conveyance, sale, transfer or lease of all or substantially all of the assets of the Company to which Section 12.11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Indenture relating to the right of Holders to cause the Company to repurchase the Securities following a Change in Control, including without limitation the applicable provisions of this Article XIV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in Control to the common stock and the issuer thereof if different from the Company and Common Stock of the Company (in lieu of the Company and the Common Stock of the Company).</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XV</w:t>
      </w:r>
    </w:p>
    <w:p>
      <w:pPr>
        <w:jc w:val="center"/>
        <w:ind w:right="3179"/>
        <w:spacing w:after="0"/>
        <w:rPr>
          <w:sz w:val="20"/>
          <w:szCs w:val="20"/>
          <w:color w:val="auto"/>
        </w:rPr>
      </w:pPr>
      <w:r>
        <w:rPr>
          <w:rFonts w:ascii="Courier New" w:cs="Courier New" w:eastAsia="Courier New" w:hAnsi="Courier New"/>
          <w:sz w:val="15"/>
          <w:szCs w:val="15"/>
          <w:color w:val="auto"/>
        </w:rPr>
        <w:t>HOLDERS LISTS AND REPORTS BY TRUSTEE AND COMPANY; NON-RECOURSE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15.1 Company to Furnish Trustee Names and Addresses of Holders.</w:t>
      </w:r>
    </w:p>
    <w:p>
      <w:pPr>
        <w:ind w:left="11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will furnish or cause to be furnished to the Trustee:</w:t>
      </w:r>
    </w:p>
    <w:p>
      <w:pPr>
        <w:spacing w:after="0" w:line="175" w:lineRule="exact"/>
        <w:rPr>
          <w:sz w:val="20"/>
          <w:szCs w:val="20"/>
          <w:color w:val="auto"/>
        </w:rPr>
      </w:pPr>
    </w:p>
    <w:p>
      <w:pPr>
        <w:ind w:right="3359" w:firstLine="431"/>
        <w:spacing w:after="0" w:line="237" w:lineRule="auto"/>
        <w:tabs>
          <w:tab w:leader="none" w:pos="79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 annually, not more than 15 days after the Regular Record Date, a list, in such form as the Trustee may reasonably require, of the names and addresses of the Holders of Securities as of such Regular Record Date, and</w:t>
      </w:r>
    </w:p>
    <w:p>
      <w:pPr>
        <w:spacing w:after="0" w:line="174" w:lineRule="exact"/>
        <w:rPr>
          <w:rFonts w:ascii="Courier New" w:cs="Courier New" w:eastAsia="Courier New" w:hAnsi="Courier New"/>
          <w:sz w:val="15"/>
          <w:szCs w:val="15"/>
          <w:color w:val="auto"/>
        </w:rPr>
      </w:pPr>
    </w:p>
    <w:p>
      <w:pPr>
        <w:jc w:val="both"/>
        <w:ind w:right="3359" w:firstLine="431"/>
        <w:spacing w:after="0" w:line="237" w:lineRule="auto"/>
        <w:tabs>
          <w:tab w:leader="none" w:pos="79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reasonably request in writing, within 30 days after the receipt by the Company of any such request, a list of similar form and content as of a date not more than 15 days prior to the time such list is furnished;</w:t>
      </w:r>
    </w:p>
    <w:p>
      <w:pPr>
        <w:spacing w:after="0" w:line="17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provided, however, that no such list need be furnished so long as the Trustee is acting as Security Registrar.</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627" w:right="1440" w:bottom="1440" w:gutter="0" w:footer="0" w:header="0"/>
        </w:sectPr>
      </w:pPr>
    </w:p>
    <w:bookmarkStart w:id="155" w:name="page156"/>
    <w:bookmarkEnd w:id="155"/>
    <w:p>
      <w:pPr>
        <w:spacing w:after="0"/>
        <w:tabs>
          <w:tab w:leader="none" w:pos="1300" w:val="left"/>
        </w:tabs>
        <w:rPr>
          <w:sz w:val="20"/>
          <w:szCs w:val="20"/>
          <w:color w:val="auto"/>
        </w:rPr>
      </w:pPr>
      <w:r>
        <w:rPr>
          <w:rFonts w:ascii="Courier New" w:cs="Courier New" w:eastAsia="Courier New" w:hAnsi="Courier New"/>
          <w:sz w:val="15"/>
          <w:szCs w:val="15"/>
          <w:color w:val="auto"/>
        </w:rPr>
        <w:t>SECTION 15.2</w:t>
      </w:r>
      <w:r>
        <w:rPr>
          <w:sz w:val="20"/>
          <w:szCs w:val="20"/>
          <w:color w:val="auto"/>
        </w:rPr>
        <w:tab/>
      </w:r>
      <w:r>
        <w:rPr>
          <w:rFonts w:ascii="Courier New" w:cs="Courier New" w:eastAsia="Courier New" w:hAnsi="Courier New"/>
          <w:sz w:val="14"/>
          <w:szCs w:val="14"/>
          <w:color w:val="auto"/>
        </w:rPr>
        <w:t>Preservation of Information.</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31"/>
        <w:spacing w:after="0" w:line="238" w:lineRule="auto"/>
        <w:tabs>
          <w:tab w:leader="none" w:pos="79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15.1 and the names and addresses of Holders received by the Trustee in its capacity as Security Registrar. The Trustee may destroy any list, if any, furnished to it as provided in Section 15.1 upon receipt of a new list so furnished.</w:t>
      </w:r>
    </w:p>
    <w:p>
      <w:pPr>
        <w:spacing w:after="0" w:line="175"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this Indenture has been qualified under the Trust Indenture Act, the rights of Holders to communicate with other Holders with respect to their rights under this Indenture or under the Securities, and the corresponding rights and duties of the Trustee, shall be as provided by the Trust Indenture Act.</w:t>
      </w:r>
    </w:p>
    <w:p>
      <w:pPr>
        <w:spacing w:after="0" w:line="178"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15.3</w:t>
      </w:r>
      <w:r>
        <w:rPr>
          <w:sz w:val="20"/>
          <w:szCs w:val="20"/>
          <w:color w:val="auto"/>
        </w:rPr>
        <w:tab/>
      </w:r>
      <w:r>
        <w:rPr>
          <w:rFonts w:ascii="Courier New" w:cs="Courier New" w:eastAsia="Courier New" w:hAnsi="Courier New"/>
          <w:sz w:val="14"/>
          <w:szCs w:val="14"/>
          <w:color w:val="auto"/>
        </w:rPr>
        <w:t>Reports by Trustee.</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31"/>
        <w:spacing w:after="0" w:line="259" w:lineRule="auto"/>
        <w:tabs>
          <w:tab w:leader="none" w:pos="793"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this Indenture has been qualified under the Trust Indenture Act, the Trustee shall transmit to Holders such reports concerning the Trustee and its actions under this Indenture as may be required pursuant to the Trust Indenture Act at the times and in the manner provided pursuant thereto.</w:t>
      </w:r>
    </w:p>
    <w:p>
      <w:pPr>
        <w:spacing w:after="0" w:line="162" w:lineRule="exact"/>
        <w:rPr>
          <w:rFonts w:ascii="Courier New" w:cs="Courier New" w:eastAsia="Courier New" w:hAnsi="Courier New"/>
          <w:sz w:val="14"/>
          <w:szCs w:val="14"/>
          <w:color w:val="auto"/>
        </w:rPr>
      </w:pPr>
    </w:p>
    <w:p>
      <w:pPr>
        <w:ind w:right="3259" w:firstLine="431"/>
        <w:spacing w:after="0" w:line="237" w:lineRule="auto"/>
        <w:tabs>
          <w:tab w:leader="none" w:pos="79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this Indenture has been qualified under the Trust Indenture Act, a copy of each such report shall, at the time of such transmission to Holders, be filed by the Trustee with each stock exchange upon which the Securities are listed, with the Commission and with the Company. The Company will notify the Trustee when the Securities are listed on any stock exchange.</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15.4</w:t>
      </w:r>
      <w:r>
        <w:rPr>
          <w:sz w:val="20"/>
          <w:szCs w:val="20"/>
          <w:color w:val="auto"/>
        </w:rPr>
        <w:tab/>
      </w:r>
      <w:r>
        <w:rPr>
          <w:rFonts w:ascii="Courier New" w:cs="Courier New" w:eastAsia="Courier New" w:hAnsi="Courier New"/>
          <w:sz w:val="14"/>
          <w:szCs w:val="14"/>
          <w:color w:val="auto"/>
        </w:rPr>
        <w:t>Reports by Company.</w:t>
      </w:r>
    </w:p>
    <w:p>
      <w:pPr>
        <w:ind w:left="1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After this Indenture has been qualified under the Trust Indenture Act,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XVI</w:t>
      </w:r>
    </w:p>
    <w:p>
      <w:pPr>
        <w:jc w:val="center"/>
        <w:ind w:right="3099"/>
        <w:spacing w:after="0"/>
        <w:rPr>
          <w:sz w:val="20"/>
          <w:szCs w:val="20"/>
          <w:color w:val="auto"/>
        </w:rPr>
      </w:pPr>
      <w:r>
        <w:rPr>
          <w:rFonts w:ascii="Courier New" w:cs="Courier New" w:eastAsia="Courier New" w:hAnsi="Courier New"/>
          <w:sz w:val="15"/>
          <w:szCs w:val="15"/>
          <w:color w:val="auto"/>
        </w:rPr>
        <w:t>IMMUNITY OF INCORPORATORS, STOCKHOLDERS, OFFICERS AND DIRECTORS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16.1</w:t>
      </w:r>
      <w:r>
        <w:rPr>
          <w:sz w:val="20"/>
          <w:szCs w:val="20"/>
          <w:color w:val="auto"/>
        </w:rPr>
        <w:tab/>
      </w:r>
      <w:r>
        <w:rPr>
          <w:rFonts w:ascii="Courier New" w:cs="Courier New" w:eastAsia="Courier New" w:hAnsi="Courier New"/>
          <w:sz w:val="14"/>
          <w:szCs w:val="14"/>
          <w:color w:val="auto"/>
        </w:rPr>
        <w:t>Indenture and Securities Solely Corporate Obligations.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622" w:right="1440" w:bottom="1440" w:gutter="0" w:footer="0" w:header="0"/>
        </w:sectPr>
      </w:pPr>
    </w:p>
    <w:bookmarkStart w:id="156" w:name="page157"/>
    <w:bookmarkEnd w:id="156"/>
    <w:p>
      <w:pPr>
        <w:ind w:right="3179" w:firstLine="793"/>
        <w:spacing w:after="0" w:line="257" w:lineRule="auto"/>
        <w:rPr>
          <w:sz w:val="20"/>
          <w:szCs w:val="20"/>
          <w:color w:val="auto"/>
        </w:rPr>
      </w:pPr>
      <w:r>
        <w:rPr>
          <w:rFonts w:ascii="Courier New" w:cs="Courier New" w:eastAsia="Courier New" w:hAnsi="Courier New"/>
          <w:sz w:val="14"/>
          <w:szCs w:val="14"/>
          <w:color w:val="auto"/>
        </w:rPr>
        <w:t>No recourse for the payment of the principal of or premium, if any, or interest on any Security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whether by virtue of any constitution, statute or rule of law, or by the enforcement of any assessment or penalty or otherwise; it being expressly understood that all such liability is hereby waived and released as a condition of, and as a consideration for, the execution of this Indenture and the issue of the Securities.</w:t>
      </w:r>
    </w:p>
    <w:p>
      <w:pPr>
        <w:spacing w:after="0" w:line="16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so executed shall be deemed to be an original, but all such counterparts shall together constitute but one and the same instrument.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27" w:right="1440" w:bottom="1440" w:gutter="0" w:footer="0" w:header="0"/>
        </w:sectPr>
      </w:pPr>
    </w:p>
    <w:bookmarkStart w:id="157" w:name="page158"/>
    <w:bookmarkEnd w:id="157"/>
    <w:p>
      <w:pPr>
        <w:ind w:right="3179" w:firstLine="793"/>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all as of the day and year first above written.</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tbl>
      <w:tblPr>
        <w:tblLayout w:type="fixed"/>
        <w:tblInd w:w="308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Joseph</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E. McDonough</w:t>
            </w:r>
          </w:p>
        </w:tc>
      </w:tr>
      <w:tr>
        <w:trPr>
          <w:trHeight w:val="170"/>
        </w:trPr>
        <w:tc>
          <w:tcPr>
            <w:tcW w:w="396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Joseph E. McDonough</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34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Vice President - Finance and</w:t>
            </w:r>
          </w:p>
        </w:tc>
      </w:tr>
      <w:tr>
        <w:trPr>
          <w:trHeight w:val="170"/>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Chief Financial Officer</w:t>
            </w:r>
          </w:p>
        </w:tc>
      </w:tr>
      <w:tr>
        <w:trPr>
          <w:trHeight w:val="678"/>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STATE STREET</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BANK AND TRUST COMPANY</w:t>
            </w:r>
          </w:p>
        </w:tc>
      </w:t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as Trustee</w:t>
            </w: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Alison</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Della Bella</w:t>
            </w:r>
          </w:p>
        </w:tc>
      </w:tr>
      <w:tr>
        <w:trPr>
          <w:trHeight w:val="170"/>
        </w:trPr>
        <w:tc>
          <w:tcPr>
            <w:tcW w:w="396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Alison Della</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Bella</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Assistant</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bl>
    <w:p>
      <w:pPr>
        <w:sectPr>
          <w:pgSz w:w="11900" w:h="16838" w:orient="portrait"/>
          <w:cols w:equalWidth="0" w:num="1">
            <w:col w:w="10219"/>
          </w:cols>
          <w:pgMar w:left="240" w:top="628" w:right="1440" w:bottom="1440" w:gutter="0" w:footer="0" w:header="0"/>
        </w:sectPr>
      </w:pPr>
    </w:p>
    <w:bookmarkStart w:id="158" w:name="page159"/>
    <w:bookmarkEnd w:id="158"/>
    <w:p>
      <w:pPr>
        <w:ind w:left="1220"/>
        <w:spacing w:after="0"/>
        <w:rPr>
          <w:sz w:val="20"/>
          <w:szCs w:val="20"/>
          <w:color w:val="auto"/>
        </w:rPr>
      </w:pPr>
      <w:r>
        <w:rPr>
          <w:rFonts w:ascii="Courier New" w:cs="Courier New" w:eastAsia="Courier New" w:hAnsi="Courier New"/>
          <w:sz w:val="15"/>
          <w:szCs w:val="15"/>
          <w:color w:val="auto"/>
        </w:rPr>
        <w:t>ANNEX A -- Form of Restricted Securities Certificate</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RESTRICTED SECURITIES CERTIFICATE (For transfers pursuant to Section 3.5(2)(ii) and (iii) of the Indenture)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rPr>
          <w:sz w:val="20"/>
          <w:szCs w:val="20"/>
          <w:color w:val="auto"/>
        </w:rPr>
      </w:pPr>
      <w:r>
        <w:rPr>
          <w:rFonts w:ascii="Courier New" w:cs="Courier New" w:eastAsia="Courier New" w:hAnsi="Courier New"/>
          <w:sz w:val="15"/>
          <w:szCs w:val="15"/>
          <w:color w:val="auto"/>
        </w:rPr>
        <w:t>Corporate Trust Department - LCC6</w:t>
      </w:r>
    </w:p>
    <w:p>
      <w:pPr>
        <w:spacing w:after="0"/>
        <w:rPr>
          <w:sz w:val="20"/>
          <w:szCs w:val="20"/>
          <w:color w:val="auto"/>
        </w:rPr>
      </w:pPr>
      <w:r>
        <w:rPr>
          <w:rFonts w:ascii="Courier New" w:cs="Courier New" w:eastAsia="Courier New" w:hAnsi="Courier New"/>
          <w:sz w:val="15"/>
          <w:szCs w:val="15"/>
          <w:color w:val="auto"/>
        </w:rPr>
        <w:t>2 Avenue de Lafayette, 6th Floor</w:t>
      </w:r>
    </w:p>
    <w:p>
      <w:pPr>
        <w:spacing w:after="0"/>
        <w:tabs>
          <w:tab w:leader="none" w:pos="102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02111</w:t>
      </w:r>
    </w:p>
    <w:p>
      <w:pPr>
        <w:spacing w:after="0" w:line="344" w:lineRule="exact"/>
        <w:rPr>
          <w:sz w:val="20"/>
          <w:szCs w:val="20"/>
          <w:color w:val="auto"/>
        </w:rPr>
      </w:pPr>
    </w:p>
    <w:p>
      <w:pPr>
        <w:ind w:left="440" w:right="317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Re:</w:t>
        <w:tab/>
        <w:t>4.75% CONVERTIBLE SUBORDINATED NOTES DUE OCTOBER 1, 2005 OF ANALOG DEVICES, INC. (THE "SECURITIES")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Reference is made to the Indenture, dated as of October 1, 2000 (the "Indenture"), from Analog Devices, Inc. (the "Company") to State Street Bank and Trust Company, as Trustee. Terms used herein and defined in the Indenture or Rule 144 under the U.S. Securities Act of 1933 (the "Securities Act") are used herein as so defined.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certificate relates to U.S. $________ principal amount of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are evidenced by the following certificate(s) (the "Specified</w:t>
      </w:r>
    </w:p>
    <w:p>
      <w:pPr>
        <w:spacing w:after="0"/>
        <w:rPr>
          <w:sz w:val="20"/>
          <w:szCs w:val="20"/>
          <w:color w:val="auto"/>
        </w:rPr>
      </w:pPr>
      <w:r>
        <w:rPr>
          <w:rFonts w:ascii="Courier New" w:cs="Courier New" w:eastAsia="Courier New" w:hAnsi="Courier New"/>
          <w:sz w:val="15"/>
          <w:szCs w:val="15"/>
          <w:color w:val="auto"/>
        </w:rPr>
        <w:t>Securities"):</w:t>
      </w:r>
    </w:p>
    <w:p>
      <w:pPr>
        <w:spacing w:after="0" w:line="169"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CUSIP No.</w:t>
      </w:r>
      <w:r>
        <w:rPr>
          <w:sz w:val="20"/>
          <w:szCs w:val="20"/>
          <w:color w:val="auto"/>
        </w:rPr>
        <w:tab/>
      </w:r>
      <w:r>
        <w:rPr>
          <w:rFonts w:ascii="Courier New" w:cs="Courier New" w:eastAsia="Courier New" w:hAnsi="Courier New"/>
          <w:sz w:val="14"/>
          <w:szCs w:val="14"/>
          <w:color w:val="auto"/>
        </w:rPr>
        <w:t>032654AC9</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CERTIFICATE No(s). ________</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Owner has requested that the Specified Securities be transferred to a person (the "Transferee") who will take delivery in the form of a Restricted Security. In connection with such transfer, the Owner hereby certifies that, unless such transfer is being effected pursuant to an effective registration statement under the Securities Act, it is being effected in accordance with Rule 144A, to a institutional "accredited investor" within the meaning of Rule 501(A)(1), (2), (3) or (7), or pursuant to another exemption from registration under the Securities Act (if available) or Rule 144 under the Securities Act and all applicable securities laws of the states of the United States and other jurisdictions. Accordingly, the Owner hereby further certifies as:</w:t>
      </w:r>
    </w:p>
    <w:p>
      <w:pPr>
        <w:sectPr>
          <w:pgSz w:w="11900" w:h="16838" w:orient="portrait"/>
          <w:cols w:equalWidth="0" w:num="1">
            <w:col w:w="10219"/>
          </w:cols>
          <w:pgMar w:left="240" w:top="622" w:right="1440" w:bottom="1440" w:gutter="0" w:footer="0" w:header="0"/>
        </w:sectPr>
      </w:pPr>
    </w:p>
    <w:bookmarkStart w:id="159" w:name="page160"/>
    <w:bookmarkEnd w:id="159"/>
    <w:p>
      <w:pPr>
        <w:ind w:left="10" w:right="3439" w:firstLine="431"/>
        <w:spacing w:after="0" w:line="235" w:lineRule="auto"/>
        <w:tabs>
          <w:tab w:leader="none" w:pos="803"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144A TRANSFERS. If the transfer is being effected in accordance with Rule 144A:</w:t>
      </w:r>
    </w:p>
    <w:p>
      <w:pPr>
        <w:spacing w:after="0" w:line="175" w:lineRule="exact"/>
        <w:rPr>
          <w:rFonts w:ascii="Courier New" w:cs="Courier New" w:eastAsia="Courier New" w:hAnsi="Courier New"/>
          <w:sz w:val="15"/>
          <w:szCs w:val="15"/>
          <w:color w:val="auto"/>
        </w:rPr>
      </w:pPr>
    </w:p>
    <w:p>
      <w:pPr>
        <w:ind w:left="10" w:right="3179" w:firstLine="872"/>
        <w:spacing w:after="0" w:line="237" w:lineRule="auto"/>
        <w:tabs>
          <w:tab w:leader="none" w:pos="1244"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Specified Securities are being transferred to a person that the Owner and any person acting on its behalf reasonably believe is a "qualified institutional buyer" within the meaning of Rule 144A, acquiring for its own account or for the account of a qualified institutional buyer; and</w:t>
      </w:r>
    </w:p>
    <w:p>
      <w:pPr>
        <w:spacing w:after="0" w:line="176" w:lineRule="exact"/>
        <w:rPr>
          <w:rFonts w:ascii="Courier New" w:cs="Courier New" w:eastAsia="Courier New" w:hAnsi="Courier New"/>
          <w:sz w:val="15"/>
          <w:szCs w:val="15"/>
          <w:color w:val="auto"/>
        </w:rPr>
      </w:pPr>
    </w:p>
    <w:p>
      <w:pPr>
        <w:ind w:left="10" w:right="3439" w:firstLine="872"/>
        <w:spacing w:after="0" w:line="237" w:lineRule="auto"/>
        <w:tabs>
          <w:tab w:leader="none" w:pos="1244"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 and any person acting on its behalf have taken reasonable steps to ensure that the Transferee is aware that the Owner may be relying on Rule 144A in connection with the transfer; and</w:t>
      </w:r>
    </w:p>
    <w:p>
      <w:pPr>
        <w:spacing w:after="0" w:line="174"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144 TRANSFERS. If the transfer is being effected pursuant to Rule</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144:</w:t>
      </w:r>
    </w:p>
    <w:p>
      <w:pPr>
        <w:spacing w:after="0" w:line="174" w:lineRule="exact"/>
        <w:rPr>
          <w:rFonts w:ascii="Courier New" w:cs="Courier New" w:eastAsia="Courier New" w:hAnsi="Courier New"/>
          <w:sz w:val="14"/>
          <w:szCs w:val="14"/>
          <w:color w:val="auto"/>
        </w:rPr>
      </w:pPr>
    </w:p>
    <w:p>
      <w:pPr>
        <w:ind w:left="10" w:right="3179" w:firstLine="872"/>
        <w:spacing w:after="0" w:line="238" w:lineRule="auto"/>
        <w:tabs>
          <w:tab w:leader="none" w:pos="1244"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is occurring after a holding period of at least one year (computed in accordance with paragraph (d) of Rule 144) has elapsed since the date the Specified Securities were acquired from the Company or from an affiliate (as such term is defined in Rule 144) of the Company, whichever is later, and is being effected in accordance with the applicable amount, manner of sale and notice requirements of paragraphs (e), (f) and (h) of Rule 144; or</w:t>
      </w:r>
    </w:p>
    <w:p>
      <w:pPr>
        <w:spacing w:after="0" w:line="175" w:lineRule="exact"/>
        <w:rPr>
          <w:rFonts w:ascii="Courier New" w:cs="Courier New" w:eastAsia="Courier New" w:hAnsi="Courier New"/>
          <w:sz w:val="15"/>
          <w:szCs w:val="15"/>
          <w:color w:val="auto"/>
        </w:rPr>
      </w:pPr>
    </w:p>
    <w:p>
      <w:pPr>
        <w:ind w:left="10" w:right="3179" w:firstLine="872"/>
        <w:spacing w:after="0" w:line="237" w:lineRule="auto"/>
        <w:tabs>
          <w:tab w:leader="none" w:pos="1244"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is occurring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 Company.</w:t>
      </w:r>
    </w:p>
    <w:p>
      <w:pPr>
        <w:spacing w:after="0" w:line="178" w:lineRule="exact"/>
        <w:rPr>
          <w:rFonts w:ascii="Courier New" w:cs="Courier New" w:eastAsia="Courier New" w:hAnsi="Courier New"/>
          <w:sz w:val="15"/>
          <w:szCs w:val="15"/>
          <w:color w:val="auto"/>
        </w:rPr>
      </w:pPr>
    </w:p>
    <w:p>
      <w:pPr>
        <w:ind w:left="10" w:right="3179" w:firstLine="431"/>
        <w:spacing w:after="0" w:line="257" w:lineRule="auto"/>
        <w:tabs>
          <w:tab w:leader="none" w:pos="803"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INSTITUTIONAL ACCREDITED INVESTORS. If the transfer is to an institutional investor that is an accredited investor within the meaning of Rule 501(A)(1), (2), (3) or (7) of Regulation D under the Securities Act, a signed letter containing certain representations and agreements relating to the restrictions on transfer of the Securities and, if such transfer is for less than an aggregate principal amount of $250,000, an opinion of counsel acceptable to the Company if requested by the Company, that the transfer is exempt from registration, must be supplied to the Trustee prior to such transfer.</w:t>
      </w:r>
    </w:p>
    <w:p>
      <w:pPr>
        <w:spacing w:after="0" w:line="166" w:lineRule="exact"/>
        <w:rPr>
          <w:rFonts w:ascii="Courier New" w:cs="Courier New" w:eastAsia="Courier New" w:hAnsi="Courier New"/>
          <w:sz w:val="14"/>
          <w:szCs w:val="14"/>
          <w:color w:val="auto"/>
        </w:rPr>
      </w:pPr>
    </w:p>
    <w:p>
      <w:pPr>
        <w:jc w:val="both"/>
        <w:ind w:left="10" w:right="3179" w:firstLine="431"/>
        <w:spacing w:after="0" w:line="256" w:lineRule="auto"/>
        <w:tabs>
          <w:tab w:leader="none" w:pos="803"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PURSUANT TO OTHER SECURITY ACT EXEMPTIONS. If the transfer is being effected pursuant to a Security Act Exemption other than ones set forth in</w:t>
      </w:r>
    </w:p>
    <w:p>
      <w:pPr>
        <w:ind w:left="10" w:right="3539" w:hanging="10"/>
        <w:spacing w:after="0" w:line="235" w:lineRule="auto"/>
        <w:tabs>
          <w:tab w:leader="none" w:pos="36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(3) above, there shall be delivered to the Company an opinion of counsel with respect to such holders.</w:t>
      </w:r>
    </w:p>
    <w:p>
      <w:pPr>
        <w:spacing w:after="0" w:line="176"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This certificate and the statements contained herein are made for your benefit and the benefit of the Company and the Initial Purchasers.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___________</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8" w:right="1440" w:bottom="1440" w:gutter="0" w:footer="0" w:header="0"/>
        </w:sectPr>
      </w:pPr>
    </w:p>
    <w:bookmarkStart w:id="160" w:name="page161"/>
    <w:bookmarkEnd w:id="160"/>
    <w:p>
      <w:pPr>
        <w:ind w:right="3259" w:firstLine="1587"/>
        <w:spacing w:after="0" w:line="235" w:lineRule="auto"/>
        <w:rPr>
          <w:sz w:val="20"/>
          <w:szCs w:val="20"/>
          <w:color w:val="auto"/>
        </w:rPr>
      </w:pPr>
      <w:r>
        <w:rPr>
          <w:rFonts w:ascii="Courier New" w:cs="Courier New" w:eastAsia="Courier New" w:hAnsi="Courier New"/>
          <w:sz w:val="15"/>
          <w:szCs w:val="15"/>
          <w:color w:val="auto"/>
        </w:rPr>
        <w:t>Print the name of the Undersigned, as such term is defined in the second paragraph of this certificate.)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Name:</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Title:</w:t>
      </w:r>
    </w:p>
    <w:p>
      <w:pPr>
        <w:ind w:left="6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the Undersigned is a corporation, partnership or fiduciary, the title of the person signing on behalf of the Undersigned must be stated.)</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61" w:name="page162"/>
    <w:bookmarkEnd w:id="161"/>
    <w:p>
      <w:pPr>
        <w:ind w:left="1140"/>
        <w:spacing w:after="0"/>
        <w:rPr>
          <w:sz w:val="20"/>
          <w:szCs w:val="20"/>
          <w:color w:val="auto"/>
        </w:rPr>
      </w:pPr>
      <w:r>
        <w:rPr>
          <w:rFonts w:ascii="Courier New" w:cs="Courier New" w:eastAsia="Courier New" w:hAnsi="Courier New"/>
          <w:sz w:val="15"/>
          <w:szCs w:val="15"/>
          <w:color w:val="auto"/>
        </w:rPr>
        <w:t>ANNEX B -- Form of Unrestricted Securities Certificate</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UNRESTRICTED SECURITIES CERTIFICATE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 removal of Restricted Securities Legend pursuant to Section 3.5(3))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rPr>
          <w:sz w:val="20"/>
          <w:szCs w:val="20"/>
          <w:color w:val="auto"/>
        </w:rPr>
      </w:pPr>
      <w:r>
        <w:rPr>
          <w:rFonts w:ascii="Courier New" w:cs="Courier New" w:eastAsia="Courier New" w:hAnsi="Courier New"/>
          <w:sz w:val="15"/>
          <w:szCs w:val="15"/>
          <w:color w:val="auto"/>
        </w:rPr>
        <w:t>Corporate Trust Department - LCC6</w:t>
      </w:r>
    </w:p>
    <w:p>
      <w:pPr>
        <w:spacing w:after="0"/>
        <w:rPr>
          <w:sz w:val="20"/>
          <w:szCs w:val="20"/>
          <w:color w:val="auto"/>
        </w:rPr>
      </w:pPr>
      <w:r>
        <w:rPr>
          <w:rFonts w:ascii="Courier New" w:cs="Courier New" w:eastAsia="Courier New" w:hAnsi="Courier New"/>
          <w:sz w:val="15"/>
          <w:szCs w:val="15"/>
          <w:color w:val="auto"/>
        </w:rPr>
        <w:t>2 Avenue de Lafayette, 6th Floor</w:t>
      </w:r>
    </w:p>
    <w:p>
      <w:pPr>
        <w:spacing w:after="0"/>
        <w:tabs>
          <w:tab w:leader="none" w:pos="102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02111</w:t>
      </w:r>
    </w:p>
    <w:p>
      <w:pPr>
        <w:spacing w:after="0" w:line="344" w:lineRule="exact"/>
        <w:rPr>
          <w:sz w:val="20"/>
          <w:szCs w:val="20"/>
          <w:color w:val="auto"/>
        </w:rPr>
      </w:pPr>
    </w:p>
    <w:p>
      <w:pPr>
        <w:ind w:left="440" w:right="317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RE:</w:t>
        <w:tab/>
        <w:t>4.75% CONVERTIBLE SUBORDINATED NOTES DUE OCTOBER 1, 2005 OF ANALOG DEVICES, INC. (THE "SECURITIES")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Reference is made to the Indenture, dated as of October 2, 2000 (the "Indenture"), from Analog Devices, Inc. (the "Company") to State Street Bank and Trust Company, as Trustee. Terms used herein and defined in the Indenture or in Rule 144 under the U.S. Securities Act of 1933 (the "Securities Act") are used herein as so defined.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certificate relates to U.S.$_______________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which are evidenced by the following certificate(s) (the "Specified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CUSIP No. 032654AC9</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CERTIFICATE No(s). _________________</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Owner has requested that the Specified Securities be exchanged for Securities bearing no Restricted Securities Legend pursuant to Section 3.5(3) of the Indenture. In connection with such exchange, the Owner hereby certifies that the exchange is occurring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w:t>
      </w:r>
    </w:p>
    <w:p>
      <w:pPr>
        <w:sectPr>
          <w:pgSz w:w="11900" w:h="16838" w:orient="portrait"/>
          <w:cols w:equalWidth="0" w:num="1">
            <w:col w:w="10219"/>
          </w:cols>
          <w:pgMar w:left="240" w:top="622" w:right="1440" w:bottom="1440" w:gutter="0" w:footer="0" w:header="0"/>
        </w:sectPr>
      </w:pPr>
    </w:p>
    <w:bookmarkStart w:id="162" w:name="page163"/>
    <w:bookmarkEnd w:id="162"/>
    <w:p>
      <w:pPr>
        <w:jc w:val="both"/>
        <w:ind w:right="3259"/>
        <w:spacing w:after="0" w:line="237" w:lineRule="auto"/>
        <w:rPr>
          <w:sz w:val="20"/>
          <w:szCs w:val="20"/>
          <w:color w:val="auto"/>
        </w:rPr>
      </w:pPr>
      <w:r>
        <w:rPr>
          <w:rFonts w:ascii="Courier New" w:cs="Courier New" w:eastAsia="Courier New" w:hAnsi="Courier New"/>
          <w:sz w:val="15"/>
          <w:szCs w:val="15"/>
          <w:color w:val="auto"/>
        </w:rPr>
        <w:t>Company. The Owner also acknowledges that any future transfers of the Specified Securities must comply with all applicable securities laws of the states of the United States and other jurisdictions.</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This certificate and the statements contained herein are made for your benefit and the benefit of the Company and the Initial Purchasers.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(Print the name of the Undersigned, as such term is defined in the second paragraph of this certificate.)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Name:</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Title:</w:t>
      </w:r>
    </w:p>
    <w:p>
      <w:pPr>
        <w:ind w:left="6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the Undersigned is a corporation, partnership or fiduciary, the title of the person signing on behalf of the Undersigned must be stated.)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163" w:name="page164"/>
    <w:bookmarkEnd w:id="163"/>
    <w:p>
      <w:pPr>
        <w:ind w:left="1760"/>
        <w:spacing w:after="0"/>
        <w:rPr>
          <w:sz w:val="20"/>
          <w:szCs w:val="20"/>
          <w:color w:val="auto"/>
        </w:rPr>
      </w:pPr>
      <w:r>
        <w:rPr>
          <w:rFonts w:ascii="Courier New" w:cs="Courier New" w:eastAsia="Courier New" w:hAnsi="Courier New"/>
          <w:sz w:val="15"/>
          <w:szCs w:val="15"/>
          <w:color w:val="auto"/>
        </w:rPr>
        <w:t>ANNEX C -- Form of Surrender Certificate</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In connection with the certification contemplated by Section 12.2 or</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14.3(9) relating to compliance with certain restrictions relating to transfers of Restricted Securities, such certification shall be provided substantially in the form of the following certificate, with only such changes thereto as shall be approved by the Company and Goldman, Sachs &amp; Co.:</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CERTIFICATE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4.75% CONVERTIBLE NOTES DUE OCTOBER 1, 2005</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is to certify that as of the date hereof with respect to U.S. $______</w:t>
      </w:r>
    </w:p>
    <w:p>
      <w:pPr>
        <w:spacing w:after="0" w:line="11"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principal amount of the above-captioned securities surrendered on the date hereof (the "Surrendered Securities") for registration of transfer, or for conversion or repurchase where the securities issuable upon such conversion or repurchase are to be registered in a name other than that of the undersigned Holder (each such transaction being a "transfer"), the undersigned Holder (as defined in the Indenture) certifies that the transfer of Surrendered Securities associated with such transfer complies with the restrictive legend set forth on the face of the Surrendered Securities for the reason checked below:</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The transfer of the Surrendered Securities complies with Rule 144A</w:t>
      </w:r>
    </w:p>
    <w:p>
      <w:pPr>
        <w:ind w:left="880"/>
        <w:spacing w:after="0"/>
        <w:rPr>
          <w:sz w:val="20"/>
          <w:szCs w:val="20"/>
          <w:color w:val="auto"/>
        </w:rPr>
      </w:pPr>
      <w:r>
        <w:rPr>
          <w:rFonts w:ascii="Courier New" w:cs="Courier New" w:eastAsia="Courier New" w:hAnsi="Courier New"/>
          <w:sz w:val="15"/>
          <w:szCs w:val="15"/>
          <w:color w:val="auto"/>
        </w:rPr>
        <w:t>under the Securities Act; 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The transfer of the Surrendered Securities complies with Rule 144</w:t>
      </w:r>
    </w:p>
    <w:p>
      <w:pPr>
        <w:spacing w:after="0" w:line="5" w:lineRule="exact"/>
        <w:rPr>
          <w:sz w:val="20"/>
          <w:szCs w:val="20"/>
          <w:color w:val="auto"/>
        </w:rPr>
      </w:pPr>
    </w:p>
    <w:p>
      <w:pPr>
        <w:ind w:left="880" w:right="3799"/>
        <w:spacing w:after="0" w:line="235" w:lineRule="auto"/>
        <w:rPr>
          <w:sz w:val="20"/>
          <w:szCs w:val="20"/>
          <w:color w:val="auto"/>
        </w:rPr>
      </w:pPr>
      <w:r>
        <w:rPr>
          <w:rFonts w:ascii="Courier New" w:cs="Courier New" w:eastAsia="Courier New" w:hAnsi="Courier New"/>
          <w:sz w:val="15"/>
          <w:szCs w:val="15"/>
          <w:color w:val="auto"/>
        </w:rPr>
        <w:t>under the United States Securities Act of 1933, as amended (the "Securities Act"); or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The transfer of the Surrendered Securities has been made to an</w:t>
      </w:r>
    </w:p>
    <w:p>
      <w:pPr>
        <w:ind w:left="880"/>
        <w:spacing w:after="0"/>
        <w:rPr>
          <w:sz w:val="20"/>
          <w:szCs w:val="20"/>
          <w:color w:val="auto"/>
        </w:rPr>
      </w:pPr>
      <w:r>
        <w:rPr>
          <w:rFonts w:ascii="Courier New" w:cs="Courier New" w:eastAsia="Courier New" w:hAnsi="Courier New"/>
          <w:sz w:val="15"/>
          <w:szCs w:val="15"/>
          <w:color w:val="auto"/>
        </w:rPr>
        <w:t>institution that is an "accredited investor" within the meaning of</w:t>
      </w:r>
    </w:p>
    <w:p>
      <w:pPr>
        <w:ind w:left="880"/>
        <w:spacing w:after="0"/>
        <w:rPr>
          <w:sz w:val="20"/>
          <w:szCs w:val="20"/>
          <w:color w:val="auto"/>
        </w:rPr>
      </w:pPr>
      <w:r>
        <w:rPr>
          <w:rFonts w:ascii="Courier New" w:cs="Courier New" w:eastAsia="Courier New" w:hAnsi="Courier New"/>
          <w:sz w:val="15"/>
          <w:szCs w:val="15"/>
          <w:color w:val="auto"/>
        </w:rPr>
        <w:t>Rule 501(a)(1), (2), (3) or (7) under the Securities Act in a</w:t>
      </w:r>
    </w:p>
    <w:p>
      <w:pPr>
        <w:ind w:left="880"/>
        <w:spacing w:after="0" w:line="238" w:lineRule="auto"/>
        <w:rPr>
          <w:sz w:val="20"/>
          <w:szCs w:val="20"/>
          <w:color w:val="auto"/>
        </w:rPr>
      </w:pPr>
      <w:r>
        <w:rPr>
          <w:rFonts w:ascii="Courier New" w:cs="Courier New" w:eastAsia="Courier New" w:hAnsi="Courier New"/>
          <w:sz w:val="15"/>
          <w:szCs w:val="15"/>
          <w:color w:val="auto"/>
        </w:rPr>
        <w:t>transaction exempt from the registration requirements of the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Securities Act and a signed letter containing certain representations</w:t>
      </w:r>
    </w:p>
    <w:p>
      <w:pPr>
        <w:spacing w:after="0" w:line="1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agreements relating to restrictions on transfer of the Securities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(and if such transfer is for an aggregate principal amount less than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$250,000, an opinion of counsel acceptable to the Company if requested</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by the Company, that such transfer is exempt from registration; 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The transfer of the Surrendered Securities has been made pursuant to</w:t>
      </w:r>
    </w:p>
    <w:p>
      <w:pPr>
        <w:spacing w:after="0" w:line="5"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an exemption from registration under the Securities Act and an opinion of counsel has been delivered to the Company with respect to such transfer.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Holder]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ind w:left="6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*To be dated the date of surrender</w:t>
      </w:r>
    </w:p>
    <w:p>
      <w:pPr>
        <w:sectPr>
          <w:pgSz w:w="11900" w:h="16838" w:orient="portrait"/>
          <w:cols w:equalWidth="0" w:num="1">
            <w:col w:w="10219"/>
          </w:cols>
          <w:pgMar w:left="240" w:top="622" w:right="1440" w:bottom="1440" w:gutter="0" w:footer="0" w:header="0"/>
        </w:sectPr>
      </w:pPr>
    </w:p>
    <w:bookmarkStart w:id="164" w:name="page165"/>
    <w:bookmarkEnd w:id="164"/>
    <w:p>
      <w:pPr>
        <w:jc w:val="right"/>
        <w:ind w:right="3179"/>
        <w:spacing w:after="0"/>
        <w:rPr>
          <w:sz w:val="20"/>
          <w:szCs w:val="20"/>
          <w:color w:val="auto"/>
        </w:rPr>
      </w:pPr>
      <w:r>
        <w:rPr>
          <w:rFonts w:ascii="Courier New" w:cs="Courier New" w:eastAsia="Courier New" w:hAnsi="Courier New"/>
          <w:sz w:val="15"/>
          <w:szCs w:val="15"/>
          <w:color w:val="auto"/>
        </w:rPr>
        <w:t>Exhibit 4.3</w:t>
      </w:r>
    </w:p>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4.75% Convertible Subordinated Notes</w:t>
      </w:r>
    </w:p>
    <w:p>
      <w:pPr>
        <w:ind w:left="2640"/>
        <w:spacing w:after="0"/>
        <w:rPr>
          <w:sz w:val="20"/>
          <w:szCs w:val="20"/>
          <w:color w:val="auto"/>
        </w:rPr>
      </w:pPr>
      <w:r>
        <w:rPr>
          <w:rFonts w:ascii="Courier New" w:cs="Courier New" w:eastAsia="Courier New" w:hAnsi="Courier New"/>
          <w:sz w:val="15"/>
          <w:szCs w:val="15"/>
          <w:color w:val="auto"/>
        </w:rPr>
        <w:t>Due October 1, 2005</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Registration Rights Agreement</w:t>
      </w:r>
    </w:p>
    <w:p>
      <w:pPr>
        <w:ind w:left="22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October 2, 2000</w:t>
      </w:r>
    </w:p>
    <w:p>
      <w:pPr>
        <w:spacing w:after="0"/>
        <w:rPr>
          <w:sz w:val="20"/>
          <w:szCs w:val="20"/>
          <w:color w:val="auto"/>
        </w:rPr>
      </w:pPr>
      <w:r>
        <w:rPr>
          <w:rFonts w:ascii="Courier New" w:cs="Courier New" w:eastAsia="Courier New" w:hAnsi="Courier New"/>
          <w:sz w:val="15"/>
          <w:szCs w:val="15"/>
          <w:color w:val="auto"/>
        </w:rPr>
        <w:t>Goldman, Sachs &amp; Co.</w:t>
      </w:r>
    </w:p>
    <w:p>
      <w:pPr>
        <w:spacing w:after="0"/>
        <w:rPr>
          <w:sz w:val="20"/>
          <w:szCs w:val="20"/>
          <w:color w:val="auto"/>
        </w:rPr>
      </w:pPr>
      <w:r>
        <w:rPr>
          <w:rFonts w:ascii="Courier New" w:cs="Courier New" w:eastAsia="Courier New" w:hAnsi="Courier New"/>
          <w:sz w:val="15"/>
          <w:szCs w:val="15"/>
          <w:color w:val="auto"/>
        </w:rPr>
        <w:t>Salomon Smith Barney Inc.</w:t>
      </w:r>
    </w:p>
    <w:p>
      <w:pPr>
        <w:spacing w:after="0" w:line="238" w:lineRule="auto"/>
        <w:rPr>
          <w:sz w:val="20"/>
          <w:szCs w:val="20"/>
          <w:color w:val="auto"/>
        </w:rPr>
      </w:pPr>
      <w:r>
        <w:rPr>
          <w:rFonts w:ascii="Courier New" w:cs="Courier New" w:eastAsia="Courier New" w:hAnsi="Courier New"/>
          <w:sz w:val="15"/>
          <w:szCs w:val="15"/>
          <w:color w:val="auto"/>
        </w:rPr>
        <w:t>SG Cowen Securities Corporation</w:t>
      </w:r>
    </w:p>
    <w:p>
      <w:pPr>
        <w:spacing w:after="0"/>
        <w:rPr>
          <w:sz w:val="20"/>
          <w:szCs w:val="20"/>
          <w:color w:val="auto"/>
        </w:rPr>
      </w:pPr>
      <w:r>
        <w:rPr>
          <w:rFonts w:ascii="Courier New" w:cs="Courier New" w:eastAsia="Courier New" w:hAnsi="Courier New"/>
          <w:sz w:val="15"/>
          <w:szCs w:val="15"/>
          <w:color w:val="auto"/>
        </w:rPr>
        <w:t>c/o Goldman, Sachs &amp; Co.</w:t>
      </w:r>
    </w:p>
    <w:p>
      <w:pPr>
        <w:spacing w:after="0"/>
        <w:rPr>
          <w:sz w:val="20"/>
          <w:szCs w:val="20"/>
          <w:color w:val="auto"/>
        </w:rPr>
      </w:pPr>
      <w:r>
        <w:rPr>
          <w:rFonts w:ascii="Courier New" w:cs="Courier New" w:eastAsia="Courier New" w:hAnsi="Courier New"/>
          <w:sz w:val="15"/>
          <w:szCs w:val="15"/>
          <w:color w:val="auto"/>
        </w:rPr>
        <w:t>85 Broad Street</w:t>
      </w:r>
    </w:p>
    <w:p>
      <w:pPr>
        <w:spacing w:after="0" w:line="238" w:lineRule="auto"/>
        <w:rPr>
          <w:sz w:val="20"/>
          <w:szCs w:val="20"/>
          <w:color w:val="auto"/>
        </w:rPr>
      </w:pPr>
      <w:r>
        <w:rPr>
          <w:rFonts w:ascii="Courier New" w:cs="Courier New" w:eastAsia="Courier New" w:hAnsi="Courier New"/>
          <w:sz w:val="15"/>
          <w:szCs w:val="15"/>
          <w:color w:val="auto"/>
        </w:rPr>
        <w:t>New York, New York 10004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Analog Devices, Inc., a Massachusetts corporation (the "Company"), proposes to issue and sell to the Purchasers (as defined herein) upon the terms set forth in the Purchase Agreement (as defined herein) its 4.75% Convertible Subordinated Notes due October 1, 2005 (the "Securities"). As an inducement to the Purchasers to enter into the Purchase Agreement and in satisfaction of a condition to the obligations of the Purchasers thereunder, the Company agrees with the Purchasers for the benefit of the Holders (as defined herein) from time to time of the Registrable Securities (as defined herein) as follows:</w:t>
      </w:r>
    </w:p>
    <w:p>
      <w:pPr>
        <w:spacing w:after="0" w:line="161" w:lineRule="exact"/>
        <w:rPr>
          <w:sz w:val="20"/>
          <w:szCs w:val="20"/>
          <w:color w:val="auto"/>
        </w:rPr>
      </w:pPr>
    </w:p>
    <w:p>
      <w:pPr>
        <w:ind w:left="1220" w:hanging="348"/>
        <w:spacing w:after="0"/>
        <w:tabs>
          <w:tab w:leader="none" w:pos="12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259" w:firstLine="872"/>
        <w:spacing w:after="0" w:line="237" w:lineRule="auto"/>
        <w:tabs>
          <w:tab w:leader="none" w:pos="1234"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herein without definition shall have the meanings ascribed to them in the Purchase Agreement. As used in this Agreement, the following defined terms shall have the following meanings:</w:t>
      </w:r>
    </w:p>
    <w:p>
      <w:pPr>
        <w:spacing w:after="0" w:line="175" w:lineRule="exact"/>
        <w:rPr>
          <w:sz w:val="20"/>
          <w:szCs w:val="20"/>
          <w:color w:val="auto"/>
        </w:rPr>
      </w:pPr>
    </w:p>
    <w:p>
      <w:pPr>
        <w:ind w:right="3439" w:firstLine="881"/>
        <w:spacing w:after="0" w:line="235" w:lineRule="auto"/>
        <w:rPr>
          <w:sz w:val="20"/>
          <w:szCs w:val="20"/>
          <w:color w:val="auto"/>
        </w:rPr>
      </w:pPr>
      <w:r>
        <w:rPr>
          <w:rFonts w:ascii="Courier New" w:cs="Courier New" w:eastAsia="Courier New" w:hAnsi="Courier New"/>
          <w:sz w:val="15"/>
          <w:szCs w:val="15"/>
          <w:color w:val="auto"/>
        </w:rPr>
        <w:t>"Act" or "Securities Act" means the United States Securities Act of 1933, as amended.</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"Affiliate" of any specified person means any other person which,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pacing w:after="0" w:line="177" w:lineRule="exact"/>
        <w:rPr>
          <w:sz w:val="20"/>
          <w:szCs w:val="20"/>
          <w:color w:val="auto"/>
        </w:rPr>
      </w:pPr>
    </w:p>
    <w:p>
      <w:pPr>
        <w:ind w:right="3619" w:firstLine="881"/>
        <w:spacing w:after="0" w:line="235" w:lineRule="auto"/>
        <w:rPr>
          <w:sz w:val="20"/>
          <w:szCs w:val="20"/>
          <w:color w:val="auto"/>
        </w:rPr>
      </w:pPr>
      <w:r>
        <w:rPr>
          <w:rFonts w:ascii="Courier New" w:cs="Courier New" w:eastAsia="Courier New" w:hAnsi="Courier New"/>
          <w:sz w:val="15"/>
          <w:szCs w:val="15"/>
          <w:color w:val="auto"/>
        </w:rPr>
        <w:t>"Closing Date" means the First Time of Delivery as defined in the Purchase Agreement.</w:t>
      </w:r>
    </w:p>
    <w:p>
      <w:pPr>
        <w:spacing w:after="0" w:line="176"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"Commission" means the United States Securities and Exchange Commission, or any other federal agency at the time administering the Exchange Act or the Securities Act, whichever is the relevant statute for the particular purpose.</w:t>
      </w:r>
    </w:p>
    <w:p>
      <w:pPr>
        <w:sectPr>
          <w:pgSz w:w="11900" w:h="16838" w:orient="portrait"/>
          <w:cols w:equalWidth="0" w:num="1">
            <w:col w:w="10219"/>
          </w:cols>
          <w:pgMar w:left="240" w:top="475" w:right="1440" w:bottom="1440" w:gutter="0" w:footer="0" w:header="0"/>
        </w:sectPr>
      </w:pPr>
    </w:p>
    <w:bookmarkStart w:id="165" w:name="page166"/>
    <w:bookmarkEnd w:id="165"/>
    <w:p>
      <w:pPr>
        <w:jc w:val="right"/>
        <w:ind w:right="3179"/>
        <w:spacing w:after="0"/>
        <w:rPr>
          <w:sz w:val="20"/>
          <w:szCs w:val="20"/>
          <w:color w:val="auto"/>
        </w:rPr>
      </w:pPr>
      <w:r>
        <w:rPr>
          <w:rFonts w:ascii="Courier New" w:cs="Courier New" w:eastAsia="Courier New" w:hAnsi="Courier New"/>
          <w:sz w:val="15"/>
          <w:szCs w:val="15"/>
          <w:color w:val="auto"/>
        </w:rPr>
        <w:t>"Common Stock" means the Company's common stock, par value $0.1666 per</w:t>
      </w:r>
    </w:p>
    <w:p>
      <w:pPr>
        <w:spacing w:after="0"/>
        <w:rPr>
          <w:sz w:val="20"/>
          <w:szCs w:val="20"/>
          <w:color w:val="auto"/>
        </w:rPr>
      </w:pPr>
      <w:r>
        <w:rPr>
          <w:rFonts w:ascii="Courier New" w:cs="Courier New" w:eastAsia="Courier New" w:hAnsi="Courier New"/>
          <w:sz w:val="15"/>
          <w:szCs w:val="15"/>
          <w:color w:val="auto"/>
        </w:rPr>
        <w:t>share.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"DTC" means The Depository Trust Company.</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"Effective Failure" has the meaning assigned thereto in Section 7(b)</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"Effective Time" means the date on which the Commission declares the Shelf Registration Statement effective or on which the Shelf Registration Statement otherwise becomes effective.</w:t>
      </w:r>
    </w:p>
    <w:p>
      <w:pPr>
        <w:spacing w:after="0" w:line="175" w:lineRule="exact"/>
        <w:rPr>
          <w:sz w:val="20"/>
          <w:szCs w:val="20"/>
          <w:color w:val="auto"/>
        </w:rPr>
      </w:pPr>
    </w:p>
    <w:p>
      <w:pPr>
        <w:ind w:right="3539" w:firstLine="881"/>
        <w:spacing w:after="0" w:line="235" w:lineRule="auto"/>
        <w:rPr>
          <w:sz w:val="20"/>
          <w:szCs w:val="20"/>
          <w:color w:val="auto"/>
        </w:rPr>
      </w:pPr>
      <w:r>
        <w:rPr>
          <w:rFonts w:ascii="Courier New" w:cs="Courier New" w:eastAsia="Courier New" w:hAnsi="Courier New"/>
          <w:sz w:val="15"/>
          <w:szCs w:val="15"/>
          <w:color w:val="auto"/>
        </w:rPr>
        <w:t>"Effectiveness Period" has the meaning assigned thereto in Section 2(b)(i) hereof.</w:t>
      </w:r>
    </w:p>
    <w:p>
      <w:pPr>
        <w:spacing w:after="0" w:line="176" w:lineRule="exact"/>
        <w:rPr>
          <w:sz w:val="20"/>
          <w:szCs w:val="20"/>
          <w:color w:val="auto"/>
        </w:rPr>
      </w:pPr>
    </w:p>
    <w:p>
      <w:pPr>
        <w:ind w:right="3979" w:firstLine="881"/>
        <w:spacing w:after="0" w:line="235" w:lineRule="auto"/>
        <w:rPr>
          <w:sz w:val="20"/>
          <w:szCs w:val="20"/>
          <w:color w:val="auto"/>
        </w:rPr>
      </w:pPr>
      <w:r>
        <w:rPr>
          <w:rFonts w:ascii="Courier New" w:cs="Courier New" w:eastAsia="Courier New" w:hAnsi="Courier New"/>
          <w:sz w:val="15"/>
          <w:szCs w:val="15"/>
          <w:color w:val="auto"/>
        </w:rPr>
        <w:t>"Electing Holder" has the meaning assigned thereto in Section 3(a)(iii) hereof.</w:t>
      </w:r>
    </w:p>
    <w:p>
      <w:pPr>
        <w:spacing w:after="0" w:line="176" w:lineRule="exact"/>
        <w:rPr>
          <w:sz w:val="20"/>
          <w:szCs w:val="20"/>
          <w:color w:val="auto"/>
        </w:rPr>
      </w:pPr>
    </w:p>
    <w:p>
      <w:pPr>
        <w:ind w:right="3619" w:firstLine="881"/>
        <w:spacing w:after="0" w:line="235" w:lineRule="auto"/>
        <w:rPr>
          <w:sz w:val="20"/>
          <w:szCs w:val="20"/>
          <w:color w:val="auto"/>
        </w:rPr>
      </w:pPr>
      <w:r>
        <w:rPr>
          <w:rFonts w:ascii="Courier New" w:cs="Courier New" w:eastAsia="Courier New" w:hAnsi="Courier New"/>
          <w:sz w:val="15"/>
          <w:szCs w:val="15"/>
          <w:color w:val="auto"/>
        </w:rPr>
        <w:t>"Exchange Act" means the United States Securities Exchange Act of 1934, as amended.</w:t>
      </w:r>
    </w:p>
    <w:p>
      <w:pPr>
        <w:spacing w:after="0" w:line="176" w:lineRule="exact"/>
        <w:rPr>
          <w:sz w:val="20"/>
          <w:szCs w:val="20"/>
          <w:color w:val="auto"/>
        </w:rPr>
      </w:pPr>
    </w:p>
    <w:p>
      <w:pPr>
        <w:ind w:right="3539" w:firstLine="881"/>
        <w:spacing w:after="0" w:line="237" w:lineRule="auto"/>
        <w:rPr>
          <w:sz w:val="20"/>
          <w:szCs w:val="20"/>
          <w:color w:val="auto"/>
        </w:rPr>
      </w:pPr>
      <w:r>
        <w:rPr>
          <w:rFonts w:ascii="Courier New" w:cs="Courier New" w:eastAsia="Courier New" w:hAnsi="Courier New"/>
          <w:sz w:val="15"/>
          <w:szCs w:val="15"/>
          <w:color w:val="auto"/>
        </w:rPr>
        <w:t>"Holder" means, any person that is the record owner of Registrable Securities (and includes any person that has a beneficial interest in any Registrable Security in book-entry form).</w:t>
      </w:r>
    </w:p>
    <w:p>
      <w:pPr>
        <w:spacing w:after="0" w:line="175" w:lineRule="exact"/>
        <w:rPr>
          <w:sz w:val="20"/>
          <w:szCs w:val="20"/>
          <w:color w:val="auto"/>
        </w:rPr>
      </w:pPr>
    </w:p>
    <w:p>
      <w:pPr>
        <w:ind w:right="3619" w:firstLine="881"/>
        <w:spacing w:after="0" w:line="235" w:lineRule="auto"/>
        <w:rPr>
          <w:sz w:val="20"/>
          <w:szCs w:val="20"/>
          <w:color w:val="auto"/>
        </w:rPr>
      </w:pPr>
      <w:r>
        <w:rPr>
          <w:rFonts w:ascii="Courier New" w:cs="Courier New" w:eastAsia="Courier New" w:hAnsi="Courier New"/>
          <w:sz w:val="15"/>
          <w:szCs w:val="15"/>
          <w:color w:val="auto"/>
        </w:rPr>
        <w:t>"Indemnified Electing Holder" has the meaning assigned thereto in Section 5(a).</w:t>
      </w:r>
    </w:p>
    <w:p>
      <w:pPr>
        <w:spacing w:after="0" w:line="176"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"Indenture" means the Indenture, dated as of October 2, 2000, between the Company and State Street Bank and Trust Company, as amended and supplemented from time to time in accordance with its terms.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"Liquidated Damages" has the meaning assigned thereto in Section 7(a)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5"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"Managing Underwriters" means the investment banker or investment bankers and manager or managers that shall administer an underwritten offering, if any, conducted pursuant to Section 6 hereof.</w:t>
      </w:r>
    </w:p>
    <w:p>
      <w:pPr>
        <w:spacing w:after="0" w:line="175" w:lineRule="exact"/>
        <w:rPr>
          <w:sz w:val="20"/>
          <w:szCs w:val="20"/>
          <w:color w:val="auto"/>
        </w:rPr>
      </w:pPr>
    </w:p>
    <w:p>
      <w:pPr>
        <w:ind w:right="3179" w:firstLine="881"/>
        <w:spacing w:after="0" w:line="235" w:lineRule="auto"/>
        <w:rPr>
          <w:sz w:val="20"/>
          <w:szCs w:val="20"/>
          <w:color w:val="auto"/>
        </w:rPr>
      </w:pPr>
      <w:r>
        <w:rPr>
          <w:rFonts w:ascii="Courier New" w:cs="Courier New" w:eastAsia="Courier New" w:hAnsi="Courier New"/>
          <w:sz w:val="15"/>
          <w:szCs w:val="15"/>
          <w:color w:val="auto"/>
        </w:rPr>
        <w:t>"NASD Rules" means the Rules of the National Association of Securities Dealers, Inc., as amended from time to time.</w:t>
      </w:r>
    </w:p>
    <w:p>
      <w:pPr>
        <w:spacing w:after="0" w:line="176"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"Notice and Questionnaire" means a Notice of Registration Statement and Selling Securityholder Questionnaire substantially in the form of Exhibit A hereto.</w:t>
      </w:r>
    </w:p>
    <w:p>
      <w:pPr>
        <w:spacing w:after="0" w:line="175"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"person" means an individual, partnership, corporation, trust or unincorporated organization, or a government or agency or political subdivision thereof.</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"Prospectus" means the prospectus (including, without limitation, any preliminary prospectus, any final prospectus and any prospectus that discloses information previously omitted from a prospectus filed as part of an effective registration statement in reliance upon Rule 430A under the Act) included in the Shelf Registration Statement, as amended or supplemented by any prospectus supplement with respect to the terms of the offering of any portion of the Registrable Securities covered by the Shelf Registration Statement and by all other amendments and supplements to such prospectus, including all material incorporated by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166" w:name="page167"/>
    <w:bookmarkEnd w:id="166"/>
    <w:p>
      <w:pPr>
        <w:ind w:right="3359"/>
        <w:spacing w:after="0" w:line="237" w:lineRule="auto"/>
        <w:rPr>
          <w:sz w:val="20"/>
          <w:szCs w:val="20"/>
          <w:color w:val="auto"/>
        </w:rPr>
      </w:pPr>
      <w:r>
        <w:rPr>
          <w:rFonts w:ascii="Courier New" w:cs="Courier New" w:eastAsia="Courier New" w:hAnsi="Courier New"/>
          <w:sz w:val="15"/>
          <w:szCs w:val="15"/>
          <w:color w:val="auto"/>
        </w:rPr>
        <w:t>reference in such prospectus and all documents filed after the date of such prospectus by the Company under the Exchange Act and incorporated by reference therein.</w:t>
      </w:r>
    </w:p>
    <w:p>
      <w:pPr>
        <w:spacing w:after="0" w:line="175" w:lineRule="exact"/>
        <w:rPr>
          <w:sz w:val="20"/>
          <w:szCs w:val="20"/>
          <w:color w:val="auto"/>
        </w:rPr>
      </w:pPr>
    </w:p>
    <w:p>
      <w:pPr>
        <w:ind w:right="3699" w:firstLine="881"/>
        <w:spacing w:after="0" w:line="237" w:lineRule="auto"/>
        <w:rPr>
          <w:sz w:val="20"/>
          <w:szCs w:val="20"/>
          <w:color w:val="auto"/>
        </w:rPr>
      </w:pPr>
      <w:r>
        <w:rPr>
          <w:rFonts w:ascii="Courier New" w:cs="Courier New" w:eastAsia="Courier New" w:hAnsi="Courier New"/>
          <w:sz w:val="15"/>
          <w:szCs w:val="15"/>
          <w:color w:val="auto"/>
        </w:rPr>
        <w:t>"Purchase Agreement" means the purchase agreement, dated as of September 26, 2000, between the Purchasers and the Company relating to the Securities.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"Purchasers" means the Purchasers named in Schedule I to the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"Registration Default" has the meaning assigned thereto in Section</w:t>
      </w:r>
    </w:p>
    <w:p>
      <w:pPr>
        <w:spacing w:after="0"/>
        <w:rPr>
          <w:sz w:val="20"/>
          <w:szCs w:val="20"/>
          <w:color w:val="auto"/>
        </w:rPr>
      </w:pPr>
      <w:r>
        <w:rPr>
          <w:rFonts w:ascii="Courier New" w:cs="Courier New" w:eastAsia="Courier New" w:hAnsi="Courier New"/>
          <w:sz w:val="15"/>
          <w:szCs w:val="15"/>
          <w:color w:val="auto"/>
        </w:rPr>
        <w:t>7(a).</w:t>
      </w:r>
    </w:p>
    <w:p>
      <w:pPr>
        <w:spacing w:after="0" w:line="174"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"Registrable Securities" means all or any portion of the Securities issued from time to time under the Indenture in registered form and the shares of Common Stock issuable upon conversion of such Securities; provided, however, that a security ceases to be a Registrable Security when it is no longer a Restricted Security.</w:t>
      </w:r>
    </w:p>
    <w:p>
      <w:pPr>
        <w:spacing w:after="0" w:line="178"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"Restricted Security" means any Security or share of Common Stock issuable upon conversion thereof except any such Security or share of Common Stock which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Section 3.5 of the Indenture.</w:t>
      </w:r>
    </w:p>
    <w:p>
      <w:pPr>
        <w:spacing w:after="0" w:line="180" w:lineRule="exact"/>
        <w:rPr>
          <w:sz w:val="20"/>
          <w:szCs w:val="20"/>
          <w:color w:val="auto"/>
        </w:rPr>
      </w:pPr>
    </w:p>
    <w:p>
      <w:pPr>
        <w:jc w:val="both"/>
        <w:ind w:right="3359" w:firstLine="881"/>
        <w:spacing w:after="0" w:line="237" w:lineRule="auto"/>
        <w:rPr>
          <w:sz w:val="20"/>
          <w:szCs w:val="20"/>
          <w:color w:val="auto"/>
        </w:rPr>
      </w:pPr>
      <w:r>
        <w:rPr>
          <w:rFonts w:ascii="Courier New" w:cs="Courier New" w:eastAsia="Courier New" w:hAnsi="Courier New"/>
          <w:sz w:val="15"/>
          <w:szCs w:val="15"/>
          <w:color w:val="auto"/>
        </w:rPr>
        <w:t>"Rules and Regulations" means the published rules and regulations of the Commission promulgated under the Securities Act or the Exchange Act, as in effect at any relevant time.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"Shelf Registration" means a registration effected pursuant to Section</w:t>
      </w:r>
    </w:p>
    <w:p>
      <w:pPr>
        <w:spacing w:after="0"/>
        <w:rPr>
          <w:sz w:val="20"/>
          <w:szCs w:val="20"/>
          <w:color w:val="auto"/>
        </w:rPr>
      </w:pPr>
      <w:r>
        <w:rPr>
          <w:rFonts w:ascii="Courier New" w:cs="Courier New" w:eastAsia="Courier New" w:hAnsi="Courier New"/>
          <w:sz w:val="15"/>
          <w:szCs w:val="15"/>
          <w:color w:val="auto"/>
        </w:rPr>
        <w:t>2 hereof.</w:t>
      </w:r>
    </w:p>
    <w:p>
      <w:pPr>
        <w:spacing w:after="0" w:line="17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"Shelf Registration Statement" means a "shelf" registration statement filed under the Securities Act providing for the registration of, and the sale on a continuous or delayed basis by the Holders of, all of the Registrable Securities pursuant to Rule 415 under the Securities Act and/or any similar rule that may be adopted by the Commission, filed by the Company pursuant to the provisions of Section 2 of this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179"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"Trust Indenture Act" means the Trust Indenture Act of 1939, or any successor thereto, and the rules, regulations and forms promulgated thereunder, as the same shall be amended from time to time.</w:t>
      </w:r>
    </w:p>
    <w:p>
      <w:pPr>
        <w:spacing w:after="0" w:line="175" w:lineRule="exact"/>
        <w:rPr>
          <w:sz w:val="20"/>
          <w:szCs w:val="20"/>
          <w:color w:val="auto"/>
        </w:rPr>
      </w:pPr>
    </w:p>
    <w:p>
      <w:pPr>
        <w:ind w:right="3699" w:firstLine="881"/>
        <w:spacing w:after="0" w:line="265" w:lineRule="auto"/>
        <w:rPr>
          <w:sz w:val="20"/>
          <w:szCs w:val="20"/>
          <w:color w:val="auto"/>
        </w:rPr>
      </w:pPr>
      <w:r>
        <w:rPr>
          <w:rFonts w:ascii="Courier New" w:cs="Courier New" w:eastAsia="Courier New" w:hAnsi="Courier New"/>
          <w:sz w:val="14"/>
          <w:szCs w:val="14"/>
          <w:color w:val="auto"/>
        </w:rPr>
        <w:t>"underwriter" means any underwriter of Registrable Securities in connection with an offering thereof under a Shelf Registration Statement.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67" w:name="page168"/>
    <w:bookmarkEnd w:id="167"/>
    <w:p>
      <w:pPr>
        <w:ind w:left="-872" w:right="3179" w:firstLine="872"/>
        <w:spacing w:after="0" w:line="238" w:lineRule="auto"/>
        <w:tabs>
          <w:tab w:leader="none" w:pos="36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Wherever there is a reference in this Agreement to a percentage of the "principal amount" of Registrable Securities or to a percentage of Registrable Securities, any Common Stock constituting Registrable Securities shall be treated as representing the principal amount of Securities which was surrendered for conversion or exchange in order to receive such number of shares of Common Stock.</w:t>
      </w:r>
    </w:p>
    <w:p>
      <w:pPr>
        <w:spacing w:after="0" w:line="17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Shelf Registration.</w:t>
      </w:r>
    </w:p>
    <w:p>
      <w:pPr>
        <w:spacing w:after="0" w:line="175" w:lineRule="exact"/>
        <w:rPr>
          <w:sz w:val="20"/>
          <w:szCs w:val="20"/>
          <w:color w:val="auto"/>
        </w:rPr>
      </w:pPr>
    </w:p>
    <w:p>
      <w:pPr>
        <w:ind w:left="-872" w:right="3179" w:firstLine="872"/>
        <w:spacing w:after="0" w:line="256" w:lineRule="auto"/>
        <w:tabs>
          <w:tab w:leader="none" w:pos="362"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 later than 90 calendar days following the Closing Date, file with the Commission a Shelf Registration Statement relating to the offer and sale of the Registrable Securities by the Holders from time to time in accordance with the methods of distribution elected by such Holders and set forth in such Shelf Registration Statement and, thereafter, shall use its reasonable efforts to cause such Shelf Registration Statement to be declared effective under the Act no later than 180 calendar days following the Closing Date; provided, however, that the Company may, upon written notice to all Holders, postpone filing the Shelf Registration Statement or having the Shelf Registration Statement declared effective, in each case, for a reasonable period not to exceed 90 days if the Company possesses material non-public information, the disclosure of which would, in the Company's reasonable judgment, have a material adverse effect on the Company and its subsidiaries taken as a whole or if any financial statements or other financial information required to be included in the Shelf Registration Statement are not yet available and the Company is not at the time otherwise required to file such financial statements or financial information under the Exchange Act; provided, further, however, that no Holder shall be entitled to be named as a selling securityholder in the Shelf Registration Statement or to use the Prospectus forming a part thereof for resales of Registrable Securities unless such Holder is an Electing Holder.</w:t>
      </w:r>
    </w:p>
    <w:p>
      <w:pPr>
        <w:spacing w:after="0" w:line="170"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efforts:</w:t>
      </w:r>
    </w:p>
    <w:p>
      <w:pPr>
        <w:spacing w:after="0" w:line="174" w:lineRule="exact"/>
        <w:rPr>
          <w:rFonts w:ascii="Courier New" w:cs="Courier New" w:eastAsia="Courier New" w:hAnsi="Courier New"/>
          <w:sz w:val="15"/>
          <w:szCs w:val="15"/>
          <w:color w:val="auto"/>
        </w:rPr>
      </w:pPr>
    </w:p>
    <w:p>
      <w:pPr>
        <w:ind w:left="-432" w:right="3179" w:firstLine="784"/>
        <w:spacing w:after="0" w:line="238" w:lineRule="auto"/>
        <w:tabs>
          <w:tab w:leader="none" w:pos="714"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keep the Shelf Registration Statement continuously effective in order to permit the Prospectus forming part thereof to be usable by Holders until the earliest of (1) the sale of all Registrable Securities registered under the Shelf Registration Statement; (2) the expiration of the period referred to in Rule 144(k) of the Act with respect to all Registrable Securities held by Persons that are not Affiliates of the Company; and (3) two years from the date (the "Effective Date") such Shelf Registration Statement is declared effective (such period being referred to herein as the "Effectiveness Period");</w:t>
      </w:r>
    </w:p>
    <w:p>
      <w:pPr>
        <w:spacing w:after="0" w:line="178" w:lineRule="exact"/>
        <w:rPr>
          <w:rFonts w:ascii="Courier New" w:cs="Courier New" w:eastAsia="Courier New" w:hAnsi="Courier New"/>
          <w:sz w:val="15"/>
          <w:szCs w:val="15"/>
          <w:color w:val="auto"/>
        </w:rPr>
      </w:pPr>
    </w:p>
    <w:p>
      <w:pPr>
        <w:ind w:left="-432" w:right="3179" w:firstLine="784"/>
        <w:spacing w:after="0" w:line="238" w:lineRule="auto"/>
        <w:tabs>
          <w:tab w:leader="none" w:pos="802"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of the Shelf Registration Statement, promptly upon the request of any Holder of Registrable Securities that is not then an Electing Holder, to take any action reasonably necessary to enable such Holder to use the Prospectus forming a part thereof for resales of Registrable Securities, including, without limitation, any action reasonably necessary to identify such Holder as a selling securityholder in the Shelf Registration Statement; provided, however, that nothing in this subparagraph shall relieve such Holder of the obligation to return a completed and signed Notice and Questionnaire to the Company in accordance with Section 3(a)(ii) hereof; and</w:t>
      </w:r>
    </w:p>
    <w:p>
      <w:pPr>
        <w:spacing w:after="0" w:line="174" w:lineRule="exact"/>
        <w:rPr>
          <w:sz w:val="20"/>
          <w:szCs w:val="20"/>
          <w:color w:val="auto"/>
        </w:rPr>
      </w:pPr>
    </w:p>
    <w:p>
      <w:pPr>
        <w:ind w:left="254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47"/>
          </w:cols>
          <w:pgMar w:left="1112" w:top="628" w:right="1440" w:bottom="1440" w:gutter="0" w:footer="0" w:header="0"/>
        </w:sectPr>
      </w:pPr>
    </w:p>
    <w:bookmarkStart w:id="168" w:name="page169"/>
    <w:bookmarkEnd w:id="168"/>
    <w:p>
      <w:pPr>
        <w:ind w:left="440" w:right="3259" w:firstLine="432"/>
        <w:spacing w:after="0" w:line="238" w:lineRule="auto"/>
        <w:tabs>
          <w:tab w:leader="none" w:pos="149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Securities, pursuant to Article XII of the Indenture, are convertible into securities other than shares of Common Stock, the Company shall, or shall cause any successor under the Indenture to, cause such securities to be included in the Shelf Registration Statement no later than the date on which the Securities may then be convertible into such securities.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shall be deemed not to have used its reasonable efforts to keep the Shelf Registration Statement effective during the requisite period if the Company voluntarily takes any action that would result in Electing Holders not being able to offer and sell any of such Registrable Securities during that period, unless (i) such action is required by applicable law or regulation and the Company thereafter promptly complies with the requirements of paragraph 3(j) below or (ii) the Company determines based upon the advice of counsel that it is advisable to disclose in the Shelf Registration Statement a financing, acquisition or other corporate transaction or other material event or circumstance affecting the Company or its securities, and the Board of Directors of the Company shall have determined in good faith that such disclosure is not in the best interests of the Company and its stockholders.</w:t>
      </w:r>
    </w:p>
    <w:p>
      <w:pPr>
        <w:spacing w:after="0" w:line="182" w:lineRule="exact"/>
        <w:rPr>
          <w:sz w:val="20"/>
          <w:szCs w:val="20"/>
          <w:color w:val="auto"/>
        </w:rPr>
      </w:pPr>
    </w:p>
    <w:p>
      <w:pPr>
        <w:ind w:right="4239" w:firstLine="872"/>
        <w:spacing w:after="0" w:line="265" w:lineRule="auto"/>
        <w:tabs>
          <w:tab w:leader="none" w:pos="123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Procedures. In connection with the Shelf Registration Statement, the following provisions shall apply:</w:t>
      </w:r>
    </w:p>
    <w:p>
      <w:pPr>
        <w:spacing w:after="0" w:line="158" w:lineRule="exact"/>
        <w:rPr>
          <w:sz w:val="20"/>
          <w:szCs w:val="20"/>
          <w:color w:val="auto"/>
        </w:rPr>
      </w:pPr>
    </w:p>
    <w:p>
      <w:pPr>
        <w:ind w:right="3179" w:firstLine="872"/>
        <w:spacing w:after="0" w:line="238" w:lineRule="auto"/>
        <w:tabs>
          <w:tab w:leader="none" w:pos="1234"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 less than 30 calendar days prior to the time at which the Company in good faith intends to cause the Shelf Registration Statement to be declared effective, the Company shall mail the Notice and Questionnaire and a copy of this Agreement to the Holders of Registrable Securities. No Holder shall be entitled to be named as a selling securityholder in the Shelf Registration Statement as of the Effective Time, and no Holder shall be entitled to use the Prospectus forming a part thereof for resales of Registrable Securities at any time, unless such Holder has returned a completed and signed Notice and Questionnaire to the Company by the deadline for response set forth therein; provided, however, Holders of Registrable Securities shall have at least 28 calendar days from the date on which the Notice and Questionnaire is first mailed to such Holders to return a completed and signed Notice and Questionnaire to the Company.</w:t>
      </w:r>
    </w:p>
    <w:p>
      <w:pPr>
        <w:spacing w:after="0" w:line="182" w:lineRule="exact"/>
        <w:rPr>
          <w:rFonts w:ascii="Courier New" w:cs="Courier New" w:eastAsia="Courier New" w:hAnsi="Courier New"/>
          <w:sz w:val="15"/>
          <w:szCs w:val="15"/>
          <w:color w:val="auto"/>
        </w:rPr>
      </w:pPr>
    </w:p>
    <w:p>
      <w:pPr>
        <w:ind w:left="440" w:right="3179" w:firstLine="873"/>
        <w:spacing w:after="0" w:line="238" w:lineRule="auto"/>
        <w:tabs>
          <w:tab w:leader="none" w:pos="1762"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of the Shelf Registration Statement, the Company shall, upon the request of any Holder of Registrable Securities that is not then an Electing Holder, promptly send a Notice and Questionnaire to such Holder. The Company shall not be required to take any action to name such Holder as a selling securityholder in the Shelf Registration Statement or to enable such Holder to use the Prospectus forming a part thereof for resales of Registrable Securities until such Holder has returned a completed and signed Notice and Questionnaire to the Company. Notwithstanding anything to the contrary in this Agreement, commencing six months after the Effective Date of the Shelf Registration Statement, the Company shall not be required to prepare and file amendments to the Shelf Registration Statement or supplements to the Prospectus that are necessary to add Electing Holders and/or Registrable Securities to the Shelf Registration Statement more frequently than once within any three-month period, the timing of such filings to be within the reasonable discretion of the Company, except that this limitation shall not apply to the Purchasers</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69" w:name="page170"/>
    <w:bookmarkEnd w:id="169"/>
    <w:p>
      <w:pPr>
        <w:ind w:right="3359"/>
        <w:spacing w:after="0" w:line="238" w:lineRule="auto"/>
        <w:rPr>
          <w:sz w:val="20"/>
          <w:szCs w:val="20"/>
          <w:color w:val="auto"/>
        </w:rPr>
      </w:pPr>
      <w:r>
        <w:rPr>
          <w:rFonts w:ascii="Courier New" w:cs="Courier New" w:eastAsia="Courier New" w:hAnsi="Courier New"/>
          <w:sz w:val="15"/>
          <w:szCs w:val="15"/>
          <w:color w:val="auto"/>
        </w:rPr>
        <w:t>and except that if Goldman, Sachs &amp; Co. advises the Company that this limitation would materially impair the liquidity of the Registrable Securities for any Electing Holder or group of Electing Holders, then the Company and Goldman, Sachs &amp; Co. shall jointly agree in good faith on a more frequent schedule for these filings taking into account the then relevant circumstances.</w:t>
      </w:r>
    </w:p>
    <w:p>
      <w:pPr>
        <w:spacing w:after="0" w:line="176" w:lineRule="exact"/>
        <w:rPr>
          <w:sz w:val="20"/>
          <w:szCs w:val="20"/>
          <w:color w:val="auto"/>
        </w:rPr>
      </w:pPr>
    </w:p>
    <w:p>
      <w:pPr>
        <w:ind w:right="3179" w:firstLine="873"/>
        <w:spacing w:after="0" w:line="237" w:lineRule="auto"/>
        <w:tabs>
          <w:tab w:leader="none" w:pos="1498"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"Electing Holder" shall mean any Holder of Registrable Securities that has returned a completed and signed Notice and Questionnaire to the Company in accordance with Section 3(a)(i) or 3(a)(ii) hereof.</w:t>
      </w:r>
    </w:p>
    <w:p>
      <w:pPr>
        <w:spacing w:after="0" w:line="176" w:lineRule="exact"/>
        <w:rPr>
          <w:rFonts w:ascii="Courier New" w:cs="Courier New" w:eastAsia="Courier New" w:hAnsi="Courier New"/>
          <w:sz w:val="15"/>
          <w:szCs w:val="15"/>
          <w:color w:val="auto"/>
        </w:rPr>
      </w:pPr>
    </w:p>
    <w:p>
      <w:pPr>
        <w:ind w:left="-440" w:right="3259" w:firstLine="872"/>
        <w:spacing w:after="0" w:line="238" w:lineRule="auto"/>
        <w:tabs>
          <w:tab w:leader="none" w:pos="79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each Electing Holder, prior to the Effective Time, a copy of the Shelf Registration Statement initially filed with the Commission, and shall furnish to such Holders, prior to the filing thereof with the Commission, copies of each amendment thereto and each amendment or supplement, if any, to the Prospectus included therein, and shall use its reasonable efforts to reflect in each such document, at the Effective Time or when so filed with the Commission, as the case may be, such comments as such Holders and their respective counsel reasonably may propose.</w:t>
      </w:r>
    </w:p>
    <w:p>
      <w:pPr>
        <w:spacing w:after="0" w:line="177" w:lineRule="exact"/>
        <w:rPr>
          <w:rFonts w:ascii="Courier New" w:cs="Courier New" w:eastAsia="Courier New" w:hAnsi="Courier New"/>
          <w:sz w:val="15"/>
          <w:szCs w:val="15"/>
          <w:color w:val="auto"/>
        </w:rPr>
      </w:pPr>
    </w:p>
    <w:p>
      <w:pPr>
        <w:ind w:left="-440" w:right="3179" w:firstLine="872"/>
        <w:spacing w:after="0" w:line="239" w:lineRule="auto"/>
        <w:tabs>
          <w:tab w:leader="none" w:pos="79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take such action as may be necessary so that (i) each of the Shelf Registration Statement and any amendment thereto and the Prospectus forming part thereof and any amendment or supplement thereto (and each report or other document incorporated therein by reference in each case) complies in all material respects with the Securities Act and the Exchange Act and the respective rules and regulations thereunder, (ii) each of the Shelf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part of the Shelf Registration Statement, and any amendment or supplement to such Prospectus, does not at any time during the Effectiveness Period include an untrue statement of a material fact or omit to state a material fact necessary in order to make the statements therein, in the light of the circumstances under which they were made, not misleading; provided, however, the Company is not required to prepare an amendment or supplement to the Prospectus forming part of the Shelf Registration Statement pursuant to this Section 3(c)(iii) during any period from time to time during which the use of the Prospectus may be suspended by the Company for the reasons set forth in Section 2(b) or Section 3(d)(v), after giving written notice of such suspension to the Holders in accordance with Section 3(d)(v).</w:t>
      </w:r>
    </w:p>
    <w:p>
      <w:pPr>
        <w:spacing w:after="0" w:line="175" w:lineRule="exact"/>
        <w:rPr>
          <w:rFonts w:ascii="Courier New" w:cs="Courier New" w:eastAsia="Courier New" w:hAnsi="Courier New"/>
          <w:sz w:val="15"/>
          <w:szCs w:val="15"/>
          <w:color w:val="auto"/>
        </w:rPr>
      </w:pPr>
    </w:p>
    <w:p>
      <w:pPr>
        <w:ind w:left="-440" w:right="3259" w:firstLine="872"/>
        <w:spacing w:after="0" w:line="235" w:lineRule="auto"/>
        <w:tabs>
          <w:tab w:leader="none" w:pos="79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each Electing Holder, and shall confirm such advice in writing if so requested by any Holder:</w:t>
      </w:r>
    </w:p>
    <w:p>
      <w:pPr>
        <w:spacing w:after="0" w:line="175" w:lineRule="exact"/>
        <w:rPr>
          <w:rFonts w:ascii="Courier New" w:cs="Courier New" w:eastAsia="Courier New" w:hAnsi="Courier New"/>
          <w:sz w:val="15"/>
          <w:szCs w:val="15"/>
          <w:color w:val="auto"/>
        </w:rPr>
      </w:pPr>
    </w:p>
    <w:p>
      <w:pPr>
        <w:ind w:right="3179" w:firstLine="873"/>
        <w:spacing w:after="0" w:line="238" w:lineRule="auto"/>
        <w:tabs>
          <w:tab w:leader="none" w:pos="1234"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Shelf Registration Statement and any amendment thereto has been filed with the Commission and when a Shelf Registration Statement or any post-effective amendment thereto has become effective, in each case making a public announcement thereof by release made to Reuters Economic Services, Bloomberg Business News or such other newswire service acceptable to the Company;</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628" w:right="1440" w:bottom="1440" w:gutter="0" w:footer="0" w:header="0"/>
        </w:sectPr>
      </w:pPr>
    </w:p>
    <w:bookmarkStart w:id="170" w:name="page171"/>
    <w:bookmarkEnd w:id="170"/>
    <w:p>
      <w:pPr>
        <w:ind w:left="-432" w:right="3259" w:firstLine="873"/>
        <w:spacing w:after="0" w:line="237" w:lineRule="auto"/>
        <w:tabs>
          <w:tab w:leader="none" w:pos="89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request by the Commission for amendments or supplements to the Shelf Registration Statement or the Prospectus included therein or for additional information.</w:t>
      </w:r>
    </w:p>
    <w:p>
      <w:pPr>
        <w:spacing w:after="0" w:line="174" w:lineRule="exact"/>
        <w:rPr>
          <w:rFonts w:ascii="Courier New" w:cs="Courier New" w:eastAsia="Courier New" w:hAnsi="Courier New"/>
          <w:sz w:val="15"/>
          <w:szCs w:val="15"/>
          <w:color w:val="auto"/>
        </w:rPr>
      </w:pPr>
    </w:p>
    <w:p>
      <w:pPr>
        <w:ind w:left="-432" w:right="3539" w:firstLine="873"/>
        <w:spacing w:after="0" w:line="237" w:lineRule="auto"/>
        <w:tabs>
          <w:tab w:leader="none" w:pos="1067"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issuance by the Commission of any stop order suspending the effectiveness of the Shelf Registration Statement or the initiation of any proceedings for such purpose;</w:t>
      </w:r>
    </w:p>
    <w:p>
      <w:pPr>
        <w:spacing w:after="0" w:line="174" w:lineRule="exact"/>
        <w:rPr>
          <w:rFonts w:ascii="Courier New" w:cs="Courier New" w:eastAsia="Courier New" w:hAnsi="Courier New"/>
          <w:sz w:val="15"/>
          <w:szCs w:val="15"/>
          <w:color w:val="auto"/>
        </w:rPr>
      </w:pPr>
    </w:p>
    <w:p>
      <w:pPr>
        <w:ind w:left="-432" w:right="3359" w:firstLine="873"/>
        <w:spacing w:after="0" w:line="237" w:lineRule="auto"/>
        <w:tabs>
          <w:tab w:leader="none" w:pos="89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by the Company of any notification with respect to the suspension of the qualification of the securities included in the Shelf Registration Statement for sale in any jurisdiction or the initiation of any proceeding for such purpose; and</w:t>
      </w:r>
    </w:p>
    <w:p>
      <w:pPr>
        <w:spacing w:after="0" w:line="176" w:lineRule="exact"/>
        <w:rPr>
          <w:rFonts w:ascii="Courier New" w:cs="Courier New" w:eastAsia="Courier New" w:hAnsi="Courier New"/>
          <w:sz w:val="15"/>
          <w:szCs w:val="15"/>
          <w:color w:val="auto"/>
        </w:rPr>
      </w:pPr>
    </w:p>
    <w:p>
      <w:pPr>
        <w:ind w:left="-432" w:right="3179" w:firstLine="873"/>
        <w:spacing w:after="0" w:line="257" w:lineRule="auto"/>
        <w:tabs>
          <w:tab w:leader="none" w:pos="802"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happening of any event or the existence of any state of facts that requires the making of any changes in the Shelf Registration Statement or the Prospectus included therein so that, as of such date, such Shelf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such Electing Holders to suspend the use of the Prospectus until the requisite changes have been made; provided that the Company shall not be permitted to suspend the use of the Prospectus for more than an aggregate of 45 days in any 90-day period or 90 days in any 12-month period unless the Company complies with its obligations to pay Liquidated Damages as set forth in Section 7 hereof).</w:t>
      </w:r>
    </w:p>
    <w:p>
      <w:pPr>
        <w:spacing w:after="0" w:line="164" w:lineRule="exact"/>
        <w:rPr>
          <w:rFonts w:ascii="Courier New" w:cs="Courier New" w:eastAsia="Courier New" w:hAnsi="Courier New"/>
          <w:sz w:val="14"/>
          <w:szCs w:val="14"/>
          <w:color w:val="auto"/>
        </w:rPr>
      </w:pPr>
    </w:p>
    <w:p>
      <w:pPr>
        <w:ind w:left="-872" w:right="3179" w:firstLine="872"/>
        <w:spacing w:after="0" w:line="260" w:lineRule="auto"/>
        <w:tabs>
          <w:tab w:leader="none" w:pos="36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reasonable best efforts to prevent the issuance, and if issued to obtain the withdrawal, of any order suspending the effectiveness of the Shelf Registration Statement at the earliest possible time.</w:t>
      </w:r>
    </w:p>
    <w:p>
      <w:pPr>
        <w:spacing w:after="0" w:line="162" w:lineRule="exact"/>
        <w:rPr>
          <w:rFonts w:ascii="Courier New" w:cs="Courier New" w:eastAsia="Courier New" w:hAnsi="Courier New"/>
          <w:sz w:val="14"/>
          <w:szCs w:val="14"/>
          <w:color w:val="auto"/>
        </w:rPr>
      </w:pPr>
    </w:p>
    <w:p>
      <w:pPr>
        <w:ind w:left="-872" w:right="3179" w:firstLine="872"/>
        <w:spacing w:after="0" w:line="238" w:lineRule="auto"/>
        <w:tabs>
          <w:tab w:leader="none" w:pos="36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each Electing Holder, without charge, at least one copy of the Shelf Registration Statement and all post-effective amendments thereto, including financial statements and schedules, and, if such Electing Holder so requests in writing, all reports, other documents and exhibits that are filed with or incorporated by reference in the Shelf Registration Statement.</w:t>
      </w:r>
    </w:p>
    <w:p>
      <w:pPr>
        <w:spacing w:after="0" w:line="175" w:lineRule="exact"/>
        <w:rPr>
          <w:rFonts w:ascii="Courier New" w:cs="Courier New" w:eastAsia="Courier New" w:hAnsi="Courier New"/>
          <w:sz w:val="15"/>
          <w:szCs w:val="15"/>
          <w:color w:val="auto"/>
        </w:rPr>
      </w:pPr>
    </w:p>
    <w:p>
      <w:pPr>
        <w:ind w:left="-872" w:right="3259" w:firstLine="872"/>
        <w:spacing w:after="0" w:line="238" w:lineRule="auto"/>
        <w:tabs>
          <w:tab w:leader="none" w:pos="36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during the Effectiveness Period, deliver to each Electing Holder, without charge, as many copies of the Prospectus (including each preliminary Prospectus) included in the Shelf Registration Statement and any amendment or supplement thereto as such Electing Holder may reasonably request; and the Company consents (except during the continuance of any event described in Section 3(d)(v) above) to the use of the Prospectus and any amendment or supplement thereto by each of the Electing Holders in connection with the offering and sale of the Registrable Securities covered by the Prospectus and any amendment or supplement thereto during the Effectiveness Period.</w:t>
      </w:r>
    </w:p>
    <w:p>
      <w:pPr>
        <w:spacing w:after="0" w:line="179" w:lineRule="exact"/>
        <w:rPr>
          <w:rFonts w:ascii="Courier New" w:cs="Courier New" w:eastAsia="Courier New" w:hAnsi="Courier New"/>
          <w:sz w:val="15"/>
          <w:szCs w:val="15"/>
          <w:color w:val="auto"/>
        </w:rPr>
      </w:pPr>
    </w:p>
    <w:p>
      <w:pPr>
        <w:ind w:left="-872" w:right="3439" w:firstLine="872"/>
        <w:spacing w:after="0" w:line="237" w:lineRule="auto"/>
        <w:tabs>
          <w:tab w:leader="none" w:pos="36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offering of Registrable Securities pursuant to the Shelf Registration Statement, the Company shall (i) register or qualify or cooperate with the Electing Holders and</w:t>
      </w:r>
    </w:p>
    <w:p>
      <w:pPr>
        <w:ind w:left="254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47"/>
          </w:cols>
          <w:pgMar w:left="1112" w:top="628" w:right="1440" w:bottom="1440" w:gutter="0" w:footer="0" w:header="0"/>
        </w:sectPr>
      </w:pPr>
    </w:p>
    <w:bookmarkStart w:id="171" w:name="page172"/>
    <w:bookmarkEnd w:id="171"/>
    <w:p>
      <w:pPr>
        <w:ind w:right="3179"/>
        <w:spacing w:after="0" w:line="238" w:lineRule="auto"/>
        <w:rPr>
          <w:sz w:val="20"/>
          <w:szCs w:val="20"/>
          <w:color w:val="auto"/>
        </w:rPr>
      </w:pPr>
      <w:r>
        <w:rPr>
          <w:rFonts w:ascii="Courier New" w:cs="Courier New" w:eastAsia="Courier New" w:hAnsi="Courier New"/>
          <w:sz w:val="15"/>
          <w:szCs w:val="15"/>
          <w:color w:val="auto"/>
        </w:rPr>
        <w:t>their respective counsel in connection with the registration or qualification of such Registrable Securities for offer and sale under the securities or "blue sky" laws of such jurisdictions within the United States as any Electing Holder may reasonably request, (ii) keep such registrations or qualifications in effect and comply with such laws so as to permit the continuance of offers and sales in such jurisdictions for so long as may be necessary to enable any Electing Holder or underwriter, if any, to complete its distribution of Registrable Securities pursuant to the Shelf Registration Statement, and (iii) take any and all other actions necessary or advisable to enable the disposition in such jurisdictions of such Registrable Securities; provided, however, that in no event shall the Company be obligated to (A) qualify as a foreign corporation or as a dealer in securities in any jurisdiction where it would not otherwise be required to so qualify but for this Section 3(h), (B) file any general consent to service of process in any jurisdiction where it is not as of the date so subject or (C) subject itself to taxation in any jurisdiction where it is not as of the date hereof so subject.</w:t>
      </w:r>
    </w:p>
    <w:p>
      <w:pPr>
        <w:spacing w:after="0" w:line="186" w:lineRule="exact"/>
        <w:rPr>
          <w:sz w:val="20"/>
          <w:szCs w:val="20"/>
          <w:color w:val="auto"/>
        </w:rPr>
      </w:pPr>
    </w:p>
    <w:p>
      <w:pPr>
        <w:ind w:right="3179" w:firstLine="872"/>
        <w:spacing w:after="0" w:line="238" w:lineRule="auto"/>
        <w:tabs>
          <w:tab w:leader="none" w:pos="123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any Registrable Securities shall be in book-entry only form, the Company shall cooperate with the Electing Holders to facilitate the timely preparation and delivery of certificates representing Registrable Securities to be sold pursuant to the Shelf Registration Statement, which certificates, if so required by any securities exchange upon which any Registrable Securities are listed, shall be penned, lithographed or engraved, or produced by any combination of such methods, on steel engraved borders, and which certificates shall be free of any restrictive legends and in such permitted denominations and registered in such names as Electing Holders may request in connection with the sale of Registrable Securities pursuant to the Shelf Registration Statement.</w:t>
      </w:r>
    </w:p>
    <w:p>
      <w:pPr>
        <w:spacing w:after="0" w:line="180" w:lineRule="exact"/>
        <w:rPr>
          <w:rFonts w:ascii="Courier New" w:cs="Courier New" w:eastAsia="Courier New" w:hAnsi="Courier New"/>
          <w:sz w:val="15"/>
          <w:szCs w:val="15"/>
          <w:color w:val="auto"/>
        </w:rPr>
      </w:pPr>
    </w:p>
    <w:p>
      <w:pPr>
        <w:ind w:right="3179" w:firstLine="872"/>
        <w:spacing w:after="0" w:line="257" w:lineRule="auto"/>
        <w:tabs>
          <w:tab w:leader="none" w:pos="1234"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any fact or event contemplated by paragraph 3(d)(v) above, the Company shall promptly prepare a post-effective amendment to any Shelf Registration Statement or an amendment or supplement to the related Prospectus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provided, however, if the Company determines based upon the advice of counsel that it is advisable to disclose in the Shelf Registration Statement a financing, acquisition or other corporate transaction or other material event affecting the Company or its securities, and the Board of Directors of the Company shall have determined in good faith that such disclosure would not be in the best interests of the Company and its stockholders, the Company shall not be required to prepare and file such amendment, supplement or document for such period as the Board of Directors of the Company shall have determined in good faith is in the best interests of the Company. If the Company notifies the Electing Holders of the occurrence of any event contemplated by paragraph 3(d)(v) above, the Electing Holder shall suspend the use of the Prospectus until the requisite changes to the Prospectus have been made.</w:t>
      </w:r>
    </w:p>
    <w:p>
      <w:pPr>
        <w:spacing w:after="0" w:line="332" w:lineRule="exact"/>
        <w:rPr>
          <w:rFonts w:ascii="Courier New" w:cs="Courier New" w:eastAsia="Courier New" w:hAnsi="Courier New"/>
          <w:sz w:val="14"/>
          <w:szCs w:val="14"/>
          <w:color w:val="auto"/>
        </w:rPr>
      </w:pPr>
    </w:p>
    <w:p>
      <w:pPr>
        <w:ind w:right="3799" w:firstLine="872"/>
        <w:spacing w:after="0" w:line="237" w:lineRule="auto"/>
        <w:tabs>
          <w:tab w:leader="none" w:pos="123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the Effective Time of the Shelf Registration Statement, the Company shall provide a CUSIP number for the Registrable Securities that are debt securities.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172" w:name="page173"/>
    <w:bookmarkEnd w:id="172"/>
    <w:p>
      <w:pPr>
        <w:ind w:left="-872" w:right="3179" w:firstLine="872"/>
        <w:spacing w:after="0" w:line="257" w:lineRule="auto"/>
        <w:tabs>
          <w:tab w:leader="none" w:pos="36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best efforts to comply with all applicable Rules and Regulations, and to make generally available to its securityholders as soon as practicable, but in any event not later than eighteen months after (i) the effective date (as defined in Rule 158(c) under the Securities Act) of the Shelf Registration Statement, (ii) the effective date of each post-effective amendment to the Shelf Registration Statement, and (iii) the date of each filing by the Company with the Commission of an Annual Report on Form 10-K that is incorporated by reference in the Shelf Registration Statement, an earning statement of the Company and its subsidiaries complying with Section 11(a) of the Securities Act and the rules and regulations of the Commission thereunder (including, at the option of the Company, Rule 158).</w:t>
      </w:r>
    </w:p>
    <w:p>
      <w:pPr>
        <w:spacing w:after="0" w:line="165" w:lineRule="exact"/>
        <w:rPr>
          <w:rFonts w:ascii="Courier New" w:cs="Courier New" w:eastAsia="Courier New" w:hAnsi="Courier New"/>
          <w:sz w:val="14"/>
          <w:szCs w:val="14"/>
          <w:color w:val="auto"/>
        </w:rPr>
      </w:pPr>
    </w:p>
    <w:p>
      <w:pPr>
        <w:ind w:left="-872" w:right="3179" w:firstLine="872"/>
        <w:spacing w:after="0" w:line="238" w:lineRule="auto"/>
        <w:tabs>
          <w:tab w:leader="none" w:pos="36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the Effective Time of the Shelf Registration Statement, the Company shall cause the Indenture to be qualified under the Trust Indenture Act; in connection with such qualification, the Company shall cooperate with the Trustee under the Indenture and the Holders (as defined in the Indenture) to effect such changes to the Indenture as may be required for such Indenture to be so qualified in accordance with the terms of the Trust Indenture Act; and the Company shall execute, and shall use all reasonable efforts to cause the Trustee to execute, all documents that may be required to effect such changes and all other forms and documents required to be filed with the Commission to enable such Indenture to be so qualified in a timely manner. In the event that any such amendment or modification referred to in this Section 3(m) involves the appointment of a new trustee under the Indenture, the Company shall appoint a new trustee thereunder pursuant to the applicable provisions of the Indenture.</w:t>
      </w:r>
    </w:p>
    <w:p>
      <w:pPr>
        <w:spacing w:after="0" w:line="183" w:lineRule="exact"/>
        <w:rPr>
          <w:rFonts w:ascii="Courier New" w:cs="Courier New" w:eastAsia="Courier New" w:hAnsi="Courier New"/>
          <w:sz w:val="15"/>
          <w:szCs w:val="15"/>
          <w:color w:val="auto"/>
        </w:rPr>
      </w:pPr>
    </w:p>
    <w:p>
      <w:pPr>
        <w:ind w:left="-872" w:right="3259" w:firstLine="872"/>
        <w:spacing w:after="0" w:line="238" w:lineRule="auto"/>
        <w:tabs>
          <w:tab w:leader="none" w:pos="36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underwritten offering conducted pursuant to Section 6 hereof, the Company shall, if requested, promptly include or incorporate in a Prospectus supplement or post-effective amendment to the Shelf Registration Statement such information as the Managing Underwriters reasonably agree should be included therein and to which the Company does not reasonably object and shall make all required filings of such Prospectus supplement or post-effective amendment as soon as practicable after it is notified of the matters to be included or incorporated in such Prospectus supplement or post-effective amendment.</w:t>
      </w:r>
    </w:p>
    <w:p>
      <w:pPr>
        <w:spacing w:after="0" w:line="178" w:lineRule="exact"/>
        <w:rPr>
          <w:rFonts w:ascii="Courier New" w:cs="Courier New" w:eastAsia="Courier New" w:hAnsi="Courier New"/>
          <w:sz w:val="15"/>
          <w:szCs w:val="15"/>
          <w:color w:val="auto"/>
        </w:rPr>
      </w:pPr>
    </w:p>
    <w:p>
      <w:pPr>
        <w:ind w:left="-872" w:right="3259" w:firstLine="872"/>
        <w:spacing w:after="0" w:line="257" w:lineRule="auto"/>
        <w:tabs>
          <w:tab w:leader="none" w:pos="36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enter into such customary agreements (including an underwriting agreement in customary form in the event of an underwritten offering conducted pursuant to Section 6 hereof) and take all other appropriate action in order to expedite and facilitate the registration and disposition of the Registrable Securities, and in connection therewith, if an underwriting agreement is entered into, cause the same to contain indemnification provisions and procedures substantially identical to those set forth in Section 5 hereof with respect to all parties to be indemnified pursuant to Section 5 hereof.</w:t>
      </w:r>
    </w:p>
    <w:p>
      <w:pPr>
        <w:spacing w:after="0" w:line="161"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w:t>
      </w:r>
    </w:p>
    <w:p>
      <w:pPr>
        <w:spacing w:after="0" w:line="174" w:lineRule="exact"/>
        <w:rPr>
          <w:rFonts w:ascii="Courier New" w:cs="Courier New" w:eastAsia="Courier New" w:hAnsi="Courier New"/>
          <w:sz w:val="15"/>
          <w:szCs w:val="15"/>
          <w:color w:val="auto"/>
        </w:rPr>
      </w:pPr>
    </w:p>
    <w:p>
      <w:pPr>
        <w:ind w:left="-432" w:right="3179" w:firstLine="873"/>
        <w:spacing w:after="0" w:line="258" w:lineRule="auto"/>
        <w:tabs>
          <w:tab w:leader="none" w:pos="890"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by any Electing Holder (A) make reasonably available for inspection by Electing Holders, any underwriter participating in any disposition pursuant to the Shelf Registration Statement, and any attorney, accountant or other agent retained by such Electing Holders or any such underwriter all relevant financial and other records, pertinent corporate documents and properties of the Company and its</w:t>
      </w:r>
    </w:p>
    <w:p>
      <w:pPr>
        <w:spacing w:after="0" w:line="158" w:lineRule="exact"/>
        <w:rPr>
          <w:sz w:val="20"/>
          <w:szCs w:val="20"/>
          <w:color w:val="auto"/>
        </w:rPr>
      </w:pPr>
    </w:p>
    <w:p>
      <w:pPr>
        <w:ind w:left="254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47"/>
          </w:cols>
          <w:pgMar w:left="1112" w:top="628" w:right="1440" w:bottom="1440" w:gutter="0" w:footer="0" w:header="0"/>
        </w:sectPr>
      </w:pPr>
    </w:p>
    <w:bookmarkStart w:id="173" w:name="page174"/>
    <w:bookmarkEnd w:id="173"/>
    <w:p>
      <w:pPr>
        <w:ind w:right="3179"/>
        <w:spacing w:after="0" w:line="257" w:lineRule="auto"/>
        <w:rPr>
          <w:sz w:val="20"/>
          <w:szCs w:val="20"/>
          <w:color w:val="auto"/>
        </w:rPr>
      </w:pPr>
      <w:r>
        <w:rPr>
          <w:rFonts w:ascii="Courier New" w:cs="Courier New" w:eastAsia="Courier New" w:hAnsi="Courier New"/>
          <w:sz w:val="14"/>
          <w:szCs w:val="14"/>
          <w:color w:val="auto"/>
        </w:rPr>
        <w:t>subsidiaries, and (B) cause the Company's officers, directors and employees to supply all information reasonably requested by such Electing Holders or any such underwriter, attorney, accountant or agent in connection with the Shelf Registration Statement, in each case, as is customary for similar due diligence examinations; provided, however, that all records, information and documents that are designated in writing by the Company, in good faith, as confidential shall be kept confidential by such Electing Holders and any such underwriter, attorney, accountant or agent, unless such disclosure is made in connection with a court proceeding or required by law, or such records, information or documents become available to the public generally or through a third party without an accompanying obligation of confidentiality; and provided further that, if the foregoing inspection and information gathering would otherwise disrupt the Company's conduct of its business, such inspection and information gathering shall, to the greatest extent possible, be coordinated on behalf of the Electing Holders and the other parties entitled thereto by one counsel designated by and on behalf of Electing Holders and other parties reasonably acceptable to the Company;</w:t>
      </w:r>
    </w:p>
    <w:p>
      <w:pPr>
        <w:spacing w:after="0" w:line="164" w:lineRule="exact"/>
        <w:rPr>
          <w:sz w:val="20"/>
          <w:szCs w:val="20"/>
          <w:color w:val="auto"/>
        </w:rPr>
      </w:pPr>
    </w:p>
    <w:p>
      <w:pPr>
        <w:ind w:right="3179" w:firstLine="873"/>
        <w:spacing w:after="0" w:line="238" w:lineRule="auto"/>
        <w:tabs>
          <w:tab w:leader="none" w:pos="132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conducted pursuant to Section 6 hereof, make such representations and warranties to the Holders participating in such underwritten offering and to the Managing Underwriters, in form, substance and scope as are customarily made by the Company to underwriters in primary underwritten offerings of equity and convertible debt securities and covering matters including, but not limited to, those set forth in the Purchase Agreement;</w:t>
      </w:r>
    </w:p>
    <w:p>
      <w:pPr>
        <w:spacing w:after="0" w:line="176" w:lineRule="exact"/>
        <w:rPr>
          <w:rFonts w:ascii="Courier New" w:cs="Courier New" w:eastAsia="Courier New" w:hAnsi="Courier New"/>
          <w:sz w:val="15"/>
          <w:szCs w:val="15"/>
          <w:color w:val="auto"/>
        </w:rPr>
      </w:pPr>
    </w:p>
    <w:p>
      <w:pPr>
        <w:ind w:right="3179" w:firstLine="873"/>
        <w:spacing w:after="0" w:line="238" w:lineRule="auto"/>
        <w:tabs>
          <w:tab w:leader="none" w:pos="1498"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conducted pursuant to Section 6 hereof, obtain opinions of counsel to the Company (which counsel and opinions (in form, scope and substance) shall be reasonably satisfactory to the Managing Underwriters) addressed to the underwriters, covering such matters as are customarily covered in opinions requested in primary underwritten offerings of equity and convertible debt securities and such other matters as may be reasonably requested by such underwriters (it being agreed that the matters to be covered by such opinions shall include, without limitation, as of the date of the opinion and as of the Effective Time of the Shelf Registration Statement or most recent post-effective amendment thereto, as the case may be, such counsel's belief as to the absence from the Shelf Registration Statement and the Prospectus, including the documents incorporated by reference therein, of an untrue statement of a material fact or the omission of a material fact required to be stated therein or necessary to make the statements therein not misleading;</w:t>
      </w:r>
    </w:p>
    <w:p>
      <w:pPr>
        <w:spacing w:after="0" w:line="185" w:lineRule="exact"/>
        <w:rPr>
          <w:rFonts w:ascii="Courier New" w:cs="Courier New" w:eastAsia="Courier New" w:hAnsi="Courier New"/>
          <w:sz w:val="15"/>
          <w:szCs w:val="15"/>
          <w:color w:val="auto"/>
        </w:rPr>
      </w:pPr>
    </w:p>
    <w:p>
      <w:pPr>
        <w:ind w:right="3179" w:firstLine="873"/>
        <w:spacing w:after="0" w:line="238" w:lineRule="auto"/>
        <w:tabs>
          <w:tab w:leader="none" w:pos="132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conducted pursuant to Section 6 hereof, 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Shelf Registration Statement), addressed to each Holder participating in such underwritten offering (if such Holder has provided such letter, representations or documentation, if any, required for such "cold comfort" letter to be so addressed) and the</w:t>
      </w:r>
    </w:p>
    <w:p>
      <w:pPr>
        <w:spacing w:after="0" w:line="17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28" w:right="1440" w:bottom="1440" w:gutter="0" w:footer="0" w:header="0"/>
        </w:sectPr>
      </w:pPr>
    </w:p>
    <w:bookmarkStart w:id="174" w:name="page175"/>
    <w:bookmarkEnd w:id="174"/>
    <w:p>
      <w:pPr>
        <w:ind w:right="3439"/>
        <w:spacing w:after="0" w:line="237" w:lineRule="auto"/>
        <w:rPr>
          <w:sz w:val="20"/>
          <w:szCs w:val="20"/>
          <w:color w:val="auto"/>
        </w:rPr>
      </w:pPr>
      <w:r>
        <w:rPr>
          <w:rFonts w:ascii="Courier New" w:cs="Courier New" w:eastAsia="Courier New" w:hAnsi="Courier New"/>
          <w:sz w:val="15"/>
          <w:szCs w:val="15"/>
          <w:color w:val="auto"/>
        </w:rPr>
        <w:t>underwriters, in customary form and covering matters of the type customarily covered in "cold comfort" letters in connection with primary underwritten offerings;</w:t>
      </w:r>
    </w:p>
    <w:p>
      <w:pPr>
        <w:spacing w:after="0" w:line="175" w:lineRule="exact"/>
        <w:rPr>
          <w:sz w:val="20"/>
          <w:szCs w:val="20"/>
          <w:color w:val="auto"/>
        </w:rPr>
      </w:pPr>
    </w:p>
    <w:p>
      <w:pPr>
        <w:ind w:right="3359" w:firstLine="873"/>
        <w:spacing w:after="0" w:line="238" w:lineRule="auto"/>
        <w:tabs>
          <w:tab w:leader="none" w:pos="1234"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conducted pursuant to Section 6 hereof, deliver such documents and certificates as may be reasonably requested by any Holders participating in such underwritten offering and the Managing Underwriters, if any, including, without limitation, certificates to evidence compliance with Section 3(j) hereof and with any customary conditions contained in the underwriting agreement or other agreements entered into by the Company.</w:t>
      </w:r>
    </w:p>
    <w:p>
      <w:pPr>
        <w:spacing w:after="0" w:line="176" w:lineRule="exact"/>
        <w:rPr>
          <w:rFonts w:ascii="Courier New" w:cs="Courier New" w:eastAsia="Courier New" w:hAnsi="Courier New"/>
          <w:sz w:val="15"/>
          <w:szCs w:val="15"/>
          <w:color w:val="auto"/>
        </w:rPr>
      </w:pPr>
    </w:p>
    <w:p>
      <w:pPr>
        <w:ind w:left="-440" w:right="3439" w:firstLine="872"/>
        <w:spacing w:after="0" w:line="237" w:lineRule="auto"/>
        <w:tabs>
          <w:tab w:leader="none" w:pos="79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reasonable efforts to cause the Common Stock issuable upon conversion of the Securities to be listed on the New York Stock Exchange or other stock exchange or trading system on which the Common Stock primarily trades on or prior to the Effective Time of the Shelf Registration Statement hereunder.</w:t>
      </w:r>
    </w:p>
    <w:p>
      <w:pPr>
        <w:spacing w:after="0" w:line="178" w:lineRule="exact"/>
        <w:rPr>
          <w:rFonts w:ascii="Courier New" w:cs="Courier New" w:eastAsia="Courier New" w:hAnsi="Courier New"/>
          <w:sz w:val="15"/>
          <w:szCs w:val="15"/>
          <w:color w:val="auto"/>
        </w:rPr>
      </w:pPr>
    </w:p>
    <w:p>
      <w:pPr>
        <w:ind w:left="-440" w:right="3179" w:firstLine="872"/>
        <w:spacing w:after="0" w:line="257" w:lineRule="auto"/>
        <w:tabs>
          <w:tab w:leader="none" w:pos="794"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broker-dealer registered under the Exchange Act shall be an "affiliate" (as defined in Rule 2720(b)(1) of the NASD Rules (or any successor provision thereto)) of the Company or has a "conflict of interest" (as defined in Rule 2720(b)(7) of the NASD Rules (or any successor provision thereto)) and such broker-dealer shall underwrite, participate as a member of an underwriting syndicate or selling group or assist in the distribution of any Registrable Securities covered by the Shelf Registration Statement, whether as a Holder of such Registrable Securities or as an underwriter, a placement or sales agent or a broker or dealer in respect thereof, or otherwise, the Company shall assist such broker-dealer in complying with the requirements of the NASD Rules, including, without limitation, by (A) engaging a "qualified independent underwriter" (as defined in Rule 2720(b)(15) of the NASD Rules (or any successor provision thereto)) to participate in the preparation of the registration statement relating to such Registrable Securities, to exercise usual standards of due diligence in respect thereto and to recommend the public offering price of such Registrable Securities, (B) indemnifying such qualified independent underwriter to the extent of the indemnification of underwriters provided in Section 5 hereof, and (C) providing such information to such broker-dealer as may be required in order for such broker-dealer to comply with the requirements of the NASD Rules.</w:t>
      </w:r>
    </w:p>
    <w:p>
      <w:pPr>
        <w:spacing w:after="0" w:line="332" w:lineRule="exact"/>
        <w:rPr>
          <w:rFonts w:ascii="Courier New" w:cs="Courier New" w:eastAsia="Courier New" w:hAnsi="Courier New"/>
          <w:sz w:val="14"/>
          <w:szCs w:val="14"/>
          <w:color w:val="auto"/>
        </w:rPr>
      </w:pPr>
    </w:p>
    <w:p>
      <w:pPr>
        <w:ind w:left="-440" w:right="3259" w:firstLine="872"/>
        <w:spacing w:after="0" w:line="237" w:lineRule="auto"/>
        <w:tabs>
          <w:tab w:leader="none" w:pos="79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best efforts to take all other steps necessary to effect the registration, offering and sale of the Registrable Securities covered by the Shelf Registration Statement contemplated hereby.</w:t>
      </w:r>
    </w:p>
    <w:p>
      <w:pPr>
        <w:spacing w:after="0" w:line="176" w:lineRule="exact"/>
        <w:rPr>
          <w:sz w:val="20"/>
          <w:szCs w:val="20"/>
          <w:color w:val="auto"/>
        </w:rPr>
      </w:pPr>
    </w:p>
    <w:p>
      <w:pPr>
        <w:ind w:left="-440" w:right="3179" w:firstLine="872"/>
        <w:spacing w:after="0" w:line="238" w:lineRule="auto"/>
        <w:tabs>
          <w:tab w:leader="none" w:pos="794"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Except as otherwise provided in Section 3, the Company shall bear all fees and expenses incurred in connection with the performance of its obligations under Sections 2 and 3 hereof and shall bear or reimburse the Electing Holders for the reasonable fees and disbursements of Ropes &amp; Gray, Boston, Massachusetts, or such other counsel as may be selected by a majority in interest of Electing Holders (which counsel shall be reasonably satisfactory to the Company), to act as counsel therefore in connection therewith. Each Electing Holder shall pay all underwriting discounts and commissions and transfer taxes, if any, relating to the sale or disposition of such Electing Holder's Registrable Securities pursuant to the Shelf Registration Statement.</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627" w:right="1440" w:bottom="1440" w:gutter="0" w:footer="0" w:header="0"/>
        </w:sectPr>
      </w:pPr>
    </w:p>
    <w:bookmarkStart w:id="175" w:name="page176"/>
    <w:bookmarkEnd w:id="175"/>
    <w:p>
      <w:pPr>
        <w:ind w:left="8"/>
        <w:spacing w:after="0"/>
        <w:rPr>
          <w:sz w:val="20"/>
          <w:szCs w:val="20"/>
          <w:color w:val="auto"/>
        </w:rPr>
      </w:pPr>
      <w:r>
        <w:rPr>
          <w:rFonts w:ascii="Courier New" w:cs="Courier New" w:eastAsia="Courier New" w:hAnsi="Courier New"/>
          <w:sz w:val="15"/>
          <w:szCs w:val="15"/>
          <w:color w:val="auto"/>
        </w:rPr>
        <w:t>5. Indemnification and Contribution.</w:t>
      </w:r>
    </w:p>
    <w:p>
      <w:pPr>
        <w:spacing w:after="0" w:line="175" w:lineRule="exact"/>
        <w:rPr>
          <w:sz w:val="20"/>
          <w:szCs w:val="20"/>
          <w:color w:val="auto"/>
        </w:rPr>
      </w:pPr>
    </w:p>
    <w:p>
      <w:pPr>
        <w:ind w:left="-872" w:right="3179" w:firstLine="872"/>
        <w:spacing w:after="0" w:line="256" w:lineRule="auto"/>
        <w:tabs>
          <w:tab w:leader="none" w:pos="36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by the Company. Upon the registration of the Registrable Securities pursuant to Section 2 hereof, the Company shall indemnify and hold harmless each Electing Holder and each underwriter, selling agent or other securities professional that may be deemed an underwriter within the meaning of Section 2(11) of the Securities Act, if any, that facilitates the disposition of Registrable Securities, and each of their respective officers and directors and each person who controls such Electing Holder, underwriter, selling agent or other securities professional within the meaning of Section 15 of the Securities Act or Section 20 of the Exchange Act (each such person being sometimes referred to as an "Indemnified Person") against any losses, claims, damages or liabilities, joint or several, to which such Indemnified Person may become subject under the Securities Act or otherwise, insofar as such losses, claims, damages or liabilities (or actions in respect thereof) arise out of or are based upon an untrue statement or alleged untrue statement of a material fact contained in any Shelf Registration Statement under which such Registrable Securities are to be registered under the Securities Act, or any Prospectus contained therein or furnished by the Company to any Indemnified Person, or any amendment or supplement thereto, or arise out of or are based upon the omission or alleged omission to state therein a material fact required to be stated therein or necessary to make the statements therein not misleading, and the Company hereby agrees to reimburse such Indemnified Person for any legal or other expenses reasonably incurred by them in connection with investigating or defending any such action or claim as such expenses are incurred; provided, however, that the Company shall not be liable to any such Indemnified Person in any such case to the extent that any such loss, claim, damage or liability arises out of or is based upon an untrue statement or alleged untrue statement or omission or alleged omission made in such Shelf Registration Statement or Prospectus, or amendment or supplement, in reliance upon and in conformity with written information furnished to the Company by such Indemnified Person expressly for use therein; provided, further, in a disposition of Registrable Securities that does not involve (in whole or in part) an underwritten offering conducted pursuant to Section 6 hereof, the Company shall not be liable to any Electing Holder or any officer and director and each person who controls such Electing Holder (an "Indemnified Electing Holder") pursuant to the foregoing to the extent that any such loss, claim, damage or liability of such Indemnified Electing Holder results from the fact that such Indemnified Electing Holder sold Registrable Securities to a person as to whom it shall be established by conclusive evidence that there was not sent or given, at or prior to the written confirmation of such a sale, a copy of the Prospectus (excluding documents incorporated by reference) or the Prospectus as then amended or supplemented (excluding documents incorporated by reference) in any case where such delivery is required by the Act, if the Company has previously furnished copies thereof upon request therefor in sufficient quantity to such Indemnified Electing Holder and the loss, claim, damage or liability of such Indemnified Electing Holder results from an untrue statement or omission of a material fact contained in the preliminary prospectus which was identified in writing at such time to such Indemnified Electing Holder and corrected in the Prospectus (excluding any document incorporated by reference) or in the Prospectus as then amended or supplemented (excluding documents incorporated by reference) and such correction would have cured the defect giving rise to such loss, claim, damage or liability.</w:t>
      </w:r>
    </w:p>
    <w:p>
      <w:pPr>
        <w:spacing w:after="0" w:line="200" w:lineRule="exact"/>
        <w:rPr>
          <w:sz w:val="20"/>
          <w:szCs w:val="20"/>
          <w:color w:val="auto"/>
        </w:rPr>
      </w:pPr>
    </w:p>
    <w:p>
      <w:pPr>
        <w:spacing w:after="0" w:line="319" w:lineRule="exact"/>
        <w:rPr>
          <w:sz w:val="20"/>
          <w:szCs w:val="20"/>
          <w:color w:val="auto"/>
        </w:rPr>
      </w:pPr>
    </w:p>
    <w:p>
      <w:pPr>
        <w:ind w:left="254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47"/>
          </w:cols>
          <w:pgMar w:left="1112" w:top="622" w:right="1440" w:bottom="1440" w:gutter="0" w:footer="0" w:header="0"/>
        </w:sectPr>
      </w:pPr>
    </w:p>
    <w:bookmarkStart w:id="176" w:name="page177"/>
    <w:bookmarkEnd w:id="176"/>
    <w:p>
      <w:pPr>
        <w:ind w:left="-872" w:right="3179" w:firstLine="872"/>
        <w:spacing w:after="0" w:line="256" w:lineRule="auto"/>
        <w:tabs>
          <w:tab w:leader="none" w:pos="36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by the Holders and any Agents and Underwriters. Each Electing Holder agrees, as a consequence of the inclusion of any of such Electing Holder's Registrable Securities in such Shelf Registration Statement, and each underwriter, selling agent or other securities professional, if any, that facilitates the disposition of Registrable Securities shall agree, as a consequence of facilitating such disposition of Registrable Securities, severally and not jointly, to (i) indemnify and hold harmless the Company, its directors and officers who sign any Shelf Registration Statement and each person, if any, who controls the Company within the meaning of either Section 15 of the Securities Act or Section 20 of the Exchange Act,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Shelf Registration Statement or Prospectus, or any amendment or supplement,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Electing Holder, underwriter, selling agent or other securities professional expressly for use therein, and (ii) reimburse the Company for any legal or other expenses reasonably incurred by the Company in connection with investigating or defending any such action or claim as such expenses are incurred.</w:t>
      </w:r>
    </w:p>
    <w:p>
      <w:pPr>
        <w:spacing w:after="0" w:line="347" w:lineRule="exact"/>
        <w:rPr>
          <w:rFonts w:ascii="Courier New" w:cs="Courier New" w:eastAsia="Courier New" w:hAnsi="Courier New"/>
          <w:sz w:val="14"/>
          <w:szCs w:val="14"/>
          <w:color w:val="auto"/>
        </w:rPr>
      </w:pPr>
    </w:p>
    <w:p>
      <w:pPr>
        <w:ind w:left="-872" w:right="3179" w:firstLine="872"/>
        <w:spacing w:after="0" w:line="256" w:lineRule="auto"/>
        <w:tabs>
          <w:tab w:leader="none" w:pos="36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of Claims, Etc. Promptly after receipt by an indemnified party under subsection (a) or (b) above of notice of the commencement of any action, such indemnified party shall, if a claim in respect thereof is to be made against an indemnifying party under this Section 5, notify such indemnifying party in writing of the commencement thereof; but the omission so to notify the indemnifying party shall not relieve it from any liability which it may have to any indemnified party otherwise than under this Section 5. In case any such action shall be brought against any indemnified party and it shall notify an indemnifying party of the commencement thereof, such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such indemnifying party shall not be liable to such indemnified party under this Section 5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No indemnifying party shall be required to indemnify an indemnified party for any amount paid or payable in the</w:t>
      </w:r>
    </w:p>
    <w:p>
      <w:pPr>
        <w:spacing w:after="0" w:line="343" w:lineRule="exact"/>
        <w:rPr>
          <w:sz w:val="20"/>
          <w:szCs w:val="20"/>
          <w:color w:val="auto"/>
        </w:rPr>
      </w:pPr>
    </w:p>
    <w:p>
      <w:pPr>
        <w:ind w:left="254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347"/>
          </w:cols>
          <w:pgMar w:left="1112" w:top="628" w:right="1440" w:bottom="1440" w:gutter="0" w:footer="0" w:header="0"/>
        </w:sectPr>
      </w:pPr>
    </w:p>
    <w:bookmarkStart w:id="177" w:name="page178"/>
    <w:bookmarkEnd w:id="177"/>
    <w:p>
      <w:pPr>
        <w:ind w:right="3259"/>
        <w:spacing w:after="0" w:line="237" w:lineRule="auto"/>
        <w:rPr>
          <w:sz w:val="20"/>
          <w:szCs w:val="20"/>
          <w:color w:val="auto"/>
        </w:rPr>
      </w:pPr>
      <w:r>
        <w:rPr>
          <w:rFonts w:ascii="Courier New" w:cs="Courier New" w:eastAsia="Courier New" w:hAnsi="Courier New"/>
          <w:sz w:val="15"/>
          <w:szCs w:val="15"/>
          <w:color w:val="auto"/>
        </w:rPr>
        <w:t>settlement of any action, proceeding or investigation without the prior written consent of such indemnifying party, which consent shall not be unreasonably withheld.</w:t>
      </w:r>
    </w:p>
    <w:p>
      <w:pPr>
        <w:spacing w:after="0" w:line="175" w:lineRule="exact"/>
        <w:rPr>
          <w:sz w:val="20"/>
          <w:szCs w:val="20"/>
          <w:color w:val="auto"/>
        </w:rPr>
      </w:pPr>
    </w:p>
    <w:p>
      <w:pPr>
        <w:ind w:right="3179" w:firstLine="872"/>
        <w:spacing w:after="0" w:line="256" w:lineRule="auto"/>
        <w:tabs>
          <w:tab w:leader="none" w:pos="123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If the indemnification provided for in this Section 5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 contribution pursuant to this Section 5(d) were determined by pro rata allocation (even if the Electing Holders or any underwriters, selling agents or other securities professionals or all of them were treated as one entity for such purpose) or by any other method of allocation that does not take account of the equitable considerations referred to in this Section 5(d).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The obligations of the Electing Holders and any underwriters, selling agents or other securities professionals in this Section 5(d) to contribute shall be several in proportion to the percentage of principal amount of Registrable Securities registered or underwritten, as the case may be, by them and not joint.</w:t>
      </w:r>
    </w:p>
    <w:p>
      <w:pPr>
        <w:spacing w:after="0" w:line="350" w:lineRule="exact"/>
        <w:rPr>
          <w:rFonts w:ascii="Courier New" w:cs="Courier New" w:eastAsia="Courier New" w:hAnsi="Courier New"/>
          <w:sz w:val="14"/>
          <w:szCs w:val="14"/>
          <w:color w:val="auto"/>
        </w:rPr>
      </w:pPr>
    </w:p>
    <w:p>
      <w:pPr>
        <w:ind w:right="3179" w:firstLine="872"/>
        <w:spacing w:after="0" w:line="257" w:lineRule="auto"/>
        <w:tabs>
          <w:tab w:leader="none" w:pos="123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Notwithstanding any other provision of this Section 5, in no event will any (i) Electing Holder be required to undertake liability to any person under this Section 5 for any amounts in excess of the dollar amount of the proceeds to be received by such Electing Holder from the sale of such Holder's Registrable Securities (after deducting any fees, discounts and commissions applicable thereto) pursuant to any Shelf Registration Statement under which such Registrable Securities are to be registered under the Securities Act and (ii) underwriter, selling agent or other securities professional be required to undertake liability to any person hereunder for any amounts in excess of the discount, commission or other compensation payable to such underwriter, selling agent or other securities professional with respect to the Registrable Securities underwritten by it and distributed to the public.</w:t>
      </w:r>
    </w:p>
    <w:p>
      <w:pPr>
        <w:spacing w:after="0" w:line="165" w:lineRule="exact"/>
        <w:rPr>
          <w:rFonts w:ascii="Courier New" w:cs="Courier New" w:eastAsia="Courier New" w:hAnsi="Courier New"/>
          <w:sz w:val="14"/>
          <w:szCs w:val="14"/>
          <w:color w:val="auto"/>
        </w:rPr>
      </w:pPr>
    </w:p>
    <w:p>
      <w:pPr>
        <w:ind w:right="3259" w:firstLine="872"/>
        <w:spacing w:after="0" w:line="237" w:lineRule="auto"/>
        <w:tabs>
          <w:tab w:leader="none" w:pos="1234"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Remedy not Exclusive. The obligations of the Company under this Section 5 shall be in addition to any liability which the Company may otherwise have to any Indemnified Person and the obligations of any Indemnified Person under this Section 5 shall be in addition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178" w:name="page179"/>
    <w:bookmarkEnd w:id="178"/>
    <w:p>
      <w:pPr>
        <w:ind w:right="3259"/>
        <w:spacing w:after="0" w:line="237" w:lineRule="auto"/>
        <w:rPr>
          <w:sz w:val="20"/>
          <w:szCs w:val="20"/>
          <w:color w:val="auto"/>
        </w:rPr>
      </w:pPr>
      <w:r>
        <w:rPr>
          <w:rFonts w:ascii="Courier New" w:cs="Courier New" w:eastAsia="Courier New" w:hAnsi="Courier New"/>
          <w:sz w:val="15"/>
          <w:szCs w:val="15"/>
          <w:color w:val="auto"/>
        </w:rPr>
        <w:t>any liability which such Indemnified Person may otherwise have to the Company. The remedies provided in this Section 5 are not exclusive and shall not limit any rights or remedies which may otherwise be available to an indemnified party at law or in equity.</w:t>
      </w:r>
    </w:p>
    <w:p>
      <w:pPr>
        <w:spacing w:after="0" w:line="176" w:lineRule="exact"/>
        <w:rPr>
          <w:sz w:val="20"/>
          <w:szCs w:val="20"/>
          <w:color w:val="auto"/>
        </w:rPr>
      </w:pPr>
    </w:p>
    <w:p>
      <w:pPr>
        <w:ind w:right="3179" w:firstLine="872"/>
        <w:spacing w:after="0" w:line="256" w:lineRule="auto"/>
        <w:tabs>
          <w:tab w:leader="none" w:pos="1234"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Underwritten Offering. Any Holder of Registrable Securities who desires to do so may sell Registrable Securities (in whole or in part) in an underwritten offering; provided that (i) the Electing Holders of at least 33-1/3% in aggregate principal amount of the Registrable Securities then covered by the Shelf Registration Statement shall request such an offering and (ii) at least such aggregate principal amount of such Registrable Securities shall be included in such offering; and provided further that the Company shall not be obligated to cooperate with more than one underwritten offering during the Effectiveness Period. Upon receipt of such a request, the Company shall provide all Holders of Registrable Securities written notice of the request, which notice shall inform such Holders that they have the opportunity to participate in the offering. In any such underwritten offering, the investment banker or bankers and manager or managers that will administer the offering will be selected by, and the underwriting arrangements with respect thereto (including the size of the offering) will be approved by, the holders of a majority of the Registrable Securities to be included in such offering; provided, however, that such investment bankers and managers and underwriting arrangements must be reasonably satisfactory to the Company. No Holder may participate in any underwritten offering contemplated hereby unless (a) such Holder agrees to sell such Holder's Registrable Securities to be included in the underwritten offering in accordance with any approved underwriting arrangements, (b) such Holder completes and executes all reasonable questionnaires, powers of attorney, indemnities, underwriting agreements, lock-up letters and other documents required under the terms of such approved underwriting arrangements, and (c) if such Holder is not then an Electing Holder, such Holder returns a completed and signed Notice and Questionnaire to the Company in accordance with Section</w:t>
      </w:r>
    </w:p>
    <w:p>
      <w:pPr>
        <w:spacing w:after="0" w:line="177" w:lineRule="exact"/>
        <w:rPr>
          <w:rFonts w:ascii="Courier New" w:cs="Courier New" w:eastAsia="Courier New" w:hAnsi="Courier New"/>
          <w:sz w:val="14"/>
          <w:szCs w:val="14"/>
          <w:color w:val="auto"/>
        </w:rPr>
      </w:pPr>
    </w:p>
    <w:p>
      <w:pPr>
        <w:ind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3(a)(ii) hereof within a reasonable amount of time before such underwritten offering. The Holders participating in any underwritten offering shall be responsible for any underwriting discounts and commissions and fees and, subject to Section 4 hereof, expenses of their own counsel. The Company shall pay all expenses customarily borne by issuers, including but not limited to filing fees, the fees and disbursements of its counsel and independent public accountants and any printing expenses incurred in connection with such underwritten offering. Notwithstanding the foregoing or the provisions of Section 3(n) hereof, upon receipt of a request from the Managing Underwriter or a representative of holders of a majority of the Registrable Securities to be included in an underwritten offering to prepare and file an amendment or supplement to the Shelf Registration Statement and Prospectus in connection with an underwritten offering, the Company may delay the filing of any such amendment or supplement for up to 90 days if the Board of Directors of the Company or if the chief executive officer and chief financial officer jointly shall have determined in good faith that the Company has a bona fide business reason for such delay.</w:t>
      </w:r>
    </w:p>
    <w:p>
      <w:pPr>
        <w:spacing w:after="0" w:line="158" w:lineRule="exact"/>
        <w:rPr>
          <w:rFonts w:ascii="Courier New" w:cs="Courier New" w:eastAsia="Courier New" w:hAnsi="Courier New"/>
          <w:sz w:val="14"/>
          <w:szCs w:val="14"/>
          <w:color w:val="auto"/>
        </w:rPr>
      </w:pPr>
    </w:p>
    <w:p>
      <w:pPr>
        <w:ind w:left="1220" w:hanging="348"/>
        <w:spacing w:after="0"/>
        <w:tabs>
          <w:tab w:leader="none" w:pos="12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Liquidated Damages.</w:t>
      </w:r>
    </w:p>
    <w:p>
      <w:pPr>
        <w:spacing w:after="0" w:line="174" w:lineRule="exact"/>
        <w:rPr>
          <w:rFonts w:ascii="Courier New" w:cs="Courier New" w:eastAsia="Courier New" w:hAnsi="Courier New"/>
          <w:sz w:val="15"/>
          <w:szCs w:val="15"/>
          <w:color w:val="auto"/>
        </w:rPr>
      </w:pPr>
    </w:p>
    <w:p>
      <w:pPr>
        <w:ind w:right="3359" w:firstLine="1224"/>
        <w:spacing w:after="0" w:line="258" w:lineRule="auto"/>
        <w:tabs>
          <w:tab w:leader="none" w:pos="1587"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postponement permitted by Section 2(a) hereof, if (i) on or prior to the 90th day following the Closing Date, a Shelf Registration Statement has not been filed with the Commission or (ii) on or prior to the 180th day following the Closing Date, such Shelf Registration Statement is not declared effective by the Commission (each, a "Registration</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79" w:name="page180"/>
    <w:bookmarkEnd w:id="179"/>
    <w:p>
      <w:pPr>
        <w:ind w:left="10" w:right="3259"/>
        <w:spacing w:after="0" w:line="238" w:lineRule="auto"/>
        <w:rPr>
          <w:sz w:val="20"/>
          <w:szCs w:val="20"/>
          <w:color w:val="auto"/>
        </w:rPr>
      </w:pPr>
      <w:r>
        <w:rPr>
          <w:rFonts w:ascii="Courier New" w:cs="Courier New" w:eastAsia="Courier New" w:hAnsi="Courier New"/>
          <w:sz w:val="15"/>
          <w:szCs w:val="15"/>
          <w:color w:val="auto"/>
        </w:rPr>
        <w:t>Default"), the Company shall be required to pay liquidated damages ("Liquidated Damages"), from and including the day following such Registration Default until such Shelf Registration Statement is either so filed or so filed and subsequently declared effective, as applicable, at a rate per annum equal to an additional one-quarter of one percent (0.25%) of the principal amount of Registrable Securities, to and including the 90th day following such Registration Default and one-half of one percent (0.5%) thereof from and after the 91st day following such Registration Default.</w:t>
      </w:r>
    </w:p>
    <w:p>
      <w:pPr>
        <w:spacing w:after="0" w:line="178" w:lineRule="exact"/>
        <w:rPr>
          <w:sz w:val="20"/>
          <w:szCs w:val="20"/>
          <w:color w:val="auto"/>
        </w:rPr>
      </w:pPr>
    </w:p>
    <w:p>
      <w:pPr>
        <w:ind w:left="10" w:right="3359" w:firstLine="872"/>
        <w:spacing w:after="0" w:line="256" w:lineRule="auto"/>
        <w:tabs>
          <w:tab w:leader="none" w:pos="1244"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Shelf Registration Statement ceases to be effective (or the Holders of Registrable Securities are otherwise prevented or restricted by the Company from effecting sales pursuant thereto, including, without limitation, for the reasons set forth in Section 2(b) or Section 3(j), notwithstanding the fact that such reasons are not deemed a failure by the Company to keep the Registration Statement effective under Section 2(b)) (an "Effective Failure") for more than 45 days, whether or not consecutive, in any</w:t>
      </w:r>
    </w:p>
    <w:p>
      <w:pPr>
        <w:spacing w:after="0" w:line="2" w:lineRule="exact"/>
        <w:rPr>
          <w:rFonts w:ascii="Courier New" w:cs="Courier New" w:eastAsia="Courier New" w:hAnsi="Courier New"/>
          <w:sz w:val="14"/>
          <w:szCs w:val="14"/>
          <w:color w:val="auto"/>
        </w:rPr>
      </w:pPr>
    </w:p>
    <w:p>
      <w:pPr>
        <w:ind w:left="1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90-day period, or more than 90 days, whether or not consecutive, during any 12-month period, then the Company shall pay Liquidated Damages at a rate per annum equal to an additional one-half of one percent (0.5%) from the 46th day of the applicable 90-day period or the 91st day of the applicable 12-month period, as the case may be, that such Shelf Registration Statement ceases to be effective (or the Holders of Registrable Securities are otherwise prevented or restricted by the Company from effecting sales pursuant thereto) until the earlier of (i) the time the Shelf Registration Statement again becomes effective or the Holders of Registrable Securities are again able to make sales under the Shelf Registration Statement or (ii) the time the Effectiveness Period expires. For the purpose of determining an Effective Failure, days on which the Company has been obligated to pay Liquidated Damages in accordance with the foregoing in respect of a prior Effective Failure within the applicable 90-day or 12-month period, as the case may be, shall not be included.</w:t>
      </w:r>
    </w:p>
    <w:p>
      <w:pPr>
        <w:spacing w:after="0" w:line="164" w:lineRule="exact"/>
        <w:rPr>
          <w:rFonts w:ascii="Courier New" w:cs="Courier New" w:eastAsia="Courier New" w:hAnsi="Courier New"/>
          <w:sz w:val="14"/>
          <w:szCs w:val="14"/>
          <w:color w:val="auto"/>
        </w:rPr>
      </w:pPr>
    </w:p>
    <w:p>
      <w:pPr>
        <w:ind w:left="10" w:right="3259" w:firstLine="872"/>
        <w:spacing w:after="0" w:line="238" w:lineRule="auto"/>
        <w:tabs>
          <w:tab w:leader="none" w:pos="1244"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fails to file a post-effective amendment to the Shelf Registration Statement, or the post-effective amendment is not declared effective, within the periods required by Section 3, the Company shall pay Liquidated Damages at a rate per annum equal to an additional one-half of one percent (0.5%) from and including the date of such Registration Default until such time as such Registration Default is cured.</w:t>
      </w:r>
    </w:p>
    <w:p>
      <w:pPr>
        <w:spacing w:after="0" w:line="175" w:lineRule="exact"/>
        <w:rPr>
          <w:rFonts w:ascii="Courier New" w:cs="Courier New" w:eastAsia="Courier New" w:hAnsi="Courier New"/>
          <w:sz w:val="15"/>
          <w:szCs w:val="15"/>
          <w:color w:val="auto"/>
        </w:rPr>
      </w:pPr>
    </w:p>
    <w:p>
      <w:pPr>
        <w:ind w:left="10" w:right="3259" w:firstLine="872"/>
        <w:spacing w:after="0" w:line="256" w:lineRule="auto"/>
        <w:tabs>
          <w:tab w:leader="none" w:pos="1244"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to be paid as Liquidated Damages pursuant to paragraphs (a), (b) or (c) of this Section 7 shall be paid semi-annually in arrears, with the first semi-annual payment due on the first Interest Payment Date (as defined in the Indenture), as applicable, following the date of such Registration Default. Such Liquidated Damages will accrue in respect of the Securities at the rates set forth in paragraphs (a), (b) or (c) of this Section 7, as applicable, on the principal amount of the Securities. If any of the Registrable Securities shall have been converted into Common Stock, then the amount of Liquidated Damages payable under this Section 7 per share of Common Stock so converted shall be determined by dividing (x) the amount that would have been payable hereunder on the aggregate principal amount so converted by</w:t>
      </w:r>
    </w:p>
    <w:p>
      <w:pPr>
        <w:ind w:left="350" w:hanging="350"/>
        <w:spacing w:after="0"/>
        <w:tabs>
          <w:tab w:leader="none" w:pos="35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issued upon such conversion.</w:t>
      </w:r>
    </w:p>
    <w:p>
      <w:pPr>
        <w:spacing w:after="0" w:line="174" w:lineRule="exact"/>
        <w:rPr>
          <w:rFonts w:ascii="Courier New" w:cs="Courier New" w:eastAsia="Courier New" w:hAnsi="Courier New"/>
          <w:sz w:val="15"/>
          <w:szCs w:val="15"/>
          <w:color w:val="auto"/>
        </w:rPr>
      </w:pPr>
    </w:p>
    <w:p>
      <w:pPr>
        <w:jc w:val="both"/>
        <w:ind w:left="10" w:right="3179" w:firstLine="872"/>
        <w:spacing w:after="0" w:line="237" w:lineRule="auto"/>
        <w:tabs>
          <w:tab w:leader="none" w:pos="1244"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Liquidated Damages as set forth in this Section 7 shall be the exclusive monetary remedy available to the Holders of Registrable Securities for such Registration Default</w:t>
      </w: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8" w:right="1440" w:bottom="1440" w:gutter="0" w:footer="0" w:header="0"/>
        </w:sectPr>
      </w:pPr>
    </w:p>
    <w:bookmarkStart w:id="180" w:name="page181"/>
    <w:bookmarkEnd w:id="180"/>
    <w:p>
      <w:pPr>
        <w:ind w:right="3179"/>
        <w:spacing w:after="0" w:line="237" w:lineRule="auto"/>
        <w:rPr>
          <w:sz w:val="20"/>
          <w:szCs w:val="20"/>
          <w:color w:val="auto"/>
        </w:rPr>
      </w:pPr>
      <w:r>
        <w:rPr>
          <w:rFonts w:ascii="Courier New" w:cs="Courier New" w:eastAsia="Courier New" w:hAnsi="Courier New"/>
          <w:sz w:val="15"/>
          <w:szCs w:val="15"/>
          <w:color w:val="auto"/>
        </w:rPr>
        <w:t>or Effective Failure. In no event shall the Company be required to pay Liquidated Damages in excess of the applicable maximum amount of one-half of one percent (0.5%) set forth above, regardless of whether one or multiple Registration Defaults exist.</w:t>
      </w:r>
    </w:p>
    <w:p>
      <w:pPr>
        <w:spacing w:after="0" w:line="171" w:lineRule="exact"/>
        <w:rPr>
          <w:sz w:val="20"/>
          <w:szCs w:val="20"/>
          <w:color w:val="auto"/>
        </w:rPr>
      </w:pPr>
    </w:p>
    <w:p>
      <w:pPr>
        <w:ind w:left="880" w:hanging="361"/>
        <w:spacing w:after="0"/>
        <w:tabs>
          <w:tab w:leader="none" w:pos="88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right="3179" w:firstLine="872"/>
        <w:spacing w:after="0" w:line="238" w:lineRule="auto"/>
        <w:tabs>
          <w:tab w:leader="none" w:pos="1234"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Registration Rights. The Company may grant registration rights that would permit any Person that is a third party the right to piggy-back on any Shelf Registration Statement, provided that if the Managing Underwriter of any underwritten offering conducted pursuant to Section 6 hereof notifies the Company and the Electing Holders that the total amount of securities which the Electing Holders and the holders of such piggy-back rights intend to include in any Shelf Registration Statement is so large as to materially threaten the success of such offering (including the price at which such securities can be sold), then the amount, number or kind of securities to be offered for the account of holders of such piggy-back rights will be reduced to the extent necessary to reduce the total amount of securities to be included in such offering to the amount, number and kind recommended by the Managing Underwriter prior to any reduction in the amount of Registrable Securities to be included in such Shelf Registration Statement.</w:t>
      </w:r>
    </w:p>
    <w:p>
      <w:pPr>
        <w:spacing w:after="0" w:line="183" w:lineRule="exact"/>
        <w:rPr>
          <w:rFonts w:ascii="Courier New" w:cs="Courier New" w:eastAsia="Courier New" w:hAnsi="Courier New"/>
          <w:sz w:val="15"/>
          <w:szCs w:val="15"/>
          <w:color w:val="auto"/>
        </w:rPr>
      </w:pPr>
    </w:p>
    <w:p>
      <w:pPr>
        <w:ind w:right="3259" w:firstLine="872"/>
        <w:spacing w:after="0" w:line="257" w:lineRule="auto"/>
        <w:tabs>
          <w:tab w:leader="none" w:pos="1234"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parties hereto acknowledge that there would be no adequate remedy at law if the Company fails to perform any of its obligations hereunder and that the Purchasers and the Holders from time to time may be irreparably harmed by any such failure, and accordingly agree that the Purchasers and such Holders, in addition to any other remedy to which they may be entitled at law or in equity and without limiting the remedies available to the Electing Holders under Section 7 hereof, shall be entitled to compel specific performance of the obligations of the Company under this Agreement in accordance with the terms and conditions of this Registration Rights Agreement, in any court of the United States or any State thereof having jurisdiction.</w:t>
      </w:r>
    </w:p>
    <w:p>
      <w:pPr>
        <w:spacing w:after="0" w:line="166" w:lineRule="exact"/>
        <w:rPr>
          <w:rFonts w:ascii="Courier New" w:cs="Courier New" w:eastAsia="Courier New" w:hAnsi="Courier New"/>
          <w:sz w:val="14"/>
          <w:szCs w:val="14"/>
          <w:color w:val="auto"/>
        </w:rPr>
      </w:pPr>
    </w:p>
    <w:p>
      <w:pPr>
        <w:ind w:right="3259" w:firstLine="872"/>
        <w:spacing w:after="0" w:line="256" w:lineRule="auto"/>
        <w:tabs>
          <w:tab w:leader="none" w:pos="1234"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This Agreement, including this Section 8(c), may be amended, and waivers or consents to departures from the provisions hereof may be given, only by a written instrument duly executed by the Company and the holders of a majority in aggregate principal amount of Registrable Securities then outstanding. Each Holder of Registrable Securities outstanding at the time of any such amendment, waiver or consent or thereafter shall be bound by any amendment, waiver or consent effected pursuant to this Section</w:t>
      </w:r>
    </w:p>
    <w:p>
      <w:pPr>
        <w:spacing w:after="0" w:line="2" w:lineRule="exact"/>
        <w:rPr>
          <w:rFonts w:ascii="Courier New" w:cs="Courier New" w:eastAsia="Courier New" w:hAnsi="Courier New"/>
          <w:sz w:val="14"/>
          <w:szCs w:val="14"/>
          <w:color w:val="auto"/>
        </w:rPr>
      </w:pPr>
    </w:p>
    <w:p>
      <w:pPr>
        <w:ind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8(c), whether or not any notice, writing or marking indicating such amendment, waiver or consent appears on the Registrable Securities or is delivered to such Holder.</w:t>
      </w:r>
    </w:p>
    <w:p>
      <w:pPr>
        <w:spacing w:after="0" w:line="174" w:lineRule="exact"/>
        <w:rPr>
          <w:rFonts w:ascii="Courier New" w:cs="Courier New" w:eastAsia="Courier New" w:hAnsi="Courier New"/>
          <w:sz w:val="14"/>
          <w:szCs w:val="14"/>
          <w:color w:val="auto"/>
        </w:rPr>
      </w:pPr>
    </w:p>
    <w:p>
      <w:pPr>
        <w:ind w:right="3539" w:firstLine="872"/>
        <w:spacing w:after="0" w:line="235" w:lineRule="auto"/>
        <w:tabs>
          <w:tab w:leader="none" w:pos="1234"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provided for or permitted hereunder shall be given as provided in the Indenture.</w:t>
      </w:r>
    </w:p>
    <w:p>
      <w:pPr>
        <w:spacing w:after="0" w:line="175" w:lineRule="exact"/>
        <w:rPr>
          <w:rFonts w:ascii="Courier New" w:cs="Courier New" w:eastAsia="Courier New" w:hAnsi="Courier New"/>
          <w:sz w:val="15"/>
          <w:szCs w:val="15"/>
          <w:color w:val="auto"/>
        </w:rPr>
      </w:pPr>
    </w:p>
    <w:p>
      <w:pPr>
        <w:ind w:right="3259" w:firstLine="872"/>
        <w:spacing w:after="0" w:line="238" w:lineRule="auto"/>
        <w:tabs>
          <w:tab w:leader="none" w:pos="1234"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The parties to this Agreement intend that all Holders of Registrable Securities shall be entitled to receive the benefits of this Agreement and that any Electing Holder shall be bound by the terms and provisions of this Agreement by reason of such election with respect to the Registrable Securities which are included in a Shelf Registration Statement. All the terms and provisions of this Agreement shall be binding upon, shall inure to the benefit of and shall be enforceable by the respective successors and assigns of the parties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1" w:name="page182"/>
    <w:bookmarkEnd w:id="181"/>
    <w:p>
      <w:pPr>
        <w:ind w:right="3179"/>
        <w:spacing w:after="0" w:line="238" w:lineRule="auto"/>
        <w:rPr>
          <w:sz w:val="20"/>
          <w:szCs w:val="20"/>
          <w:color w:val="auto"/>
        </w:rPr>
      </w:pPr>
      <w:r>
        <w:rPr>
          <w:rFonts w:ascii="Courier New" w:cs="Courier New" w:eastAsia="Courier New" w:hAnsi="Courier New"/>
          <w:sz w:val="15"/>
          <w:szCs w:val="15"/>
          <w:color w:val="auto"/>
        </w:rPr>
        <w:t>hereto and any Holder from time to time of the Registrable Securities to the aforesaid extent. In the event that any transferee of any Holder of Registrable Securities shall acquire Registrable Securities, in any manner, whether by gift, bequest, purchase, operation of law or otherwise, such transferee shall, without any further writing or action of any kind, be entitled to receive the benefits of and, if an Electing Holder, be conclusively deemed to have agreed to be bound by and to perform all of the terms and provisions of this Agreement to the aforesaid extent.</w:t>
      </w:r>
    </w:p>
    <w:p>
      <w:pPr>
        <w:spacing w:after="0" w:line="178" w:lineRule="exact"/>
        <w:rPr>
          <w:sz w:val="20"/>
          <w:szCs w:val="20"/>
          <w:color w:val="auto"/>
        </w:rPr>
      </w:pPr>
    </w:p>
    <w:p>
      <w:pPr>
        <w:ind w:right="3359" w:firstLine="872"/>
        <w:spacing w:after="0" w:line="237" w:lineRule="auto"/>
        <w:tabs>
          <w:tab w:leader="none" w:pos="1234"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76" w:lineRule="exact"/>
        <w:rPr>
          <w:rFonts w:ascii="Courier New" w:cs="Courier New" w:eastAsia="Courier New" w:hAnsi="Courier New"/>
          <w:sz w:val="15"/>
          <w:szCs w:val="15"/>
          <w:color w:val="auto"/>
        </w:rPr>
      </w:pPr>
    </w:p>
    <w:p>
      <w:pPr>
        <w:ind w:right="3359" w:firstLine="872"/>
        <w:spacing w:after="0" w:line="265" w:lineRule="auto"/>
        <w:tabs>
          <w:tab w:leader="none" w:pos="1234"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in this agreement are for convenience of reference only and shall not limit or otherwise affect the meaning hereof.</w:t>
      </w:r>
    </w:p>
    <w:p>
      <w:pPr>
        <w:spacing w:after="0" w:line="158" w:lineRule="exact"/>
        <w:rPr>
          <w:rFonts w:ascii="Courier New" w:cs="Courier New" w:eastAsia="Courier New" w:hAnsi="Courier New"/>
          <w:sz w:val="14"/>
          <w:szCs w:val="14"/>
          <w:color w:val="auto"/>
        </w:rPr>
      </w:pPr>
    </w:p>
    <w:p>
      <w:pPr>
        <w:ind w:right="3259" w:firstLine="872"/>
        <w:spacing w:after="0" w:line="235" w:lineRule="auto"/>
        <w:tabs>
          <w:tab w:leader="none" w:pos="1234"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w:t>
      </w:r>
    </w:p>
    <w:p>
      <w:pPr>
        <w:spacing w:after="0" w:line="175" w:lineRule="exact"/>
        <w:rPr>
          <w:rFonts w:ascii="Courier New" w:cs="Courier New" w:eastAsia="Courier New" w:hAnsi="Courier New"/>
          <w:sz w:val="15"/>
          <w:szCs w:val="15"/>
          <w:color w:val="auto"/>
        </w:rPr>
      </w:pPr>
    </w:p>
    <w:p>
      <w:pPr>
        <w:ind w:right="3179" w:firstLine="872"/>
        <w:spacing w:after="0" w:line="257" w:lineRule="auto"/>
        <w:tabs>
          <w:tab w:leader="none" w:pos="1234"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hereto shall be enforceable to the fullest extent permitted by law.</w:t>
      </w:r>
    </w:p>
    <w:p>
      <w:pPr>
        <w:spacing w:after="0" w:line="167" w:lineRule="exact"/>
        <w:rPr>
          <w:rFonts w:ascii="Courier New" w:cs="Courier New" w:eastAsia="Courier New" w:hAnsi="Courier New"/>
          <w:sz w:val="14"/>
          <w:szCs w:val="14"/>
          <w:color w:val="auto"/>
        </w:rPr>
      </w:pPr>
    </w:p>
    <w:p>
      <w:pPr>
        <w:ind w:right="3179" w:firstLine="872"/>
        <w:spacing w:after="0" w:line="238" w:lineRule="auto"/>
        <w:tabs>
          <w:tab w:leader="none" w:pos="1234"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respective indemnities, agreements, representations, warranties and other provisions set forth in this Agreement or made pursuant hereto shall remain in full force and effect, regardless of any investigation (or any statement as to the results thereof) made by or on behalf of any Electing Holder, any director, officer or partner of such Electing Holder, any agent or underwriter, any director, officer or partner of such agent or underwriter, or any controlling person of any of the foregoing, and shall survive the transfer and registration of the Registrable Securities of such Electing Holder.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182" w:name="page183"/>
    <w:bookmarkEnd w:id="182"/>
    <w:p>
      <w:pPr>
        <w:ind w:right="3359" w:firstLine="881"/>
        <w:spacing w:after="0" w:line="235" w:lineRule="auto"/>
        <w:rPr>
          <w:sz w:val="20"/>
          <w:szCs w:val="20"/>
          <w:color w:val="auto"/>
        </w:rPr>
      </w:pPr>
      <w:r>
        <w:rPr>
          <w:rFonts w:ascii="Courier New" w:cs="Courier New" w:eastAsia="Courier New" w:hAnsi="Courier New"/>
          <w:sz w:val="15"/>
          <w:szCs w:val="15"/>
          <w:color w:val="auto"/>
        </w:rPr>
        <w:t>Please confirm that the foregoing correctly sets forth the agreement between the Company and you.</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Analog Devices, Inc.</w:t>
      </w:r>
    </w:p>
    <w:p>
      <w:pPr>
        <w:spacing w:after="0" w:line="339"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Joseph E. McDonough</w:t>
      </w:r>
    </w:p>
    <w:p>
      <w:pPr>
        <w:ind w:left="3600"/>
        <w:spacing w:after="0"/>
        <w:rPr>
          <w:sz w:val="20"/>
          <w:szCs w:val="20"/>
          <w:color w:val="auto"/>
        </w:rPr>
      </w:pPr>
      <w:r>
        <w:rPr>
          <w:rFonts w:ascii="Courier New" w:cs="Courier New" w:eastAsia="Courier New" w:hAnsi="Courier New"/>
          <w:sz w:val="15"/>
          <w:szCs w:val="15"/>
          <w:color w:val="auto"/>
        </w:rPr>
        <w:t>------------------------------------</w:t>
      </w: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Name:</w:t>
        <w:tab/>
        <w:t>Joseph E. McDonough</w:t>
      </w:r>
    </w:p>
    <w:p>
      <w:pPr>
        <w:ind w:left="3160"/>
        <w:spacing w:after="0" w:line="238" w:lineRule="auto"/>
        <w:rPr>
          <w:sz w:val="20"/>
          <w:szCs w:val="20"/>
          <w:color w:val="auto"/>
        </w:rPr>
      </w:pPr>
      <w:r>
        <w:rPr>
          <w:rFonts w:ascii="Courier New" w:cs="Courier New" w:eastAsia="Courier New" w:hAnsi="Courier New"/>
          <w:sz w:val="15"/>
          <w:szCs w:val="15"/>
          <w:color w:val="auto"/>
        </w:rPr>
        <w:t>Title: Vice President-Finance and Chief</w:t>
      </w:r>
    </w:p>
    <w:p>
      <w:pPr>
        <w:ind w:left="3780"/>
        <w:spacing w:after="0"/>
        <w:rPr>
          <w:sz w:val="20"/>
          <w:szCs w:val="20"/>
          <w:color w:val="auto"/>
        </w:rPr>
      </w:pPr>
      <w:r>
        <w:rPr>
          <w:rFonts w:ascii="Courier New" w:cs="Courier New" w:eastAsia="Courier New" w:hAnsi="Courier New"/>
          <w:sz w:val="15"/>
          <w:szCs w:val="15"/>
          <w:color w:val="auto"/>
        </w:rPr>
        <w:t>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rPr>
          <w:sz w:val="20"/>
          <w:szCs w:val="20"/>
          <w:color w:val="auto"/>
        </w:rPr>
      </w:pPr>
      <w:r>
        <w:rPr>
          <w:rFonts w:ascii="Courier New" w:cs="Courier New" w:eastAsia="Courier New" w:hAnsi="Courier New"/>
          <w:sz w:val="15"/>
          <w:szCs w:val="15"/>
          <w:color w:val="auto"/>
        </w:rPr>
        <w:t>Goldman, Sachs &amp; Co.,</w:t>
      </w:r>
    </w:p>
    <w:p>
      <w:pPr>
        <w:spacing w:after="0"/>
        <w:rPr>
          <w:sz w:val="20"/>
          <w:szCs w:val="20"/>
          <w:color w:val="auto"/>
        </w:rPr>
      </w:pPr>
      <w:r>
        <w:rPr>
          <w:rFonts w:ascii="Courier New" w:cs="Courier New" w:eastAsia="Courier New" w:hAnsi="Courier New"/>
          <w:sz w:val="15"/>
          <w:szCs w:val="15"/>
          <w:color w:val="auto"/>
        </w:rPr>
        <w:t>SG Cowen Securities Corporation</w:t>
      </w:r>
    </w:p>
    <w:p>
      <w:pPr>
        <w:spacing w:after="0" w:line="238" w:lineRule="auto"/>
        <w:rPr>
          <w:sz w:val="20"/>
          <w:szCs w:val="20"/>
          <w:color w:val="auto"/>
        </w:rPr>
      </w:pPr>
      <w:r>
        <w:rPr>
          <w:rFonts w:ascii="Courier New" w:cs="Courier New" w:eastAsia="Courier New" w:hAnsi="Courier New"/>
          <w:sz w:val="15"/>
          <w:szCs w:val="15"/>
          <w:color w:val="auto"/>
        </w:rPr>
        <w:t>Salomon Smith Barney Inc.</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Goldman, Sachs &amp; Co.</w:t>
      </w:r>
    </w:p>
    <w:p>
      <w:pPr>
        <w:ind w:left="700"/>
        <w:spacing w:after="0"/>
        <w:rPr>
          <w:sz w:val="20"/>
          <w:szCs w:val="20"/>
          <w:color w:val="auto"/>
        </w:rPr>
      </w:pPr>
      <w:r>
        <w:rPr>
          <w:rFonts w:ascii="Courier New" w:cs="Courier New" w:eastAsia="Courier New" w:hAnsi="Courier New"/>
          <w:sz w:val="15"/>
          <w:szCs w:val="15"/>
          <w:color w:val="auto"/>
        </w:rPr>
        <w:t>--------------------------------</w:t>
      </w:r>
    </w:p>
    <w:p>
      <w:pPr>
        <w:ind w:left="600"/>
        <w:spacing w:after="0"/>
        <w:rPr>
          <w:sz w:val="20"/>
          <w:szCs w:val="20"/>
          <w:color w:val="auto"/>
        </w:rPr>
      </w:pPr>
      <w:r>
        <w:rPr>
          <w:rFonts w:ascii="Courier New" w:cs="Courier New" w:eastAsia="Courier New" w:hAnsi="Courier New"/>
          <w:sz w:val="15"/>
          <w:szCs w:val="15"/>
          <w:color w:val="auto"/>
        </w:rPr>
        <w:t>Goldman, Sachs &amp; Co.</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183" w:name="page184"/>
    <w:bookmarkEnd w:id="183"/>
    <w:p>
      <w:pPr>
        <w:jc w:val="right"/>
        <w:ind w:right="3179"/>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INSTRUCTION TO DTC PARTICIPANTS</w:t>
      </w:r>
    </w:p>
    <w:p>
      <w:pPr>
        <w:ind w:left="21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(Date of Mailing)</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URGENT - IMMEDIATE ATTENTION REQUESTED</w:t>
      </w:r>
    </w:p>
    <w:p>
      <w:pPr>
        <w:spacing w:after="0" w:line="169" w:lineRule="exact"/>
        <w:rPr>
          <w:sz w:val="20"/>
          <w:szCs w:val="20"/>
          <w:color w:val="auto"/>
        </w:rPr>
      </w:pPr>
    </w:p>
    <w:p>
      <w:pPr>
        <w:ind w:left="2200"/>
        <w:spacing w:after="0"/>
        <w:tabs>
          <w:tab w:leader="none" w:pos="4280" w:val="left"/>
        </w:tabs>
        <w:rPr>
          <w:sz w:val="20"/>
          <w:szCs w:val="20"/>
          <w:color w:val="auto"/>
        </w:rPr>
      </w:pPr>
      <w:r>
        <w:rPr>
          <w:rFonts w:ascii="Courier New" w:cs="Courier New" w:eastAsia="Courier New" w:hAnsi="Courier New"/>
          <w:sz w:val="15"/>
          <w:szCs w:val="15"/>
          <w:color w:val="auto"/>
        </w:rPr>
        <w:t>DEADLINE FOR RESPONSE:</w:t>
        <w:tab/>
        <w:t>[DATE]</w:t>
      </w:r>
    </w:p>
    <w:p>
      <w:pPr>
        <w:ind w:left="220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The Depository Trust Company ("DTC") has identified you as a DTC Participant through which beneficial interests in the Analog Devices, Inc. (the "Company") 4.75% Convertible Subordinated Notes due 2005 and the shares of Common Stock issuable upon conversion of such securities (collectively, the "Securities") are held.</w:t>
      </w:r>
    </w:p>
    <w:p>
      <w:pPr>
        <w:spacing w:after="0" w:line="178"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The Company is in the process of registering the Securities under the Securities Act of 1933 for resale by the beneficial owners thereof. In order to have their Securities included in the registration statement, beneficial owners must complete and return the enclosed Notice of Registration Statement and Selling Securityholder Questionnaire.</w:t>
      </w:r>
    </w:p>
    <w:p>
      <w:pPr>
        <w:spacing w:after="0" w:line="178"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It is important that beneficial owners of the Securities receive a copy of the enclosed materials as soon as possible as their rights to have the Securities included in the registration statement depend upon their returning the Notice and Questionnaire by [DEADLINE FOR RESPONSE]. Please forward a copy of the enclosed documents to each beneficial owner that holds interests in the Securities through you. If you require more copies of the enclosed materials or have any questions pertaining to this matter, please contact:</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Analog Devices, Inc.</w:t>
      </w:r>
    </w:p>
    <w:p>
      <w:pPr>
        <w:ind w:left="1760"/>
        <w:spacing w:after="0"/>
        <w:rPr>
          <w:sz w:val="20"/>
          <w:szCs w:val="20"/>
          <w:color w:val="auto"/>
        </w:rPr>
      </w:pPr>
      <w:r>
        <w:rPr>
          <w:rFonts w:ascii="Courier New" w:cs="Courier New" w:eastAsia="Courier New" w:hAnsi="Courier New"/>
          <w:sz w:val="15"/>
          <w:szCs w:val="15"/>
          <w:color w:val="auto"/>
        </w:rPr>
        <w:t>One Technology Way</w:t>
      </w:r>
    </w:p>
    <w:p>
      <w:pPr>
        <w:ind w:left="1760"/>
        <w:spacing w:after="0"/>
        <w:tabs>
          <w:tab w:leader="none" w:pos="2880" w:val="left"/>
        </w:tabs>
        <w:rPr>
          <w:sz w:val="20"/>
          <w:szCs w:val="20"/>
          <w:color w:val="auto"/>
        </w:rPr>
      </w:pPr>
      <w:r>
        <w:rPr>
          <w:rFonts w:ascii="Courier New" w:cs="Courier New" w:eastAsia="Courier New" w:hAnsi="Courier New"/>
          <w:sz w:val="15"/>
          <w:szCs w:val="15"/>
          <w:color w:val="auto"/>
        </w:rPr>
        <w:t>Norwood, MA</w:t>
      </w:r>
      <w:r>
        <w:rPr>
          <w:sz w:val="20"/>
          <w:szCs w:val="20"/>
          <w:color w:val="auto"/>
        </w:rPr>
        <w:tab/>
      </w:r>
      <w:r>
        <w:rPr>
          <w:rFonts w:ascii="Courier New" w:cs="Courier New" w:eastAsia="Courier New" w:hAnsi="Courier New"/>
          <w:sz w:val="14"/>
          <w:szCs w:val="14"/>
          <w:color w:val="auto"/>
        </w:rPr>
        <w:t>02062</w:t>
      </w:r>
    </w:p>
    <w:p>
      <w:pPr>
        <w:ind w:left="1760"/>
        <w:spacing w:after="0" w:line="238" w:lineRule="auto"/>
        <w:tabs>
          <w:tab w:leader="none" w:pos="280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1440" w:gutter="0" w:footer="0" w:header="0"/>
        </w:sectPr>
      </w:pPr>
    </w:p>
    <w:bookmarkStart w:id="184" w:name="page185"/>
    <w:bookmarkEnd w:id="184"/>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REGISTRATION STATEMENT</w:t>
      </w:r>
    </w:p>
    <w:p>
      <w:pPr>
        <w:jc w:val="center"/>
        <w:ind w:right="3259"/>
        <w:spacing w:after="0"/>
        <w:rPr>
          <w:sz w:val="20"/>
          <w:szCs w:val="20"/>
          <w:color w:val="auto"/>
        </w:rPr>
      </w:pPr>
      <w:r>
        <w:rPr>
          <w:rFonts w:ascii="Courier New" w:cs="Courier New" w:eastAsia="Courier New" w:hAnsi="Courier New"/>
          <w:sz w:val="15"/>
          <w:szCs w:val="15"/>
          <w:color w:val="auto"/>
        </w:rPr>
        <w:t>AND</w:t>
      </w:r>
    </w:p>
    <w:p>
      <w:pPr>
        <w:jc w:val="center"/>
        <w:ind w:right="3179"/>
        <w:spacing w:after="0"/>
        <w:rPr>
          <w:sz w:val="20"/>
          <w:szCs w:val="20"/>
          <w:color w:val="auto"/>
        </w:rPr>
      </w:pPr>
      <w:r>
        <w:rPr>
          <w:rFonts w:ascii="Courier New" w:cs="Courier New" w:eastAsia="Courier New" w:hAnsi="Courier New"/>
          <w:sz w:val="15"/>
          <w:szCs w:val="15"/>
          <w:color w:val="auto"/>
        </w:rPr>
        <w:t>SELLING SECURITYHOLDER QUESTIONNAIRE</w:t>
      </w:r>
    </w:p>
    <w:p>
      <w:pPr>
        <w:jc w:val="center"/>
        <w:ind w:right="3179"/>
        <w:spacing w:after="0" w:line="238" w:lineRule="auto"/>
        <w:rPr>
          <w:sz w:val="20"/>
          <w:szCs w:val="20"/>
          <w:color w:val="auto"/>
        </w:rPr>
      </w:pPr>
      <w:r>
        <w:rPr>
          <w:rFonts w:ascii="Courier New" w:cs="Courier New" w:eastAsia="Courier New" w:hAnsi="Courier New"/>
          <w:sz w:val="15"/>
          <w:szCs w:val="15"/>
          <w:color w:val="auto"/>
        </w:rPr>
        <w:t>(DATE)</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Analog Devices, Inc. (the "Company") has filed or intends shortly to file with the United States Securities and Exchange Commission (the "Commission") a preliminary registration statement on Form S-3 (the "Shelf Registration Statement") for the registration and resale under the United States Securities Act of 1933, as amended (the "Securities Act"), of the Company's 4.75% Convertible Subordinated Notes due 2005 (CUSIP No. 032654AC9) (the "Notes"), and Common Stock issuable upon conversion thereof, in accordance with the terms of the Registration Rights Agreement, dated as of October 2, 2000 (the "Registration Rights Agreement") between the Company and the purchasers named therein (the "Purchasers"). A copy of the Registration Rights Agreement is attached hereto. All capitalized terms not otherwise defined herein shall have the meanings ascribed thereto in the Registration Rights Agreement.</w:t>
      </w:r>
    </w:p>
    <w:p>
      <w:pPr>
        <w:spacing w:after="0" w:line="182" w:lineRule="exact"/>
        <w:rPr>
          <w:sz w:val="20"/>
          <w:szCs w:val="20"/>
          <w:color w:val="auto"/>
        </w:rPr>
      </w:pPr>
    </w:p>
    <w:p>
      <w:pPr>
        <w:ind w:right="3259" w:firstLine="176"/>
        <w:spacing w:after="0" w:line="257" w:lineRule="auto"/>
        <w:rPr>
          <w:sz w:val="20"/>
          <w:szCs w:val="20"/>
          <w:color w:val="auto"/>
        </w:rPr>
      </w:pPr>
      <w:r>
        <w:rPr>
          <w:rFonts w:ascii="Courier New" w:cs="Courier New" w:eastAsia="Courier New" w:hAnsi="Courier New"/>
          <w:sz w:val="14"/>
          <w:szCs w:val="14"/>
          <w:color w:val="auto"/>
        </w:rPr>
        <w:t>In order to have Registrable Securities included in the Shelf Registration Statement (or a supplement or amendment thereto), this Notice of Registration Statement and Selling Securityholder Questionnaire ("Notice and Questionnaire") must be completed, executed and delivered to the Company at the address set forth herein for receipt ON OR BEFORE [insert date] (the "Questionnaire Deadline"). Unless the Company otherwise consents, beneficial owners of Registrable Securities who do not complete, execute and return this Notice and Questionnaire by such date (i) will not be named as selling securityholders in the Shelf Registration Statement (or a supplement or amendment thereto) and related Prospectus and (ii) may not sell their Registrable Securities pursuant thereto. Beneficial owners of Registrable Securities not having returned a Notice and Questionnaire by the Questionnaire Deadline may, however, receive another Notice and Questionnaire from the Company upon request.</w:t>
      </w:r>
    </w:p>
    <w:p>
      <w:pPr>
        <w:spacing w:after="0" w:line="16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Certain legal consequences arise from being named as a selling securityholder in the Shelf Registration Statement and related Prospectus. Accordingly, holders and beneficial owners of Registrable Securities are advised to consult their own securities law counsel regarding the consequences of being named or not being named as a selling securityholder in the Shelf Registration Statement and related Prospectus.</w:t>
      </w:r>
    </w:p>
    <w:p>
      <w:pPr>
        <w:spacing w:after="0" w:line="176"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The term "Registrable Securities" is defined in the Registration Rights Agreement to mean all or any portion of the Notes issued under the Indenture and the Common Stock issuable upon conversion of such Notes, provided, however, that a security ceases to be a Registrable Security when it is no longer a Restricted Security.</w:t>
      </w:r>
    </w:p>
    <w:p>
      <w:pPr>
        <w:spacing w:after="0" w:line="178"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term "Restricted Security" is defined in the Registration Rights Agreement to mean any Note or Common Stock issuable upon conversion thereof except any such Note or Common Stock which (i) has been registered pursuant to an effective registration statement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or (iii) has otherwise been transferred and a new Note or share of</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185" w:name="page186"/>
    <w:bookmarkEnd w:id="185"/>
    <w:p>
      <w:pPr>
        <w:ind w:left="10" w:right="3259"/>
        <w:spacing w:after="0" w:line="265" w:lineRule="auto"/>
        <w:rPr>
          <w:sz w:val="20"/>
          <w:szCs w:val="20"/>
          <w:color w:val="auto"/>
        </w:rPr>
      </w:pPr>
      <w:r>
        <w:rPr>
          <w:rFonts w:ascii="Courier New" w:cs="Courier New" w:eastAsia="Courier New" w:hAnsi="Courier New"/>
          <w:sz w:val="14"/>
          <w:szCs w:val="14"/>
          <w:color w:val="auto"/>
        </w:rPr>
        <w:t>Common Stock not subject to transfer restrictions under the Securities Act has been delivered by or on behalf of the Company in accordance with the Indenture.</w:t>
      </w:r>
    </w:p>
    <w:p>
      <w:pPr>
        <w:spacing w:after="0" w:line="322"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ELECTION</w:t>
      </w:r>
    </w:p>
    <w:p>
      <w:pPr>
        <w:spacing w:after="0" w:line="175" w:lineRule="exact"/>
        <w:rPr>
          <w:sz w:val="20"/>
          <w:szCs w:val="20"/>
          <w:color w:val="auto"/>
        </w:rPr>
      </w:pPr>
    </w:p>
    <w:p>
      <w:pPr>
        <w:ind w:left="10" w:right="3179" w:firstLine="176"/>
        <w:spacing w:after="0" w:line="238" w:lineRule="auto"/>
        <w:rPr>
          <w:sz w:val="20"/>
          <w:szCs w:val="20"/>
          <w:color w:val="auto"/>
        </w:rPr>
      </w:pPr>
      <w:r>
        <w:rPr>
          <w:rFonts w:ascii="Courier New" w:cs="Courier New" w:eastAsia="Courier New" w:hAnsi="Courier New"/>
          <w:sz w:val="15"/>
          <w:szCs w:val="15"/>
          <w:color w:val="auto"/>
        </w:rPr>
        <w:t>The undersigned holder (the "Selling Securityholder") of Registrable Securities hereby elects to include in the Shelf Registration Statement the Registrable Securities beneficially owned by it and listed below in Item (3) (unless otherwise specified under Item 3). The undersigned, by signing and returning this Notice and Questionnaire, agrees to be bound with respect to such Registrable Securities by the terms and conditions of this Notice and Questionnaire and the Registration Rights Agreement, including, without limitation, Section 5 of the Registration Rights Agreement, as if the undersigned Selling Securityholder were an original party thereto.</w:t>
      </w:r>
    </w:p>
    <w:p>
      <w:pPr>
        <w:spacing w:after="0" w:line="179" w:lineRule="exact"/>
        <w:rPr>
          <w:sz w:val="20"/>
          <w:szCs w:val="20"/>
          <w:color w:val="auto"/>
        </w:rPr>
      </w:pPr>
    </w:p>
    <w:p>
      <w:pPr>
        <w:ind w:left="10" w:right="3179" w:firstLine="176"/>
        <w:spacing w:after="0" w:line="237" w:lineRule="auto"/>
        <w:rPr>
          <w:sz w:val="20"/>
          <w:szCs w:val="20"/>
          <w:color w:val="auto"/>
        </w:rPr>
      </w:pPr>
      <w:r>
        <w:rPr>
          <w:rFonts w:ascii="Courier New" w:cs="Courier New" w:eastAsia="Courier New" w:hAnsi="Courier New"/>
          <w:sz w:val="15"/>
          <w:szCs w:val="15"/>
          <w:color w:val="auto"/>
        </w:rPr>
        <w:t>Upon any sale of Registrable Securities pursuant to the Shelf Registration Statement, the Selling Securityholder will be required to deliver to the Company and the Trustee the Notice of Transfer (completed and signed) set forth in Exhibit 1 attached to this Notice and Questionnaire and hereby undertakes to do so.</w:t>
      </w:r>
    </w:p>
    <w:p>
      <w:pPr>
        <w:spacing w:after="0" w:line="178" w:lineRule="exact"/>
        <w:rPr>
          <w:sz w:val="20"/>
          <w:szCs w:val="20"/>
          <w:color w:val="auto"/>
        </w:rPr>
      </w:pPr>
    </w:p>
    <w:p>
      <w:pPr>
        <w:ind w:left="10" w:right="3439" w:firstLine="176"/>
        <w:spacing w:after="0" w:line="237" w:lineRule="auto"/>
        <w:rPr>
          <w:sz w:val="20"/>
          <w:szCs w:val="20"/>
          <w:color w:val="auto"/>
        </w:rPr>
      </w:pPr>
      <w:r>
        <w:rPr>
          <w:rFonts w:ascii="Courier New" w:cs="Courier New" w:eastAsia="Courier New" w:hAnsi="Courier New"/>
          <w:sz w:val="15"/>
          <w:szCs w:val="15"/>
          <w:color w:val="auto"/>
        </w:rPr>
        <w:t>The Selling Securityholder hereby provides the following information to the Company and represents and warrants that such information is accurate and complete:</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QUESTIONNAIRE</w:t>
      </w:r>
    </w:p>
    <w:p>
      <w:pPr>
        <w:spacing w:after="0" w:line="169" w:lineRule="exact"/>
        <w:rPr>
          <w:sz w:val="20"/>
          <w:szCs w:val="20"/>
          <w:color w:val="auto"/>
        </w:rPr>
      </w:pPr>
    </w:p>
    <w:p>
      <w:pPr>
        <w:ind w:left="350" w:hanging="350"/>
        <w:spacing w:after="0"/>
        <w:tabs>
          <w:tab w:leader="none" w:pos="35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Full Legal Name of Selling Securityholder:</w:t>
      </w:r>
    </w:p>
    <w:p>
      <w:pPr>
        <w:spacing w:after="0" w:line="174" w:lineRule="exact"/>
        <w:rPr>
          <w:rFonts w:ascii="Courier New" w:cs="Courier New" w:eastAsia="Courier New" w:hAnsi="Courier New"/>
          <w:sz w:val="15"/>
          <w:szCs w:val="15"/>
          <w:color w:val="auto"/>
        </w:rPr>
      </w:pPr>
    </w:p>
    <w:p>
      <w:pPr>
        <w:ind w:left="790" w:right="3259" w:hanging="437"/>
        <w:spacing w:after="0" w:line="235" w:lineRule="auto"/>
        <w:tabs>
          <w:tab w:leader="none" w:pos="790"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Legal Name of Registered Holder (if not the same as in (a) above) of Registrable Securities Listed in Item (3) below:</w:t>
      </w:r>
    </w:p>
    <w:p>
      <w:pPr>
        <w:spacing w:after="0" w:line="175" w:lineRule="exact"/>
        <w:rPr>
          <w:rFonts w:ascii="Courier New" w:cs="Courier New" w:eastAsia="Courier New" w:hAnsi="Courier New"/>
          <w:sz w:val="15"/>
          <w:szCs w:val="15"/>
          <w:color w:val="auto"/>
        </w:rPr>
      </w:pPr>
    </w:p>
    <w:p>
      <w:pPr>
        <w:jc w:val="both"/>
        <w:ind w:left="790" w:right="3359" w:hanging="437"/>
        <w:spacing w:after="0" w:line="237" w:lineRule="auto"/>
        <w:tabs>
          <w:tab w:leader="none" w:pos="790"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Legal Name of DTC Participant (if applicable and if not the same as (b) above) Through Which Registrable Securities Listed in Item (3) below are held:</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 for Notices to Selling Securityholder:</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Contact:</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Registrable Securities:</w:t>
      </w:r>
    </w:p>
    <w:p>
      <w:pPr>
        <w:spacing w:after="0" w:line="174" w:lineRule="exact"/>
        <w:rPr>
          <w:rFonts w:ascii="Courier New" w:cs="Courier New" w:eastAsia="Courier New" w:hAnsi="Courier New"/>
          <w:sz w:val="15"/>
          <w:szCs w:val="15"/>
          <w:color w:val="auto"/>
        </w:rPr>
      </w:pPr>
    </w:p>
    <w:p>
      <w:pPr>
        <w:ind w:left="3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below, the undersigned Selling Securityholder does not beneficially own any Notes or Common Stock previously issued upon conversion, repurchase or redemption</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8" w:right="1440" w:bottom="1440" w:gutter="0" w:footer="0" w:header="0"/>
        </w:sectPr>
      </w:pPr>
    </w:p>
    <w:bookmarkStart w:id="186" w:name="page187"/>
    <w:bookmarkEnd w:id="186"/>
    <w:p>
      <w:pPr>
        <w:ind w:left="450"/>
        <w:spacing w:after="0"/>
        <w:rPr>
          <w:sz w:val="20"/>
          <w:szCs w:val="20"/>
          <w:color w:val="auto"/>
        </w:rPr>
      </w:pPr>
      <w:r>
        <w:rPr>
          <w:rFonts w:ascii="Courier New" w:cs="Courier New" w:eastAsia="Courier New" w:hAnsi="Courier New"/>
          <w:sz w:val="15"/>
          <w:szCs w:val="15"/>
          <w:color w:val="auto"/>
        </w:rPr>
        <w:t>of any Note.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Principal amount of Notes beneficially owned:</w:t>
      </w:r>
    </w:p>
    <w:p>
      <w:pPr>
        <w:spacing w:after="0" w:line="175"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Number of shares of Common Stock beneficially owned and issued to date upon conversion, repurchase or redemption of Notes (if any):</w:t>
      </w:r>
    </w:p>
    <w:p>
      <w:pPr>
        <w:spacing w:after="0" w:line="176" w:lineRule="exact"/>
        <w:rPr>
          <w:sz w:val="20"/>
          <w:szCs w:val="20"/>
          <w:color w:val="auto"/>
        </w:rPr>
      </w:pPr>
    </w:p>
    <w:p>
      <w:pPr>
        <w:ind w:left="450" w:right="3439"/>
        <w:spacing w:after="0" w:line="235" w:lineRule="auto"/>
        <w:rPr>
          <w:sz w:val="20"/>
          <w:szCs w:val="20"/>
          <w:color w:val="auto"/>
        </w:rPr>
      </w:pPr>
      <w:r>
        <w:rPr>
          <w:rFonts w:ascii="Courier New" w:cs="Courier New" w:eastAsia="Courier New" w:hAnsi="Courier New"/>
          <w:sz w:val="15"/>
          <w:szCs w:val="15"/>
          <w:color w:val="auto"/>
        </w:rPr>
        <w:t>Principal amount of Notes which the undersigned wishes to be included in the Shelf Registration Statement:</w:t>
      </w:r>
    </w:p>
    <w:p>
      <w:pPr>
        <w:spacing w:after="0" w:line="176"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Number of shares of Common Stock (if any) issued upon conversion, repurchase or redemption of Registrable Securities which are to be included in the Shelf Registration Statement:</w:t>
      </w:r>
    </w:p>
    <w:p>
      <w:pPr>
        <w:spacing w:after="0" w:line="175" w:lineRule="exact"/>
        <w:rPr>
          <w:sz w:val="20"/>
          <w:szCs w:val="20"/>
          <w:color w:val="auto"/>
        </w:rPr>
      </w:pPr>
    </w:p>
    <w:p>
      <w:pPr>
        <w:ind w:left="450" w:right="3539" w:hanging="450"/>
        <w:spacing w:after="0" w:line="235" w:lineRule="auto"/>
        <w:tabs>
          <w:tab w:leader="none" w:pos="45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of Common Stock or other Notes of the Company owned by the Selling Securityholder:</w:t>
      </w:r>
    </w:p>
    <w:p>
      <w:pPr>
        <w:spacing w:after="0" w:line="176" w:lineRule="exact"/>
        <w:rPr>
          <w:sz w:val="20"/>
          <w:szCs w:val="20"/>
          <w:color w:val="auto"/>
        </w:rPr>
      </w:pPr>
    </w:p>
    <w:p>
      <w:pPr>
        <w:ind w:left="450" w:right="3539"/>
        <w:spacing w:after="0" w:line="237" w:lineRule="auto"/>
        <w:rPr>
          <w:sz w:val="20"/>
          <w:szCs w:val="20"/>
          <w:color w:val="auto"/>
        </w:rPr>
      </w:pPr>
      <w:r>
        <w:rPr>
          <w:rFonts w:ascii="Courier New" w:cs="Courier New" w:eastAsia="Courier New" w:hAnsi="Courier New"/>
          <w:sz w:val="15"/>
          <w:szCs w:val="15"/>
          <w:color w:val="auto"/>
        </w:rPr>
        <w:t>Except as set forth below, and under Item (3) above, the undersigned Selling Securityholder is not the beneficial or registered owner of any shares of Common Stock or any other securities of the Company.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State any exceptions here:</w:t>
      </w:r>
    </w:p>
    <w:p>
      <w:pPr>
        <w:spacing w:after="0" w:line="200" w:lineRule="exact"/>
        <w:rPr>
          <w:sz w:val="20"/>
          <w:szCs w:val="20"/>
          <w:color w:val="auto"/>
        </w:rPr>
      </w:pPr>
    </w:p>
    <w:p>
      <w:pPr>
        <w:spacing w:after="0" w:line="308" w:lineRule="exact"/>
        <w:rPr>
          <w:sz w:val="20"/>
          <w:szCs w:val="20"/>
          <w:color w:val="auto"/>
        </w:rPr>
      </w:pPr>
    </w:p>
    <w:p>
      <w:pPr>
        <w:ind w:left="450" w:hanging="450"/>
        <w:spacing w:after="0"/>
        <w:tabs>
          <w:tab w:leader="none" w:pos="45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Relationships with the Company:</w:t>
      </w:r>
    </w:p>
    <w:p>
      <w:pPr>
        <w:spacing w:after="0" w:line="175" w:lineRule="exact"/>
        <w:rPr>
          <w:sz w:val="20"/>
          <w:szCs w:val="20"/>
          <w:color w:val="auto"/>
        </w:rPr>
      </w:pPr>
    </w:p>
    <w:p>
      <w:pPr>
        <w:ind w:left="450" w:right="3439"/>
        <w:spacing w:after="0" w:line="237" w:lineRule="auto"/>
        <w:rPr>
          <w:sz w:val="20"/>
          <w:szCs w:val="20"/>
          <w:color w:val="auto"/>
        </w:rPr>
      </w:pPr>
      <w:r>
        <w:rPr>
          <w:rFonts w:ascii="Courier New" w:cs="Courier New" w:eastAsia="Courier New" w:hAnsi="Courier New"/>
          <w:sz w:val="15"/>
          <w:szCs w:val="15"/>
          <w:color w:val="auto"/>
        </w:rPr>
        <w:t>Except as set forth below, neither the Selling Securityholder nor any of its affiliates, officers, directors or principal equity holders (5% or more) has held any position or office or has had any other material relationship with the Company (or its predecessors or affiliates) during the past three years.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State any exceptions here:</w:t>
      </w:r>
    </w:p>
    <w:p>
      <w:pPr>
        <w:spacing w:after="0" w:line="200" w:lineRule="exact"/>
        <w:rPr>
          <w:sz w:val="20"/>
          <w:szCs w:val="20"/>
          <w:color w:val="auto"/>
        </w:rPr>
      </w:pPr>
    </w:p>
    <w:p>
      <w:pPr>
        <w:spacing w:after="0" w:line="308" w:lineRule="exact"/>
        <w:rPr>
          <w:sz w:val="20"/>
          <w:szCs w:val="20"/>
          <w:color w:val="auto"/>
        </w:rPr>
      </w:pPr>
    </w:p>
    <w:p>
      <w:pPr>
        <w:ind w:left="450" w:hanging="450"/>
        <w:spacing w:after="0"/>
        <w:tabs>
          <w:tab w:leader="none" w:pos="4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Distribution:</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set forth below, the undersigned Selling Securityholder intends to distribute the Registrable Securities listed above in Item (3) only as follows (if at all): Such Registrable Securities may be sold from time to time directly by the undersigned Selling Securityholder or, alternatively, through underwriters, broker-dealers or agents.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 (i) on any national securities exchanges or U.S. inter-dealer quotation system of a registered national securities association on which the Registrable Securities may be listed or quoted at the time of sale, (ii) in the over-the-counter market, (iii) in transactions otherwise than on such exchanges or services or in the over-the-counter market, or (iv)</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22" w:right="1440" w:bottom="1440" w:gutter="0" w:footer="0" w:header="0"/>
        </w:sectPr>
      </w:pPr>
    </w:p>
    <w:bookmarkStart w:id="187" w:name="page188"/>
    <w:bookmarkEnd w:id="187"/>
    <w:p>
      <w:pPr>
        <w:ind w:left="340" w:right="3179"/>
        <w:spacing w:after="0" w:line="238" w:lineRule="auto"/>
        <w:rPr>
          <w:sz w:val="20"/>
          <w:szCs w:val="20"/>
          <w:color w:val="auto"/>
        </w:rPr>
      </w:pPr>
      <w:r>
        <w:rPr>
          <w:rFonts w:ascii="Courier New" w:cs="Courier New" w:eastAsia="Courier New" w:hAnsi="Courier New"/>
          <w:sz w:val="15"/>
          <w:szCs w:val="15"/>
          <w:color w:val="auto"/>
        </w:rPr>
        <w:t>through the writing of options. In connection with sales of the Registrable Securities or otherwise, the Selling Securityholder may enter into hedging transactions with broker-dealers, which may in turn engage in short sales of the Registrable Securities in the course of hedging the positions they assume. The Selling Securityholder may also sell Registrable Securities short and deliver Registrable Securities to close out such short positions, or loan or pledge Registrable Securities to broker-dealers that in turn may sell such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any exceptions here:</w:t>
      </w:r>
    </w:p>
    <w:p>
      <w:pPr>
        <w:spacing w:after="0" w:line="200" w:lineRule="exact"/>
        <w:rPr>
          <w:sz w:val="20"/>
          <w:szCs w:val="20"/>
          <w:color w:val="auto"/>
        </w:rPr>
      </w:pPr>
    </w:p>
    <w:p>
      <w:pPr>
        <w:spacing w:after="0" w:line="314" w:lineRule="exact"/>
        <w:rPr>
          <w:sz w:val="20"/>
          <w:szCs w:val="20"/>
          <w:color w:val="auto"/>
        </w:rPr>
      </w:pPr>
    </w:p>
    <w:p>
      <w:pPr>
        <w:ind w:right="3259" w:firstLine="176"/>
        <w:spacing w:after="0" w:line="237" w:lineRule="auto"/>
        <w:rPr>
          <w:sz w:val="20"/>
          <w:szCs w:val="20"/>
          <w:color w:val="auto"/>
        </w:rPr>
      </w:pPr>
      <w:r>
        <w:rPr>
          <w:rFonts w:ascii="Courier New" w:cs="Courier New" w:eastAsia="Courier New" w:hAnsi="Courier New"/>
          <w:sz w:val="15"/>
          <w:szCs w:val="15"/>
          <w:color w:val="auto"/>
        </w:rPr>
        <w:t>Note: In no event may such method(s) of distribution take the form of an underwritten offering of the Registrable Securities without the prior agreement of the Company.</w:t>
      </w:r>
    </w:p>
    <w:p>
      <w:pPr>
        <w:spacing w:after="0" w:line="175" w:lineRule="exact"/>
        <w:rPr>
          <w:sz w:val="20"/>
          <w:szCs w:val="20"/>
          <w:color w:val="auto"/>
        </w:rPr>
      </w:pPr>
    </w:p>
    <w:p>
      <w:pPr>
        <w:ind w:right="3259" w:firstLine="176"/>
        <w:spacing w:after="0" w:line="259" w:lineRule="auto"/>
        <w:rPr>
          <w:sz w:val="20"/>
          <w:szCs w:val="20"/>
          <w:color w:val="auto"/>
        </w:rPr>
      </w:pPr>
      <w:r>
        <w:rPr>
          <w:rFonts w:ascii="Courier New" w:cs="Courier New" w:eastAsia="Courier New" w:hAnsi="Courier New"/>
          <w:sz w:val="14"/>
          <w:szCs w:val="14"/>
          <w:color w:val="auto"/>
        </w:rPr>
        <w:t>By signing below, the Selling Securityholder acknowledges that it understands its obligation to comply, and agrees that it will comply, with the prospectus delivery and other provisions of the Securities Act and Exchange Act and the respective rules and regulations thereunder, particularly Regulation M.</w:t>
      </w:r>
    </w:p>
    <w:p>
      <w:pPr>
        <w:spacing w:after="0" w:line="163"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In the event that the Selling Securityholder transfers all or any portion of the Registrable Securities listed in Item (3) above after the date on which such information is provided to the Company, the Selling Securityholder agrees to notify the transferee(s) at the time of the transfer of its rights and obligations under this Notice and Questionnaire and the Registration Rights Agreement.</w:t>
      </w:r>
    </w:p>
    <w:p>
      <w:pPr>
        <w:spacing w:after="0" w:line="176"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By signing below, the Selling Securityholder consents to the disclosure of the information contained herein in its answers to Items (1) through (6) above and the inclusion of such information in the Shelf Registration Statement and related Prospectus. The Selling Securityholder understands that such information will be relied upon by the Company in connection with the preparation of the Shelf Registration Statement and related Prospectus.</w:t>
      </w:r>
    </w:p>
    <w:p>
      <w:pPr>
        <w:spacing w:after="0" w:line="176"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In accordance with the Selling Securityholder's obligation under the Registration Rights Agreement to provide such information as may be required by law for inclusion in the Shelf Registration Statement, the Selling Securityholder agrees to promptly notify the Company of any inaccuracies or changes in the information provided herein which may occur subsequent to the date hereof at any time while the Shelf Registration Statement remains in effect. All notices hereunder and pursuant to the Registration Rights Agreement shall be made in writing by hand delivery, first-class mail, or air courier guaranteeing overnight delivery as follows:</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 the Company: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Analog Devices, Inc.</w:t>
      </w:r>
    </w:p>
    <w:p>
      <w:pPr>
        <w:ind w:left="440"/>
        <w:spacing w:after="0"/>
        <w:rPr>
          <w:sz w:val="20"/>
          <w:szCs w:val="20"/>
          <w:color w:val="auto"/>
        </w:rPr>
      </w:pPr>
      <w:r>
        <w:rPr>
          <w:rFonts w:ascii="Courier New" w:cs="Courier New" w:eastAsia="Courier New" w:hAnsi="Courier New"/>
          <w:sz w:val="15"/>
          <w:szCs w:val="15"/>
          <w:color w:val="auto"/>
        </w:rPr>
        <w:t>One Technology Way</w:t>
      </w: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Norwood, MA</w:t>
      </w:r>
      <w:r>
        <w:rPr>
          <w:sz w:val="20"/>
          <w:szCs w:val="20"/>
          <w:color w:val="auto"/>
        </w:rPr>
        <w:tab/>
      </w:r>
      <w:r>
        <w:rPr>
          <w:rFonts w:ascii="Courier New" w:cs="Courier New" w:eastAsia="Courier New" w:hAnsi="Courier New"/>
          <w:sz w:val="14"/>
          <w:szCs w:val="14"/>
          <w:color w:val="auto"/>
        </w:rPr>
        <w:t>02062</w:t>
      </w:r>
    </w:p>
    <w:p>
      <w:pPr>
        <w:ind w:left="440"/>
        <w:spacing w:after="0" w:line="238" w:lineRule="auto"/>
        <w:rPr>
          <w:sz w:val="20"/>
          <w:szCs w:val="20"/>
          <w:color w:val="auto"/>
        </w:rPr>
      </w:pPr>
      <w:r>
        <w:rPr>
          <w:rFonts w:ascii="Courier New" w:cs="Courier New" w:eastAsia="Courier New" w:hAnsi="Courier New"/>
          <w:sz w:val="15"/>
          <w:szCs w:val="15"/>
          <w:color w:val="auto"/>
        </w:rPr>
        <w:t>Attention: Chief Financial Officer</w:t>
      </w:r>
    </w:p>
    <w:p>
      <w:pPr>
        <w:spacing w:after="0" w:line="175"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Once this Notice and Questionnaire is executed by the Selling Securityholder and received by the Company, the terms of this Notice and Questionnaire, and the representations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188" w:name="page189"/>
    <w:bookmarkEnd w:id="188"/>
    <w:p>
      <w:pPr>
        <w:ind w:right="3179"/>
        <w:spacing w:after="0" w:line="238" w:lineRule="auto"/>
        <w:rPr>
          <w:sz w:val="20"/>
          <w:szCs w:val="20"/>
          <w:color w:val="auto"/>
        </w:rPr>
      </w:pPr>
      <w:r>
        <w:rPr>
          <w:rFonts w:ascii="Courier New" w:cs="Courier New" w:eastAsia="Courier New" w:hAnsi="Courier New"/>
          <w:sz w:val="15"/>
          <w:szCs w:val="15"/>
          <w:color w:val="auto"/>
        </w:rPr>
        <w:t>warranties contained herein, shall be binding on, shall inure to the benefit of and shall be enforceable by the respective successors, heirs, personal representatives, and assigns of the Company and the Selling Securityholder with respect to the Registrable Securities beneficially owned by such Selling Securityholder and listed in Item (3) above. This Agreement shall be governed in all respects by the laws of the State of New York.</w:t>
      </w:r>
    </w:p>
    <w:p>
      <w:pPr>
        <w:spacing w:after="0" w:line="176"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IN WITNESS WHEREOF, the undersigned, by authority duly given, has caused this Notice and Questionnaire to be executed and delivered either in person or by its duly authorized agent.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Selling Securityholder</w:t>
      </w:r>
    </w:p>
    <w:p>
      <w:pPr>
        <w:ind w:left="160"/>
        <w:spacing w:after="0"/>
        <w:rPr>
          <w:sz w:val="20"/>
          <w:szCs w:val="20"/>
          <w:color w:val="auto"/>
        </w:rPr>
      </w:pPr>
      <w:r>
        <w:rPr>
          <w:rFonts w:ascii="Courier New" w:cs="Courier New" w:eastAsia="Courier New" w:hAnsi="Courier New"/>
          <w:sz w:val="15"/>
          <w:szCs w:val="15"/>
          <w:color w:val="auto"/>
        </w:rPr>
        <w:t>(Print/type full legal name of beneficial owner</w:t>
      </w:r>
    </w:p>
    <w:p>
      <w:pPr>
        <w:ind w:left="160"/>
        <w:spacing w:after="0"/>
        <w:rPr>
          <w:sz w:val="20"/>
          <w:szCs w:val="20"/>
          <w:color w:val="auto"/>
        </w:rPr>
      </w:pPr>
      <w:r>
        <w:rPr>
          <w:rFonts w:ascii="Courier New" w:cs="Courier New" w:eastAsia="Courier New" w:hAnsi="Courier New"/>
          <w:sz w:val="15"/>
          <w:szCs w:val="15"/>
          <w:color w:val="auto"/>
        </w:rPr>
        <w:t>of Registrable Securities)</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By:</w:t>
      </w:r>
    </w:p>
    <w:p>
      <w:pPr>
        <w:ind w:left="160"/>
        <w:spacing w:after="0"/>
        <w:rPr>
          <w:sz w:val="20"/>
          <w:szCs w:val="20"/>
          <w:color w:val="auto"/>
        </w:rPr>
      </w:pPr>
      <w:r>
        <w:rPr>
          <w:rFonts w:ascii="Courier New" w:cs="Courier New" w:eastAsia="Courier New" w:hAnsi="Courier New"/>
          <w:sz w:val="15"/>
          <w:szCs w:val="15"/>
          <w:color w:val="auto"/>
        </w:rPr>
        <w:t>Name:</w:t>
      </w:r>
    </w:p>
    <w:p>
      <w:pPr>
        <w:ind w:left="16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right="3259" w:firstLine="176"/>
        <w:spacing w:after="0" w:line="235" w:lineRule="auto"/>
        <w:rPr>
          <w:sz w:val="20"/>
          <w:szCs w:val="20"/>
          <w:color w:val="auto"/>
        </w:rPr>
      </w:pPr>
      <w:r>
        <w:rPr>
          <w:rFonts w:ascii="Courier New" w:cs="Courier New" w:eastAsia="Courier New" w:hAnsi="Courier New"/>
          <w:sz w:val="15"/>
          <w:szCs w:val="15"/>
          <w:color w:val="auto"/>
        </w:rPr>
        <w:t>PLEASE RETURN THE COMPLETED AND EXECUTED NOTICE AND QUESTIONNAIRE FOR RECEIPT ON OR BEFORE (DEADLINE FOR RESPONSE) TO THE COMPANY AT: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Analog Devices, Inc.</w:t>
      </w:r>
    </w:p>
    <w:p>
      <w:pPr>
        <w:ind w:left="440"/>
        <w:spacing w:after="0"/>
        <w:rPr>
          <w:sz w:val="20"/>
          <w:szCs w:val="20"/>
          <w:color w:val="auto"/>
        </w:rPr>
      </w:pPr>
      <w:r>
        <w:rPr>
          <w:rFonts w:ascii="Courier New" w:cs="Courier New" w:eastAsia="Courier New" w:hAnsi="Courier New"/>
          <w:sz w:val="15"/>
          <w:szCs w:val="15"/>
          <w:color w:val="auto"/>
        </w:rPr>
        <w:t>One Technology Way</w:t>
      </w: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Norwood, MA</w:t>
      </w:r>
      <w:r>
        <w:rPr>
          <w:sz w:val="20"/>
          <w:szCs w:val="20"/>
          <w:color w:val="auto"/>
        </w:rPr>
        <w:tab/>
      </w:r>
      <w:r>
        <w:rPr>
          <w:rFonts w:ascii="Courier New" w:cs="Courier New" w:eastAsia="Courier New" w:hAnsi="Courier New"/>
          <w:sz w:val="14"/>
          <w:szCs w:val="14"/>
          <w:color w:val="auto"/>
        </w:rPr>
        <w:t>02062</w:t>
      </w:r>
    </w:p>
    <w:p>
      <w:pPr>
        <w:ind w:left="440"/>
        <w:spacing w:after="0" w:line="238" w:lineRule="auto"/>
        <w:rPr>
          <w:sz w:val="20"/>
          <w:szCs w:val="20"/>
          <w:color w:val="auto"/>
        </w:rPr>
      </w:pPr>
      <w:r>
        <w:rPr>
          <w:rFonts w:ascii="Courier New" w:cs="Courier New" w:eastAsia="Courier New" w:hAnsi="Courier New"/>
          <w:sz w:val="15"/>
          <w:szCs w:val="15"/>
          <w:color w:val="auto"/>
        </w:rPr>
        <w:t>Attention: Chief Financial Officer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189" w:name="page190"/>
    <w:bookmarkEnd w:id="189"/>
    <w:p>
      <w:pPr>
        <w:jc w:val="right"/>
        <w:ind w:right="3179"/>
        <w:spacing w:after="0"/>
        <w:rPr>
          <w:sz w:val="20"/>
          <w:szCs w:val="20"/>
          <w:color w:val="auto"/>
        </w:rPr>
      </w:pPr>
      <w:r>
        <w:rPr>
          <w:rFonts w:ascii="Courier New" w:cs="Courier New" w:eastAsia="Courier New" w:hAnsi="Courier New"/>
          <w:sz w:val="15"/>
          <w:szCs w:val="15"/>
          <w:color w:val="auto"/>
        </w:rPr>
        <w:t>EXHIBIT 1</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NOTICE OF TRANSFER PURSUANT TO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rPr>
          <w:sz w:val="20"/>
          <w:szCs w:val="20"/>
          <w:color w:val="auto"/>
        </w:rPr>
      </w:pPr>
      <w:r>
        <w:rPr>
          <w:rFonts w:ascii="Courier New" w:cs="Courier New" w:eastAsia="Courier New" w:hAnsi="Courier New"/>
          <w:sz w:val="15"/>
          <w:szCs w:val="15"/>
          <w:color w:val="auto"/>
        </w:rPr>
        <w:t>One Technology Way</w:t>
      </w:r>
    </w:p>
    <w:p>
      <w:pPr>
        <w:spacing w:after="0"/>
        <w:tabs>
          <w:tab w:leader="none" w:pos="1120" w:val="left"/>
        </w:tabs>
        <w:rPr>
          <w:sz w:val="20"/>
          <w:szCs w:val="20"/>
          <w:color w:val="auto"/>
        </w:rPr>
      </w:pPr>
      <w:r>
        <w:rPr>
          <w:rFonts w:ascii="Courier New" w:cs="Courier New" w:eastAsia="Courier New" w:hAnsi="Courier New"/>
          <w:sz w:val="15"/>
          <w:szCs w:val="15"/>
          <w:color w:val="auto"/>
        </w:rPr>
        <w:t>Norwood, MA</w:t>
      </w:r>
      <w:r>
        <w:rPr>
          <w:sz w:val="20"/>
          <w:szCs w:val="20"/>
          <w:color w:val="auto"/>
        </w:rPr>
        <w:tab/>
      </w:r>
      <w:r>
        <w:rPr>
          <w:rFonts w:ascii="Courier New" w:cs="Courier New" w:eastAsia="Courier New" w:hAnsi="Courier New"/>
          <w:sz w:val="14"/>
          <w:szCs w:val="14"/>
          <w:color w:val="auto"/>
        </w:rPr>
        <w:t>02062</w:t>
      </w:r>
    </w:p>
    <w:p>
      <w:pPr>
        <w:spacing w:after="0" w:line="238" w:lineRule="auto"/>
        <w:tabs>
          <w:tab w:leader="none" w:pos="102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169"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Analog Devices, Inc. (the "Company")</w:t>
      </w:r>
    </w:p>
    <w:p>
      <w:pPr>
        <w:ind w:left="1140"/>
        <w:spacing w:after="0"/>
        <w:rPr>
          <w:sz w:val="20"/>
          <w:szCs w:val="20"/>
          <w:color w:val="auto"/>
        </w:rPr>
      </w:pPr>
      <w:r>
        <w:rPr>
          <w:rFonts w:ascii="Courier New" w:cs="Courier New" w:eastAsia="Courier New" w:hAnsi="Courier New"/>
          <w:sz w:val="15"/>
          <w:szCs w:val="15"/>
          <w:color w:val="auto"/>
        </w:rPr>
        <w:t>4.75% Convertible Subordinated Notes due 2005 (the "Notes")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Please be advised that _____________________ has transferred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aggregate principal amount of the above-referenced Notes or shares</w:t>
      </w:r>
    </w:p>
    <w:p>
      <w:pPr>
        <w:spacing w:after="0" w:line="1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the Company's Common Stock, issued on conversion, repurchase or redemption of Notes pursuant to the Registration Statement on Form S-3 (File No. 333-____) filed by the Company.</w:t>
      </w:r>
    </w:p>
    <w:p>
      <w:pPr>
        <w:spacing w:after="0" w:line="175" w:lineRule="exact"/>
        <w:rPr>
          <w:sz w:val="20"/>
          <w:szCs w:val="20"/>
          <w:color w:val="auto"/>
        </w:rPr>
      </w:pPr>
    </w:p>
    <w:p>
      <w:pPr>
        <w:jc w:val="both"/>
        <w:ind w:right="3259" w:firstLine="705"/>
        <w:spacing w:after="0" w:line="256" w:lineRule="auto"/>
        <w:rPr>
          <w:sz w:val="20"/>
          <w:szCs w:val="20"/>
          <w:color w:val="auto"/>
        </w:rPr>
      </w:pPr>
      <w:r>
        <w:rPr>
          <w:rFonts w:ascii="Courier New" w:cs="Courier New" w:eastAsia="Courier New" w:hAnsi="Courier New"/>
          <w:sz w:val="14"/>
          <w:szCs w:val="14"/>
          <w:color w:val="auto"/>
        </w:rPr>
        <w:t>We hereby certify that the prospectus delivery requirements, if any, of the Securities Act of 1933, as amended, have been satisfied with respect to the transfer described above and that the above-named beneficial owner of the Notes or Common Stock is named as a selling securityholder in the Prospectus dated</w:t>
      </w:r>
    </w:p>
    <w:p>
      <w:pPr>
        <w:spacing w:after="0" w:line="234" w:lineRule="auto"/>
        <w:rPr>
          <w:sz w:val="20"/>
          <w:szCs w:val="20"/>
          <w:color w:val="auto"/>
        </w:rPr>
      </w:pPr>
      <w:r>
        <w:rPr>
          <w:rFonts w:ascii="Courier New" w:cs="Courier New" w:eastAsia="Courier New" w:hAnsi="Courier New"/>
          <w:sz w:val="15"/>
          <w:szCs w:val="15"/>
          <w:color w:val="auto"/>
        </w:rPr>
        <w:t>_______, 2000, or in amendments or supplements thereto, and that the aggregate</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principal amount of the Notes or number of shares of Common Stock transferred are [a portion of] the Notes or Common Stock listed in such Prospectus as amended or supplemented opposite such owner's name.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________________________</w:t>
      </w:r>
    </w:p>
    <w:p>
      <w:pPr>
        <w:ind w:left="2280"/>
        <w:spacing w:after="0"/>
        <w:rPr>
          <w:sz w:val="20"/>
          <w:szCs w:val="20"/>
          <w:color w:val="auto"/>
        </w:rPr>
      </w:pPr>
      <w:r>
        <w:rPr>
          <w:rFonts w:ascii="Courier New" w:cs="Courier New" w:eastAsia="Courier New" w:hAnsi="Courier New"/>
          <w:sz w:val="15"/>
          <w:szCs w:val="15"/>
          <w:color w:val="auto"/>
        </w:rPr>
        <w:t>(Name)</w:t>
      </w:r>
    </w:p>
    <w:p>
      <w:pPr>
        <w:spacing w:after="0" w:line="169" w:lineRule="exact"/>
        <w:rPr>
          <w:sz w:val="20"/>
          <w:szCs w:val="20"/>
          <w:color w:val="auto"/>
        </w:rPr>
      </w:pPr>
    </w:p>
    <w:p>
      <w:pPr>
        <w:ind w:left="1760"/>
        <w:spacing w:after="0"/>
        <w:tabs>
          <w:tab w:leader="none" w:pos="2260" w:val="left"/>
        </w:tabs>
        <w:rPr>
          <w:sz w:val="20"/>
          <w:szCs w:val="20"/>
          <w:color w:val="auto"/>
        </w:rPr>
      </w:pPr>
      <w:r>
        <w:rPr>
          <w:rFonts w:ascii="Courier New" w:cs="Courier New" w:eastAsia="Courier New" w:hAnsi="Courier New"/>
          <w:sz w:val="15"/>
          <w:szCs w:val="15"/>
          <w:color w:val="auto"/>
        </w:rPr>
        <w:t>By:</w:t>
        <w:tab/>
        <w:t>________________________</w:t>
      </w:r>
    </w:p>
    <w:p>
      <w:pPr>
        <w:ind w:left="2280"/>
        <w:spacing w:after="0"/>
        <w:rPr>
          <w:sz w:val="20"/>
          <w:szCs w:val="20"/>
          <w:color w:val="auto"/>
        </w:rPr>
      </w:pPr>
      <w:r>
        <w:rPr>
          <w:rFonts w:ascii="Courier New" w:cs="Courier New" w:eastAsia="Courier New" w:hAnsi="Courier New"/>
          <w:sz w:val="15"/>
          <w:szCs w:val="15"/>
          <w:color w:val="auto"/>
        </w:rPr>
        <w:t>(Authorized Signature)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190" w:name="page191"/>
    <w:bookmarkEnd w:id="190"/>
    <w:p>
      <w:pPr>
        <w:jc w:val="right"/>
        <w:ind w:right="3179"/>
        <w:spacing w:after="0"/>
        <w:rPr>
          <w:sz w:val="20"/>
          <w:szCs w:val="20"/>
          <w:color w:val="auto"/>
        </w:rPr>
      </w:pPr>
      <w:r>
        <w:rPr>
          <w:rFonts w:ascii="Courier New" w:cs="Courier New" w:eastAsia="Courier New" w:hAnsi="Courier New"/>
          <w:sz w:val="15"/>
          <w:szCs w:val="15"/>
          <w:color w:val="auto"/>
        </w:rPr>
        <w:t>Exhibit 5.1</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HALE AND DORR LLP</w:t>
      </w:r>
    </w:p>
    <w:p>
      <w:pPr>
        <w:ind w:left="2720"/>
        <w:spacing w:after="0"/>
        <w:rPr>
          <w:sz w:val="20"/>
          <w:szCs w:val="20"/>
          <w:color w:val="auto"/>
        </w:rPr>
      </w:pPr>
      <w:r>
        <w:rPr>
          <w:rFonts w:ascii="Courier New" w:cs="Courier New" w:eastAsia="Courier New" w:hAnsi="Courier New"/>
          <w:sz w:val="15"/>
          <w:szCs w:val="15"/>
          <w:color w:val="auto"/>
        </w:rPr>
        <w:t>COUNSELLORS AT LAW</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60 STATE STREET, BOSTON, MASSACHUSETTS 02109</w:t>
      </w:r>
    </w:p>
    <w:p>
      <w:pPr>
        <w:ind w:left="2280"/>
        <w:spacing w:after="0"/>
        <w:rPr>
          <w:sz w:val="20"/>
          <w:szCs w:val="20"/>
          <w:color w:val="auto"/>
        </w:rPr>
      </w:pPr>
      <w:r>
        <w:rPr>
          <w:rFonts w:ascii="Courier New" w:cs="Courier New" w:eastAsia="Courier New" w:hAnsi="Courier New"/>
          <w:sz w:val="15"/>
          <w:szCs w:val="15"/>
          <w:color w:val="auto"/>
        </w:rPr>
        <w:t>617-526-6000 FAX 617-526-5000</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October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rPr>
          <w:sz w:val="20"/>
          <w:szCs w:val="20"/>
          <w:color w:val="auto"/>
        </w:rPr>
      </w:pPr>
      <w:r>
        <w:rPr>
          <w:rFonts w:ascii="Courier New" w:cs="Courier New" w:eastAsia="Courier New" w:hAnsi="Courier New"/>
          <w:sz w:val="15"/>
          <w:szCs w:val="15"/>
          <w:color w:val="auto"/>
        </w:rPr>
        <w:t>One Technology Way</w:t>
      </w:r>
    </w:p>
    <w:p>
      <w:pPr>
        <w:spacing w:after="0"/>
        <w:rPr>
          <w:sz w:val="20"/>
          <w:szCs w:val="20"/>
          <w:color w:val="auto"/>
        </w:rPr>
      </w:pPr>
      <w:r>
        <w:rPr>
          <w:rFonts w:ascii="Courier New" w:cs="Courier New" w:eastAsia="Courier New" w:hAnsi="Courier New"/>
          <w:sz w:val="15"/>
          <w:szCs w:val="15"/>
          <w:color w:val="auto"/>
        </w:rPr>
        <w:t>Norwood, MA 02062</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opinion is furnished to you in connection with a Registration</w:t>
      </w:r>
    </w:p>
    <w:p>
      <w:pPr>
        <w:spacing w:after="0"/>
        <w:rPr>
          <w:sz w:val="20"/>
          <w:szCs w:val="20"/>
          <w:color w:val="auto"/>
        </w:rPr>
      </w:pPr>
      <w:r>
        <w:rPr>
          <w:rFonts w:ascii="Courier New" w:cs="Courier New" w:eastAsia="Courier New" w:hAnsi="Courier New"/>
          <w:sz w:val="15"/>
          <w:szCs w:val="15"/>
          <w:color w:val="auto"/>
        </w:rPr>
        <w:t>Statement on Form S-3 (the "Registration Statement") filed with the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Exchange Commission (the "Commission") under the Securities Act of 1933,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(the "Securities Act"), relating to the registration of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$1,200,000,000 principal amount of 4.75% Convertible Subordinated Notes due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and (ii) an aggregate of 9,246,720 shares of Common Stock,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par value per share, issuable upon conversion of the Notes (the "Conversion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Analog Devices, Inc., a Massachusetts corporation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which Notes and Conversion Shares, if and when sold, will be sold by</w:t>
      </w:r>
    </w:p>
    <w:p>
      <w:pPr>
        <w:spacing w:after="0"/>
        <w:rPr>
          <w:sz w:val="20"/>
          <w:szCs w:val="20"/>
          <w:color w:val="auto"/>
        </w:rPr>
      </w:pPr>
      <w:r>
        <w:rPr>
          <w:rFonts w:ascii="Courier New" w:cs="Courier New" w:eastAsia="Courier New" w:hAnsi="Courier New"/>
          <w:sz w:val="15"/>
          <w:szCs w:val="15"/>
          <w:color w:val="auto"/>
        </w:rPr>
        <w:t>certain securityholders of the Company (the "Selling Securityholders").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examination of the foregoing documents, we have assumed the genuineness of all signatures, the authenticity of all documents submitted to us as originals, the conformity to all original documents of all documents submitted as certified, facsimile or photostatic copies, the authenticity of the originals of such latter documents and the legal competence of all signatories to such documents.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express no opinion herein as to the laws of any state or jurisdiction other than the state laws of the Commonwealth of Massachusetts, the State of New York and the federal laws of the United States of America.</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Based upon and subject to the foregoing, we are of the opinion that:</w:t>
      </w:r>
    </w:p>
    <w:p>
      <w:pPr>
        <w:spacing w:after="0" w:line="169" w:lineRule="exact"/>
        <w:rPr>
          <w:sz w:val="20"/>
          <w:szCs w:val="20"/>
          <w:color w:val="auto"/>
        </w:rPr>
      </w:pPr>
    </w:p>
    <w:p>
      <w:pPr>
        <w:ind w:left="880" w:hanging="449"/>
        <w:spacing w:after="0"/>
        <w:tabs>
          <w:tab w:leader="none" w:pos="88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and validly authorized and issued; and</w:t>
      </w:r>
    </w:p>
    <w:p>
      <w:pPr>
        <w:spacing w:after="0" w:line="174" w:lineRule="exact"/>
        <w:rPr>
          <w:rFonts w:ascii="Courier New" w:cs="Courier New" w:eastAsia="Courier New" w:hAnsi="Courier New"/>
          <w:sz w:val="15"/>
          <w:szCs w:val="15"/>
          <w:color w:val="auto"/>
        </w:rPr>
      </w:pPr>
    </w:p>
    <w:p>
      <w:pPr>
        <w:jc w:val="both"/>
        <w:ind w:right="3259" w:firstLine="431"/>
        <w:spacing w:after="0" w:line="237" w:lineRule="auto"/>
        <w:tabs>
          <w:tab w:leader="none" w:pos="881"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Shares have been duly and validly authorized and, when issued upon conversion of the Notes in accordance with the terms of such Notes, will be validly issued, fully paid and non-assessable.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It is understood that this opinion is to be used only in connection with the offer and sale of the Notes or the Conversion Shares while the Registration Statement is in effect.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Prospectuses under the caption "Legal Matters." In giving such consent, we do not hereby admit that we are in the category of persons whose consent is required under Section 7 of the Securities Act or the rules and regulations of the Commission.</w:t>
      </w:r>
    </w:p>
    <w:p>
      <w:pPr>
        <w:spacing w:after="0" w:line="171"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 Hale and Dorr LLP</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Hale and Dorr LLP</w:t>
      </w:r>
    </w:p>
    <w:p>
      <w:pPr>
        <w:sectPr>
          <w:pgSz w:w="11900" w:h="16838" w:orient="portrait"/>
          <w:cols w:equalWidth="0" w:num="1">
            <w:col w:w="10219"/>
          </w:cols>
          <w:pgMar w:left="240" w:top="475" w:right="1440" w:bottom="1440" w:gutter="0" w:footer="0" w:header="0"/>
        </w:sectPr>
      </w:pPr>
    </w:p>
    <w:bookmarkStart w:id="191" w:name="page192"/>
    <w:bookmarkEnd w:id="191"/>
    <w:p>
      <w:pPr>
        <w:ind w:left="599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jc w:val="center"/>
        <w:ind w:right="4470"/>
        <w:spacing w:after="0"/>
        <w:rPr>
          <w:sz w:val="20"/>
          <w:szCs w:val="20"/>
          <w:color w:val="auto"/>
        </w:rPr>
      </w:pPr>
      <w:r>
        <w:rPr>
          <w:rFonts w:ascii="Courier New" w:cs="Courier New" w:eastAsia="Courier New" w:hAnsi="Courier New"/>
          <w:sz w:val="15"/>
          <w:szCs w:val="15"/>
          <w:color w:val="auto"/>
        </w:rPr>
        <w:t>ANALOG DEVICES, INC.</w:t>
      </w:r>
    </w:p>
    <w:p>
      <w:pPr>
        <w:jc w:val="center"/>
        <w:ind w:right="4470"/>
        <w:spacing w:after="0"/>
        <w:rPr>
          <w:sz w:val="20"/>
          <w:szCs w:val="20"/>
          <w:color w:val="auto"/>
        </w:rPr>
      </w:pPr>
      <w:r>
        <w:rPr>
          <w:rFonts w:ascii="Courier New" w:cs="Courier New" w:eastAsia="Courier New" w:hAnsi="Courier New"/>
          <w:sz w:val="15"/>
          <w:szCs w:val="15"/>
          <w:color w:val="auto"/>
        </w:rPr>
        <w:t>RATIO OF EARNINGS TO FIXED CHARGES</w:t>
      </w:r>
    </w:p>
    <w:tbl>
      <w:tblPr>
        <w:tblLayout w:type="fixed"/>
        <w:tblInd w:w="10" w:type="dxa"/>
        <w:tblCellMar>
          <w:top w:w="0" w:type="dxa"/>
          <w:left w:w="0" w:type="dxa"/>
          <w:bottom w:w="0" w:type="dxa"/>
          <w:right w:w="0" w:type="dxa"/>
        </w:tblCellMar>
      </w:tblPr>
      <w:tr>
        <w:trPr>
          <w:trHeight w:val="169"/>
        </w:trPr>
        <w:tc>
          <w:tcPr>
            <w:tcW w:w="5200" w:type="dxa"/>
            <w:vAlign w:val="bottom"/>
            <w:gridSpan w:val="2"/>
          </w:tcPr>
          <w:p>
            <w:pPr>
              <w:jc w:val="right"/>
              <w:ind w:right="368"/>
              <w:spacing w:after="0"/>
              <w:rPr>
                <w:sz w:val="20"/>
                <w:szCs w:val="20"/>
                <w:color w:val="auto"/>
              </w:rPr>
            </w:pPr>
            <w:r>
              <w:rPr>
                <w:rFonts w:ascii="Courier New" w:cs="Courier New" w:eastAsia="Courier New" w:hAnsi="Courier New"/>
                <w:sz w:val="15"/>
                <w:szCs w:val="15"/>
                <w:color w:val="auto"/>
              </w:rPr>
              <w:t>(in thousands, except ratios)</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8"/>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4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FISCAL YEAR ENDED</w:t>
            </w:r>
          </w:p>
        </w:tc>
        <w:tc>
          <w:tcPr>
            <w:tcW w:w="1140" w:type="dxa"/>
            <w:vAlign w:val="bottom"/>
          </w:tcPr>
          <w:p>
            <w:pPr>
              <w:spacing w:after="0"/>
              <w:rPr>
                <w:sz w:val="24"/>
                <w:szCs w:val="24"/>
                <w:color w:val="auto"/>
              </w:rPr>
            </w:pP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3820" w:type="dxa"/>
            <w:vAlign w:val="bottom"/>
          </w:tcPr>
          <w:p>
            <w:pPr>
              <w:spacing w:after="0"/>
              <w:rPr>
                <w:sz w:val="14"/>
                <w:szCs w:val="14"/>
                <w:color w:val="auto"/>
              </w:rPr>
            </w:pPr>
          </w:p>
        </w:tc>
        <w:tc>
          <w:tcPr>
            <w:tcW w:w="242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4"/>
              </w:rPr>
              <w:t>---------------------------------------------------------------</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OCTOBER 28,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NOVEMBER 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NOVEMBER 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OCTOBER 31,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OCTOBER 30,</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JULY 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JULY 29,</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Determination of earnings: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before provision for taxes on income(a)</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$159,435</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$230,837</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$235,665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$161,366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$259,114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$161,483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$580,366</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Fixed charges</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5,572</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12,585</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13,894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12,687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4,143</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Total earnings as defined</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165,007</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243,422</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249,559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174,053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268,655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170,768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584,509</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 (b)</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4,201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11,289</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8,071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8,182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Interest portion of rent expense</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1,371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1,296</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Fixed charges</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5,572</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12,585</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13,894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12,687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4,143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Capitalized interest</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Total fixed charges</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  5,572</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$ 12,585</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$ 16,627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$ 15,721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9,541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4,143</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29.6</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19.3</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141.1</w:t>
            </w:r>
          </w:p>
        </w:tc>
      </w:tr>
      <w:tr>
        <w:trPr>
          <w:trHeight w:val="170"/>
        </w:trPr>
        <w:tc>
          <w:tcPr>
            <w:tcW w:w="382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50" w:hanging="450"/>
        <w:spacing w:after="0"/>
        <w:tabs>
          <w:tab w:leader="none" w:pos="45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dividends and income/loss on WaferTech</w:t>
      </w:r>
    </w:p>
    <w:p>
      <w:pPr>
        <w:ind w:left="450" w:hanging="450"/>
        <w:spacing w:after="0"/>
        <w:tabs>
          <w:tab w:leader="none" w:pos="45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includes amortization of capitalized debt issue costs.</w:t>
      </w:r>
    </w:p>
    <w:p>
      <w:pPr>
        <w:sectPr>
          <w:pgSz w:w="11900" w:h="16838" w:orient="portrait"/>
          <w:cols w:equalWidth="0" w:num="1">
            <w:col w:w="11530"/>
          </w:cols>
          <w:pgMar w:left="230" w:top="475" w:right="139" w:bottom="1440" w:gutter="0" w:footer="0" w:header="0"/>
        </w:sectPr>
      </w:pPr>
    </w:p>
    <w:bookmarkStart w:id="192" w:name="page193"/>
    <w:bookmarkEnd w:id="192"/>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S-3) and related Prospectus of Analog Devices, Inc. for the registration of (i) $1,200,000,000 principal amount of its 4.75% Convertible Subordinated Notes due 2005 (the "Notes") and (ii) an aggregate of 9,246,720 shares of its Common Stock, $.16 2/3 par value per share, issuable upon conversion of the Notes, and to the incorporation by reference therein of our report dated November 30, 1999, with respect to the consolidated financial statements of Analog Devices, Inc. incorporated by reference in its Annual Report (Form 10-K) for the year ended October 30, 1999, and our report dated January 25, 2000 with respect to the related financial statement schedule included thereon, filed with the Securities and Exchange Commission.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October 25, 2000</w:t>
      </w:r>
    </w:p>
    <w:p>
      <w:pPr>
        <w:sectPr>
          <w:pgSz w:w="11900" w:h="16838" w:orient="portrait"/>
          <w:cols w:equalWidth="0" w:num="1">
            <w:col w:w="10219"/>
          </w:cols>
          <w:pgMar w:left="240" w:top="475" w:right="1440" w:bottom="1440" w:gutter="0" w:footer="0" w:header="0"/>
        </w:sectPr>
      </w:pPr>
    </w:p>
    <w:bookmarkStart w:id="193" w:name="page194"/>
    <w:bookmarkEnd w:id="193"/>
    <w:p>
      <w:pPr>
        <w:jc w:val="right"/>
        <w:ind w:right="3179"/>
        <w:spacing w:after="0"/>
        <w:rPr>
          <w:sz w:val="20"/>
          <w:szCs w:val="20"/>
          <w:color w:val="auto"/>
        </w:rPr>
      </w:pPr>
      <w:r>
        <w:rPr>
          <w:rFonts w:ascii="Courier New" w:cs="Courier New" w:eastAsia="Courier New" w:hAnsi="Courier New"/>
          <w:sz w:val="15"/>
          <w:szCs w:val="15"/>
          <w:color w:val="auto"/>
        </w:rPr>
        <w:t>EXHIBIT 25.1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ind w:left="3080"/>
        <w:spacing w:after="0"/>
        <w:rPr>
          <w:sz w:val="20"/>
          <w:szCs w:val="20"/>
          <w:color w:val="auto"/>
        </w:rPr>
      </w:pPr>
      <w:r>
        <w:rPr>
          <w:rFonts w:ascii="Courier New" w:cs="Courier New" w:eastAsia="Courier New" w:hAnsi="Courier New"/>
          <w:sz w:val="15"/>
          <w:szCs w:val="15"/>
          <w:color w:val="auto"/>
        </w:rPr>
        <w:t>_________</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199"/>
        <w:spacing w:after="0"/>
        <w:rPr>
          <w:sz w:val="20"/>
          <w:szCs w:val="20"/>
          <w:color w:val="auto"/>
        </w:rPr>
      </w:pPr>
      <w:r>
        <w:rPr>
          <w:rFonts w:ascii="Courier New" w:cs="Courier New" w:eastAsia="Courier New" w:hAnsi="Courier New"/>
          <w:sz w:val="15"/>
          <w:szCs w:val="15"/>
          <w:color w:val="auto"/>
        </w:rPr>
        <w:t>TRUST INDENTURE ACT OF 1939 OF A</w:t>
      </w:r>
    </w:p>
    <w:p>
      <w:pPr>
        <w:jc w:val="center"/>
        <w:ind w:right="319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6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Check if an Application to Determine Eligibility</w:t>
      </w:r>
    </w:p>
    <w:p>
      <w:pPr>
        <w:jc w:val="center"/>
        <w:ind w:right="3199"/>
        <w:spacing w:after="0"/>
        <w:rPr>
          <w:sz w:val="20"/>
          <w:szCs w:val="20"/>
          <w:color w:val="auto"/>
        </w:rPr>
      </w:pPr>
      <w:r>
        <w:rPr>
          <w:rFonts w:ascii="Courier New" w:cs="Courier New" w:eastAsia="Courier New" w:hAnsi="Courier New"/>
          <w:sz w:val="15"/>
          <w:szCs w:val="15"/>
          <w:color w:val="auto"/>
        </w:rPr>
        <w:t>of a Trustee Pursuant to Section 305(b)(2)</w:t>
      </w:r>
    </w:p>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trustee as specified in its charter)</w:t>
      </w:r>
    </w:p>
    <w:p>
      <w:pPr>
        <w:sectPr>
          <w:pgSz w:w="11900" w:h="16838" w:orient="portrait"/>
          <w:cols w:equalWidth="0" w:num="1">
            <w:col w:w="10219"/>
          </w:cols>
          <w:pgMar w:left="240" w:top="305" w:right="1440" w:bottom="1440" w:gutter="0" w:footer="0" w:header="0"/>
        </w:sectPr>
      </w:pP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Massachusetts</w:t>
      </w:r>
    </w:p>
    <w:p>
      <w:pPr>
        <w:spacing w:after="0"/>
        <w:rPr>
          <w:sz w:val="20"/>
          <w:szCs w:val="20"/>
          <w:color w:val="auto"/>
        </w:rPr>
      </w:pPr>
      <w:r>
        <w:rPr>
          <w:rFonts w:ascii="Courier New" w:cs="Courier New" w:eastAsia="Courier New" w:hAnsi="Courier New"/>
          <w:sz w:val="15"/>
          <w:szCs w:val="15"/>
          <w:color w:val="auto"/>
        </w:rPr>
        <w:t>(Jurisdiction of incorporation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04-1867445</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0"/>
          <w:szCs w:val="20"/>
          <w:color w:val="auto"/>
        </w:rPr>
      </w:pPr>
    </w:p>
    <w:p>
      <w:pPr>
        <w:sectPr>
          <w:pgSz w:w="11900" w:h="16838" w:orient="portrait"/>
          <w:cols w:equalWidth="0" w:num="2">
            <w:col w:w="4300" w:space="720"/>
            <w:col w:w="5199"/>
          </w:cols>
          <w:pgMar w:left="240" w:top="305" w:right="1440" w:bottom="1440" w:gutter="0" w:footer="0" w:header="0"/>
          <w:type w:val="continuous"/>
        </w:sectPr>
      </w:pP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225 Franklin Street, Boston, Massachusetts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760" w:space="0"/>
            <w:col w:w="5459"/>
          </w:cols>
          <w:pgMar w:left="240" w:top="305" w:right="1440" w:bottom="144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Maureen Scannell Bateman, Esq. Executive Vice President and General Counsel</w:t>
      </w:r>
    </w:p>
    <w:p>
      <w:pPr>
        <w:spacing w:after="0" w:line="5"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jc w:val="center"/>
        <w:ind w:right="3179"/>
        <w:spacing w:after="0"/>
        <w:rPr>
          <w:sz w:val="20"/>
          <w:szCs w:val="20"/>
          <w:color w:val="auto"/>
        </w:rPr>
      </w:pPr>
      <w:r>
        <w:rPr>
          <w:rFonts w:ascii="Courier New" w:cs="Courier New" w:eastAsia="Courier New" w:hAnsi="Courier New"/>
          <w:sz w:val="15"/>
          <w:szCs w:val="15"/>
          <w:color w:val="auto"/>
        </w:rPr>
        <w:t>(617) 654-3253</w:t>
      </w:r>
    </w:p>
    <w:p>
      <w:pPr>
        <w:jc w:val="center"/>
        <w:ind w:right="327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33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jc w:val="center"/>
        <w:ind w:right="327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05" w:right="1440" w:bottom="1440" w:gutter="0" w:footer="0" w:header="0"/>
          <w:type w:val="continuous"/>
        </w:sectPr>
      </w:pP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04-2348234</w:t>
      </w: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0"/>
          <w:szCs w:val="20"/>
          <w:color w:val="auto"/>
        </w:rPr>
      </w:pPr>
    </w:p>
    <w:p>
      <w:pPr>
        <w:sectPr>
          <w:pgSz w:w="11900" w:h="16838" w:orient="portrait"/>
          <w:cols w:equalWidth="0" w:num="2">
            <w:col w:w="4300" w:space="720"/>
            <w:col w:w="5199"/>
          </w:cols>
          <w:pgMar w:left="240" w:top="305"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ONE TECHNOLOGY WAY</w:t>
      </w:r>
    </w:p>
    <w:p>
      <w:pPr>
        <w:ind w:left="2720"/>
        <w:spacing w:after="0"/>
        <w:tabs>
          <w:tab w:leader="none" w:pos="3840" w:val="left"/>
        </w:tabs>
        <w:rPr>
          <w:sz w:val="20"/>
          <w:szCs w:val="20"/>
          <w:color w:val="auto"/>
        </w:rPr>
      </w:pPr>
      <w:r>
        <w:rPr>
          <w:rFonts w:ascii="Courier New" w:cs="Courier New" w:eastAsia="Courier New" w:hAnsi="Courier New"/>
          <w:sz w:val="15"/>
          <w:szCs w:val="15"/>
          <w:color w:val="auto"/>
        </w:rPr>
        <w:t>NORWOOD, MA</w:t>
      </w:r>
      <w:r>
        <w:rPr>
          <w:sz w:val="20"/>
          <w:szCs w:val="20"/>
          <w:color w:val="auto"/>
        </w:rPr>
        <w:tab/>
      </w:r>
      <w:r>
        <w:rPr>
          <w:rFonts w:ascii="Courier New" w:cs="Courier New" w:eastAsia="Courier New" w:hAnsi="Courier New"/>
          <w:sz w:val="14"/>
          <w:szCs w:val="14"/>
          <w:color w:val="auto"/>
        </w:rPr>
        <w:t>02062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$1,200,000,000</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4.75% CONVERTIBLE SUBORDINATED NOTES DUE 2005</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19"/>
          </w:cols>
          <w:pgMar w:left="240" w:top="305" w:right="1440" w:bottom="1440" w:gutter="0" w:footer="0" w:header="0"/>
          <w:type w:val="continuous"/>
        </w:sectPr>
      </w:pPr>
    </w:p>
    <w:bookmarkStart w:id="194" w:name="page195"/>
    <w:bookmarkEnd w:id="194"/>
    <w:p>
      <w:pPr>
        <w:ind w:left="3160"/>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5" w:lineRule="exact"/>
        <w:rPr>
          <w:sz w:val="20"/>
          <w:szCs w:val="20"/>
          <w:color w:val="auto"/>
        </w:rPr>
      </w:pPr>
    </w:p>
    <w:p>
      <w:pPr>
        <w:ind w:left="1220" w:right="3539" w:hanging="436"/>
        <w:spacing w:after="0" w:line="235" w:lineRule="auto"/>
        <w:tabs>
          <w:tab w:leader="none" w:pos="122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SUPERVISORY AUTHORITY TO WHICH IT IS SUBJECT.</w:t>
      </w:r>
    </w:p>
    <w:p>
      <w:pPr>
        <w:spacing w:after="0" w:line="176" w:lineRule="exact"/>
        <w:rPr>
          <w:sz w:val="20"/>
          <w:szCs w:val="20"/>
          <w:color w:val="auto"/>
        </w:rPr>
      </w:pPr>
    </w:p>
    <w:p>
      <w:pPr>
        <w:ind w:left="1480" w:right="3539"/>
        <w:spacing w:after="0" w:line="265" w:lineRule="auto"/>
        <w:rPr>
          <w:sz w:val="20"/>
          <w:szCs w:val="20"/>
          <w:color w:val="auto"/>
        </w:rPr>
      </w:pPr>
      <w:r>
        <w:rPr>
          <w:rFonts w:ascii="Courier New" w:cs="Courier New" w:eastAsia="Courier New" w:hAnsi="Courier New"/>
          <w:sz w:val="14"/>
          <w:szCs w:val="14"/>
          <w:color w:val="auto"/>
        </w:rPr>
        <w:t>Department of Banking and Insurance of The Commonwealth of Massachusetts, 100 Cambridge Street, Boston, Massachusetts.</w:t>
      </w:r>
    </w:p>
    <w:p>
      <w:pPr>
        <w:spacing w:after="0" w:line="158" w:lineRule="exact"/>
        <w:rPr>
          <w:sz w:val="20"/>
          <w:szCs w:val="20"/>
          <w:color w:val="auto"/>
        </w:rPr>
      </w:pPr>
    </w:p>
    <w:p>
      <w:pPr>
        <w:jc w:val="both"/>
        <w:ind w:left="1480" w:right="3359"/>
        <w:spacing w:after="0" w:line="265" w:lineRule="auto"/>
        <w:rPr>
          <w:sz w:val="20"/>
          <w:szCs w:val="20"/>
          <w:color w:val="auto"/>
        </w:rPr>
      </w:pPr>
      <w:r>
        <w:rPr>
          <w:rFonts w:ascii="Courier New" w:cs="Courier New" w:eastAsia="Courier New" w:hAnsi="Courier New"/>
          <w:sz w:val="14"/>
          <w:szCs w:val="14"/>
          <w:color w:val="auto"/>
        </w:rPr>
        <w:t>Board of Governors of the Federal Reserve System, Washington, D.C., Federal Deposit Insurance Corporation, Washington, D.C.</w:t>
      </w:r>
    </w:p>
    <w:p>
      <w:pPr>
        <w:spacing w:after="0" w:line="158" w:lineRule="exact"/>
        <w:rPr>
          <w:sz w:val="20"/>
          <w:szCs w:val="20"/>
          <w:color w:val="auto"/>
        </w:rPr>
      </w:pPr>
    </w:p>
    <w:p>
      <w:pPr>
        <w:jc w:val="right"/>
        <w:ind w:left="1480" w:right="3699" w:hanging="696"/>
        <w:spacing w:after="0" w:line="513" w:lineRule="auto"/>
        <w:tabs>
          <w:tab w:leader="none" w:pos="1216"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Trustee is authorized to exercise corporate trust powers.</w:t>
      </w: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5" w:lineRule="exact"/>
        <w:rPr>
          <w:sz w:val="20"/>
          <w:szCs w:val="20"/>
          <w:color w:val="auto"/>
        </w:rPr>
      </w:pPr>
    </w:p>
    <w:p>
      <w:pPr>
        <w:ind w:left="780" w:right="3699"/>
        <w:spacing w:after="0" w:line="235"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The obligor is not an affiliate of the trustee or of its</w:t>
      </w:r>
    </w:p>
    <w:p>
      <w:pPr>
        <w:ind w:left="1480"/>
        <w:spacing w:after="0"/>
        <w:rPr>
          <w:sz w:val="20"/>
          <w:szCs w:val="20"/>
          <w:color w:val="auto"/>
        </w:rPr>
      </w:pPr>
      <w:r>
        <w:rPr>
          <w:rFonts w:ascii="Courier New" w:cs="Courier New" w:eastAsia="Courier New" w:hAnsi="Courier New"/>
          <w:sz w:val="15"/>
          <w:szCs w:val="15"/>
          <w:color w:val="auto"/>
        </w:rPr>
        <w:t>parent, State Street Corporation.</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(See note on page 2.)</w:t>
      </w:r>
    </w:p>
    <w:p>
      <w:pPr>
        <w:spacing w:after="0" w:line="169"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ITEM 3. THROUGH ITEM 15.</w:t>
      </w:r>
      <w:r>
        <w:rPr>
          <w:sz w:val="20"/>
          <w:szCs w:val="20"/>
          <w:color w:val="auto"/>
        </w:rPr>
        <w:tab/>
      </w:r>
      <w:r>
        <w:rPr>
          <w:rFonts w:ascii="Courier New" w:cs="Courier New" w:eastAsia="Courier New" w:hAnsi="Courier New"/>
          <w:sz w:val="14"/>
          <w:szCs w:val="14"/>
          <w:color w:val="auto"/>
        </w:rPr>
        <w:t>NOT APPLICABLE.</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LIST BELOW ALL EXHIBITS FILED AS PART OF THIS STATEMENT OF</w:t>
      </w:r>
    </w:p>
    <w:p>
      <w:pPr>
        <w:ind w:left="880"/>
        <w:spacing w:after="0"/>
        <w:rPr>
          <w:sz w:val="20"/>
          <w:szCs w:val="20"/>
          <w:color w:val="auto"/>
        </w:rPr>
      </w:pPr>
      <w:r>
        <w:rPr>
          <w:rFonts w:ascii="Courier New" w:cs="Courier New" w:eastAsia="Courier New" w:hAnsi="Courier New"/>
          <w:sz w:val="15"/>
          <w:szCs w:val="15"/>
          <w:color w:val="auto"/>
        </w:rPr>
        <w:t>ELIGIBILITY.</w:t>
      </w:r>
    </w:p>
    <w:p>
      <w:pPr>
        <w:spacing w:after="0" w:line="174" w:lineRule="exact"/>
        <w:rPr>
          <w:sz w:val="20"/>
          <w:szCs w:val="20"/>
          <w:color w:val="auto"/>
        </w:rPr>
      </w:pPr>
    </w:p>
    <w:p>
      <w:pPr>
        <w:ind w:left="1320" w:right="3439" w:hanging="448"/>
        <w:spacing w:after="0" w:line="235" w:lineRule="auto"/>
        <w:tabs>
          <w:tab w:leader="none" w:pos="132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76" w:lineRule="exact"/>
        <w:rPr>
          <w:sz w:val="20"/>
          <w:szCs w:val="20"/>
          <w:color w:val="auto"/>
        </w:rPr>
      </w:pPr>
    </w:p>
    <w:p>
      <w:pPr>
        <w:ind w:left="1480" w:right="3179"/>
        <w:spacing w:after="0" w:line="238" w:lineRule="auto"/>
        <w:rPr>
          <w:sz w:val="20"/>
          <w:szCs w:val="20"/>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Exhibit 1 to Amendment No. 1 to the Statement of Eligibility and Qualification of Trustee (Form T-1) filed with the Registration Statement of Morse Shoe, Inc. (File No. 22-17940) and is incorporated herein by reference thereto.</w:t>
      </w:r>
    </w:p>
    <w:p>
      <w:pPr>
        <w:spacing w:after="0" w:line="176" w:lineRule="exact"/>
        <w:rPr>
          <w:sz w:val="20"/>
          <w:szCs w:val="20"/>
          <w:color w:val="auto"/>
        </w:rPr>
      </w:pPr>
    </w:p>
    <w:p>
      <w:pPr>
        <w:ind w:left="1320" w:hanging="448"/>
        <w:spacing w:after="0"/>
        <w:tabs>
          <w:tab w:leader="none" w:pos="132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CERTIFICATE OF AUTHORITY OF THE TRUSTEE TO COMMENCE</w:t>
      </w:r>
    </w:p>
    <w:p>
      <w:pPr>
        <w:spacing w:after="0" w:line="5" w:lineRule="exact"/>
        <w:rPr>
          <w:sz w:val="20"/>
          <w:szCs w:val="20"/>
          <w:color w:val="auto"/>
        </w:rPr>
      </w:pPr>
    </w:p>
    <w:p>
      <w:pPr>
        <w:ind w:left="1320"/>
        <w:spacing w:after="0"/>
        <w:tabs>
          <w:tab w:leader="none" w:pos="4460" w:val="left"/>
        </w:tabs>
        <w:rPr>
          <w:sz w:val="20"/>
          <w:szCs w:val="20"/>
          <w:color w:val="auto"/>
        </w:rPr>
      </w:pPr>
      <w:r>
        <w:rPr>
          <w:rFonts w:ascii="Courier New" w:cs="Courier New" w:eastAsia="Courier New" w:hAnsi="Courier New"/>
          <w:sz w:val="15"/>
          <w:szCs w:val="15"/>
          <w:color w:val="auto"/>
        </w:rPr>
        <w:t>BUSINESS, IF NOT CONTAINED IN THE</w:t>
      </w:r>
      <w:r>
        <w:rPr>
          <w:sz w:val="20"/>
          <w:szCs w:val="20"/>
          <w:color w:val="auto"/>
        </w:rPr>
        <w:tab/>
      </w:r>
      <w:r>
        <w:rPr>
          <w:rFonts w:ascii="Courier New" w:cs="Courier New" w:eastAsia="Courier New" w:hAnsi="Courier New"/>
          <w:sz w:val="14"/>
          <w:szCs w:val="14"/>
          <w:color w:val="auto"/>
        </w:rPr>
        <w:t>ARTICLES OF ASSOCIATION.</w:t>
      </w:r>
    </w:p>
    <w:p>
      <w:pPr>
        <w:spacing w:after="0" w:line="175" w:lineRule="exact"/>
        <w:rPr>
          <w:sz w:val="20"/>
          <w:szCs w:val="20"/>
          <w:color w:val="auto"/>
        </w:rPr>
      </w:pPr>
    </w:p>
    <w:p>
      <w:pPr>
        <w:ind w:left="1480" w:right="3179"/>
        <w:spacing w:after="0" w:line="238"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the Registration Statement of Morse Shoe, Inc. (File No. 22-17940) and is incorporated herein by reference thereto.</w:t>
      </w:r>
    </w:p>
    <w:p>
      <w:pPr>
        <w:spacing w:after="0" w:line="178" w:lineRule="exact"/>
        <w:rPr>
          <w:sz w:val="20"/>
          <w:szCs w:val="20"/>
          <w:color w:val="auto"/>
        </w:rPr>
      </w:pPr>
    </w:p>
    <w:p>
      <w:pPr>
        <w:ind w:left="1320" w:right="3259" w:hanging="448"/>
        <w:spacing w:after="0" w:line="237" w:lineRule="auto"/>
        <w:tabs>
          <w:tab w:leader="none" w:pos="132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175" w:lineRule="exact"/>
        <w:rPr>
          <w:sz w:val="20"/>
          <w:szCs w:val="20"/>
          <w:color w:val="auto"/>
        </w:rPr>
      </w:pPr>
    </w:p>
    <w:p>
      <w:pPr>
        <w:ind w:left="1480" w:right="3259"/>
        <w:spacing w:after="0" w:line="256" w:lineRule="auto"/>
        <w:rPr>
          <w:sz w:val="20"/>
          <w:szCs w:val="20"/>
          <w:color w:val="auto"/>
        </w:rPr>
      </w:pPr>
      <w:r>
        <w:rPr>
          <w:rFonts w:ascii="Courier New" w:cs="Courier New" w:eastAsia="Courier New" w:hAnsi="Courier New"/>
          <w:sz w:val="14"/>
          <w:szCs w:val="14"/>
          <w:color w:val="auto"/>
        </w:rPr>
        <w:t>A copy of the authorization of the trustee to exercise corporate trust powers is on file with the Securities and Exchange Commission as Exhibit 3 to Amendment No. 1 to the Statement of Eligibility and Qualification of Trustee (Form T-</w:t>
      </w:r>
    </w:p>
    <w:p>
      <w:pPr>
        <w:spacing w:after="0" w:line="1" w:lineRule="exact"/>
        <w:rPr>
          <w:sz w:val="20"/>
          <w:szCs w:val="20"/>
          <w:color w:val="auto"/>
        </w:rPr>
      </w:pPr>
    </w:p>
    <w:p>
      <w:pPr>
        <w:ind w:left="1480" w:right="3439" w:firstLine="9"/>
        <w:spacing w:after="0" w:line="237" w:lineRule="auto"/>
        <w:tabs>
          <w:tab w:leader="none" w:pos="1744"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the Registration Statement of Morse Shoe, Inc. (File No. 22-17940) and is incorporated herein by reference thereto.</w:t>
      </w:r>
    </w:p>
    <w:p>
      <w:pPr>
        <w:spacing w:after="0" w:line="174" w:lineRule="exact"/>
        <w:rPr>
          <w:rFonts w:ascii="Courier New" w:cs="Courier New" w:eastAsia="Courier New" w:hAnsi="Courier New"/>
          <w:sz w:val="15"/>
          <w:szCs w:val="15"/>
          <w:color w:val="auto"/>
        </w:rPr>
      </w:pPr>
    </w:p>
    <w:p>
      <w:pPr>
        <w:ind w:left="1320" w:right="3539" w:hanging="448"/>
        <w:spacing w:after="0" w:line="235" w:lineRule="auto"/>
        <w:tabs>
          <w:tab w:leader="none" w:pos="132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176" w:lineRule="exact"/>
        <w:rPr>
          <w:sz w:val="20"/>
          <w:szCs w:val="20"/>
          <w:color w:val="auto"/>
        </w:rPr>
      </w:pPr>
    </w:p>
    <w:p>
      <w:pPr>
        <w:ind w:left="1480" w:right="3359"/>
        <w:spacing w:after="0" w:line="238"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the Registration Statement of Eastern Edison Company (File No. 33-37823) and is incorporated herein by reference thereto.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195" w:name="page196"/>
    <w:bookmarkEnd w:id="195"/>
    <w:p>
      <w:pPr>
        <w:ind w:left="1320" w:right="3179" w:hanging="448"/>
        <w:spacing w:after="0" w:line="235" w:lineRule="auto"/>
        <w:tabs>
          <w:tab w:leader="none" w:pos="132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 DEFAULT.</w:t>
      </w:r>
    </w:p>
    <w:p>
      <w:pPr>
        <w:spacing w:after="0" w:line="17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1320" w:right="3259" w:hanging="448"/>
        <w:spacing w:after="0" w:line="235" w:lineRule="auto"/>
        <w:tabs>
          <w:tab w:leader="none" w:pos="132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UNITED STATES INSTITUTIONAL TRUSTEES REQUIRED BY SECTION 321(B) OF THE ACT.</w:t>
      </w:r>
    </w:p>
    <w:p>
      <w:pPr>
        <w:spacing w:after="0" w:line="176" w:lineRule="exact"/>
        <w:rPr>
          <w:sz w:val="20"/>
          <w:szCs w:val="20"/>
          <w:color w:val="auto"/>
        </w:rPr>
      </w:pPr>
    </w:p>
    <w:p>
      <w:pPr>
        <w:ind w:left="1480" w:right="3439"/>
        <w:spacing w:after="0" w:line="265" w:lineRule="auto"/>
        <w:rPr>
          <w:sz w:val="20"/>
          <w:szCs w:val="20"/>
          <w:color w:val="auto"/>
        </w:rPr>
      </w:pPr>
      <w:r>
        <w:rPr>
          <w:rFonts w:ascii="Courier New" w:cs="Courier New" w:eastAsia="Courier New" w:hAnsi="Courier New"/>
          <w:sz w:val="14"/>
          <w:szCs w:val="14"/>
          <w:color w:val="auto"/>
        </w:rPr>
        <w:t>The consent of the trustee required by Section 321(b) of the Act is annexed hereto as Exhibit 6 and made a part hereof.</w:t>
      </w:r>
    </w:p>
    <w:p>
      <w:pPr>
        <w:spacing w:after="0" w:line="158" w:lineRule="exact"/>
        <w:rPr>
          <w:sz w:val="20"/>
          <w:szCs w:val="20"/>
          <w:color w:val="auto"/>
        </w:rPr>
      </w:pPr>
    </w:p>
    <w:p>
      <w:pPr>
        <w:ind w:left="1320" w:right="3179" w:hanging="448"/>
        <w:spacing w:after="0" w:line="237" w:lineRule="auto"/>
        <w:tabs>
          <w:tab w:leader="none" w:pos="132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5" w:lineRule="exact"/>
        <w:rPr>
          <w:sz w:val="20"/>
          <w:szCs w:val="20"/>
          <w:color w:val="auto"/>
        </w:rPr>
      </w:pPr>
    </w:p>
    <w:p>
      <w:pPr>
        <w:ind w:left="1480" w:right="3179"/>
        <w:spacing w:after="0" w:line="237"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34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answering any item of this Statement of Eligibility which relates to matters peculiarly within the knowledge of the obligor or any underwriter for the obligor, the trustee has relied upon information furnished to it by the obligor and the underwriters, and the trustee disclaims responsibility for the accuracy or completeness of such information.</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answer furnished to Item 2. of this statement will be amended, if necessary, to reflect any facts which differ from those stated and which would have been required to be stated if known at the date hereof.</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State Street Bank and Trust Company, a corporation organized and existing under the laws of The Commonwealth of Massachusetts, has duly caused this statement of eligibility to be signed on its behalf by the undersigned, thereunto duly authorized, all in the City of Boston and The Commonwealth of Massachusetts, on the 2nd day of October, in the year 2000.</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 /s/ Alison Della Bella</w:t>
      </w:r>
    </w:p>
    <w:p>
      <w:pPr>
        <w:ind w:left="3160"/>
        <w:spacing w:after="0"/>
        <w:rPr>
          <w:sz w:val="20"/>
          <w:szCs w:val="20"/>
          <w:color w:val="auto"/>
        </w:rPr>
      </w:pPr>
      <w:r>
        <w:rPr>
          <w:rFonts w:ascii="Courier New" w:cs="Courier New" w:eastAsia="Courier New" w:hAnsi="Courier New"/>
          <w:sz w:val="15"/>
          <w:szCs w:val="15"/>
          <w:color w:val="auto"/>
        </w:rPr>
        <w:t>----------------------</w:t>
      </w:r>
    </w:p>
    <w:p>
      <w:pPr>
        <w:ind w:left="2820"/>
        <w:spacing w:after="0"/>
        <w:tabs>
          <w:tab w:leader="none" w:pos="3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ALISON DELLA BELLA</w:t>
      </w:r>
    </w:p>
    <w:p>
      <w:pPr>
        <w:ind w:left="2820"/>
        <w:spacing w:after="0"/>
        <w:tabs>
          <w:tab w:leader="none" w:pos="34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VICE-PRESIDENT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96" w:name="page197"/>
    <w:bookmarkEnd w:id="196"/>
    <w:p>
      <w:pPr>
        <w:ind w:left="3080"/>
        <w:spacing w:after="0"/>
        <w:rPr>
          <w:sz w:val="20"/>
          <w:szCs w:val="20"/>
          <w:color w:val="auto"/>
        </w:rPr>
      </w:pPr>
      <w:r>
        <w:rPr>
          <w:rFonts w:ascii="Courier New" w:cs="Courier New" w:eastAsia="Courier New" w:hAnsi="Courier New"/>
          <w:sz w:val="15"/>
          <w:szCs w:val="15"/>
          <w:color w:val="auto"/>
        </w:rPr>
        <w:t>EXHIBIT 6</w:t>
      </w:r>
    </w:p>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CONSENT OF THE TRUSTEE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as amended, in connection with the proposed issuance by Analog Devices, Inc. of its $1,200,000,000 4.75% Convertible Subordinated Notes, due 2005, we hereby consent that reports of examination by Federal, State, Territorial or District authorities may be furnished by such authorities to the Securities and Exchange Commission upon request therefor.</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 /s/ Alison Della Bella</w:t>
      </w:r>
    </w:p>
    <w:p>
      <w:pPr>
        <w:ind w:left="3160"/>
        <w:spacing w:after="0"/>
        <w:rPr>
          <w:sz w:val="20"/>
          <w:szCs w:val="20"/>
          <w:color w:val="auto"/>
        </w:rPr>
      </w:pPr>
      <w:r>
        <w:rPr>
          <w:rFonts w:ascii="Courier New" w:cs="Courier New" w:eastAsia="Courier New" w:hAnsi="Courier New"/>
          <w:sz w:val="15"/>
          <w:szCs w:val="15"/>
          <w:color w:val="auto"/>
        </w:rPr>
        <w:t>----------------------</w:t>
      </w:r>
    </w:p>
    <w:p>
      <w:pPr>
        <w:ind w:left="2820"/>
        <w:spacing w:after="0"/>
        <w:tabs>
          <w:tab w:leader="none" w:pos="3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ALISON DELLA BELLA</w:t>
      </w:r>
    </w:p>
    <w:p>
      <w:pPr>
        <w:ind w:left="2820"/>
        <w:spacing w:after="0"/>
        <w:tabs>
          <w:tab w:leader="none" w:pos="34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VICE-PRESIDENT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October 2, 2000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197" w:name="page198"/>
    <w:bookmarkEnd w:id="197"/>
    <w:p>
      <w:pPr>
        <w:ind w:left="3080"/>
        <w:spacing w:after="0"/>
        <w:rPr>
          <w:sz w:val="20"/>
          <w:szCs w:val="20"/>
          <w:color w:val="auto"/>
        </w:rPr>
      </w:pPr>
      <w:r>
        <w:rPr>
          <w:rFonts w:ascii="Courier New" w:cs="Courier New" w:eastAsia="Courier New" w:hAnsi="Courier New"/>
          <w:sz w:val="15"/>
          <w:szCs w:val="15"/>
          <w:color w:val="auto"/>
        </w:rPr>
        <w:t>EXHIBIT 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Consolidated Report of Condition of State Street Bank and Trust Company, Massachusetts and foreign and domestic subsidiaries, a state banking institution organized and operating under the banking laws of this commonwealth and a member of the Federal Reserve System, at the close of business June 30, 2000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Thousands of</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Dollars</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22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Noninterest-bearing balances and currency and coin..</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2,341,675</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 balances...........................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17,635,684</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15,489,812</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1220" w:type="dxa"/>
            <w:vAlign w:val="bottom"/>
          </w:tcPr>
          <w:p>
            <w:pPr>
              <w:spacing w:after="0"/>
              <w:rPr>
                <w:sz w:val="14"/>
                <w:szCs w:val="14"/>
                <w:color w:val="auto"/>
              </w:rPr>
            </w:pPr>
          </w:p>
        </w:tc>
      </w:tr>
      <w:tr>
        <w:trPr>
          <w:trHeight w:val="170"/>
        </w:trPr>
        <w:tc>
          <w:tcPr>
            <w:tcW w:w="5200" w:type="dxa"/>
            <w:vAlign w:val="bottom"/>
          </w:tcPr>
          <w:p>
            <w:pPr>
              <w:ind w:left="80"/>
              <w:spacing w:after="0"/>
              <w:rPr>
                <w:sz w:val="20"/>
                <w:szCs w:val="20"/>
                <w:color w:val="auto"/>
              </w:rPr>
            </w:pPr>
            <w:r>
              <w:rPr>
                <w:rFonts w:ascii="Courier New" w:cs="Courier New" w:eastAsia="Courier New" w:hAnsi="Courier New"/>
                <w:sz w:val="15"/>
                <w:szCs w:val="15"/>
                <w:color w:val="auto"/>
              </w:rPr>
              <w:t>under agreements to resell in domestic offices</w:t>
            </w:r>
          </w:p>
        </w:tc>
        <w:tc>
          <w:tcPr>
            <w:tcW w:w="1220" w:type="dxa"/>
            <w:vAlign w:val="bottom"/>
          </w:tcPr>
          <w:p>
            <w:pPr>
              <w:spacing w:after="0"/>
              <w:rPr>
                <w:sz w:val="14"/>
                <w:szCs w:val="14"/>
                <w:color w:val="auto"/>
              </w:rPr>
            </w:pPr>
          </w:p>
        </w:tc>
      </w:tr>
      <w:tr>
        <w:trPr>
          <w:trHeight w:val="170"/>
        </w:trPr>
        <w:tc>
          <w:tcPr>
            <w:tcW w:w="5200" w:type="dxa"/>
            <w:vAlign w:val="bottom"/>
          </w:tcPr>
          <w:p>
            <w:pPr>
              <w:ind w:left="80"/>
              <w:spacing w:after="0"/>
              <w:rPr>
                <w:sz w:val="20"/>
                <w:szCs w:val="20"/>
                <w:color w:val="auto"/>
              </w:rPr>
            </w:pPr>
            <w:r>
              <w:rPr>
                <w:rFonts w:ascii="Courier New" w:cs="Courier New" w:eastAsia="Courier New" w:hAnsi="Courier New"/>
                <w:sz w:val="15"/>
                <w:szCs w:val="15"/>
                <w:color w:val="auto"/>
              </w:rPr>
              <w:t>of the bank and its Edge subsidiary....................</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14,013,742</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122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Loans and leases, net of unearned income...........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6,559,292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Allowance for loan and lease losses................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52,764</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Allocated transfer risk reserve....................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Loans and leases, net of unearned</w:t>
            </w:r>
          </w:p>
        </w:tc>
        <w:tc>
          <w:tcPr>
            <w:tcW w:w="1220" w:type="dxa"/>
            <w:vAlign w:val="bottom"/>
          </w:tcPr>
          <w:p>
            <w:pPr>
              <w:spacing w:after="0"/>
              <w:rPr>
                <w:sz w:val="14"/>
                <w:szCs w:val="1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income and allowances.............................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6,506,528</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Assets held in trading accounts.........................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1, 974,906</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Premises and fixed assets...............................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487,980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real estate owned.................................</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Investments in unconsolidated subsidiaries..............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15,759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Customers' liability to this bank on</w:t>
            </w:r>
          </w:p>
        </w:tc>
        <w:tc>
          <w:tcPr>
            <w:tcW w:w="1220" w:type="dxa"/>
            <w:vAlign w:val="bottom"/>
          </w:tcPr>
          <w:p>
            <w:pPr>
              <w:spacing w:after="0"/>
              <w:rPr>
                <w:sz w:val="14"/>
                <w:szCs w:val="1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acceptances outstanding................................</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130,338</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226,048</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1,662,049</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60,484,521</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20" w:type="dxa"/>
            <w:vAlign w:val="bottom"/>
          </w:tcPr>
          <w:p>
            <w:pPr>
              <w:spacing w:after="0"/>
              <w:rPr>
                <w:sz w:val="14"/>
                <w:szCs w:val="14"/>
                <w:color w:val="auto"/>
              </w:rPr>
            </w:pP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220" w:type="dxa"/>
            <w:vAlign w:val="bottom"/>
          </w:tcPr>
          <w:p>
            <w:pPr>
              <w:spacing w:after="0"/>
              <w:rPr>
                <w:sz w:val="24"/>
                <w:szCs w:val="2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 domestic offices................................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12,028,809</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Noninterest-bearing............................</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9,491,690</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Interest-bearing...............................</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2,537,119</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 foreign offices and Edge subsidiary.............</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25,813,926</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Noninterest-bearing............................</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65,867</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Interest-bearing...............................</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25,748,059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Federal funds purchased and securities sold under</w:t>
            </w:r>
          </w:p>
        </w:tc>
        <w:tc>
          <w:tcPr>
            <w:tcW w:w="1220" w:type="dxa"/>
            <w:vAlign w:val="bottom"/>
          </w:tcPr>
          <w:p>
            <w:pPr>
              <w:spacing w:after="0"/>
              <w:rPr>
                <w:sz w:val="14"/>
                <w:szCs w:val="14"/>
                <w:color w:val="auto"/>
              </w:rPr>
            </w:pPr>
          </w:p>
        </w:tc>
      </w:tr>
      <w:tr>
        <w:trPr>
          <w:trHeight w:val="170"/>
        </w:trPr>
        <w:tc>
          <w:tcPr>
            <w:tcW w:w="5200" w:type="dxa"/>
            <w:vAlign w:val="bottom"/>
          </w:tcPr>
          <w:p>
            <w:pPr>
              <w:ind w:left="80"/>
              <w:spacing w:after="0"/>
              <w:rPr>
                <w:sz w:val="20"/>
                <w:szCs w:val="20"/>
                <w:color w:val="auto"/>
              </w:rPr>
            </w:pPr>
            <w:r>
              <w:rPr>
                <w:rFonts w:ascii="Courier New" w:cs="Courier New" w:eastAsia="Courier New" w:hAnsi="Courier New"/>
                <w:sz w:val="15"/>
                <w:szCs w:val="15"/>
                <w:color w:val="auto"/>
              </w:rPr>
              <w:t>agreements to repurchase in domestic offices of</w:t>
            </w:r>
          </w:p>
        </w:tc>
        <w:tc>
          <w:tcPr>
            <w:tcW w:w="1220" w:type="dxa"/>
            <w:vAlign w:val="bottom"/>
          </w:tcPr>
          <w:p>
            <w:pPr>
              <w:spacing w:after="0"/>
              <w:rPr>
                <w:sz w:val="14"/>
                <w:szCs w:val="1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the bank and of its Edge subsidiary....................</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14,912,914</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Demand notes issued to the U.S. Treasury................</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116,130</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Trading liabilities............................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1,092,461</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borrowed money....................................</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1,387,789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Subordinated notes and debentures.......................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Bank's liability on acceptances</w:t>
            </w:r>
          </w:p>
        </w:tc>
        <w:tc>
          <w:tcPr>
            <w:tcW w:w="1220" w:type="dxa"/>
            <w:vAlign w:val="bottom"/>
          </w:tcPr>
          <w:p>
            <w:pPr>
              <w:spacing w:after="0"/>
              <w:rPr>
                <w:sz w:val="14"/>
                <w:szCs w:val="1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executed and outstanding...............................</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130,338</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1,747,374</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57,229,741</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220" w:type="dxa"/>
            <w:vAlign w:val="bottom"/>
          </w:tcPr>
          <w:p>
            <w:pPr>
              <w:spacing w:after="0"/>
              <w:rPr>
                <w:sz w:val="14"/>
                <w:szCs w:val="14"/>
                <w:color w:val="auto"/>
              </w:rPr>
            </w:pP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Perpetual preferred stock and related surplus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29,931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Surplus..................................................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536,421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Undivided profits and capital reserves/Net unrealized</w:t>
            </w:r>
          </w:p>
        </w:tc>
        <w:tc>
          <w:tcPr>
            <w:tcW w:w="1220" w:type="dxa"/>
            <w:vAlign w:val="bottom"/>
          </w:tcPr>
          <w:p>
            <w:pPr>
              <w:spacing w:after="0"/>
              <w:rPr>
                <w:sz w:val="14"/>
                <w:szCs w:val="14"/>
                <w:color w:val="auto"/>
              </w:rPr>
            </w:pPr>
          </w:p>
        </w:tc>
      </w:tr>
      <w:tr>
        <w:trPr>
          <w:trHeight w:val="170"/>
        </w:trPr>
        <w:tc>
          <w:tcPr>
            <w:tcW w:w="5200" w:type="dxa"/>
            <w:vAlign w:val="bottom"/>
          </w:tcPr>
          <w:p>
            <w:pPr>
              <w:ind w:left="80"/>
              <w:spacing w:after="0"/>
              <w:rPr>
                <w:sz w:val="20"/>
                <w:szCs w:val="20"/>
                <w:color w:val="auto"/>
              </w:rPr>
            </w:pPr>
            <w:r>
              <w:rPr>
                <w:rFonts w:ascii="Courier New" w:cs="Courier New" w:eastAsia="Courier New" w:hAnsi="Courier New"/>
                <w:sz w:val="15"/>
                <w:szCs w:val="15"/>
                <w:color w:val="auto"/>
              </w:rPr>
              <w:t>holding gains (losses)..................................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2,763,560</w:t>
            </w:r>
          </w:p>
        </w:tc>
      </w:tr>
      <w:tr>
        <w:trPr>
          <w:trHeight w:val="170"/>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Net unrealized holding gains (losses) on</w:t>
            </w:r>
          </w:p>
        </w:tc>
        <w:tc>
          <w:tcPr>
            <w:tcW w:w="1220" w:type="dxa"/>
            <w:vAlign w:val="bottom"/>
          </w:tcPr>
          <w:p>
            <w:pPr>
              <w:spacing w:after="0"/>
              <w:rPr>
                <w:sz w:val="14"/>
                <w:szCs w:val="14"/>
                <w:color w:val="auto"/>
              </w:rPr>
            </w:pPr>
          </w:p>
        </w:tc>
      </w:tr>
      <w:tr>
        <w:trPr>
          <w:trHeight w:val="170"/>
        </w:trPr>
        <w:tc>
          <w:tcPr>
            <w:tcW w:w="5200" w:type="dxa"/>
            <w:vAlign w:val="bottom"/>
          </w:tcPr>
          <w:p>
            <w:pPr>
              <w:ind w:left="960"/>
              <w:spacing w:after="0"/>
              <w:rPr>
                <w:sz w:val="20"/>
                <w:szCs w:val="20"/>
                <w:color w:val="auto"/>
              </w:rPr>
            </w:pPr>
            <w:r>
              <w:rPr>
                <w:rFonts w:ascii="Courier New" w:cs="Courier New" w:eastAsia="Courier New" w:hAnsi="Courier New"/>
                <w:sz w:val="15"/>
                <w:szCs w:val="15"/>
                <w:color w:val="auto"/>
              </w:rPr>
              <w:t>available-for-sale securities.................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(56,871)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Cumulative foreign currency translation adjustments......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(18,261)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Total equity capital.....................................</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3,254,780</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Total liabilities and equity capital.....................</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60,484,521</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200" w:type="dxa"/>
            <w:vAlign w:val="bottom"/>
          </w:tcPr>
          <w:p>
            <w:pPr>
              <w:ind w:left="3420"/>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98" w:name="page199"/>
    <w:bookmarkEnd w:id="198"/>
    <w:p>
      <w:pPr>
        <w:ind w:right="3259"/>
        <w:spacing w:after="0" w:line="237" w:lineRule="auto"/>
        <w:rPr>
          <w:sz w:val="20"/>
          <w:szCs w:val="20"/>
          <w:color w:val="auto"/>
        </w:rPr>
      </w:pPr>
      <w:r>
        <w:rPr>
          <w:rFonts w:ascii="Courier New" w:cs="Courier New" w:eastAsia="Courier New" w:hAnsi="Courier New"/>
          <w:sz w:val="15"/>
          <w:szCs w:val="15"/>
          <w:color w:val="auto"/>
        </w:rPr>
        <w:t>I, Frederick P. Baughman,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Frederick P. Baughman</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Ronald E. Logue</w:t>
      </w:r>
    </w:p>
    <w:p>
      <w:pPr>
        <w:ind w:left="3700"/>
        <w:spacing w:after="0"/>
        <w:rPr>
          <w:sz w:val="20"/>
          <w:szCs w:val="20"/>
          <w:color w:val="auto"/>
        </w:rPr>
      </w:pPr>
      <w:r>
        <w:rPr>
          <w:rFonts w:ascii="Courier New" w:cs="Courier New" w:eastAsia="Courier New" w:hAnsi="Courier New"/>
          <w:sz w:val="15"/>
          <w:szCs w:val="15"/>
          <w:color w:val="auto"/>
        </w:rPr>
        <w:t>David A. Spina</w:t>
      </w:r>
    </w:p>
    <w:p>
      <w:pPr>
        <w:ind w:left="3700"/>
        <w:spacing w:after="0"/>
        <w:rPr>
          <w:sz w:val="20"/>
          <w:szCs w:val="20"/>
          <w:color w:val="auto"/>
        </w:rPr>
      </w:pPr>
      <w:r>
        <w:rPr>
          <w:rFonts w:ascii="Courier New" w:cs="Courier New" w:eastAsia="Courier New" w:hAnsi="Courier New"/>
          <w:sz w:val="15"/>
          <w:szCs w:val="15"/>
          <w:color w:val="auto"/>
        </w:rPr>
        <w:t>Truman S. Casner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51B9F3"/>
    <w:multiLevelType w:val="hybridMultilevel"/>
    <w:lvl w:ilvl="0">
      <w:lvlJc w:val="left"/>
      <w:lvlText w:val="-"/>
      <w:numFmt w:val="bullet"/>
      <w:start w:val="1"/>
    </w:lvl>
  </w:abstractNum>
  <w:abstractNum w:abstractNumId="1">
    <w:nsid w:val="24F6AB8E"/>
    <w:multiLevelType w:val="hybridMultilevel"/>
    <w:lvl w:ilvl="0">
      <w:lvlJc w:val="left"/>
      <w:lvlText w:val="-"/>
      <w:numFmt w:val="bullet"/>
      <w:start w:val="1"/>
    </w:lvl>
  </w:abstractNum>
  <w:abstractNum w:abstractNumId="2">
    <w:nsid w:val="634C574C"/>
    <w:multiLevelType w:val="hybridMultilevel"/>
    <w:lvl w:ilvl="0">
      <w:lvlJc w:val="left"/>
      <w:lvlText w:val="-"/>
      <w:numFmt w:val="bullet"/>
      <w:start w:val="1"/>
    </w:lvl>
  </w:abstractNum>
  <w:abstractNum w:abstractNumId="3">
    <w:nsid w:val="24E99DD7"/>
    <w:multiLevelType w:val="hybridMultilevel"/>
    <w:lvl w:ilvl="0">
      <w:lvlJc w:val="left"/>
      <w:lvlText w:val="-"/>
      <w:numFmt w:val="bullet"/>
      <w:start w:val="1"/>
    </w:lvl>
  </w:abstractNum>
  <w:abstractNum w:abstractNumId="4">
    <w:nsid w:val="2A31B62D"/>
    <w:multiLevelType w:val="hybridMultilevel"/>
    <w:lvl w:ilvl="0">
      <w:lvlJc w:val="left"/>
      <w:lvlText w:val="(%1)"/>
      <w:numFmt w:val="decimal"/>
      <w:start w:val="1"/>
    </w:lvl>
  </w:abstractNum>
  <w:abstractNum w:abstractNumId="5">
    <w:nsid w:val="1849C29B"/>
    <w:multiLevelType w:val="hybridMultilevel"/>
    <w:lvl w:ilvl="0">
      <w:lvlJc w:val="left"/>
      <w:lvlText w:val="(%1)"/>
      <w:numFmt w:val="decimal"/>
      <w:start w:val="2"/>
    </w:lvl>
  </w:abstractNum>
  <w:abstractNum w:abstractNumId="6">
    <w:nsid w:val="7DFF9D09"/>
    <w:multiLevelType w:val="hybridMultilevel"/>
    <w:lvl w:ilvl="0">
      <w:lvlJc w:val="left"/>
      <w:lvlText w:val="-"/>
      <w:numFmt w:val="bullet"/>
      <w:start w:val="1"/>
    </w:lvl>
  </w:abstractNum>
  <w:abstractNum w:abstractNumId="7">
    <w:nsid w:val="754342"/>
    <w:multiLevelType w:val="hybridMultilevel"/>
    <w:lvl w:ilvl="0">
      <w:lvlJc w:val="left"/>
      <w:lvlText w:val="."/>
      <w:numFmt w:val="bullet"/>
      <w:start w:val="1"/>
    </w:lvl>
  </w:abstractNum>
  <w:abstractNum w:abstractNumId="8">
    <w:nsid w:val="69E7F3E5"/>
    <w:multiLevelType w:val="hybridMultilevel"/>
    <w:lvl w:ilvl="0">
      <w:lvlJc w:val="left"/>
      <w:lvlText w:val="."/>
      <w:numFmt w:val="bullet"/>
      <w:start w:val="1"/>
    </w:lvl>
  </w:abstractNum>
  <w:abstractNum w:abstractNumId="9">
    <w:nsid w:val="2A6DE806"/>
    <w:multiLevelType w:val="hybridMultilevel"/>
    <w:lvl w:ilvl="0">
      <w:lvlJc w:val="left"/>
      <w:lvlText w:val="."/>
      <w:numFmt w:val="bullet"/>
      <w:start w:val="1"/>
    </w:lvl>
  </w:abstractNum>
  <w:abstractNum w:abstractNumId="10">
    <w:nsid w:val="1816F8C4"/>
    <w:multiLevelType w:val="hybridMultilevel"/>
    <w:lvl w:ilvl="0">
      <w:lvlJc w:val="left"/>
      <w:lvlText w:val="."/>
      <w:numFmt w:val="bullet"/>
      <w:start w:val="1"/>
    </w:lvl>
  </w:abstractNum>
  <w:abstractNum w:abstractNumId="11">
    <w:nsid w:val="37DF2233"/>
    <w:multiLevelType w:val="hybridMultilevel"/>
    <w:lvl w:ilvl="0">
      <w:lvlJc w:val="left"/>
      <w:lvlText w:val="."/>
      <w:numFmt w:val="bullet"/>
      <w:start w:val="1"/>
    </w:lvl>
  </w:abstractNum>
  <w:abstractNum w:abstractNumId="12">
    <w:nsid w:val="7AB49DAF"/>
    <w:multiLevelType w:val="hybridMultilevel"/>
    <w:lvl w:ilvl="0">
      <w:lvlJc w:val="left"/>
      <w:lvlText w:val="."/>
      <w:numFmt w:val="bullet"/>
      <w:start w:val="1"/>
    </w:lvl>
  </w:abstractNum>
  <w:abstractNum w:abstractNumId="13">
    <w:nsid w:val="759F82CD"/>
    <w:multiLevelType w:val="hybridMultilevel"/>
    <w:lvl w:ilvl="0">
      <w:lvlJc w:val="left"/>
      <w:lvlText w:val="."/>
      <w:numFmt w:val="bullet"/>
      <w:start w:val="1"/>
    </w:lvl>
  </w:abstractNum>
  <w:abstractNum w:abstractNumId="14">
    <w:nsid w:val="61E74EA3"/>
    <w:multiLevelType w:val="hybridMultilevel"/>
    <w:lvl w:ilvl="0">
      <w:lvlJc w:val="left"/>
      <w:lvlText w:val="(%1)"/>
      <w:numFmt w:val="decimal"/>
      <w:start w:val="1"/>
    </w:lvl>
  </w:abstractNum>
  <w:abstractNum w:abstractNumId="15">
    <w:nsid w:val="597B4D84"/>
    <w:multiLevelType w:val="hybridMultilevel"/>
    <w:lvl w:ilvl="0">
      <w:lvlJc w:val="left"/>
      <w:lvlText w:val="."/>
      <w:numFmt w:val="bullet"/>
      <w:start w:val="1"/>
    </w:lvl>
  </w:abstractNum>
  <w:abstractNum w:abstractNumId="16">
    <w:nsid w:val="F819E7F"/>
    <w:multiLevelType w:val="hybridMultilevel"/>
    <w:lvl w:ilvl="0">
      <w:lvlJc w:val="left"/>
      <w:lvlText w:val="."/>
      <w:numFmt w:val="bullet"/>
      <w:start w:val="1"/>
    </w:lvl>
  </w:abstractNum>
  <w:abstractNum w:abstractNumId="17">
    <w:nsid w:val="57C7D42D"/>
    <w:multiLevelType w:val="hybridMultilevel"/>
    <w:lvl w:ilvl="0">
      <w:lvlJc w:val="left"/>
      <w:lvlText w:val="."/>
      <w:numFmt w:val="bullet"/>
      <w:start w:val="1"/>
    </w:lvl>
  </w:abstractNum>
  <w:abstractNum w:abstractNumId="18">
    <w:nsid w:val="312167AD"/>
    <w:multiLevelType w:val="hybridMultilevel"/>
    <w:lvl w:ilvl="0">
      <w:lvlJc w:val="left"/>
      <w:lvlText w:val="."/>
      <w:numFmt w:val="bullet"/>
      <w:start w:val="1"/>
    </w:lvl>
  </w:abstractNum>
  <w:abstractNum w:abstractNumId="19">
    <w:nsid w:val="631B64D4"/>
    <w:multiLevelType w:val="hybridMultilevel"/>
    <w:lvl w:ilvl="0">
      <w:lvlJc w:val="left"/>
      <w:lvlText w:val="."/>
      <w:numFmt w:val="bullet"/>
      <w:start w:val="1"/>
    </w:lvl>
  </w:abstractNum>
  <w:abstractNum w:abstractNumId="20">
    <w:nsid w:val="78B5E776"/>
    <w:multiLevelType w:val="hybridMultilevel"/>
    <w:lvl w:ilvl="0">
      <w:lvlJc w:val="left"/>
      <w:lvlText w:val="."/>
      <w:numFmt w:val="bullet"/>
      <w:start w:val="1"/>
    </w:lvl>
  </w:abstractNum>
  <w:abstractNum w:abstractNumId="21">
    <w:nsid w:val="75486E47"/>
    <w:multiLevelType w:val="hybridMultilevel"/>
    <w:lvl w:ilvl="0">
      <w:lvlJc w:val="left"/>
      <w:lvlText w:val="."/>
      <w:numFmt w:val="bullet"/>
      <w:start w:val="1"/>
    </w:lvl>
  </w:abstractNum>
  <w:abstractNum w:abstractNumId="22">
    <w:nsid w:val="6E534CDE"/>
    <w:multiLevelType w:val="hybridMultilevel"/>
    <w:lvl w:ilvl="0">
      <w:lvlJc w:val="left"/>
      <w:lvlText w:val="."/>
      <w:numFmt w:val="bullet"/>
      <w:start w:val="1"/>
    </w:lvl>
  </w:abstractNum>
  <w:abstractNum w:abstractNumId="23">
    <w:nsid w:val="1A0DDE32"/>
    <w:multiLevelType w:val="hybridMultilevel"/>
    <w:lvl w:ilvl="0">
      <w:lvlJc w:val="left"/>
      <w:lvlText w:val="."/>
      <w:numFmt w:val="bullet"/>
      <w:start w:val="1"/>
    </w:lvl>
  </w:abstractNum>
  <w:abstractNum w:abstractNumId="24">
    <w:nsid w:val="65968C1C"/>
    <w:multiLevelType w:val="hybridMultilevel"/>
    <w:lvl w:ilvl="0">
      <w:lvlJc w:val="left"/>
      <w:lvlText w:val="."/>
      <w:numFmt w:val="bullet"/>
      <w:start w:val="1"/>
    </w:lvl>
  </w:abstractNum>
  <w:abstractNum w:abstractNumId="25">
    <w:nsid w:val="46263DEC"/>
    <w:multiLevelType w:val="hybridMultilevel"/>
    <w:lvl w:ilvl="0">
      <w:lvlJc w:val="left"/>
      <w:lvlText w:val="."/>
      <w:numFmt w:val="bullet"/>
      <w:start w:val="1"/>
    </w:lvl>
  </w:abstractNum>
  <w:abstractNum w:abstractNumId="26">
    <w:nsid w:val="260D8C4A"/>
    <w:multiLevelType w:val="hybridMultilevel"/>
    <w:lvl w:ilvl="0">
      <w:lvlJc w:val="left"/>
      <w:lvlText w:val="."/>
      <w:numFmt w:val="bullet"/>
      <w:start w:val="1"/>
    </w:lvl>
  </w:abstractNum>
  <w:abstractNum w:abstractNumId="27">
    <w:nsid w:val="73D4D3C4"/>
    <w:multiLevelType w:val="hybridMultilevel"/>
    <w:lvl w:ilvl="0">
      <w:lvlJc w:val="left"/>
      <w:lvlText w:val="."/>
      <w:numFmt w:val="bullet"/>
      <w:start w:val="1"/>
    </w:lvl>
  </w:abstractNum>
  <w:abstractNum w:abstractNumId="28">
    <w:nsid w:val="746F2E30"/>
    <w:multiLevelType w:val="hybridMultilevel"/>
    <w:lvl w:ilvl="0">
      <w:lvlJc w:val="left"/>
      <w:lvlText w:val="."/>
      <w:numFmt w:val="bullet"/>
      <w:start w:val="1"/>
    </w:lvl>
  </w:abstractNum>
  <w:abstractNum w:abstractNumId="29">
    <w:nsid w:val="6FDE8AF6"/>
    <w:multiLevelType w:val="hybridMultilevel"/>
    <w:lvl w:ilvl="0">
      <w:lvlJc w:val="left"/>
      <w:lvlText w:val="."/>
      <w:numFmt w:val="bullet"/>
      <w:start w:val="1"/>
    </w:lvl>
  </w:abstractNum>
  <w:abstractNum w:abstractNumId="30">
    <w:nsid w:val="3FC32E20"/>
    <w:multiLevelType w:val="hybridMultilevel"/>
    <w:lvl w:ilvl="0">
      <w:lvlJc w:val="left"/>
      <w:lvlText w:val="."/>
      <w:numFmt w:val="bullet"/>
      <w:start w:val="1"/>
    </w:lvl>
  </w:abstractNum>
  <w:abstractNum w:abstractNumId="31">
    <w:nsid w:val="49C0E823"/>
    <w:multiLevelType w:val="hybridMultilevel"/>
    <w:lvl w:ilvl="0">
      <w:lvlJc w:val="left"/>
      <w:lvlText w:val="."/>
      <w:numFmt w:val="bullet"/>
      <w:start w:val="1"/>
    </w:lvl>
  </w:abstractNum>
  <w:abstractNum w:abstractNumId="32">
    <w:nsid w:val="14D53685"/>
    <w:multiLevelType w:val="hybridMultilevel"/>
    <w:lvl w:ilvl="0">
      <w:lvlJc w:val="left"/>
      <w:lvlText w:val="."/>
      <w:numFmt w:val="bullet"/>
      <w:start w:val="1"/>
    </w:lvl>
  </w:abstractNum>
  <w:abstractNum w:abstractNumId="33">
    <w:nsid w:val="230F856C"/>
    <w:multiLevelType w:val="hybridMultilevel"/>
    <w:lvl w:ilvl="0">
      <w:lvlJc w:val="left"/>
      <w:lvlText w:val="."/>
      <w:numFmt w:val="bullet"/>
      <w:start w:val="1"/>
    </w:lvl>
  </w:abstractNum>
  <w:abstractNum w:abstractNumId="34">
    <w:nsid w:val="6EAA85FB"/>
    <w:multiLevelType w:val="hybridMultilevel"/>
    <w:lvl w:ilvl="0">
      <w:lvlJc w:val="left"/>
      <w:lvlText w:val="."/>
      <w:numFmt w:val="bullet"/>
      <w:start w:val="1"/>
    </w:lvl>
  </w:abstractNum>
  <w:abstractNum w:abstractNumId="35">
    <w:nsid w:val="3F06ECB2"/>
    <w:multiLevelType w:val="hybridMultilevel"/>
    <w:lvl w:ilvl="0">
      <w:lvlJc w:val="left"/>
      <w:lvlText w:val="."/>
      <w:numFmt w:val="bullet"/>
      <w:start w:val="1"/>
    </w:lvl>
  </w:abstractNum>
  <w:abstractNum w:abstractNumId="36">
    <w:nsid w:val="3B594807"/>
    <w:multiLevelType w:val="hybridMultilevel"/>
    <w:lvl w:ilvl="0">
      <w:lvlJc w:val="left"/>
      <w:lvlText w:val="."/>
      <w:numFmt w:val="bullet"/>
      <w:start w:val="1"/>
    </w:lvl>
  </w:abstractNum>
  <w:abstractNum w:abstractNumId="37">
    <w:nsid w:val="6CAA2304"/>
    <w:multiLevelType w:val="hybridMultilevel"/>
    <w:lvl w:ilvl="0">
      <w:lvlJc w:val="left"/>
      <w:lvlText w:val="."/>
      <w:numFmt w:val="bullet"/>
      <w:start w:val="1"/>
    </w:lvl>
  </w:abstractNum>
  <w:abstractNum w:abstractNumId="38">
    <w:nsid w:val="3F7C2FF4"/>
    <w:multiLevelType w:val="hybridMultilevel"/>
    <w:lvl w:ilvl="0">
      <w:lvlJc w:val="left"/>
      <w:lvlText w:val="(%1)"/>
      <w:numFmt w:val="decimal"/>
      <w:start w:val="2"/>
    </w:lvl>
  </w:abstractNum>
  <w:abstractNum w:abstractNumId="39">
    <w:nsid w:val="25413BEC"/>
    <w:multiLevelType w:val="hybridMultilevel"/>
    <w:lvl w:ilvl="0">
      <w:lvlJc w:val="left"/>
      <w:lvlText w:val="(%1)"/>
      <w:numFmt w:val="decimal"/>
      <w:start w:val="1"/>
    </w:lvl>
  </w:abstractNum>
  <w:abstractNum w:abstractNumId="40">
    <w:nsid w:val="17180B0B"/>
    <w:multiLevelType w:val="hybridMultilevel"/>
    <w:lvl w:ilvl="0">
      <w:lvlJc w:val="left"/>
      <w:lvlText w:val="(%1)"/>
      <w:numFmt w:val="decimal"/>
      <w:start w:val="2"/>
    </w:lvl>
  </w:abstractNum>
  <w:abstractNum w:abstractNumId="41">
    <w:nsid w:val="579328B9"/>
    <w:multiLevelType w:val="hybridMultilevel"/>
    <w:lvl w:ilvl="0">
      <w:lvlJc w:val="left"/>
      <w:lvlText w:val="."/>
      <w:numFmt w:val="bullet"/>
      <w:start w:val="1"/>
    </w:lvl>
  </w:abstractNum>
  <w:abstractNum w:abstractNumId="42">
    <w:nsid w:val="5D205E20"/>
    <w:multiLevelType w:val="hybridMultilevel"/>
    <w:lvl w:ilvl="0">
      <w:lvlJc w:val="left"/>
      <w:lvlText w:val="."/>
      <w:numFmt w:val="bullet"/>
      <w:start w:val="1"/>
    </w:lvl>
  </w:abstractNum>
  <w:abstractNum w:abstractNumId="43">
    <w:nsid w:val="11CCA8BA"/>
    <w:multiLevelType w:val="hybridMultilevel"/>
    <w:lvl w:ilvl="0">
      <w:lvlJc w:val="left"/>
      <w:lvlText w:val="."/>
      <w:numFmt w:val="bullet"/>
      <w:start w:val="1"/>
    </w:lvl>
  </w:abstractNum>
  <w:abstractNum w:abstractNumId="44">
    <w:nsid w:val="4D32AB86"/>
    <w:multiLevelType w:val="hybridMultilevel"/>
    <w:lvl w:ilvl="0">
      <w:lvlJc w:val="left"/>
      <w:lvlText w:val="(%1)"/>
      <w:numFmt w:val="upperLetter"/>
      <w:start w:val="1"/>
    </w:lvl>
  </w:abstractNum>
  <w:abstractNum w:abstractNumId="45">
    <w:nsid w:val="3F07ACC3"/>
    <w:multiLevelType w:val="hybridMultilevel"/>
    <w:lvl w:ilvl="0">
      <w:lvlJc w:val="left"/>
      <w:lvlText w:val="."/>
      <w:numFmt w:val="bullet"/>
      <w:start w:val="1"/>
    </w:lvl>
  </w:abstractNum>
  <w:abstractNum w:abstractNumId="46">
    <w:nsid w:val="6B47F63E"/>
    <w:multiLevelType w:val="hybridMultilevel"/>
    <w:lvl w:ilvl="0">
      <w:lvlJc w:val="left"/>
      <w:lvlText w:val="."/>
      <w:numFmt w:val="bullet"/>
      <w:start w:val="1"/>
    </w:lvl>
  </w:abstractNum>
  <w:abstractNum w:abstractNumId="47">
    <w:nsid w:val="5CB44A05"/>
    <w:multiLevelType w:val="hybridMultilevel"/>
    <w:lvl w:ilvl="0">
      <w:lvlJc w:val="left"/>
      <w:lvlText w:val="."/>
      <w:numFmt w:val="bullet"/>
      <w:start w:val="1"/>
    </w:lvl>
  </w:abstractNum>
  <w:abstractNum w:abstractNumId="48">
    <w:nsid w:val="16CF80F1"/>
    <w:multiLevelType w:val="hybridMultilevel"/>
    <w:lvl w:ilvl="0">
      <w:lvlJc w:val="left"/>
      <w:lvlText w:val="(%1)"/>
      <w:numFmt w:val="decimal"/>
      <w:start w:val="3"/>
    </w:lvl>
  </w:abstractNum>
  <w:abstractNum w:abstractNumId="49">
    <w:nsid w:val="1C695DEC"/>
    <w:multiLevelType w:val="hybridMultilevel"/>
    <w:lvl w:ilvl="0">
      <w:lvlJc w:val="left"/>
      <w:lvlText w:val="."/>
      <w:numFmt w:val="bullet"/>
      <w:start w:val="1"/>
    </w:lvl>
  </w:abstractNum>
  <w:abstractNum w:abstractNumId="50">
    <w:nsid w:val="3FCFAED9"/>
    <w:multiLevelType w:val="hybridMultilevel"/>
    <w:lvl w:ilvl="0">
      <w:lvlJc w:val="left"/>
      <w:lvlText w:val="."/>
      <w:numFmt w:val="bullet"/>
      <w:start w:val="1"/>
    </w:lvl>
  </w:abstractNum>
  <w:abstractNum w:abstractNumId="51">
    <w:nsid w:val="F856867"/>
    <w:multiLevelType w:val="hybridMultilevel"/>
    <w:lvl w:ilvl="0">
      <w:lvlJc w:val="left"/>
      <w:lvlText w:val="."/>
      <w:numFmt w:val="bullet"/>
      <w:start w:val="1"/>
    </w:lvl>
  </w:abstractNum>
  <w:abstractNum w:abstractNumId="52">
    <w:nsid w:val="11B1CC33"/>
    <w:multiLevelType w:val="hybridMultilevel"/>
    <w:lvl w:ilvl="0">
      <w:lvlJc w:val="left"/>
      <w:lvlText w:val="."/>
      <w:numFmt w:val="bullet"/>
      <w:start w:val="1"/>
    </w:lvl>
  </w:abstractNum>
  <w:abstractNum w:abstractNumId="53">
    <w:nsid w:val="2E22FBB7"/>
    <w:multiLevelType w:val="hybridMultilevel"/>
    <w:lvl w:ilvl="0">
      <w:lvlJc w:val="left"/>
      <w:lvlText w:val="."/>
      <w:numFmt w:val="bullet"/>
      <w:start w:val="1"/>
    </w:lvl>
  </w:abstractNum>
  <w:abstractNum w:abstractNumId="54">
    <w:nsid w:val="29934699"/>
    <w:multiLevelType w:val="hybridMultilevel"/>
    <w:lvl w:ilvl="0">
      <w:lvlJc w:val="left"/>
      <w:lvlText w:val="."/>
      <w:numFmt w:val="bullet"/>
      <w:start w:val="1"/>
    </w:lvl>
  </w:abstractNum>
  <w:abstractNum w:abstractNumId="55">
    <w:nsid w:val="77485850"/>
    <w:multiLevelType w:val="hybridMultilevel"/>
    <w:lvl w:ilvl="0">
      <w:lvlJc w:val="left"/>
      <w:lvlText w:val="."/>
      <w:numFmt w:val="bullet"/>
      <w:start w:val="1"/>
    </w:lvl>
  </w:abstractNum>
  <w:abstractNum w:abstractNumId="56">
    <w:nsid w:val="744939A3"/>
    <w:multiLevelType w:val="hybridMultilevel"/>
    <w:lvl w:ilvl="0">
      <w:lvlJc w:val="left"/>
      <w:lvlText w:val="."/>
      <w:numFmt w:val="bullet"/>
      <w:start w:val="1"/>
    </w:lvl>
  </w:abstractNum>
  <w:abstractNum w:abstractNumId="57">
    <w:nsid w:val="4FA0D2E3"/>
    <w:multiLevelType w:val="hybridMultilevel"/>
    <w:lvl w:ilvl="0">
      <w:lvlJc w:val="left"/>
      <w:lvlText w:val="."/>
      <w:numFmt w:val="bullet"/>
      <w:start w:val="1"/>
    </w:lvl>
  </w:abstractNum>
  <w:abstractNum w:abstractNumId="58">
    <w:nsid w:val="6B1D2C14"/>
    <w:multiLevelType w:val="hybridMultilevel"/>
    <w:lvl w:ilvl="0">
      <w:lvlJc w:val="left"/>
      <w:lvlText w:val="."/>
      <w:numFmt w:val="bullet"/>
      <w:start w:val="1"/>
    </w:lvl>
  </w:abstractNum>
  <w:abstractNum w:abstractNumId="59">
    <w:nsid w:val="68B867D3"/>
    <w:multiLevelType w:val="hybridMultilevel"/>
    <w:lvl w:ilvl="0">
      <w:lvlJc w:val="left"/>
      <w:lvlText w:val="."/>
      <w:numFmt w:val="bullet"/>
      <w:start w:val="1"/>
    </w:lvl>
  </w:abstractNum>
  <w:abstractNum w:abstractNumId="60">
    <w:nsid w:val="3F7F5DD9"/>
    <w:multiLevelType w:val="hybridMultilevel"/>
    <w:lvl w:ilvl="0">
      <w:lvlJc w:val="left"/>
      <w:lvlText w:val="."/>
      <w:numFmt w:val="bullet"/>
      <w:start w:val="1"/>
    </w:lvl>
  </w:abstractNum>
  <w:abstractNum w:abstractNumId="61">
    <w:nsid w:val="2AE05A34"/>
    <w:multiLevelType w:val="hybridMultilevel"/>
    <w:lvl w:ilvl="0">
      <w:lvlJc w:val="left"/>
      <w:lvlText w:val="."/>
      <w:numFmt w:val="bullet"/>
      <w:start w:val="1"/>
    </w:lvl>
  </w:abstractNum>
  <w:abstractNum w:abstractNumId="62">
    <w:nsid w:val="32794FF7"/>
    <w:multiLevelType w:val="hybridMultilevel"/>
    <w:lvl w:ilvl="0">
      <w:lvlJc w:val="left"/>
      <w:lvlText w:val="."/>
      <w:numFmt w:val="bullet"/>
      <w:start w:val="1"/>
    </w:lvl>
  </w:abstractNum>
  <w:abstractNum w:abstractNumId="63">
    <w:nsid w:val="5454945E"/>
    <w:multiLevelType w:val="hybridMultilevel"/>
    <w:lvl w:ilvl="0">
      <w:lvlJc w:val="left"/>
      <w:lvlText w:val="."/>
      <w:numFmt w:val="bullet"/>
      <w:start w:val="1"/>
    </w:lvl>
  </w:abstractNum>
  <w:abstractNum w:abstractNumId="64">
    <w:nsid w:val="4DEFDFA0"/>
    <w:multiLevelType w:val="hybridMultilevel"/>
    <w:lvl w:ilvl="0">
      <w:lvlJc w:val="left"/>
      <w:lvlText w:val="."/>
      <w:numFmt w:val="bullet"/>
      <w:start w:val="1"/>
    </w:lvl>
  </w:abstractNum>
  <w:abstractNum w:abstractNumId="65">
    <w:nsid w:val="2123D5F2"/>
    <w:multiLevelType w:val="hybridMultilevel"/>
    <w:lvl w:ilvl="0">
      <w:lvlJc w:val="left"/>
      <w:lvlText w:val="."/>
      <w:numFmt w:val="bullet"/>
      <w:start w:val="1"/>
    </w:lvl>
  </w:abstractNum>
  <w:abstractNum w:abstractNumId="66">
    <w:nsid w:val="135B8110"/>
    <w:multiLevelType w:val="hybridMultilevel"/>
    <w:lvl w:ilvl="0">
      <w:lvlJc w:val="left"/>
      <w:lvlText w:val="."/>
      <w:numFmt w:val="bullet"/>
      <w:start w:val="1"/>
    </w:lvl>
  </w:abstractNum>
  <w:abstractNum w:abstractNumId="67">
    <w:nsid w:val="94927A8"/>
    <w:multiLevelType w:val="hybridMultilevel"/>
    <w:lvl w:ilvl="0">
      <w:lvlJc w:val="left"/>
      <w:lvlText w:val="."/>
      <w:numFmt w:val="bullet"/>
      <w:start w:val="1"/>
    </w:lvl>
  </w:abstractNum>
  <w:abstractNum w:abstractNumId="68">
    <w:nsid w:val="DCDF8F6"/>
    <w:multiLevelType w:val="hybridMultilevel"/>
    <w:lvl w:ilvl="0">
      <w:lvlJc w:val="left"/>
      <w:lvlText w:val="."/>
      <w:numFmt w:val="bullet"/>
      <w:start w:val="1"/>
    </w:lvl>
  </w:abstractNum>
  <w:abstractNum w:abstractNumId="69">
    <w:nsid w:val="52D7B105"/>
    <w:multiLevelType w:val="hybridMultilevel"/>
    <w:lvl w:ilvl="0">
      <w:lvlJc w:val="left"/>
      <w:lvlText w:val="."/>
      <w:numFmt w:val="bullet"/>
      <w:start w:val="1"/>
    </w:lvl>
  </w:abstractNum>
  <w:abstractNum w:abstractNumId="70">
    <w:nsid w:val="2E8A6394"/>
    <w:multiLevelType w:val="hybridMultilevel"/>
    <w:lvl w:ilvl="0">
      <w:lvlJc w:val="left"/>
      <w:lvlText w:val="."/>
      <w:numFmt w:val="bullet"/>
      <w:start w:val="1"/>
    </w:lvl>
  </w:abstractNum>
  <w:abstractNum w:abstractNumId="71">
    <w:nsid w:val="24E60401"/>
    <w:multiLevelType w:val="hybridMultilevel"/>
    <w:lvl w:ilvl="0">
      <w:lvlJc w:val="left"/>
      <w:lvlText w:val="."/>
      <w:numFmt w:val="bullet"/>
      <w:start w:val="1"/>
    </w:lvl>
  </w:abstractNum>
  <w:abstractNum w:abstractNumId="72">
    <w:nsid w:val="2A6AD9BE"/>
    <w:multiLevelType w:val="hybridMultilevel"/>
    <w:lvl w:ilvl="0">
      <w:lvlJc w:val="left"/>
      <w:lvlText w:val="."/>
      <w:numFmt w:val="bullet"/>
      <w:start w:val="1"/>
    </w:lvl>
  </w:abstractNum>
  <w:abstractNum w:abstractNumId="73">
    <w:nsid w:val="BAAC1B4"/>
    <w:multiLevelType w:val="hybridMultilevel"/>
    <w:lvl w:ilvl="0">
      <w:lvlJc w:val="left"/>
      <w:lvlText w:val="."/>
      <w:numFmt w:val="bullet"/>
      <w:start w:val="1"/>
    </w:lvl>
  </w:abstractNum>
  <w:abstractNum w:abstractNumId="74">
    <w:nsid w:val="36B2ACBC"/>
    <w:multiLevelType w:val="hybridMultilevel"/>
    <w:lvl w:ilvl="0">
      <w:lvlJc w:val="left"/>
      <w:lvlText w:val="."/>
      <w:numFmt w:val="bullet"/>
      <w:start w:val="1"/>
    </w:lvl>
  </w:abstractNum>
  <w:abstractNum w:abstractNumId="75">
    <w:nsid w:val="779D8544"/>
    <w:multiLevelType w:val="hybridMultilevel"/>
    <w:lvl w:ilvl="0">
      <w:lvlJc w:val="left"/>
      <w:lvlText w:val="."/>
      <w:numFmt w:val="bullet"/>
      <w:start w:val="1"/>
    </w:lvl>
  </w:abstractNum>
  <w:abstractNum w:abstractNumId="76">
    <w:nsid w:val="4AB26E78"/>
    <w:multiLevelType w:val="hybridMultilevel"/>
    <w:lvl w:ilvl="0">
      <w:lvlJc w:val="left"/>
      <w:lvlText w:val="."/>
      <w:numFmt w:val="bullet"/>
      <w:start w:val="1"/>
    </w:lvl>
  </w:abstractNum>
  <w:abstractNum w:abstractNumId="77">
    <w:nsid w:val="21FAA2FA"/>
    <w:multiLevelType w:val="hybridMultilevel"/>
    <w:lvl w:ilvl="0">
      <w:lvlJc w:val="left"/>
      <w:lvlText w:val="."/>
      <w:numFmt w:val="bullet"/>
      <w:start w:val="1"/>
    </w:lvl>
  </w:abstractNum>
  <w:abstractNum w:abstractNumId="78">
    <w:nsid w:val="5451CF49"/>
    <w:multiLevelType w:val="hybridMultilevel"/>
    <w:lvl w:ilvl="0">
      <w:lvlJc w:val="left"/>
      <w:lvlText w:val="."/>
      <w:numFmt w:val="bullet"/>
      <w:start w:val="1"/>
    </w:lvl>
  </w:abstractNum>
  <w:abstractNum w:abstractNumId="79">
    <w:nsid w:val="6181EF69"/>
    <w:multiLevelType w:val="hybridMultilevel"/>
    <w:lvl w:ilvl="0">
      <w:lvlJc w:val="left"/>
      <w:lvlText w:val="."/>
      <w:numFmt w:val="bullet"/>
      <w:start w:val="1"/>
    </w:lvl>
  </w:abstractNum>
  <w:abstractNum w:abstractNumId="80">
    <w:nsid w:val="3E6400E6"/>
    <w:multiLevelType w:val="hybridMultilevel"/>
    <w:lvl w:ilvl="0">
      <w:lvlJc w:val="left"/>
      <w:lvlText w:val="."/>
      <w:numFmt w:val="bullet"/>
      <w:start w:val="1"/>
    </w:lvl>
  </w:abstractNum>
  <w:abstractNum w:abstractNumId="81">
    <w:nsid w:val="14217E23"/>
    <w:multiLevelType w:val="hybridMultilevel"/>
    <w:lvl w:ilvl="0">
      <w:lvlJc w:val="left"/>
      <w:lvlText w:val="."/>
      <w:numFmt w:val="bullet"/>
      <w:start w:val="1"/>
    </w:lvl>
  </w:abstractNum>
  <w:abstractNum w:abstractNumId="82">
    <w:nsid w:val="710757D0"/>
    <w:multiLevelType w:val="hybridMultilevel"/>
    <w:lvl w:ilvl="0">
      <w:lvlJc w:val="left"/>
      <w:lvlText w:val="."/>
      <w:numFmt w:val="bullet"/>
      <w:start w:val="1"/>
    </w:lvl>
  </w:abstractNum>
  <w:abstractNum w:abstractNumId="83">
    <w:nsid w:val="5015CD1A"/>
    <w:multiLevelType w:val="hybridMultilevel"/>
    <w:lvl w:ilvl="0">
      <w:lvlJc w:val="left"/>
      <w:lvlText w:val="."/>
      <w:numFmt w:val="bullet"/>
      <w:start w:val="1"/>
    </w:lvl>
  </w:abstractNum>
  <w:abstractNum w:abstractNumId="84">
    <w:nsid w:val="424479DA"/>
    <w:multiLevelType w:val="hybridMultilevel"/>
    <w:lvl w:ilvl="0">
      <w:lvlJc w:val="left"/>
      <w:lvlText w:val="."/>
      <w:numFmt w:val="bullet"/>
      <w:start w:val="1"/>
    </w:lvl>
  </w:abstractNum>
  <w:abstractNum w:abstractNumId="85">
    <w:nsid w:val="1A9A9E69"/>
    <w:multiLevelType w:val="hybridMultilevel"/>
    <w:lvl w:ilvl="0">
      <w:lvlJc w:val="left"/>
      <w:lvlText w:val="."/>
      <w:numFmt w:val="bullet"/>
      <w:start w:val="1"/>
    </w:lvl>
  </w:abstractNum>
  <w:abstractNum w:abstractNumId="86">
    <w:nsid w:val="475E256A"/>
    <w:multiLevelType w:val="hybridMultilevel"/>
    <w:lvl w:ilvl="0">
      <w:lvlJc w:val="left"/>
      <w:lvlText w:val="."/>
      <w:numFmt w:val="bullet"/>
      <w:start w:val="1"/>
    </w:lvl>
  </w:abstractNum>
  <w:abstractNum w:abstractNumId="87">
    <w:nsid w:val="368DB37E"/>
    <w:multiLevelType w:val="hybridMultilevel"/>
    <w:lvl w:ilvl="0">
      <w:lvlJc w:val="left"/>
      <w:lvlText w:val="."/>
      <w:numFmt w:val="bullet"/>
      <w:start w:val="1"/>
    </w:lvl>
  </w:abstractNum>
  <w:abstractNum w:abstractNumId="88">
    <w:nsid w:val="6A3B714C"/>
    <w:multiLevelType w:val="hybridMultilevel"/>
    <w:lvl w:ilvl="0">
      <w:lvlJc w:val="left"/>
      <w:lvlText w:val="."/>
      <w:numFmt w:val="bullet"/>
      <w:start w:val="1"/>
    </w:lvl>
  </w:abstractNum>
  <w:abstractNum w:abstractNumId="89">
    <w:nsid w:val="327B517E"/>
    <w:multiLevelType w:val="hybridMultilevel"/>
    <w:lvl w:ilvl="0">
      <w:lvlJc w:val="left"/>
      <w:lvlText w:val="."/>
      <w:numFmt w:val="bullet"/>
      <w:start w:val="1"/>
    </w:lvl>
  </w:abstractNum>
  <w:abstractNum w:abstractNumId="90">
    <w:nsid w:val="1F461B51"/>
    <w:multiLevelType w:val="hybridMultilevel"/>
    <w:lvl w:ilvl="0">
      <w:lvlJc w:val="left"/>
      <w:lvlText w:val="."/>
      <w:numFmt w:val="bullet"/>
      <w:start w:val="1"/>
    </w:lvl>
  </w:abstractNum>
  <w:abstractNum w:abstractNumId="91">
    <w:nsid w:val="29BACF25"/>
    <w:multiLevelType w:val="hybridMultilevel"/>
    <w:lvl w:ilvl="0">
      <w:lvlJc w:val="left"/>
      <w:lvlText w:val="."/>
      <w:numFmt w:val="bullet"/>
      <w:start w:val="1"/>
    </w:lvl>
  </w:abstractNum>
  <w:abstractNum w:abstractNumId="92">
    <w:nsid w:val="5D5BABB3"/>
    <w:multiLevelType w:val="hybridMultilevel"/>
    <w:lvl w:ilvl="0">
      <w:lvlJc w:val="left"/>
      <w:lvlText w:val="."/>
      <w:numFmt w:val="bullet"/>
      <w:start w:val="1"/>
    </w:lvl>
  </w:abstractNum>
  <w:abstractNum w:abstractNumId="93">
    <w:nsid w:val="51BF6B48"/>
    <w:multiLevelType w:val="hybridMultilevel"/>
    <w:lvl w:ilvl="0">
      <w:lvlJc w:val="left"/>
      <w:lvlText w:val="."/>
      <w:numFmt w:val="bullet"/>
      <w:start w:val="1"/>
    </w:lvl>
    <w:lvl w:ilvl="1">
      <w:lvlJc w:val="left"/>
      <w:lvlText w:val="(%2)"/>
      <w:numFmt w:val="lowerLetter"/>
      <w:start w:val="2"/>
    </w:lvl>
  </w:abstractNum>
  <w:abstractNum w:abstractNumId="94">
    <w:nsid w:val="7E0F6384"/>
    <w:multiLevelType w:val="hybridMultilevel"/>
    <w:lvl w:ilvl="0">
      <w:lvlJc w:val="left"/>
      <w:lvlText w:val="."/>
      <w:numFmt w:val="bullet"/>
      <w:start w:val="1"/>
    </w:lvl>
  </w:abstractNum>
  <w:abstractNum w:abstractNumId="95">
    <w:nsid w:val="2B4B8B53"/>
    <w:multiLevelType w:val="hybridMultilevel"/>
    <w:lvl w:ilvl="0">
      <w:lvlJc w:val="left"/>
      <w:lvlText w:val="."/>
      <w:numFmt w:val="bullet"/>
      <w:start w:val="1"/>
    </w:lvl>
  </w:abstractNum>
  <w:abstractNum w:abstractNumId="96">
    <w:nsid w:val="72E3413A"/>
    <w:multiLevelType w:val="hybridMultilevel"/>
    <w:lvl w:ilvl="0">
      <w:lvlJc w:val="left"/>
      <w:lvlText w:val="."/>
      <w:numFmt w:val="bullet"/>
      <w:start w:val="1"/>
    </w:lvl>
  </w:abstractNum>
  <w:abstractNum w:abstractNumId="97">
    <w:nsid w:val="116AE494"/>
    <w:multiLevelType w:val="hybridMultilevel"/>
    <w:lvl w:ilvl="0">
      <w:lvlJc w:val="left"/>
      <w:lvlText w:val="."/>
      <w:numFmt w:val="bullet"/>
      <w:start w:val="1"/>
    </w:lvl>
  </w:abstractNum>
  <w:abstractNum w:abstractNumId="98">
    <w:nsid w:val="3494B2FB"/>
    <w:multiLevelType w:val="hybridMultilevel"/>
    <w:lvl w:ilvl="0">
      <w:lvlJc w:val="left"/>
      <w:lvlText w:val="."/>
      <w:numFmt w:val="bullet"/>
      <w:start w:val="1"/>
    </w:lvl>
  </w:abstractNum>
  <w:abstractNum w:abstractNumId="99">
    <w:nsid w:val="B13A31"/>
    <w:multiLevelType w:val="hybridMultilevel"/>
    <w:lvl w:ilvl="0">
      <w:lvlJc w:val="left"/>
      <w:lvlText w:val="."/>
      <w:numFmt w:val="bullet"/>
      <w:start w:val="1"/>
    </w:lvl>
  </w:abstractNum>
  <w:abstractNum w:abstractNumId="100">
    <w:nsid w:val="64429599"/>
    <w:multiLevelType w:val="hybridMultilevel"/>
    <w:lvl w:ilvl="0">
      <w:lvlJc w:val="left"/>
      <w:lvlText w:val="."/>
      <w:numFmt w:val="bullet"/>
      <w:start w:val="1"/>
    </w:lvl>
  </w:abstractNum>
  <w:abstractNum w:abstractNumId="101">
    <w:nsid w:val="631F1690"/>
    <w:multiLevelType w:val="hybridMultilevel"/>
    <w:lvl w:ilvl="0">
      <w:lvlJc w:val="left"/>
      <w:lvlText w:val="."/>
      <w:numFmt w:val="bullet"/>
      <w:start w:val="1"/>
    </w:lvl>
  </w:abstractNum>
  <w:abstractNum w:abstractNumId="102">
    <w:nsid w:val="25973E32"/>
    <w:multiLevelType w:val="hybridMultilevel"/>
    <w:lvl w:ilvl="0">
      <w:lvlJc w:val="left"/>
      <w:lvlText w:val="(%1)"/>
      <w:numFmt w:val="decimal"/>
      <w:start w:val="1"/>
    </w:lvl>
  </w:abstractNum>
  <w:abstractNum w:abstractNumId="103">
    <w:nsid w:val="EAD6F57"/>
    <w:multiLevelType w:val="hybridMultilevel"/>
    <w:lvl w:ilvl="0">
      <w:lvlJc w:val="left"/>
      <w:lvlText w:val="."/>
      <w:numFmt w:val="bullet"/>
      <w:start w:val="1"/>
    </w:lvl>
  </w:abstractNum>
  <w:abstractNum w:abstractNumId="104">
    <w:nsid w:val="6EC9D844"/>
    <w:multiLevelType w:val="hybridMultilevel"/>
    <w:lvl w:ilvl="0">
      <w:lvlJc w:val="left"/>
      <w:lvlText w:val="."/>
      <w:numFmt w:val="bullet"/>
      <w:start w:val="1"/>
    </w:lvl>
  </w:abstractNum>
  <w:abstractNum w:abstractNumId="105">
    <w:nsid w:val="5C49EAEE"/>
    <w:multiLevelType w:val="hybridMultilevel"/>
    <w:lvl w:ilvl="0">
      <w:lvlJc w:val="left"/>
      <w:lvlText w:val="."/>
      <w:numFmt w:val="bullet"/>
      <w:start w:val="1"/>
    </w:lvl>
  </w:abstractNum>
  <w:abstractNum w:abstractNumId="106">
    <w:nsid w:val="64AF49B"/>
    <w:multiLevelType w:val="hybridMultilevel"/>
    <w:lvl w:ilvl="0">
      <w:lvlJc w:val="left"/>
      <w:lvlText w:val="."/>
      <w:numFmt w:val="bullet"/>
      <w:start w:val="1"/>
    </w:lvl>
  </w:abstractNum>
  <w:abstractNum w:abstractNumId="107">
    <w:nsid w:val="397C46BC"/>
    <w:multiLevelType w:val="hybridMultilevel"/>
    <w:lvl w:ilvl="0">
      <w:lvlJc w:val="left"/>
      <w:lvlText w:val="."/>
      <w:numFmt w:val="bullet"/>
      <w:start w:val="1"/>
    </w:lvl>
  </w:abstractNum>
  <w:abstractNum w:abstractNumId="108">
    <w:nsid w:val="7E448DE9"/>
    <w:multiLevelType w:val="hybridMultilevel"/>
    <w:lvl w:ilvl="0">
      <w:lvlJc w:val="left"/>
      <w:lvlText w:val="."/>
      <w:numFmt w:val="bullet"/>
      <w:start w:val="1"/>
    </w:lvl>
  </w:abstractNum>
  <w:abstractNum w:abstractNumId="109">
    <w:nsid w:val="5A9CC3E5"/>
    <w:multiLevelType w:val="hybridMultilevel"/>
    <w:lvl w:ilvl="0">
      <w:lvlJc w:val="left"/>
      <w:lvlText w:val="."/>
      <w:numFmt w:val="bullet"/>
      <w:start w:val="1"/>
    </w:lvl>
  </w:abstractNum>
  <w:abstractNum w:abstractNumId="110">
    <w:nsid w:val="1AFE3625"/>
    <w:multiLevelType w:val="hybridMultilevel"/>
    <w:lvl w:ilvl="0">
      <w:lvlJc w:val="left"/>
      <w:lvlText w:val="."/>
      <w:numFmt w:val="bullet"/>
      <w:start w:val="1"/>
    </w:lvl>
  </w:abstractNum>
  <w:abstractNum w:abstractNumId="111">
    <w:nsid w:val="3CA88ECF"/>
    <w:multiLevelType w:val="hybridMultilevel"/>
    <w:lvl w:ilvl="0">
      <w:lvlJc w:val="left"/>
      <w:lvlText w:val="."/>
      <w:numFmt w:val="bullet"/>
      <w:start w:val="1"/>
    </w:lvl>
  </w:abstractNum>
  <w:abstractNum w:abstractNumId="112">
    <w:nsid w:val="6EBE4208"/>
    <w:multiLevelType w:val="hybridMultilevel"/>
    <w:lvl w:ilvl="0">
      <w:lvlJc w:val="left"/>
      <w:lvlText w:val="."/>
      <w:numFmt w:val="bullet"/>
      <w:start w:val="1"/>
    </w:lvl>
  </w:abstractNum>
  <w:abstractNum w:abstractNumId="113">
    <w:nsid w:val="C058DF5"/>
    <w:multiLevelType w:val="hybridMultilevel"/>
    <w:lvl w:ilvl="0">
      <w:lvlJc w:val="left"/>
      <w:lvlText w:val="."/>
      <w:numFmt w:val="bullet"/>
      <w:start w:val="1"/>
    </w:lvl>
  </w:abstractNum>
  <w:abstractNum w:abstractNumId="114">
    <w:nsid w:val="CBE5BE9"/>
    <w:multiLevelType w:val="hybridMultilevel"/>
    <w:lvl w:ilvl="0">
      <w:lvlJc w:val="left"/>
      <w:lvlText w:val="."/>
      <w:numFmt w:val="bullet"/>
      <w:start w:val="1"/>
    </w:lvl>
  </w:abstractNum>
  <w:abstractNum w:abstractNumId="115">
    <w:nsid w:val="3102BBE2"/>
    <w:multiLevelType w:val="hybridMultilevel"/>
    <w:lvl w:ilvl="0">
      <w:lvlJc w:val="left"/>
      <w:lvlText w:val="(%1)"/>
      <w:numFmt w:val="decimal"/>
      <w:start w:val="1"/>
    </w:lvl>
  </w:abstractNum>
  <w:abstractNum w:abstractNumId="116">
    <w:nsid w:val="26A02C5E"/>
    <w:multiLevelType w:val="hybridMultilevel"/>
    <w:lvl w:ilvl="0">
      <w:lvlJc w:val="left"/>
      <w:lvlText w:val="(%1)"/>
      <w:numFmt w:val="decimal"/>
      <w:start w:val="1"/>
    </w:lvl>
  </w:abstractNum>
  <w:abstractNum w:abstractNumId="117">
    <w:nsid w:val="541C8153"/>
    <w:multiLevelType w:val="hybridMultilevel"/>
    <w:lvl w:ilvl="0">
      <w:lvlJc w:val="left"/>
      <w:lvlText w:val="-"/>
      <w:numFmt w:val="bullet"/>
      <w:start w:val="1"/>
    </w:lvl>
    <w:lvl w:ilvl="1">
      <w:lvlJc w:val="left"/>
      <w:lvlText w:val="----"/>
      <w:numFmt w:val="bullet"/>
      <w:start w:val="1"/>
    </w:lvl>
  </w:abstractNum>
  <w:abstractNum w:abstractNumId="118">
    <w:nsid w:val="67906F60"/>
    <w:multiLevelType w:val="hybridMultilevel"/>
    <w:lvl w:ilvl="0">
      <w:lvlJc w:val="left"/>
      <w:lvlText w:val="(%1)"/>
      <w:numFmt w:val="decimal"/>
      <w:start w:val="1"/>
    </w:lvl>
  </w:abstractNum>
  <w:abstractNum w:abstractNumId="119">
    <w:nsid w:val="10DB9DAA"/>
    <w:multiLevelType w:val="hybridMultilevel"/>
    <w:lvl w:ilvl="0">
      <w:lvlJc w:val="left"/>
      <w:lvlText w:val="."/>
      <w:numFmt w:val="bullet"/>
      <w:start w:val="1"/>
    </w:lvl>
  </w:abstractNum>
  <w:abstractNum w:abstractNumId="120">
    <w:nsid w:val="697D2D2"/>
    <w:multiLevelType w:val="hybridMultilevel"/>
    <w:lvl w:ilvl="0">
      <w:lvlJc w:val="left"/>
      <w:lvlText w:val="."/>
      <w:numFmt w:val="bullet"/>
      <w:start w:val="1"/>
    </w:lvl>
  </w:abstractNum>
  <w:abstractNum w:abstractNumId="121">
    <w:nsid w:val="6D68AB2"/>
    <w:multiLevelType w:val="hybridMultilevel"/>
    <w:lvl w:ilvl="0">
      <w:lvlJc w:val="left"/>
      <w:lvlText w:val="."/>
      <w:numFmt w:val="bullet"/>
      <w:start w:val="1"/>
    </w:lvl>
  </w:abstractNum>
  <w:abstractNum w:abstractNumId="122">
    <w:nsid w:val="3A966CD0"/>
    <w:multiLevelType w:val="hybridMultilevel"/>
    <w:lvl w:ilvl="0">
      <w:lvlJc w:val="left"/>
      <w:lvlText w:val="."/>
      <w:numFmt w:val="bullet"/>
      <w:start w:val="1"/>
    </w:lvl>
  </w:abstractNum>
  <w:abstractNum w:abstractNumId="123">
    <w:nsid w:val="63F37E85"/>
    <w:multiLevelType w:val="hybridMultilevel"/>
    <w:lvl w:ilvl="0">
      <w:lvlJc w:val="left"/>
      <w:lvlText w:val="."/>
      <w:numFmt w:val="bullet"/>
      <w:start w:val="1"/>
    </w:lvl>
  </w:abstractNum>
  <w:abstractNum w:abstractNumId="124">
    <w:nsid w:val="5895F5FA"/>
    <w:multiLevelType w:val="hybridMultilevel"/>
    <w:lvl w:ilvl="0">
      <w:lvlJc w:val="left"/>
      <w:lvlText w:val="."/>
      <w:numFmt w:val="bullet"/>
      <w:start w:val="1"/>
    </w:lvl>
  </w:abstractNum>
  <w:abstractNum w:abstractNumId="125">
    <w:nsid w:val="38A5D054"/>
    <w:multiLevelType w:val="hybridMultilevel"/>
    <w:lvl w:ilvl="0">
      <w:lvlJc w:val="left"/>
      <w:lvlText w:val="."/>
      <w:numFmt w:val="bullet"/>
      <w:start w:val="1"/>
    </w:lvl>
  </w:abstractNum>
  <w:abstractNum w:abstractNumId="126">
    <w:nsid w:val="F3F09D8"/>
    <w:multiLevelType w:val="hybridMultilevel"/>
    <w:lvl w:ilvl="0">
      <w:lvlJc w:val="left"/>
      <w:lvlText w:val="."/>
      <w:numFmt w:val="bullet"/>
      <w:start w:val="1"/>
    </w:lvl>
  </w:abstractNum>
  <w:abstractNum w:abstractNumId="127">
    <w:nsid w:val="4B793735"/>
    <w:multiLevelType w:val="hybridMultilevel"/>
    <w:lvl w:ilvl="0">
      <w:lvlJc w:val="left"/>
      <w:lvlText w:val="."/>
      <w:numFmt w:val="bullet"/>
      <w:start w:val="1"/>
    </w:lvl>
  </w:abstractNum>
  <w:abstractNum w:abstractNumId="128">
    <w:nsid w:val="4A10B4E8"/>
    <w:multiLevelType w:val="hybridMultilevel"/>
    <w:lvl w:ilvl="0">
      <w:lvlJc w:val="left"/>
      <w:lvlText w:val="."/>
      <w:numFmt w:val="bullet"/>
      <w:start w:val="1"/>
    </w:lvl>
  </w:abstractNum>
  <w:abstractNum w:abstractNumId="129">
    <w:nsid w:val="43D3BCD4"/>
    <w:multiLevelType w:val="hybridMultilevel"/>
    <w:lvl w:ilvl="0">
      <w:lvlJc w:val="left"/>
      <w:lvlText w:val="."/>
      <w:numFmt w:val="bullet"/>
      <w:start w:val="1"/>
    </w:lvl>
  </w:abstractNum>
  <w:abstractNum w:abstractNumId="130">
    <w:nsid w:val="4C2A7166"/>
    <w:multiLevelType w:val="hybridMultilevel"/>
    <w:lvl w:ilvl="0">
      <w:lvlJc w:val="left"/>
      <w:lvlText w:val="."/>
      <w:numFmt w:val="bullet"/>
      <w:start w:val="1"/>
    </w:lvl>
  </w:abstractNum>
  <w:abstractNum w:abstractNumId="131">
    <w:nsid w:val="2E534A82"/>
    <w:multiLevelType w:val="hybridMultilevel"/>
    <w:lvl w:ilvl="0">
      <w:lvlJc w:val="left"/>
      <w:lvlText w:val="."/>
      <w:numFmt w:val="bullet"/>
      <w:start w:val="1"/>
    </w:lvl>
  </w:abstractNum>
  <w:abstractNum w:abstractNumId="132">
    <w:nsid w:val="26F2D364"/>
    <w:multiLevelType w:val="hybridMultilevel"/>
    <w:lvl w:ilvl="0">
      <w:lvlJc w:val="left"/>
      <w:lvlText w:val="(%1)"/>
      <w:numFmt w:val="decimal"/>
      <w:start w:val="1"/>
    </w:lvl>
  </w:abstractNum>
  <w:abstractNum w:abstractNumId="133">
    <w:nsid w:val="71C1AF98"/>
    <w:multiLevelType w:val="hybridMultilevel"/>
    <w:lvl w:ilvl="0">
      <w:lvlJc w:val="left"/>
      <w:lvlText w:val="(%1)"/>
      <w:numFmt w:val="lowerRoman"/>
      <w:start w:val="1"/>
    </w:lvl>
  </w:abstractNum>
  <w:abstractNum w:abstractNumId="134">
    <w:nsid w:val="3D00B9D9"/>
    <w:multiLevelType w:val="hybridMultilevel"/>
    <w:lvl w:ilvl="0">
      <w:lvlJc w:val="left"/>
      <w:lvlText w:val="(%1)"/>
      <w:numFmt w:val="decimal"/>
      <w:start w:val="1"/>
    </w:lvl>
    <w:lvl w:ilvl="1">
      <w:lvlJc w:val="left"/>
      <w:lvlText w:val="(%2)"/>
      <w:numFmt w:val="lowerRoman"/>
      <w:start w:val="1"/>
    </w:lvl>
  </w:abstractNum>
  <w:abstractNum w:abstractNumId="135">
    <w:nsid w:val="15BCABA8"/>
    <w:multiLevelType w:val="hybridMultilevel"/>
    <w:lvl w:ilvl="0">
      <w:lvlJc w:val="left"/>
      <w:lvlText w:val="(%1)"/>
      <w:numFmt w:val="decimal"/>
      <w:start w:val="2"/>
    </w:lvl>
  </w:abstractNum>
  <w:abstractNum w:abstractNumId="136">
    <w:nsid w:val="4E0B9A87"/>
    <w:multiLevelType w:val="hybridMultilevel"/>
    <w:lvl w:ilvl="0">
      <w:lvlJc w:val="left"/>
      <w:lvlText w:val="*"/>
      <w:numFmt w:val="bullet"/>
      <w:start w:val="1"/>
    </w:lvl>
  </w:abstractNum>
  <w:abstractNum w:abstractNumId="137">
    <w:nsid w:val="434BAE75"/>
    <w:multiLevelType w:val="hybridMultilevel"/>
    <w:lvl w:ilvl="0">
      <w:lvlJc w:val="left"/>
      <w:lvlText w:val="(%1)"/>
      <w:numFmt w:val="decimal"/>
      <w:start w:val="1"/>
    </w:lvl>
  </w:abstractNum>
  <w:abstractNum w:abstractNumId="138">
    <w:nsid w:val="4F38F265"/>
    <w:multiLevelType w:val="hybridMultilevel"/>
    <w:lvl w:ilvl="0">
      <w:lvlJc w:val="left"/>
      <w:lvlText w:val="(%1)"/>
      <w:numFmt w:val="decimal"/>
      <w:start w:val="3"/>
    </w:lvl>
  </w:abstractNum>
  <w:abstractNum w:abstractNumId="139">
    <w:nsid w:val="4C502870"/>
    <w:multiLevelType w:val="hybridMultilevel"/>
    <w:lvl w:ilvl="0">
      <w:lvlJc w:val="left"/>
      <w:lvlText w:val="(%1)"/>
      <w:numFmt w:val="lowerRoman"/>
      <w:start w:val="1"/>
    </w:lvl>
  </w:abstractNum>
  <w:abstractNum w:abstractNumId="140">
    <w:nsid w:val="1DE8725A"/>
    <w:multiLevelType w:val="hybridMultilevel"/>
    <w:lvl w:ilvl="0">
      <w:lvlJc w:val="left"/>
      <w:lvlText w:val="(%1)"/>
      <w:numFmt w:val="lowerRoman"/>
      <w:start w:val="3"/>
    </w:lvl>
  </w:abstractNum>
  <w:abstractNum w:abstractNumId="141">
    <w:nsid w:val="6A37288A"/>
    <w:multiLevelType w:val="hybridMultilevel"/>
    <w:lvl w:ilvl="0">
      <w:lvlJc w:val="left"/>
      <w:lvlText w:val="(%1)"/>
      <w:numFmt w:val="lowerLetter"/>
      <w:start w:val="3"/>
    </w:lvl>
  </w:abstractNum>
  <w:abstractNum w:abstractNumId="142">
    <w:nsid w:val="8F8B73F"/>
    <w:multiLevelType w:val="hybridMultilevel"/>
    <w:lvl w:ilvl="0">
      <w:lvlJc w:val="left"/>
      <w:lvlText w:val="(%1)"/>
      <w:numFmt w:val="lowerLetter"/>
      <w:start w:val="1"/>
    </w:lvl>
  </w:abstractNum>
  <w:abstractNum w:abstractNumId="143">
    <w:nsid w:val="CA6B462"/>
    <w:multiLevelType w:val="hybridMultilevel"/>
    <w:lvl w:ilvl="0">
      <w:lvlJc w:val="left"/>
      <w:lvlText w:val="(%1)"/>
      <w:numFmt w:val="lowerRoman"/>
      <w:start w:val="3"/>
    </w:lvl>
  </w:abstractNum>
  <w:abstractNum w:abstractNumId="144">
    <w:nsid w:val="763CB680"/>
    <w:multiLevelType w:val="hybridMultilevel"/>
    <w:lvl w:ilvl="0">
      <w:lvlJc w:val="left"/>
      <w:lvlText w:val="(%1)"/>
      <w:numFmt w:val="decimal"/>
      <w:start w:val="1"/>
    </w:lvl>
  </w:abstractNum>
  <w:abstractNum w:abstractNumId="145">
    <w:nsid w:val="15B71329"/>
    <w:multiLevelType w:val="hybridMultilevel"/>
    <w:lvl w:ilvl="0">
      <w:lvlJc w:val="left"/>
      <w:lvlText w:val="(%1)"/>
      <w:numFmt w:val="decimal"/>
      <w:start w:val="1"/>
    </w:lvl>
  </w:abstractNum>
  <w:abstractNum w:abstractNumId="146">
    <w:nsid w:val="3DA97044"/>
    <w:multiLevelType w:val="hybridMultilevel"/>
    <w:lvl w:ilvl="0">
      <w:lvlJc w:val="left"/>
      <w:lvlText w:val="(%1)"/>
      <w:numFmt w:val="decimal"/>
      <w:start w:val="2"/>
    </w:lvl>
  </w:abstractNum>
  <w:abstractNum w:abstractNumId="147">
    <w:nsid w:val="1CDCE2DE"/>
    <w:multiLevelType w:val="hybridMultilevel"/>
    <w:lvl w:ilvl="0">
      <w:lvlJc w:val="left"/>
      <w:lvlText w:val="(%1)"/>
      <w:numFmt w:val="decimal"/>
      <w:start w:val="7"/>
    </w:lvl>
  </w:abstractNum>
  <w:abstractNum w:abstractNumId="148">
    <w:nsid w:val="69D3947C"/>
    <w:multiLevelType w:val="hybridMultilevel"/>
    <w:lvl w:ilvl="0">
      <w:lvlJc w:val="left"/>
      <w:lvlText w:val="(%1)"/>
      <w:numFmt w:val="decimal"/>
      <w:start w:val="1"/>
    </w:lvl>
  </w:abstractNum>
  <w:abstractNum w:abstractNumId="149">
    <w:nsid w:val="2539DFA5"/>
    <w:multiLevelType w:val="hybridMultilevel"/>
    <w:lvl w:ilvl="0">
      <w:lvlJc w:val="left"/>
      <w:lvlText w:val="(%1)"/>
      <w:numFmt w:val="upperLetter"/>
      <w:start w:val="9"/>
    </w:lvl>
  </w:abstractNum>
  <w:abstractNum w:abstractNumId="150">
    <w:nsid w:val="2DB88089"/>
    <w:multiLevelType w:val="hybridMultilevel"/>
    <w:lvl w:ilvl="0">
      <w:lvlJc w:val="left"/>
      <w:lvlText w:val="(%1)"/>
      <w:numFmt w:val="decimal"/>
      <w:start w:val="1"/>
    </w:lvl>
  </w:abstractNum>
  <w:abstractNum w:abstractNumId="151">
    <w:nsid w:val="706B674E"/>
    <w:multiLevelType w:val="hybridMultilevel"/>
    <w:lvl w:ilvl="0">
      <w:lvlJc w:val="left"/>
      <w:lvlText w:val="-"/>
      <w:numFmt w:val="bullet"/>
      <w:start w:val="1"/>
    </w:lvl>
  </w:abstractNum>
  <w:abstractNum w:abstractNumId="152">
    <w:nsid w:val="2C106A57"/>
    <w:multiLevelType w:val="hybridMultilevel"/>
    <w:lvl w:ilvl="0">
      <w:lvlJc w:val="left"/>
      <w:lvlText w:val="-"/>
      <w:numFmt w:val="bullet"/>
      <w:start w:val="1"/>
    </w:lvl>
  </w:abstractNum>
  <w:abstractNum w:abstractNumId="153">
    <w:nsid w:val="684EED59"/>
    <w:multiLevelType w:val="hybridMultilevel"/>
    <w:lvl w:ilvl="0">
      <w:lvlJc w:val="left"/>
      <w:lvlText w:val="-"/>
      <w:numFmt w:val="bullet"/>
      <w:start w:val="1"/>
    </w:lvl>
  </w:abstractNum>
  <w:abstractNum w:abstractNumId="154">
    <w:nsid w:val="545EE5D3"/>
    <w:multiLevelType w:val="hybridMultilevel"/>
    <w:lvl w:ilvl="0">
      <w:lvlJc w:val="left"/>
      <w:lvlText w:val="-"/>
      <w:numFmt w:val="bullet"/>
      <w:start w:val="1"/>
    </w:lvl>
  </w:abstractNum>
  <w:abstractNum w:abstractNumId="155">
    <w:nsid w:val="4A66051"/>
    <w:multiLevelType w:val="hybridMultilevel"/>
    <w:lvl w:ilvl="0">
      <w:lvlJc w:val="left"/>
      <w:lvlText w:val="%1."/>
      <w:numFmt w:val="decimal"/>
      <w:start w:val="1"/>
    </w:lvl>
  </w:abstractNum>
  <w:abstractNum w:abstractNumId="156">
    <w:nsid w:val="20F4BDAD"/>
    <w:multiLevelType w:val="hybridMultilevel"/>
    <w:lvl w:ilvl="0">
      <w:lvlJc w:val="left"/>
      <w:lvlText w:val="(%1)"/>
      <w:numFmt w:val="decimal"/>
      <w:start w:val="1"/>
    </w:lvl>
    <w:lvl w:ilvl="1">
      <w:lvlJc w:val="left"/>
      <w:lvlText w:val="(%2)"/>
      <w:numFmt w:val="lowerRoman"/>
      <w:start w:val="1"/>
    </w:lvl>
  </w:abstractNum>
  <w:abstractNum w:abstractNumId="157">
    <w:nsid w:val="639DEFAC"/>
    <w:multiLevelType w:val="hybridMultilevel"/>
    <w:lvl w:ilvl="0">
      <w:lvlJc w:val="left"/>
      <w:lvlText w:val="%1"/>
      <w:numFmt w:val="upperLetter"/>
      <w:start w:val="1"/>
    </w:lvl>
    <w:lvl w:ilvl="1">
      <w:lvlJc w:val="left"/>
      <w:lvlText w:val="(%2)"/>
      <w:numFmt w:val="lowerRoman"/>
      <w:start w:val="3"/>
    </w:lvl>
  </w:abstractNum>
  <w:abstractNum w:abstractNumId="158">
    <w:nsid w:val="501F9786"/>
    <w:multiLevelType w:val="hybridMultilevel"/>
    <w:lvl w:ilvl="0">
      <w:lvlJc w:val="left"/>
      <w:lvlText w:val="(%1)"/>
      <w:numFmt w:val="decimal"/>
      <w:start w:val="2"/>
    </w:lvl>
  </w:abstractNum>
  <w:abstractNum w:abstractNumId="159">
    <w:nsid w:val="6B057295"/>
    <w:multiLevelType w:val="hybridMultilevel"/>
    <w:lvl w:ilvl="0">
      <w:lvlJc w:val="left"/>
      <w:lvlText w:val="-"/>
      <w:numFmt w:val="bullet"/>
      <w:start w:val="1"/>
    </w:lvl>
    <w:lvl w:ilvl="1">
      <w:lvlJc w:val="left"/>
      <w:lvlText w:val="(%2)"/>
      <w:numFmt w:val="decimal"/>
      <w:start w:val="1"/>
    </w:lvl>
  </w:abstractNum>
  <w:abstractNum w:abstractNumId="160">
    <w:nsid w:val="2771AC80"/>
    <w:multiLevelType w:val="hybridMultilevel"/>
    <w:lvl w:ilvl="0">
      <w:lvlJc w:val="left"/>
      <w:lvlText w:val="(%1)"/>
      <w:numFmt w:val="decimal"/>
      <w:start w:val="2"/>
    </w:lvl>
  </w:abstractNum>
  <w:abstractNum w:abstractNumId="161">
    <w:nsid w:val="1C4A08EC"/>
    <w:multiLevelType w:val="hybridMultilevel"/>
    <w:lvl w:ilvl="0">
      <w:lvlJc w:val="left"/>
      <w:lvlText w:val="(%1)"/>
      <w:numFmt w:val="lowerRoman"/>
      <w:start w:val="1"/>
    </w:lvl>
  </w:abstractNum>
  <w:abstractNum w:abstractNumId="162">
    <w:nsid w:val="1958BD17"/>
    <w:multiLevelType w:val="hybridMultilevel"/>
    <w:lvl w:ilvl="0">
      <w:lvlJc w:val="left"/>
      <w:lvlText w:val="(%1)"/>
      <w:numFmt w:val="upperLetter"/>
      <w:start w:val="2"/>
    </w:lvl>
  </w:abstractNum>
  <w:abstractNum w:abstractNumId="163">
    <w:nsid w:val="4E647FE4"/>
    <w:multiLevelType w:val="hybridMultilevel"/>
    <w:lvl w:ilvl="0">
      <w:lvlJc w:val="left"/>
      <w:lvlText w:val="(%1)"/>
      <w:numFmt w:val="lowerRoman"/>
      <w:start w:val="2"/>
    </w:lvl>
  </w:abstractNum>
  <w:abstractNum w:abstractNumId="164">
    <w:nsid w:val="E0BB885"/>
    <w:multiLevelType w:val="hybridMultilevel"/>
    <w:lvl w:ilvl="0">
      <w:lvlJc w:val="left"/>
      <w:lvlText w:val="(%1)"/>
      <w:numFmt w:val="lowerRoman"/>
      <w:start w:val="3"/>
    </w:lvl>
  </w:abstractNum>
  <w:abstractNum w:abstractNumId="165">
    <w:nsid w:val="565976F1"/>
    <w:multiLevelType w:val="hybridMultilevel"/>
    <w:lvl w:ilvl="0">
      <w:lvlJc w:val="left"/>
      <w:lvlText w:val="(%1)"/>
      <w:numFmt w:val="decimal"/>
      <w:start w:val="3"/>
    </w:lvl>
  </w:abstractNum>
  <w:abstractNum w:abstractNumId="166">
    <w:nsid w:val="64212B8C"/>
    <w:multiLevelType w:val="hybridMultilevel"/>
    <w:lvl w:ilvl="0">
      <w:lvlJc w:val="left"/>
      <w:lvlText w:val="(%1)"/>
      <w:numFmt w:val="lowerRoman"/>
      <w:start w:val="1"/>
    </w:lvl>
  </w:abstractNum>
  <w:abstractNum w:abstractNumId="167">
    <w:nsid w:val="5C17530C"/>
    <w:multiLevelType w:val="hybridMultilevel"/>
    <w:lvl w:ilvl="0">
      <w:lvlJc w:val="left"/>
      <w:lvlText w:val="%1"/>
      <w:numFmt w:val="decimal"/>
      <w:start w:val="1"/>
    </w:lvl>
    <w:lvl w:ilvl="1">
      <w:lvlJc w:val="left"/>
      <w:lvlText w:val="(%2)"/>
      <w:numFmt w:val="lowerRoman"/>
      <w:start w:val="6"/>
    </w:lvl>
  </w:abstractNum>
  <w:abstractNum w:abstractNumId="168">
    <w:nsid w:val="19A52566"/>
    <w:multiLevelType w:val="hybridMultilevel"/>
    <w:lvl w:ilvl="0">
      <w:lvlJc w:val="left"/>
      <w:lvlText w:val="(%1)"/>
      <w:numFmt w:val="decimal"/>
      <w:start w:val="4"/>
    </w:lvl>
    <w:lvl w:ilvl="1">
      <w:lvlJc w:val="left"/>
      <w:lvlText w:val="%2"/>
      <w:numFmt w:val="lowerRoman"/>
      <w:start w:val="1"/>
    </w:lvl>
  </w:abstractNum>
  <w:abstractNum w:abstractNumId="169">
    <w:nsid w:val="335A1DF1"/>
    <w:multiLevelType w:val="hybridMultilevel"/>
    <w:lvl w:ilvl="0">
      <w:lvlJc w:val="left"/>
      <w:lvlText w:val="(%1)"/>
      <w:numFmt w:val="decimal"/>
      <w:start w:val="1"/>
    </w:lvl>
  </w:abstractNum>
  <w:abstractNum w:abstractNumId="170">
    <w:nsid w:val="28677B7C"/>
    <w:multiLevelType w:val="hybridMultilevel"/>
    <w:lvl w:ilvl="0">
      <w:lvlJc w:val="left"/>
      <w:lvlText w:val="(%1)"/>
      <w:numFmt w:val="decimal"/>
      <w:start w:val="1"/>
    </w:lvl>
  </w:abstractNum>
  <w:abstractNum w:abstractNumId="171">
    <w:nsid w:val="378D97C0"/>
    <w:multiLevelType w:val="hybridMultilevel"/>
    <w:lvl w:ilvl="0">
      <w:lvlJc w:val="left"/>
      <w:lvlText w:val="(%1)"/>
      <w:numFmt w:val="decimal"/>
      <w:start w:val="2"/>
    </w:lvl>
  </w:abstractNum>
  <w:abstractNum w:abstractNumId="172">
    <w:nsid w:val="1D91467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lvl w:ilvl="3">
      <w:lvlJc w:val="left"/>
      <w:lvlText w:val="%4"/>
      <w:numFmt w:val="lowerLetter"/>
      <w:start w:val="1"/>
    </w:lvl>
  </w:abstractNum>
  <w:abstractNum w:abstractNumId="173">
    <w:nsid w:val="316032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5"/>
    </w:lvl>
    <w:lvl w:ilvl="3">
      <w:lvlJc w:val="left"/>
      <w:lvlText w:val="(%4)"/>
      <w:numFmt w:val="lowerLetter"/>
      <w:start w:val="1"/>
    </w:lvl>
  </w:abstractNum>
  <w:abstractNum w:abstractNumId="174">
    <w:nsid w:val="44344C22"/>
    <w:multiLevelType w:val="hybridMultilevel"/>
    <w:lvl w:ilvl="0">
      <w:lvlJc w:val="left"/>
      <w:lvlText w:val="%1"/>
      <w:numFmt w:val="decimal"/>
      <w:start w:val="1"/>
    </w:lvl>
    <w:lvl w:ilvl="1">
      <w:lvlJc w:val="left"/>
      <w:lvlText w:val="(%2)"/>
      <w:numFmt w:val="lowerLetter"/>
      <w:start w:val="3"/>
    </w:lvl>
  </w:abstractNum>
  <w:abstractNum w:abstractNumId="175">
    <w:nsid w:val="13CDFCFC"/>
    <w:multiLevelType w:val="hybridMultilevel"/>
    <w:lvl w:ilvl="0">
      <w:lvlJc w:val="left"/>
      <w:lvlText w:val="(%1)"/>
      <w:numFmt w:val="decimal"/>
      <w:start w:val="2"/>
    </w:lvl>
    <w:lvl w:ilvl="1">
      <w:lvlJc w:val="left"/>
      <w:lvlText w:val="%2"/>
      <w:numFmt w:val="lowerLetter"/>
      <w:start w:val="1"/>
    </w:lvl>
  </w:abstractNum>
  <w:abstractNum w:abstractNumId="176">
    <w:nsid w:val="471745E4"/>
    <w:multiLevelType w:val="hybridMultilevel"/>
    <w:lvl w:ilvl="0">
      <w:lvlJc w:val="left"/>
      <w:lvlText w:val="(%1)"/>
      <w:numFmt w:val="decimal"/>
      <w:start w:val="1"/>
    </w:lvl>
  </w:abstractNum>
  <w:abstractNum w:abstractNumId="177">
    <w:nsid w:val="1DDBC66"/>
    <w:multiLevelType w:val="hybridMultilevel"/>
    <w:lvl w:ilvl="0">
      <w:lvlJc w:val="left"/>
      <w:lvlText w:val="(%1)"/>
      <w:numFmt w:val="decimal"/>
      <w:start w:val="6"/>
    </w:lvl>
  </w:abstractNum>
  <w:abstractNum w:abstractNumId="178">
    <w:nsid w:val="30AADFDA"/>
    <w:multiLevelType w:val="hybridMultilevel"/>
    <w:lvl w:ilvl="0">
      <w:lvlJc w:val="left"/>
      <w:lvlText w:val="%1"/>
      <w:numFmt w:val="decimal"/>
      <w:start w:val="1"/>
    </w:lvl>
    <w:lvl w:ilvl="1">
      <w:lvlJc w:val="left"/>
      <w:lvlText w:val="(%2)"/>
      <w:numFmt w:val="lowerRoman"/>
      <w:start w:val="1"/>
    </w:lvl>
  </w:abstractNum>
  <w:abstractNum w:abstractNumId="179">
    <w:nsid w:val="30EADA61"/>
    <w:multiLevelType w:val="hybridMultilevel"/>
    <w:lvl w:ilvl="0">
      <w:lvlJc w:val="left"/>
      <w:lvlText w:val="(%1)"/>
      <w:numFmt w:val="decimal"/>
      <w:start w:val="2"/>
    </w:lvl>
    <w:lvl w:ilvl="1">
      <w:lvlJc w:val="left"/>
      <w:lvlText w:val="%2"/>
      <w:numFmt w:val="lowerRoman"/>
      <w:start w:val="1"/>
    </w:lvl>
  </w:abstractNum>
  <w:abstractNum w:abstractNumId="180">
    <w:nsid w:val="27179C0B"/>
    <w:multiLevelType w:val="hybridMultilevel"/>
    <w:lvl w:ilvl="0">
      <w:lvlJc w:val="left"/>
      <w:lvlText w:val="(%1)"/>
      <w:numFmt w:val="decimal"/>
      <w:start w:val="1"/>
    </w:lvl>
  </w:abstractNum>
  <w:abstractNum w:abstractNumId="181">
    <w:nsid w:val="5E636063"/>
    <w:multiLevelType w:val="hybridMultilevel"/>
    <w:lvl w:ilvl="0">
      <w:lvlJc w:val="left"/>
      <w:lvlText w:val="(%1)"/>
      <w:numFmt w:val="decimal"/>
      <w:start w:val="1"/>
    </w:lvl>
  </w:abstractNum>
  <w:abstractNum w:abstractNumId="182">
    <w:nsid w:val="215641AF"/>
    <w:multiLevelType w:val="hybridMultilevel"/>
    <w:lvl w:ilvl="0">
      <w:lvlJc w:val="left"/>
      <w:lvlText w:val="(%1)"/>
      <w:numFmt w:val="decimal"/>
      <w:start w:val="1"/>
    </w:lvl>
  </w:abstractNum>
  <w:abstractNum w:abstractNumId="183">
    <w:nsid w:val="53280662"/>
    <w:multiLevelType w:val="hybridMultilevel"/>
    <w:lvl w:ilvl="0">
      <w:lvlJc w:val="left"/>
      <w:lvlText w:val="(%1)"/>
      <w:numFmt w:val="decimal"/>
      <w:start w:val="1"/>
    </w:lvl>
    <w:lvl w:ilvl="1">
      <w:lvlJc w:val="left"/>
      <w:lvlText w:val="(%2)"/>
      <w:numFmt w:val="lowerRoman"/>
      <w:start w:val="1"/>
    </w:lvl>
  </w:abstractNum>
  <w:abstractNum w:abstractNumId="184">
    <w:nsid w:val="46B24DBC"/>
    <w:multiLevelType w:val="hybridMultilevel"/>
    <w:lvl w:ilvl="0">
      <w:lvlJc w:val="left"/>
      <w:lvlText w:val="(%1)"/>
      <w:numFmt w:val="lowerRoman"/>
      <w:start w:val="2"/>
    </w:lvl>
  </w:abstractNum>
  <w:abstractNum w:abstractNumId="185">
    <w:nsid w:val="75B52783"/>
    <w:multiLevelType w:val="hybridMultilevel"/>
    <w:lvl w:ilvl="0">
      <w:lvlJc w:val="left"/>
      <w:lvlText w:val="(%1)"/>
      <w:numFmt w:val="decimal"/>
      <w:start w:val="4"/>
    </w:lvl>
  </w:abstractNum>
  <w:abstractNum w:abstractNumId="186">
    <w:nsid w:val="57CE66B4"/>
    <w:multiLevelType w:val="hybridMultilevel"/>
    <w:lvl w:ilvl="0">
      <w:lvlJc w:val="left"/>
      <w:lvlText w:val="(%1)"/>
      <w:numFmt w:val="decimal"/>
      <w:start w:val="1"/>
    </w:lvl>
  </w:abstractNum>
  <w:abstractNum w:abstractNumId="187">
    <w:nsid w:val="67A70B69"/>
    <w:multiLevelType w:val="hybridMultilevel"/>
    <w:lvl w:ilvl="0">
      <w:lvlJc w:val="left"/>
      <w:lvlText w:val="(%1)"/>
      <w:numFmt w:val="decimal"/>
      <w:start w:val="2"/>
    </w:lvl>
  </w:abstractNum>
  <w:abstractNum w:abstractNumId="188">
    <w:nsid w:val="5953172F"/>
    <w:multiLevelType w:val="hybridMultilevel"/>
    <w:lvl w:ilvl="0">
      <w:lvlJc w:val="left"/>
      <w:lvlText w:val="(%1)"/>
      <w:numFmt w:val="decimal"/>
      <w:start w:val="1"/>
    </w:lvl>
  </w:abstractNum>
  <w:abstractNum w:abstractNumId="189">
    <w:nsid w:val="27EDFE3A"/>
    <w:multiLevelType w:val="hybridMultilevel"/>
    <w:lvl w:ilvl="0">
      <w:lvlJc w:val="left"/>
      <w:lvlText w:val="(%1)"/>
      <w:numFmt w:val="decimal"/>
      <w:start w:val="1"/>
    </w:lvl>
    <w:lvl w:ilvl="1">
      <w:lvlJc w:val="left"/>
      <w:lvlText w:val="(%2)"/>
      <w:numFmt w:val="lowerRoman"/>
      <w:start w:val="1"/>
    </w:lvl>
  </w:abstractNum>
  <w:abstractNum w:abstractNumId="190">
    <w:nsid w:val="52AC7DFF"/>
    <w:multiLevelType w:val="hybridMultilevel"/>
    <w:lvl w:ilvl="0">
      <w:lvlJc w:val="left"/>
      <w:lvlText w:val="(%1)"/>
      <w:numFmt w:val="decimal"/>
      <w:start w:val="5"/>
    </w:lvl>
  </w:abstractNum>
  <w:abstractNum w:abstractNumId="191">
    <w:nsid w:val="C4C3AF"/>
    <w:multiLevelType w:val="hybridMultilevel"/>
    <w:lvl w:ilvl="0">
      <w:lvlJc w:val="left"/>
      <w:lvlText w:val="(%1)"/>
      <w:numFmt w:val="decimal"/>
      <w:start w:val="1"/>
    </w:lvl>
  </w:abstractNum>
  <w:abstractNum w:abstractNumId="192">
    <w:nsid w:val="44380727"/>
    <w:multiLevelType w:val="hybridMultilevel"/>
    <w:lvl w:ilvl="0">
      <w:lvlJc w:val="left"/>
      <w:lvlText w:val="(%1)"/>
      <w:numFmt w:val="decimal"/>
      <w:start w:val="1"/>
    </w:lvl>
  </w:abstractNum>
  <w:abstractNum w:abstractNumId="193">
    <w:nsid w:val="6C053B16"/>
    <w:multiLevelType w:val="hybridMultilevel"/>
    <w:lvl w:ilvl="0">
      <w:lvlJc w:val="left"/>
      <w:lvlText w:val="(%1)"/>
      <w:numFmt w:val="decimal"/>
      <w:start w:val="2"/>
    </w:lvl>
  </w:abstractNum>
  <w:abstractNum w:abstractNumId="194">
    <w:nsid w:val="4F294393"/>
    <w:multiLevelType w:val="hybridMultilevel"/>
    <w:lvl w:ilvl="0">
      <w:lvlJc w:val="left"/>
      <w:lvlText w:val="(%1)"/>
      <w:numFmt w:val="decimal"/>
      <w:start w:val="1"/>
    </w:lvl>
  </w:abstractNum>
  <w:abstractNum w:abstractNumId="195">
    <w:nsid w:val="5243BFAC"/>
    <w:multiLevelType w:val="hybridMultilevel"/>
    <w:lvl w:ilvl="0">
      <w:lvlJc w:val="left"/>
      <w:lvlText w:val="(%1)"/>
      <w:numFmt w:val="decimal"/>
      <w:start w:val="1"/>
    </w:lvl>
  </w:abstractNum>
  <w:abstractNum w:abstractNumId="196">
    <w:nsid w:val="425EB207"/>
    <w:multiLevelType w:val="hybridMultilevel"/>
    <w:lvl w:ilvl="0">
      <w:lvlJc w:val="left"/>
      <w:lvlText w:val="%1"/>
      <w:numFmt w:val="decimal"/>
      <w:start w:val="1"/>
    </w:lvl>
    <w:lvl w:ilvl="1">
      <w:lvlJc w:val="left"/>
      <w:lvlText w:val="(%2)"/>
      <w:numFmt w:val="decimal"/>
      <w:start w:val="2"/>
    </w:lvl>
  </w:abstractNum>
  <w:abstractNum w:abstractNumId="197">
    <w:nsid w:val="334A6F1F"/>
    <w:multiLevelType w:val="hybridMultilevel"/>
    <w:lvl w:ilvl="0">
      <w:lvlJc w:val="left"/>
      <w:lvlText w:val="(%1)"/>
      <w:numFmt w:val="decimal"/>
      <w:start w:val="1"/>
    </w:lvl>
    <w:lvl w:ilvl="1">
      <w:lvlJc w:val="left"/>
      <w:lvlText w:val="%2"/>
      <w:numFmt w:val="decimal"/>
      <w:start w:val="1"/>
    </w:lvl>
  </w:abstractNum>
  <w:abstractNum w:abstractNumId="198">
    <w:nsid w:val="2E5B12B8"/>
    <w:multiLevelType w:val="hybridMultilevel"/>
    <w:lvl w:ilvl="0">
      <w:lvlJc w:val="left"/>
      <w:lvlText w:val="(%1)"/>
      <w:numFmt w:val="decimal"/>
      <w:start w:val="1"/>
    </w:lvl>
  </w:abstractNum>
  <w:abstractNum w:abstractNumId="199">
    <w:nsid w:val="5C03D76D"/>
    <w:multiLevelType w:val="hybridMultilevel"/>
    <w:lvl w:ilvl="0">
      <w:lvlJc w:val="left"/>
      <w:lvlText w:val="(%1)"/>
      <w:numFmt w:val="decimal"/>
      <w:start w:val="1"/>
    </w:lvl>
  </w:abstractNum>
  <w:abstractNum w:abstractNumId="200">
    <w:nsid w:val="66A48D11"/>
    <w:multiLevelType w:val="hybridMultilevel"/>
    <w:lvl w:ilvl="0">
      <w:lvlJc w:val="left"/>
      <w:lvlText w:val="(%1)"/>
      <w:numFmt w:val="decimal"/>
      <w:start w:val="3"/>
    </w:lvl>
  </w:abstractNum>
  <w:abstractNum w:abstractNumId="201">
    <w:nsid w:val="56C28E34"/>
    <w:multiLevelType w:val="hybridMultilevel"/>
    <w:lvl w:ilvl="0">
      <w:lvlJc w:val="left"/>
      <w:lvlText w:val="(%1)"/>
      <w:numFmt w:val="lowerRoman"/>
      <w:start w:val="1"/>
    </w:lvl>
  </w:abstractNum>
  <w:abstractNum w:abstractNumId="202">
    <w:nsid w:val="13916F2D"/>
    <w:multiLevelType w:val="hybridMultilevel"/>
    <w:lvl w:ilvl="0">
      <w:lvlJc w:val="left"/>
      <w:lvlText w:val="(%1)"/>
      <w:numFmt w:val="decimal"/>
      <w:start w:val="1"/>
    </w:lvl>
  </w:abstractNum>
  <w:abstractNum w:abstractNumId="203">
    <w:nsid w:val="435D38D"/>
    <w:multiLevelType w:val="hybridMultilevel"/>
    <w:lvl w:ilvl="0">
      <w:lvlJc w:val="left"/>
      <w:lvlText w:val="(%1)"/>
      <w:numFmt w:val="decimal"/>
      <w:start w:val="1"/>
    </w:lvl>
  </w:abstractNum>
  <w:abstractNum w:abstractNumId="204">
    <w:nsid w:val="822C0EF"/>
    <w:multiLevelType w:val="hybridMultilevel"/>
    <w:lvl w:ilvl="0">
      <w:lvlJc w:val="left"/>
      <w:lvlText w:val="(%1)"/>
      <w:numFmt w:val="decimal"/>
      <w:start w:val="2"/>
    </w:lvl>
  </w:abstractNum>
  <w:abstractNum w:abstractNumId="205">
    <w:nsid w:val="57C5BB4F"/>
    <w:multiLevelType w:val="hybridMultilevel"/>
    <w:lvl w:ilvl="0">
      <w:lvlJc w:val="left"/>
      <w:lvlText w:val="%1"/>
      <w:numFmt w:val="decimal"/>
      <w:start w:val="1"/>
    </w:lvl>
    <w:lvl w:ilvl="1">
      <w:lvlJc w:val="left"/>
      <w:lvlText w:val="(%2)"/>
      <w:numFmt w:val="decimal"/>
      <w:start w:val="4"/>
    </w:lvl>
  </w:abstractNum>
  <w:abstractNum w:abstractNumId="206">
    <w:nsid w:val="1803D089"/>
    <w:multiLevelType w:val="hybridMultilevel"/>
    <w:lvl w:ilvl="0">
      <w:lvlJc w:val="left"/>
      <w:lvlText w:val="(%1)"/>
      <w:numFmt w:val="decimal"/>
      <w:start w:val="5"/>
    </w:lvl>
    <w:lvl w:ilvl="1">
      <w:lvlJc w:val="left"/>
      <w:lvlText w:val="%2"/>
      <w:numFmt w:val="decimal"/>
      <w:start w:val="1"/>
    </w:lvl>
  </w:abstractNum>
  <w:abstractNum w:abstractNumId="207">
    <w:nsid w:val="4F3A06D4"/>
    <w:multiLevelType w:val="hybridMultilevel"/>
    <w:lvl w:ilvl="0">
      <w:lvlJc w:val="left"/>
      <w:lvlText w:val="(%1)"/>
      <w:numFmt w:val="decimal"/>
      <w:start w:val="8"/>
    </w:lvl>
    <w:lvl w:ilvl="1">
      <w:lvlJc w:val="left"/>
      <w:lvlText w:val="(%2)"/>
      <w:numFmt w:val="decimal"/>
      <w:start w:val="6"/>
    </w:lvl>
  </w:abstractNum>
  <w:abstractNum w:abstractNumId="208">
    <w:nsid w:val="59A377B6"/>
    <w:multiLevelType w:val="hybridMultilevel"/>
    <w:lvl w:ilvl="0">
      <w:lvlJc w:val="left"/>
      <w:lvlText w:val="(%1)"/>
      <w:numFmt w:val="decimal"/>
      <w:start w:val="8"/>
    </w:lvl>
    <w:lvl w:ilvl="1">
      <w:lvlJc w:val="left"/>
      <w:lvlText w:val="(%2)"/>
      <w:numFmt w:val="decimal"/>
      <w:start w:val="7"/>
    </w:lvl>
  </w:abstractNum>
  <w:abstractNum w:abstractNumId="209">
    <w:nsid w:val="48AEB063"/>
    <w:multiLevelType w:val="hybridMultilevel"/>
    <w:lvl w:ilvl="0">
      <w:lvlJc w:val="left"/>
      <w:lvlText w:val="(%1)"/>
      <w:numFmt w:val="lowerLetter"/>
      <w:start w:val="2"/>
    </w:lvl>
    <w:lvl w:ilvl="1">
      <w:lvlJc w:val="left"/>
      <w:lvlText w:val="(%2)"/>
      <w:numFmt w:val="decimal"/>
      <w:start w:val="8"/>
    </w:lvl>
  </w:abstractNum>
  <w:abstractNum w:abstractNumId="210">
    <w:nsid w:val="24E135"/>
    <w:multiLevelType w:val="hybridMultilevel"/>
    <w:lvl w:ilvl="0">
      <w:lvlJc w:val="left"/>
      <w:lvlText w:val="(%1)"/>
      <w:numFmt w:val="decimal"/>
      <w:start w:val="1"/>
    </w:lvl>
  </w:abstractNum>
  <w:abstractNum w:abstractNumId="211">
    <w:nsid w:val="BB13C1"/>
    <w:multiLevelType w:val="hybridMultilevel"/>
    <w:lvl w:ilvl="0">
      <w:lvlJc w:val="left"/>
      <w:lvlText w:val="(%1)"/>
      <w:numFmt w:val="decimal"/>
      <w:start w:val="1"/>
    </w:lvl>
  </w:abstractNum>
  <w:abstractNum w:abstractNumId="212">
    <w:nsid w:val="271210C7"/>
    <w:multiLevelType w:val="hybridMultilevel"/>
    <w:lvl w:ilvl="0">
      <w:lvlJc w:val="left"/>
      <w:lvlText w:val="%1"/>
      <w:numFmt w:val="decimal"/>
      <w:start w:val="1"/>
    </w:lvl>
    <w:lvl w:ilvl="1">
      <w:lvlJc w:val="left"/>
      <w:lvlText w:val="(%2)"/>
      <w:numFmt w:val="decimal"/>
      <w:start w:val="3"/>
    </w:lvl>
  </w:abstractNum>
  <w:abstractNum w:abstractNumId="213">
    <w:nsid w:val="217B22E4"/>
    <w:multiLevelType w:val="hybridMultilevel"/>
    <w:lvl w:ilvl="0">
      <w:lvlJc w:val="left"/>
      <w:lvlText w:val="(%1)"/>
      <w:numFmt w:val="decimal"/>
      <w:start w:val="2"/>
    </w:lvl>
    <w:lvl w:ilvl="1">
      <w:lvlJc w:val="left"/>
      <w:lvlText w:val="%2"/>
      <w:numFmt w:val="decimal"/>
      <w:start w:val="1"/>
    </w:lvl>
  </w:abstractNum>
  <w:abstractNum w:abstractNumId="214">
    <w:nsid w:val="53E31A24"/>
    <w:multiLevelType w:val="hybridMultilevel"/>
    <w:lvl w:ilvl="0">
      <w:lvlJc w:val="left"/>
      <w:lvlText w:val="(%1)"/>
      <w:numFmt w:val="lowerRoman"/>
      <w:start w:val="1"/>
    </w:lvl>
  </w:abstractNum>
  <w:abstractNum w:abstractNumId="215">
    <w:nsid w:val="6DC45E83"/>
    <w:multiLevelType w:val="hybridMultilevel"/>
    <w:lvl w:ilvl="0">
      <w:lvlJc w:val="left"/>
      <w:lvlText w:val="(%1)"/>
      <w:numFmt w:val="decimal"/>
      <w:start w:val="2"/>
    </w:lvl>
  </w:abstractNum>
  <w:abstractNum w:abstractNumId="216">
    <w:nsid w:val="17304A67"/>
    <w:multiLevelType w:val="hybridMultilevel"/>
    <w:lvl w:ilvl="0">
      <w:lvlJc w:val="left"/>
      <w:lvlText w:val="(%1)"/>
      <w:numFmt w:val="lowerRoman"/>
      <w:start w:val="1"/>
    </w:lvl>
  </w:abstractNum>
  <w:abstractNum w:abstractNumId="217">
    <w:nsid w:val="2BB180D8"/>
    <w:multiLevelType w:val="hybridMultilevel"/>
    <w:lvl w:ilvl="0">
      <w:lvlJc w:val="left"/>
      <w:lvlText w:val="(%1)"/>
      <w:numFmt w:val="lowerRoman"/>
      <w:start w:val="2"/>
    </w:lvl>
  </w:abstractNum>
  <w:abstractNum w:abstractNumId="218">
    <w:nsid w:val="556B69ED"/>
    <w:multiLevelType w:val="hybridMultilevel"/>
    <w:lvl w:ilvl="0">
      <w:lvlJc w:val="left"/>
      <w:lvlText w:val="(%1)"/>
      <w:numFmt w:val="decimal"/>
      <w:start w:val="1"/>
    </w:lvl>
  </w:abstractNum>
  <w:abstractNum w:abstractNumId="219">
    <w:nsid w:val="70836196"/>
    <w:multiLevelType w:val="hybridMultilevel"/>
    <w:lvl w:ilvl="0">
      <w:lvlJc w:val="left"/>
      <w:lvlText w:val="(%1)"/>
      <w:numFmt w:val="lowerRoman"/>
      <w:start w:val="1"/>
    </w:lvl>
  </w:abstractNum>
  <w:abstractNum w:abstractNumId="220">
    <w:nsid w:val="539F7F12"/>
    <w:multiLevelType w:val="hybridMultilevel"/>
    <w:lvl w:ilvl="0">
      <w:lvlJc w:val="left"/>
      <w:lvlText w:val="(%1)"/>
      <w:numFmt w:val="lowerRoman"/>
      <w:start w:val="4"/>
    </w:lvl>
  </w:abstractNum>
  <w:abstractNum w:abstractNumId="221">
    <w:nsid w:val="2817E7EC"/>
    <w:multiLevelType w:val="hybridMultilevel"/>
    <w:lvl w:ilvl="0">
      <w:lvlJc w:val="left"/>
      <w:lvlText w:val="(%1)"/>
      <w:numFmt w:val="decimal"/>
      <w:start w:val="1"/>
    </w:lvl>
  </w:abstractNum>
  <w:abstractNum w:abstractNumId="222">
    <w:nsid w:val="71482545"/>
    <w:multiLevelType w:val="hybridMultilevel"/>
    <w:lvl w:ilvl="0">
      <w:lvlJc w:val="left"/>
      <w:lvlText w:val="(%1)"/>
      <w:numFmt w:val="decimal"/>
      <w:start w:val="1"/>
    </w:lvl>
  </w:abstractNum>
  <w:abstractNum w:abstractNumId="223">
    <w:nsid w:val="17D78639"/>
    <w:multiLevelType w:val="hybridMultilevel"/>
    <w:lvl w:ilvl="0">
      <w:lvlJc w:val="left"/>
      <w:lvlText w:val="(%1)"/>
      <w:numFmt w:val="lowerRoman"/>
      <w:start w:val="1"/>
    </w:lvl>
  </w:abstractNum>
  <w:abstractNum w:abstractNumId="224">
    <w:nsid w:val="141D2302"/>
    <w:multiLevelType w:val="hybridMultilevel"/>
    <w:lvl w:ilvl="0">
      <w:lvlJc w:val="left"/>
      <w:lvlText w:val="(%1)"/>
      <w:numFmt w:val="decimal"/>
      <w:start w:val="2"/>
    </w:lvl>
  </w:abstractNum>
  <w:abstractNum w:abstractNumId="225">
    <w:nsid w:val="407168D8"/>
    <w:multiLevelType w:val="hybridMultilevel"/>
    <w:lvl w:ilvl="0">
      <w:lvlJc w:val="left"/>
      <w:lvlText w:val="(%1)"/>
      <w:numFmt w:val="decimal"/>
      <w:start w:val="7"/>
    </w:lvl>
  </w:abstractNum>
  <w:abstractNum w:abstractNumId="226">
    <w:nsid w:val="6A1B45E5"/>
    <w:multiLevelType w:val="hybridMultilevel"/>
    <w:lvl w:ilvl="0">
      <w:lvlJc w:val="left"/>
      <w:lvlText w:val="(%1)"/>
      <w:numFmt w:val="decimal"/>
      <w:start w:val="1"/>
    </w:lvl>
    <w:lvl w:ilvl="1">
      <w:lvlJc w:val="left"/>
      <w:lvlText w:val="(%2)"/>
      <w:numFmt w:val="lowerRoman"/>
      <w:start w:val="1"/>
    </w:lvl>
  </w:abstractNum>
  <w:abstractNum w:abstractNumId="227">
    <w:nsid w:val="567BD50A"/>
    <w:multiLevelType w:val="hybridMultilevel"/>
    <w:lvl w:ilvl="0">
      <w:lvlJc w:val="left"/>
      <w:lvlText w:val="(%1)"/>
      <w:numFmt w:val="decimal"/>
      <w:start w:val="4"/>
    </w:lvl>
  </w:abstractNum>
  <w:abstractNum w:abstractNumId="228">
    <w:nsid w:val="73BBD7F8"/>
    <w:multiLevelType w:val="hybridMultilevel"/>
    <w:lvl w:ilvl="0">
      <w:lvlJc w:val="left"/>
      <w:lvlText w:val="(%1)"/>
      <w:numFmt w:val="decimal"/>
      <w:start w:val="1"/>
    </w:lvl>
  </w:abstractNum>
  <w:abstractNum w:abstractNumId="229">
    <w:nsid w:val="1876589D"/>
    <w:multiLevelType w:val="hybridMultilevel"/>
    <w:lvl w:ilvl="0">
      <w:lvlJc w:val="left"/>
      <w:lvlText w:val="(%1)"/>
      <w:numFmt w:val="decimal"/>
      <w:start w:val="1"/>
    </w:lvl>
  </w:abstractNum>
  <w:abstractNum w:abstractNumId="230">
    <w:nsid w:val="327FAC77"/>
    <w:multiLevelType w:val="hybridMultilevel"/>
    <w:lvl w:ilvl="0">
      <w:lvlJc w:val="left"/>
      <w:lvlText w:val="(%1)"/>
      <w:numFmt w:val="decimal"/>
      <w:start w:val="1"/>
    </w:lvl>
  </w:abstractNum>
  <w:abstractNum w:abstractNumId="231">
    <w:nsid w:val="5A606509"/>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32">
    <w:nsid w:val="6F38E6D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33">
    <w:nsid w:val="46111BA5"/>
    <w:multiLevelType w:val="hybridMultilevel"/>
    <w:lvl w:ilvl="0">
      <w:lvlJc w:val="left"/>
      <w:lvlText w:val="%1."/>
      <w:numFmt w:val="decimal"/>
      <w:start w:val="1"/>
    </w:lvl>
  </w:abstractNum>
  <w:abstractNum w:abstractNumId="234">
    <w:nsid w:val="5E963896"/>
    <w:multiLevelType w:val="hybridMultilevel"/>
    <w:lvl w:ilvl="0">
      <w:lvlJc w:val="left"/>
      <w:lvlText w:val="(%1)"/>
      <w:numFmt w:val="lowerLetter"/>
      <w:start w:val="1"/>
    </w:lvl>
  </w:abstractNum>
  <w:abstractNum w:abstractNumId="235">
    <w:nsid w:val="775BA7C1"/>
    <w:multiLevelType w:val="hybridMultilevel"/>
    <w:lvl w:ilvl="0">
      <w:lvlJc w:val="left"/>
      <w:lvlText w:val="(%1)"/>
      <w:numFmt w:val="lowerLetter"/>
      <w:start w:val="2"/>
    </w:lvl>
  </w:abstractNum>
  <w:abstractNum w:abstractNumId="236">
    <w:nsid w:val="1DD6D6F4"/>
    <w:multiLevelType w:val="hybridMultilevel"/>
    <w:lvl w:ilvl="0">
      <w:lvlJc w:val="left"/>
      <w:lvlText w:val="(%1)"/>
      <w:numFmt w:val="lowerLetter"/>
      <w:start w:val="1"/>
    </w:lvl>
    <w:lvl w:ilvl="1">
      <w:lvlJc w:val="left"/>
      <w:lvlText w:val="(%2)"/>
      <w:numFmt w:val="lowerRoman"/>
      <w:start w:val="1"/>
    </w:lvl>
  </w:abstractNum>
  <w:abstractNum w:abstractNumId="237">
    <w:nsid w:val="769A091F"/>
    <w:multiLevelType w:val="hybridMultilevel"/>
    <w:lvl w:ilvl="0">
      <w:lvlJc w:val="left"/>
      <w:lvlText w:val="(%1)"/>
      <w:numFmt w:val="lowerRoman"/>
      <w:start w:val="3"/>
    </w:lvl>
  </w:abstractNum>
  <w:abstractNum w:abstractNumId="238">
    <w:nsid w:val="4695AE95"/>
    <w:multiLevelType w:val="hybridMultilevel"/>
    <w:lvl w:ilvl="0">
      <w:lvlJc w:val="left"/>
      <w:lvlText w:val="%1."/>
      <w:numFmt w:val="decimal"/>
      <w:start w:val="3"/>
    </w:lvl>
  </w:abstractNum>
  <w:abstractNum w:abstractNumId="239">
    <w:nsid w:val="777A4EAA"/>
    <w:multiLevelType w:val="hybridMultilevel"/>
    <w:lvl w:ilvl="0">
      <w:lvlJc w:val="left"/>
      <w:lvlText w:val="(%1)"/>
      <w:numFmt w:val="lowerLetter"/>
      <w:start w:val="1"/>
    </w:lvl>
    <w:lvl w:ilvl="1">
      <w:lvlJc w:val="left"/>
      <w:lvlText w:val="(%2)"/>
      <w:numFmt w:val="lowerLetter"/>
      <w:start w:val="35"/>
    </w:lvl>
  </w:abstractNum>
  <w:abstractNum w:abstractNumId="240">
    <w:nsid w:val="3F48B982"/>
    <w:multiLevelType w:val="hybridMultilevel"/>
    <w:lvl w:ilvl="0">
      <w:lvlJc w:val="left"/>
      <w:lvlText w:val="%1"/>
      <w:numFmt w:val="lowerLetter"/>
      <w:start w:val="1"/>
    </w:lvl>
    <w:lvl w:ilvl="1">
      <w:lvlJc w:val="left"/>
      <w:lvlText w:val="(%2)"/>
      <w:numFmt w:val="lowerLetter"/>
      <w:start w:val="61"/>
    </w:lvl>
  </w:abstractNum>
  <w:abstractNum w:abstractNumId="241">
    <w:nsid w:val="46BA8FCA"/>
    <w:multiLevelType w:val="hybridMultilevel"/>
    <w:lvl w:ilvl="0">
      <w:lvlJc w:val="left"/>
      <w:lvlText w:val="(%1)"/>
      <w:numFmt w:val="lowerLetter"/>
      <w:start w:val="2"/>
    </w:lvl>
    <w:lvl w:ilvl="1">
      <w:lvlJc w:val="left"/>
      <w:lvlText w:val="(%2)"/>
      <w:numFmt w:val="lowerLetter"/>
      <w:start w:val="9"/>
    </w:lvl>
  </w:abstractNum>
  <w:abstractNum w:abstractNumId="242">
    <w:nsid w:val="7835626C"/>
    <w:multiLevelType w:val="hybridMultilevel"/>
    <w:lvl w:ilvl="0">
      <w:lvlJc w:val="left"/>
      <w:lvlText w:val="%1"/>
      <w:numFmt w:val="lowerLetter"/>
      <w:start w:val="1"/>
    </w:lvl>
    <w:lvl w:ilvl="1">
      <w:lvlJc w:val="left"/>
      <w:lvlText w:val="(%2)"/>
      <w:numFmt w:val="lowerRoman"/>
      <w:start w:val="2"/>
    </w:lvl>
  </w:abstractNum>
  <w:abstractNum w:abstractNumId="243">
    <w:nsid w:val="665ACA49"/>
    <w:multiLevelType w:val="hybridMultilevel"/>
    <w:lvl w:ilvl="0">
      <w:lvlJc w:val="left"/>
      <w:lvlText w:val="(%1)"/>
      <w:numFmt w:val="lowerLetter"/>
      <w:start w:val="5"/>
    </w:lvl>
    <w:lvl w:ilvl="1">
      <w:lvlJc w:val="left"/>
      <w:lvlText w:val="%2"/>
      <w:numFmt w:val="lowerRoman"/>
      <w:start w:val="1"/>
    </w:lvl>
  </w:abstractNum>
  <w:abstractNum w:abstractNumId="244">
    <w:nsid w:val="6835B2AE"/>
    <w:multiLevelType w:val="hybridMultilevel"/>
    <w:lvl w:ilvl="0">
      <w:lvlJc w:val="left"/>
      <w:lvlText w:val="(%1)"/>
      <w:numFmt w:val="lowerLetter"/>
      <w:start w:val="9"/>
    </w:lvl>
  </w:abstractNum>
  <w:abstractNum w:abstractNumId="245">
    <w:nsid w:val="4C187C90"/>
    <w:multiLevelType w:val="hybridMultilevel"/>
    <w:lvl w:ilvl="0">
      <w:lvlJc w:val="left"/>
      <w:lvlText w:val="(%1)"/>
      <w:numFmt w:val="lowerLetter"/>
      <w:start w:val="12"/>
    </w:lvl>
    <w:lvl w:ilvl="1">
      <w:lvlJc w:val="left"/>
      <w:lvlText w:val="(%2)"/>
      <w:numFmt w:val="lowerLetter"/>
      <w:start w:val="9"/>
    </w:lvl>
  </w:abstractNum>
  <w:abstractNum w:abstractNumId="246">
    <w:nsid w:val="541F28CD"/>
    <w:multiLevelType w:val="hybridMultilevel"/>
    <w:lvl w:ilvl="0">
      <w:lvlJc w:val="left"/>
      <w:lvlText w:val="(%1)"/>
      <w:numFmt w:val="lowerRoman"/>
      <w:start w:val="2"/>
    </w:lvl>
  </w:abstractNum>
  <w:abstractNum w:abstractNumId="247">
    <w:nsid w:val="7F65FD16"/>
    <w:multiLevelType w:val="hybridMultilevel"/>
    <w:lvl w:ilvl="0">
      <w:lvlJc w:val="left"/>
      <w:lvlText w:val="%1"/>
      <w:numFmt w:val="lowerLetter"/>
      <w:start w:val="1"/>
    </w:lvl>
    <w:lvl w:ilvl="1">
      <w:lvlJc w:val="left"/>
      <w:lvlText w:val="(%2)"/>
      <w:numFmt w:val="lowerLetter"/>
      <w:start w:val="22"/>
    </w:lvl>
  </w:abstractNum>
  <w:abstractNum w:abstractNumId="248">
    <w:nsid w:val="77C9FD68"/>
    <w:multiLevelType w:val="hybridMultilevel"/>
    <w:lvl w:ilvl="0">
      <w:lvlJc w:val="left"/>
      <w:lvlText w:val="(%1)"/>
      <w:numFmt w:val="lowerLetter"/>
      <w:start w:val="17"/>
    </w:lvl>
    <w:lvl w:ilvl="1">
      <w:lvlJc w:val="left"/>
      <w:lvlText w:val="%2"/>
      <w:numFmt w:val="lowerLetter"/>
      <w:start w:val="1"/>
    </w:lvl>
  </w:abstractNum>
  <w:abstractNum w:abstractNumId="249">
    <w:nsid w:val="298A92BA"/>
    <w:multiLevelType w:val="hybridMultilevel"/>
    <w:lvl w:ilvl="0">
      <w:lvlJc w:val="left"/>
      <w:lvlText w:val="%1."/>
      <w:numFmt w:val="decimal"/>
      <w:start w:val="4"/>
    </w:lvl>
  </w:abstractNum>
  <w:abstractNum w:abstractNumId="250">
    <w:nsid w:val="6FE95EAC"/>
    <w:multiLevelType w:val="hybridMultilevel"/>
    <w:lvl w:ilvl="0">
      <w:lvlJc w:val="left"/>
      <w:lvlText w:val="(%1)"/>
      <w:numFmt w:val="lowerLetter"/>
      <w:start w:val="1"/>
    </w:lvl>
  </w:abstractNum>
  <w:abstractNum w:abstractNumId="251">
    <w:nsid w:val="4B697C7A"/>
    <w:multiLevelType w:val="hybridMultilevel"/>
    <w:lvl w:ilvl="0">
      <w:lvlJc w:val="left"/>
      <w:lvlText w:val="(%1)"/>
      <w:numFmt w:val="lowerLetter"/>
      <w:start w:val="2"/>
    </w:lvl>
  </w:abstractNum>
  <w:abstractNum w:abstractNumId="252">
    <w:nsid w:val="51A27AA6"/>
    <w:multiLevelType w:val="hybridMultilevel"/>
    <w:lvl w:ilvl="0">
      <w:lvlJc w:val="left"/>
      <w:lvlText w:val="(%1)"/>
      <w:numFmt w:val="lowerLetter"/>
      <w:start w:val="4"/>
    </w:lvl>
  </w:abstractNum>
  <w:abstractNum w:abstractNumId="253">
    <w:nsid w:val="613183F2"/>
    <w:multiLevelType w:val="hybridMultilevel"/>
    <w:lvl w:ilvl="0">
      <w:lvlJc w:val="left"/>
      <w:lvlText w:val="%1."/>
      <w:numFmt w:val="decimal"/>
      <w:start w:val="6"/>
    </w:lvl>
    <w:lvl w:ilvl="1">
      <w:lvlJc w:val="left"/>
      <w:lvlText w:val="(%2)"/>
      <w:numFmt w:val="lowerLetter"/>
      <w:start w:val="1"/>
    </w:lvl>
  </w:abstractNum>
  <w:abstractNum w:abstractNumId="254">
    <w:nsid w:val="634102B4"/>
    <w:multiLevelType w:val="hybridMultilevel"/>
    <w:lvl w:ilvl="0">
      <w:lvlJc w:val="left"/>
      <w:lvlText w:val="%1"/>
      <w:numFmt w:val="lowerLetter"/>
      <w:start w:val="1"/>
    </w:lvl>
    <w:lvl w:ilvl="1">
      <w:lvlJc w:val="left"/>
      <w:lvlText w:val="(%2)"/>
      <w:numFmt w:val="lowerLetter"/>
      <w:start w:val="2"/>
    </w:lvl>
  </w:abstractNum>
  <w:abstractNum w:abstractNumId="255">
    <w:nsid w:val="65BF9DA8"/>
    <w:multiLevelType w:val="hybridMultilevel"/>
    <w:lvl w:ilvl="0">
      <w:lvlJc w:val="left"/>
      <w:lvlText w:val="(%1)"/>
      <w:numFmt w:val="lowerLetter"/>
      <w:start w:val="25"/>
    </w:lvl>
    <w:lvl w:ilvl="1">
      <w:lvlJc w:val="left"/>
      <w:lvlText w:val="(%2)"/>
      <w:numFmt w:val="lowerLetter"/>
      <w:start w:val="5"/>
    </w:lvl>
  </w:abstractNum>
  <w:abstractNum w:abstractNumId="256">
    <w:nsid w:val="21A2ECCA"/>
    <w:multiLevelType w:val="hybridMultilevel"/>
    <w:lvl w:ilvl="0">
      <w:lvlJc w:val="left"/>
      <w:lvlText w:val="%1."/>
      <w:numFmt w:val="decimal"/>
      <w:start w:val="8"/>
    </w:lvl>
    <w:lvl w:ilvl="1">
      <w:lvlJc w:val="left"/>
      <w:lvlText w:val="(%2)"/>
      <w:numFmt w:val="lowerLetter"/>
      <w:start w:val="1"/>
    </w:lvl>
  </w:abstractNum>
  <w:abstractNum w:abstractNumId="257">
    <w:nsid w:val="4D5C4899"/>
    <w:multiLevelType w:val="hybridMultilevel"/>
    <w:lvl w:ilvl="0">
      <w:lvlJc w:val="left"/>
      <w:lvlText w:val="(%1)"/>
      <w:numFmt w:val="lowerLetter"/>
      <w:start w:val="6"/>
    </w:lvl>
  </w:abstractNum>
  <w:abstractNum w:abstractNumId="258">
    <w:nsid w:val="3C3B72B2"/>
    <w:multiLevelType w:val="hybridMultilevel"/>
    <w:lvl w:ilvl="0">
      <w:lvlJc w:val="left"/>
      <w:lvlText w:val="(%1)"/>
      <w:numFmt w:val="decimal"/>
      <w:start w:val="1"/>
    </w:lvl>
    <w:lvl w:ilvl="1">
      <w:lvlJc w:val="left"/>
      <w:lvlText w:val="(%2)"/>
      <w:numFmt w:val="lowerLetter"/>
      <w:start w:val="2"/>
    </w:lvl>
  </w:abstractNum>
  <w:abstractNum w:abstractNumId="259">
    <w:nsid w:val="155EC4C2"/>
    <w:multiLevelType w:val="hybridMultilevel"/>
    <w:lvl w:ilvl="0">
      <w:lvlJc w:val="left"/>
      <w:lvlText w:val="(%1)"/>
      <w:numFmt w:val="decimal"/>
      <w:start w:val="4"/>
    </w:lvl>
  </w:abstractNum>
  <w:abstractNum w:abstractNumId="260">
    <w:nsid w:val="65D2A137"/>
    <w:multiLevelType w:val="hybridMultilevel"/>
    <w:lvl w:ilvl="0">
      <w:lvlJc w:val="left"/>
      <w:lvlText w:val="(%1)"/>
      <w:numFmt w:val="decimal"/>
      <w:start w:val="5"/>
    </w:lvl>
  </w:abstractNum>
  <w:abstractNum w:abstractNumId="261">
    <w:nsid w:val="6EBB1F2A"/>
    <w:multiLevelType w:val="hybridMultilevel"/>
    <w:lvl w:ilvl="0">
      <w:lvlJc w:val="left"/>
      <w:lvlText w:val="(%1)"/>
      <w:numFmt w:val="decimal"/>
      <w:start w:val="6"/>
    </w:lvl>
  </w:abstractNum>
  <w:abstractNum w:abstractNumId="262">
    <w:nsid w:val="6FBF29CB"/>
    <w:multiLevelType w:val="hybridMultilevel"/>
    <w:lvl w:ilvl="0">
      <w:lvlJc w:val="left"/>
      <w:lvlText w:val="%1."/>
      <w:numFmt w:val="decimal"/>
      <w:start w:val="1"/>
    </w:lvl>
  </w:abstractNum>
  <w:abstractNum w:abstractNumId="263">
    <w:nsid w:val="550B8808"/>
    <w:multiLevelType w:val="hybridMultilevel"/>
    <w:lvl w:ilvl="0">
      <w:lvlJc w:val="left"/>
      <w:lvlText w:val="(%1)"/>
      <w:numFmt w:val="lowerLetter"/>
      <w:start w:val="1"/>
    </w:lvl>
  </w:abstractNum>
  <w:abstractNum w:abstractNumId="264">
    <w:nsid w:val="34CC3ACF"/>
    <w:multiLevelType w:val="hybridMultilevel"/>
    <w:lvl w:ilvl="0">
      <w:lvlJc w:val="left"/>
      <w:lvlText w:val="(%1)"/>
      <w:numFmt w:val="upperLetter"/>
      <w:start w:val="1"/>
    </w:lvl>
  </w:abstractNum>
  <w:abstractNum w:abstractNumId="265">
    <w:nsid w:val="4E556261"/>
    <w:multiLevelType w:val="hybridMultilevel"/>
    <w:lvl w:ilvl="0">
      <w:lvlJc w:val="left"/>
      <w:lvlText w:val="(%1)"/>
      <w:numFmt w:val="upperLetter"/>
      <w:start w:val="2"/>
    </w:lvl>
  </w:abstractNum>
  <w:abstractNum w:abstractNumId="266">
    <w:nsid w:val="4C672FC9"/>
    <w:multiLevelType w:val="hybridMultilevel"/>
    <w:lvl w:ilvl="0">
      <w:lvlJc w:val="left"/>
      <w:lvlText w:val="%1."/>
      <w:numFmt w:val="decimal"/>
      <w:start w:val="1"/>
    </w:lvl>
  </w:abstractNum>
  <w:abstractNum w:abstractNumId="267">
    <w:nsid w:val="52A311C3"/>
    <w:multiLevelType w:val="hybridMultilevel"/>
    <w:lvl w:ilvl="0">
      <w:lvlJc w:val="left"/>
      <w:lvlText w:val="%1."/>
      <w:numFmt w:val="decimal"/>
      <w:start w:val="2"/>
    </w:lvl>
  </w:abstractNum>
  <w:abstractNum w:abstractNumId="268">
    <w:nsid w:val="44EF6B80"/>
    <w:multiLevelType w:val="hybridMultilevel"/>
    <w:lvl w:ilvl="0">
      <w:lvlJc w:val="left"/>
      <w:lvlText w:val="%1."/>
      <w:numFmt w:val="decimal"/>
      <w:start w:val="3"/>
    </w:lvl>
  </w:abstractNum>
  <w:abstractNum w:abstractNumId="269">
    <w:nsid w:val="12FCDE5E"/>
    <w:multiLevelType w:val="hybridMultilevel"/>
    <w:lvl w:ilvl="0">
      <w:lvlJc w:val="left"/>
      <w:lvlText w:val="%1"/>
      <w:numFmt w:val="decimal"/>
      <w:start w:val="1"/>
    </w:lvl>
    <w:lvl w:ilvl="1">
      <w:lvlJc w:val="left"/>
      <w:lvlText w:val="%2)"/>
      <w:numFmt w:val="decimal"/>
      <w:start w:val="1"/>
    </w:lvl>
  </w:abstractNum>
  <w:abstractNum w:abstractNumId="270">
    <w:nsid w:val="4A1D606E"/>
    <w:multiLevelType w:val="hybridMultilevel"/>
    <w:lvl w:ilvl="0">
      <w:lvlJc w:val="left"/>
      <w:lvlText w:val="%1."/>
      <w:numFmt w:val="decimal"/>
      <w:start w:val="4"/>
    </w:lvl>
    <w:lvl w:ilvl="1">
      <w:lvlJc w:val="left"/>
      <w:lvlText w:val="%2"/>
      <w:numFmt w:val="decimal"/>
      <w:start w:val="1"/>
    </w:lvl>
  </w:abstractNum>
  <w:abstractNum w:abstractNumId="271">
    <w:nsid w:val="4382503"/>
    <w:multiLevelType w:val="hybridMultilevel"/>
    <w:lvl w:ilvl="0">
      <w:lvlJc w:val="left"/>
      <w:lvlText w:val="%1."/>
      <w:numFmt w:val="decimal"/>
      <w:start w:val="5"/>
    </w:lvl>
  </w:abstractNum>
  <w:abstractNum w:abstractNumId="272">
    <w:nsid w:val="59B76E28"/>
    <w:multiLevelType w:val="hybridMultilevel"/>
    <w:lvl w:ilvl="0">
      <w:lvlJc w:val="left"/>
      <w:lvlText w:val="%1."/>
      <w:numFmt w:val="decimal"/>
      <w:start w:val="6"/>
    </w:lvl>
  </w:abstractNum>
  <w:abstractNum w:abstractNumId="273">
    <w:nsid w:val="4252C2D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2019-12-20T01:11:27Z</dcterms:created>
  <dcterms:modified xsi:type="dcterms:W3CDTF">2019-12-20T01:11:27Z</dcterms:modified>
</cp:coreProperties>
</file>