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88"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18"/>
          <w:szCs w:val="18"/>
          <w:color w:val="auto"/>
        </w:rPr>
        <w:t>May 31, 2017</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Analog Devices,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9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700" w:type="dxa"/>
            <w:vAlign w:val="bottom"/>
            <w:gridSpan w:val="3"/>
          </w:tcPr>
          <w:p>
            <w:pPr>
              <w:jc w:val="center"/>
              <w:ind w:right="1160"/>
              <w:spacing w:after="0"/>
              <w:rPr>
                <w:sz w:val="20"/>
                <w:szCs w:val="20"/>
                <w:color w:val="auto"/>
              </w:rPr>
            </w:pPr>
            <w:r>
              <w:rPr>
                <w:rFonts w:ascii="Arial" w:cs="Arial" w:eastAsia="Arial" w:hAnsi="Arial"/>
                <w:sz w:val="18"/>
                <w:szCs w:val="18"/>
                <w:b w:val="1"/>
                <w:bCs w:val="1"/>
                <w:color w:val="auto"/>
                <w:w w:val="85"/>
              </w:rPr>
              <w:t>Massachusetts</w:t>
            </w:r>
          </w:p>
        </w:tc>
        <w:tc>
          <w:tcPr>
            <w:tcW w:w="286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89"/>
              </w:rPr>
              <w:t>1-7819</w:t>
            </w:r>
          </w:p>
        </w:tc>
        <w:tc>
          <w:tcPr>
            <w:tcW w:w="386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w w:val="91"/>
              </w:rPr>
              <w:t>04-2348234</w:t>
            </w:r>
          </w:p>
        </w:tc>
      </w:tr>
      <w:tr>
        <w:trPr>
          <w:trHeight w:val="215"/>
        </w:trPr>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w:t>
            </w:r>
          </w:p>
        </w:tc>
        <w:tc>
          <w:tcPr>
            <w:tcW w:w="3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60" w:type="dxa"/>
            <w:vAlign w:val="bottom"/>
            <w:tcBorders>
              <w:top w:val="single" w:sz="8" w:color="auto"/>
            </w:tcBorders>
            <w:gridSpan w:val="3"/>
          </w:tcPr>
          <w:p>
            <w:pPr>
              <w:jc w:val="center"/>
              <w:ind w:right="820"/>
              <w:spacing w:after="0"/>
              <w:rPr>
                <w:sz w:val="20"/>
                <w:szCs w:val="20"/>
                <w:color w:val="auto"/>
              </w:rPr>
            </w:pPr>
            <w:r>
              <w:rPr>
                <w:rFonts w:ascii="Arial" w:cs="Arial" w:eastAsia="Arial" w:hAnsi="Arial"/>
                <w:sz w:val="18"/>
                <w:szCs w:val="18"/>
                <w:color w:val="auto"/>
                <w:w w:val="91"/>
              </w:rPr>
              <w:t>(Commission</w:t>
            </w:r>
          </w:p>
        </w:tc>
        <w:tc>
          <w:tcPr>
            <w:tcW w:w="340" w:type="dxa"/>
            <w:vAlign w:val="bottom"/>
          </w:tcPr>
          <w:p>
            <w:pPr>
              <w:spacing w:after="0"/>
              <w:rPr>
                <w:sz w:val="18"/>
                <w:szCs w:val="18"/>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4700" w:type="dxa"/>
            <w:vAlign w:val="bottom"/>
            <w:gridSpan w:val="3"/>
          </w:tcPr>
          <w:p>
            <w:pPr>
              <w:jc w:val="center"/>
              <w:ind w:right="1160"/>
              <w:spacing w:after="0"/>
              <w:rPr>
                <w:sz w:val="20"/>
                <w:szCs w:val="20"/>
                <w:color w:val="auto"/>
              </w:rPr>
            </w:pPr>
            <w:r>
              <w:rPr>
                <w:rFonts w:ascii="Arial" w:cs="Arial" w:eastAsia="Arial" w:hAnsi="Arial"/>
                <w:sz w:val="18"/>
                <w:szCs w:val="18"/>
                <w:color w:val="auto"/>
                <w:w w:val="93"/>
              </w:rPr>
              <w:t>of incorporation)</w:t>
            </w:r>
          </w:p>
        </w:tc>
        <w:tc>
          <w:tcPr>
            <w:tcW w:w="2860" w:type="dxa"/>
            <w:vAlign w:val="bottom"/>
            <w:gridSpan w:val="3"/>
          </w:tcPr>
          <w:p>
            <w:pPr>
              <w:jc w:val="center"/>
              <w:ind w:right="820"/>
              <w:spacing w:after="0"/>
              <w:rPr>
                <w:sz w:val="20"/>
                <w:szCs w:val="20"/>
                <w:color w:val="auto"/>
              </w:rPr>
            </w:pPr>
            <w:r>
              <w:rPr>
                <w:rFonts w:ascii="Arial" w:cs="Arial" w:eastAsia="Arial" w:hAnsi="Arial"/>
                <w:sz w:val="18"/>
                <w:szCs w:val="18"/>
                <w:color w:val="auto"/>
                <w:w w:val="92"/>
              </w:rPr>
              <w:t>File Number)</w:t>
            </w:r>
          </w:p>
        </w:tc>
        <w:tc>
          <w:tcPr>
            <w:tcW w:w="34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709"/>
        </w:trPr>
        <w:tc>
          <w:tcPr>
            <w:tcW w:w="4700" w:type="dxa"/>
            <w:vAlign w:val="bottom"/>
            <w:tcBorders>
              <w:bottom w:val="single" w:sz="8" w:color="auto"/>
            </w:tcBorders>
            <w:gridSpan w:val="3"/>
          </w:tcPr>
          <w:p>
            <w:pPr>
              <w:ind w:left="1340"/>
              <w:spacing w:after="0"/>
              <w:rPr>
                <w:sz w:val="20"/>
                <w:szCs w:val="20"/>
                <w:color w:val="auto"/>
              </w:rPr>
            </w:pPr>
            <w:r>
              <w:rPr>
                <w:rFonts w:ascii="Arial" w:cs="Arial" w:eastAsia="Arial" w:hAnsi="Arial"/>
                <w:sz w:val="18"/>
                <w:szCs w:val="18"/>
                <w:b w:val="1"/>
                <w:bCs w:val="1"/>
                <w:color w:val="auto"/>
              </w:rPr>
              <w:t>One Technology Way, Norwood, MA</w:t>
            </w:r>
          </w:p>
        </w:tc>
        <w:tc>
          <w:tcPr>
            <w:tcW w:w="80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2"/>
          </w:tcPr>
          <w:p>
            <w:pPr>
              <w:jc w:val="right"/>
              <w:ind w:right="2410"/>
              <w:spacing w:after="0"/>
              <w:rPr>
                <w:sz w:val="20"/>
                <w:szCs w:val="20"/>
                <w:color w:val="auto"/>
              </w:rPr>
            </w:pPr>
            <w:r>
              <w:rPr>
                <w:rFonts w:ascii="Arial" w:cs="Arial" w:eastAsia="Arial" w:hAnsi="Arial"/>
                <w:sz w:val="18"/>
                <w:szCs w:val="18"/>
                <w:b w:val="1"/>
                <w:bCs w:val="1"/>
                <w:color w:val="auto"/>
              </w:rPr>
              <w:t>02062</w:t>
            </w:r>
          </w:p>
        </w:tc>
      </w:tr>
      <w:tr>
        <w:trPr>
          <w:trHeight w:val="230"/>
        </w:trPr>
        <w:tc>
          <w:tcPr>
            <w:tcW w:w="4700" w:type="dxa"/>
            <w:vAlign w:val="bottom"/>
            <w:gridSpan w:val="3"/>
          </w:tcPr>
          <w:p>
            <w:pPr>
              <w:ind w:left="1320"/>
              <w:spacing w:after="0"/>
              <w:rPr>
                <w:sz w:val="20"/>
                <w:szCs w:val="20"/>
                <w:color w:val="auto"/>
              </w:rPr>
            </w:pPr>
            <w:r>
              <w:rPr>
                <w:rFonts w:ascii="Arial" w:cs="Arial" w:eastAsia="Arial" w:hAnsi="Arial"/>
                <w:sz w:val="18"/>
                <w:szCs w:val="18"/>
                <w:color w:val="auto"/>
              </w:rPr>
              <w:t>(Address of principal executive offices)</w:t>
            </w: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20" w:type="dxa"/>
            <w:vAlign w:val="bottom"/>
          </w:tcPr>
          <w:p>
            <w:pPr>
              <w:jc w:val="center"/>
              <w:ind w:right="18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22"/>
          <w:szCs w:val="22"/>
          <w:color w:val="auto"/>
        </w:rPr>
        <w:t>Registrant’s telephone number, including area code: (781) 329-4700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82" w:lineRule="exact"/>
        <w:rPr>
          <w:sz w:val="24"/>
          <w:szCs w:val="24"/>
          <w:color w:val="auto"/>
        </w:rPr>
      </w:pPr>
    </w:p>
    <w:p>
      <w:pPr>
        <w:ind w:right="120"/>
        <w:spacing w:after="0" w:line="26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18" w:lineRule="exact"/>
        <w:rPr>
          <w:sz w:val="24"/>
          <w:szCs w:val="24"/>
          <w:color w:val="auto"/>
        </w:rPr>
      </w:pPr>
    </w:p>
    <w:p>
      <w:pPr>
        <w:ind w:right="80"/>
        <w:spacing w:after="0" w:line="274" w:lineRule="auto"/>
        <w:rPr>
          <w:sz w:val="20"/>
          <w:szCs w:val="20"/>
          <w:color w:val="auto"/>
        </w:rPr>
      </w:pPr>
      <w:r>
        <w:rPr>
          <w:rFonts w:ascii="Arial" w:cs="Arial" w:eastAsia="Arial" w:hAnsi="Arial"/>
          <w:sz w:val="21"/>
          <w:szCs w:val="21"/>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4" w:lineRule="exact"/>
        <w:rPr>
          <w:sz w:val="24"/>
          <w:szCs w:val="24"/>
          <w:color w:val="auto"/>
        </w:rPr>
      </w:pPr>
    </w:p>
    <w:p>
      <w:pPr>
        <w:spacing w:after="0"/>
        <w:rPr>
          <w:sz w:val="20"/>
          <w:szCs w:val="20"/>
          <w:color w:val="auto"/>
        </w:rPr>
      </w:pPr>
      <w:r>
        <w:rPr>
          <w:rFonts w:ascii="Arial" w:cs="Arial" w:eastAsia="Arial" w:hAnsi="Arial"/>
          <w:sz w:val="22"/>
          <w:szCs w:val="22"/>
          <w:color w:val="auto"/>
        </w:rPr>
        <w:t>Emerging growth company</w:t>
      </w:r>
    </w:p>
    <w:p>
      <w:pPr>
        <w:spacing w:after="0" w:line="206" w:lineRule="exact"/>
        <w:rPr>
          <w:sz w:val="24"/>
          <w:szCs w:val="24"/>
          <w:color w:val="auto"/>
        </w:rPr>
      </w:pPr>
    </w:p>
    <w:p>
      <w:pPr>
        <w:ind w:right="320"/>
        <w:spacing w:after="0" w:line="343" w:lineRule="auto"/>
        <w:rPr>
          <w:sz w:val="20"/>
          <w:szCs w:val="20"/>
          <w:color w:val="auto"/>
        </w:rPr>
      </w:pPr>
      <w:r>
        <w:rPr>
          <w:rFonts w:ascii="Arial" w:cs="Arial" w:eastAsia="Arial" w:hAnsi="Arial"/>
          <w:sz w:val="19"/>
          <w:szCs w:val="19"/>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22"/>
          <w:szCs w:val="22"/>
          <w:b w:val="1"/>
          <w:bCs w:val="1"/>
          <w:color w:val="auto"/>
        </w:rPr>
        <w:t>Item 2.02.</w:t>
      </w:r>
      <w:r>
        <w:rPr>
          <w:sz w:val="20"/>
          <w:szCs w:val="20"/>
          <w:color w:val="auto"/>
        </w:rPr>
        <w:tab/>
      </w:r>
      <w:r>
        <w:rPr>
          <w:rFonts w:ascii="Arial" w:cs="Arial" w:eastAsia="Arial" w:hAnsi="Arial"/>
          <w:sz w:val="19"/>
          <w:szCs w:val="19"/>
          <w:b w:val="1"/>
          <w:bCs w:val="1"/>
          <w:color w:val="auto"/>
        </w:rPr>
        <w:t>Results of Operations and Financial Condition</w:t>
      </w:r>
    </w:p>
    <w:p>
      <w:pPr>
        <w:spacing w:after="0" w:line="22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May 31, 2017, Analog Devices, Inc. (the “Registrant”) announced its financial results for its fiscal second quarter ended April 29, 2017. The full text of the press release issued by the Registrant concerning the foregoing results is furnished herewith as Exhibit 99.1.</w:t>
      </w:r>
    </w:p>
    <w:p>
      <w:pPr>
        <w:spacing w:after="0" w:line="130"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The information contained herein and in the accompanying exhibit shall not be incorporated by reference into any filing of the Registrant, whether made before or after the date hereof, regardless of any general incorporation language in such filing, unless expressly incorporated by specific reference to such filing. The information in this report, including the exhibit hereto, shall not be deemed to be “filed” for purposes of Section 18 of the Securities Exchange Act of 1934, as amended, or otherwise subject to the liabilities of that section or Sections 11 and 12(a)(2) of the Securities Act of 1933, as amended.</w:t>
      </w:r>
    </w:p>
    <w:p>
      <w:pPr>
        <w:spacing w:after="0" w:line="141"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(d) Exhibits</w:t>
      </w:r>
    </w:p>
    <w:p>
      <w:pPr>
        <w:spacing w:after="0" w:line="200" w:lineRule="exact"/>
        <w:rPr>
          <w:sz w:val="20"/>
          <w:szCs w:val="20"/>
          <w:color w:val="auto"/>
        </w:rPr>
      </w:pPr>
    </w:p>
    <w:p>
      <w:pPr>
        <w:spacing w:after="0" w:line="27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6"/>
          <w:szCs w:val="16"/>
          <w:u w:val="single" w:color="auto"/>
          <w:color w:val="auto"/>
        </w:rPr>
        <w:t>Description</w:t>
      </w:r>
    </w:p>
    <w:p>
      <w:pPr>
        <w:spacing w:after="0" w:line="27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May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center"/>
        <w:ind w:right="-779"/>
        <w:spacing w:after="0"/>
        <w:rPr>
          <w:sz w:val="20"/>
          <w:szCs w:val="20"/>
          <w:color w:val="auto"/>
        </w:rPr>
      </w:pPr>
      <w:r>
        <w:rPr>
          <w:rFonts w:ascii="Arial" w:cs="Arial" w:eastAsia="Arial" w:hAnsi="Arial"/>
          <w:sz w:val="22"/>
          <w:szCs w:val="22"/>
          <w:color w:val="auto"/>
        </w:rPr>
        <w:t>SIGNATURE</w:t>
      </w:r>
    </w:p>
    <w:p>
      <w:pPr>
        <w:spacing w:after="0" w:line="21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May 31, 2017</w:t>
      </w:r>
      <w:r>
        <w:rPr>
          <w:sz w:val="20"/>
          <w:szCs w:val="20"/>
          <w:color w:val="auto"/>
        </w:rPr>
        <w:tab/>
      </w:r>
      <w:r>
        <w:rPr>
          <w:rFonts w:ascii="Arial" w:cs="Arial" w:eastAsia="Arial" w:hAnsi="Arial"/>
          <w:sz w:val="17"/>
          <w:szCs w:val="17"/>
          <w:color w:val="auto"/>
        </w:rPr>
        <w:t>ANALOG DEVICES, INC.</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Eileen Wynne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Eileen Wynne</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 Chief Accounting</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Officer and Interim Chief Financial</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27202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760"/>
          </w:cols>
          <w:pgMar w:left="240" w:top="118" w:right="899" w:bottom="1440" w:gutter="0" w:footer="0" w:header="0"/>
        </w:sectPr>
      </w:pPr>
    </w:p>
    <w:bookmarkStart w:id="3" w:name="page4"/>
    <w:bookmarkEnd w:id="3"/>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6"/>
          <w:szCs w:val="16"/>
          <w:u w:val="single" w:color="auto"/>
          <w:color w:val="auto"/>
        </w:rPr>
        <w:t>Description</w:t>
      </w:r>
    </w:p>
    <w:p>
      <w:pPr>
        <w:spacing w:after="0" w:line="27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May 31, 2017</w:t>
      </w:r>
    </w:p>
    <w:p>
      <w:pPr>
        <w:sectPr>
          <w:pgSz w:w="11900" w:h="16838" w:orient="portrait"/>
          <w:cols w:equalWidth="0" w:num="1">
            <w:col w:w="10219"/>
          </w:cols>
          <w:pgMar w:left="240" w:top="11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Analog Devices Reports Second Quarter 2017 Results</w:t>
      </w:r>
    </w:p>
    <w:p>
      <w:pPr>
        <w:spacing w:after="0" w:line="212" w:lineRule="exact"/>
        <w:rPr>
          <w:sz w:val="20"/>
          <w:szCs w:val="20"/>
          <w:color w:val="auto"/>
        </w:rPr>
      </w:pPr>
    </w:p>
    <w:p>
      <w:pPr>
        <w:ind w:right="460"/>
        <w:spacing w:after="0" w:line="251" w:lineRule="auto"/>
        <w:rPr>
          <w:sz w:val="20"/>
          <w:szCs w:val="20"/>
          <w:color w:val="auto"/>
        </w:rPr>
      </w:pPr>
      <w:r>
        <w:rPr>
          <w:rFonts w:ascii="Arial" w:cs="Arial" w:eastAsia="Arial" w:hAnsi="Arial"/>
          <w:sz w:val="22"/>
          <w:szCs w:val="22"/>
          <w:color w:val="auto"/>
        </w:rPr>
        <w:t>NORWOOD, Mass.--(BUSINESS WIRE)--May 31, 2017--Analog Devices, Inc. (NASDAQ: ADI), today announced financial results for its second quarter of fiscal year 2017, which ended April 29, 2017.</w:t>
      </w:r>
    </w:p>
    <w:p>
      <w:pPr>
        <w:spacing w:after="0" w:line="173" w:lineRule="exact"/>
        <w:rPr>
          <w:sz w:val="20"/>
          <w:szCs w:val="20"/>
          <w:color w:val="auto"/>
        </w:rPr>
      </w:pPr>
    </w:p>
    <w:p>
      <w:pPr>
        <w:ind w:right="60"/>
        <w:spacing w:after="0" w:line="282" w:lineRule="auto"/>
        <w:rPr>
          <w:sz w:val="20"/>
          <w:szCs w:val="20"/>
          <w:color w:val="auto"/>
        </w:rPr>
      </w:pPr>
      <w:r>
        <w:rPr>
          <w:rFonts w:ascii="Arial" w:cs="Arial" w:eastAsia="Arial" w:hAnsi="Arial"/>
          <w:sz w:val="19"/>
          <w:szCs w:val="19"/>
          <w:color w:val="auto"/>
        </w:rPr>
        <w:t>“The second quarter of 2017 was a period of significant success,” said Vincent Roche, President and CEO. “Business conditions during the quarter were strong, and our results were above the high end of our revised guidance range led by broad-based strength, particularly in the industrial end market. In addition, we closed the acquisition of Linear Technology Corporation and are on track with our integration activities. This acquisition creates a high-performance analog industry powerhouse, and I am confident that we are well on our way to creating tremendous value for our customers, employees, and shareholders.”</w:t>
      </w:r>
    </w:p>
    <w:p>
      <w:pPr>
        <w:spacing w:after="0" w:line="148" w:lineRule="exact"/>
        <w:rPr>
          <w:sz w:val="20"/>
          <w:szCs w:val="20"/>
          <w:color w:val="auto"/>
        </w:rPr>
      </w:pPr>
    </w:p>
    <w:p>
      <w:pPr>
        <w:jc w:val="both"/>
        <w:ind w:right="160"/>
        <w:spacing w:after="0"/>
        <w:rPr>
          <w:sz w:val="20"/>
          <w:szCs w:val="20"/>
          <w:color w:val="auto"/>
        </w:rPr>
      </w:pPr>
      <w:r>
        <w:rPr>
          <w:rFonts w:ascii="Arial" w:cs="Arial" w:eastAsia="Arial" w:hAnsi="Arial"/>
          <w:sz w:val="22"/>
          <w:szCs w:val="22"/>
          <w:color w:val="auto"/>
        </w:rPr>
        <w:t>“Looking ahead to the July quarter, we continue to see signs of good business conditions and are planning for revenue in the third quarter of 2017, our first full quarter with Linear Technology, to be in the range of $1.34 billion to $1.42 billion on a GAAP basis, and $1.37 billion to $1.45 billion on a non-GAAP basis.”</w:t>
      </w:r>
    </w:p>
    <w:p>
      <w:pPr>
        <w:spacing w:after="0" w:line="186" w:lineRule="exact"/>
        <w:rPr>
          <w:sz w:val="20"/>
          <w:szCs w:val="20"/>
          <w:color w:val="auto"/>
        </w:rPr>
      </w:pPr>
    </w:p>
    <w:p>
      <w:pPr>
        <w:jc w:val="both"/>
        <w:ind w:right="140"/>
        <w:spacing w:after="0"/>
        <w:rPr>
          <w:sz w:val="20"/>
          <w:szCs w:val="20"/>
          <w:color w:val="auto"/>
        </w:rPr>
      </w:pPr>
      <w:r>
        <w:rPr>
          <w:rFonts w:ascii="Arial" w:cs="Arial" w:eastAsia="Arial" w:hAnsi="Arial"/>
          <w:sz w:val="22"/>
          <w:szCs w:val="22"/>
          <w:color w:val="auto"/>
        </w:rPr>
        <w:t>ADI also announced that the Board of Directors has declared a quarterly cash dividend of $0.45 per outstanding share of common stock, representing an annual dividend per share of $1.80. The dividend will be paid on June 20, 2017 to all shareholders of record at the close of business on June 9, 2017.</w:t>
      </w:r>
    </w:p>
    <w:p>
      <w:pPr>
        <w:spacing w:after="0" w:line="186" w:lineRule="exact"/>
        <w:rPr>
          <w:sz w:val="20"/>
          <w:szCs w:val="20"/>
          <w:color w:val="auto"/>
        </w:rPr>
      </w:pPr>
    </w:p>
    <w:p>
      <w:pPr>
        <w:ind w:right="1620"/>
        <w:spacing w:after="0" w:line="251" w:lineRule="auto"/>
        <w:rPr>
          <w:sz w:val="20"/>
          <w:szCs w:val="20"/>
          <w:color w:val="auto"/>
        </w:rPr>
      </w:pPr>
      <w:r>
        <w:rPr>
          <w:rFonts w:ascii="Arial" w:cs="Arial" w:eastAsia="Arial" w:hAnsi="Arial"/>
          <w:sz w:val="22"/>
          <w:szCs w:val="22"/>
          <w:color w:val="auto"/>
        </w:rPr>
        <w:t>Supplemental schedules relating to our second quarter fiscal 2017 results are also available on our investor site at investor.analog.com.</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Results for the Second Quarter of Fiscal Year 2017</w:t>
      </w:r>
    </w:p>
    <w:p>
      <w:pPr>
        <w:spacing w:after="0" w:line="212" w:lineRule="exact"/>
        <w:rPr>
          <w:sz w:val="20"/>
          <w:szCs w:val="20"/>
          <w:color w:val="auto"/>
        </w:rPr>
      </w:pPr>
    </w:p>
    <w:p>
      <w:pPr>
        <w:ind w:left="540" w:right="500"/>
        <w:spacing w:after="0" w:line="251" w:lineRule="auto"/>
        <w:rPr>
          <w:sz w:val="20"/>
          <w:szCs w:val="20"/>
          <w:color w:val="auto"/>
        </w:rPr>
      </w:pPr>
      <w:r>
        <w:rPr>
          <w:rFonts w:ascii="Arial" w:cs="Arial" w:eastAsia="Arial" w:hAnsi="Arial"/>
          <w:sz w:val="22"/>
          <w:szCs w:val="22"/>
          <w:color w:val="auto"/>
        </w:rPr>
        <w:t>GAAP revenue totaled $1.1 billion, with a contribution of $147.5 million from Linear Technology; Non-GAAP revenue totaled $1.2 billion, with a $208.3 million contribution from Linear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2" w:lineRule="exact"/>
        <w:rPr>
          <w:sz w:val="20"/>
          <w:szCs w:val="20"/>
          <w:color w:val="auto"/>
        </w:rPr>
      </w:pPr>
    </w:p>
    <w:p>
      <w:pPr>
        <w:ind w:left="540"/>
        <w:spacing w:after="0"/>
        <w:rPr>
          <w:sz w:val="20"/>
          <w:szCs w:val="20"/>
          <w:color w:val="auto"/>
        </w:rPr>
      </w:pPr>
      <w:r>
        <w:rPr>
          <w:rFonts w:ascii="Arial" w:cs="Arial" w:eastAsia="Arial" w:hAnsi="Arial"/>
          <w:sz w:val="22"/>
          <w:szCs w:val="22"/>
          <w:color w:val="auto"/>
        </w:rPr>
        <w:t>GAAP gross margin of 55.8% of revenue; Non-GAAP gross margin of 69.3%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right="2440"/>
        <w:spacing w:after="0" w:line="379" w:lineRule="auto"/>
        <w:rPr>
          <w:sz w:val="20"/>
          <w:szCs w:val="20"/>
          <w:color w:val="auto"/>
        </w:rPr>
      </w:pPr>
      <w:r>
        <w:rPr>
          <w:rFonts w:ascii="Arial" w:cs="Arial" w:eastAsia="Arial" w:hAnsi="Arial"/>
          <w:sz w:val="22"/>
          <w:szCs w:val="22"/>
          <w:color w:val="auto"/>
        </w:rPr>
        <w:t>GAAP operating margin of 12.7% of revenue; Non-GAAP operating margin of 37.9% of revenue GAAP diluted EPS of $0.27; Non-GAAP diluted EPS of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-445770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-205740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 w:lineRule="exact"/>
        <w:rPr>
          <w:sz w:val="20"/>
          <w:szCs w:val="20"/>
          <w:color w:val="auto"/>
        </w:rPr>
      </w:pPr>
    </w:p>
    <w:p>
      <w:pPr>
        <w:ind w:right="440"/>
        <w:spacing w:after="0"/>
        <w:rPr>
          <w:sz w:val="20"/>
          <w:szCs w:val="20"/>
          <w:color w:val="auto"/>
        </w:rPr>
      </w:pPr>
      <w:r>
        <w:rPr>
          <w:rFonts w:ascii="Arial" w:cs="Arial" w:eastAsia="Arial" w:hAnsi="Arial"/>
          <w:sz w:val="22"/>
          <w:szCs w:val="22"/>
          <w:color w:val="auto"/>
        </w:rPr>
        <w:t>Please refer to the schedules provided for a summary of revenue and earnings, selected balance sheet information, and the cash flow statement for the second quarter of fiscal year 2017, as well as the immediately prior and year-ago quarters. Additional information on revenue by end market is provided on Schedule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27202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u w:val="single" w:color="auto"/>
          <w:color w:val="auto"/>
        </w:rPr>
        <w:t>Outlook for the Third Quarter of Fiscal Year 2017</w:t>
      </w:r>
    </w:p>
    <w:p>
      <w:pPr>
        <w:spacing w:after="0" w:line="15" w:lineRule="exact"/>
        <w:rPr>
          <w:sz w:val="20"/>
          <w:szCs w:val="20"/>
          <w:color w:val="auto"/>
        </w:rPr>
      </w:pPr>
    </w:p>
    <w:p>
      <w:pPr>
        <w:spacing w:after="0" w:line="280" w:lineRule="auto"/>
        <w:rPr>
          <w:sz w:val="20"/>
          <w:szCs w:val="20"/>
          <w:color w:val="auto"/>
        </w:rPr>
      </w:pPr>
      <w:r>
        <w:rPr>
          <w:rFonts w:ascii="Arial" w:cs="Arial" w:eastAsia="Arial" w:hAnsi="Arial"/>
          <w:sz w:val="19"/>
          <w:szCs w:val="19"/>
          <w:i w:val="1"/>
          <w:iCs w:val="1"/>
          <w:color w:val="auto"/>
        </w:rPr>
        <w:t>The following statements are based on current expectations, and as indicated, are presented on a GAAP and non-GAAP basis. These statements are forward-looking and actual results may differ materially, as a result of, among other things, the important factors discussed at the end of this release. These statements supersede all prior statements regarding our business outlook set forth in prior ADI news releases, and ADI disclaims any obligation to update these forward-looking statements.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360" w:type="dxa"/>
            <w:vAlign w:val="bottom"/>
            <w:tcBorders>
              <w:top w:val="single" w:sz="8" w:color="auto"/>
              <w:bottom w:val="single" w:sz="8" w:color="auto"/>
            </w:tcBorders>
          </w:tcPr>
          <w:p>
            <w:pPr>
              <w:spacing w:after="0"/>
              <w:rPr>
                <w:sz w:val="16"/>
                <w:szCs w:val="16"/>
                <w:color w:val="auto"/>
              </w:rPr>
            </w:pPr>
          </w:p>
        </w:tc>
        <w:tc>
          <w:tcPr>
            <w:tcW w:w="3240" w:type="dxa"/>
            <w:vAlign w:val="bottom"/>
            <w:tcBorders>
              <w:top w:val="single" w:sz="8" w:color="auto"/>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rPr>
              <w:t>GAAP</w:t>
            </w:r>
          </w:p>
        </w:tc>
        <w:tc>
          <w:tcPr>
            <w:tcW w:w="2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Non-GAAP Adjustments</w:t>
            </w:r>
          </w:p>
        </w:tc>
        <w:tc>
          <w:tcPr>
            <w:tcW w:w="2940" w:type="dxa"/>
            <w:vAlign w:val="bottom"/>
            <w:tcBorders>
              <w:top w:val="single" w:sz="8" w:color="auto"/>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6"/>
              </w:rPr>
              <w:t>Non-GAAP</w:t>
            </w:r>
          </w:p>
        </w:tc>
      </w:tr>
      <w:tr>
        <w:trPr>
          <w:trHeight w:val="169"/>
        </w:trPr>
        <w:tc>
          <w:tcPr>
            <w:tcW w:w="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Revenue</w:t>
            </w:r>
          </w:p>
        </w:tc>
        <w:tc>
          <w:tcPr>
            <w:tcW w:w="324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91"/>
              </w:rPr>
              <w:t>$1.34B to $1.42B</w:t>
            </w: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$30 million (1)</w:t>
            </w:r>
          </w:p>
        </w:tc>
        <w:tc>
          <w:tcPr>
            <w:tcW w:w="294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1"/>
              </w:rPr>
              <w:t>$1.37B to $1.45B</w:t>
            </w:r>
          </w:p>
        </w:tc>
      </w:tr>
      <w:tr>
        <w:trPr>
          <w:trHeight w:val="169"/>
        </w:trPr>
        <w:tc>
          <w:tcPr>
            <w:tcW w:w="23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Gross Margin</w:t>
            </w:r>
          </w:p>
        </w:tc>
        <w:tc>
          <w:tcPr>
            <w:tcW w:w="324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color w:val="auto"/>
                <w:w w:val="92"/>
              </w:rPr>
              <w:t>52% to 54%</w:t>
            </w: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$252 million (2)</w:t>
            </w:r>
          </w:p>
        </w:tc>
        <w:tc>
          <w:tcPr>
            <w:tcW w:w="294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2"/>
              </w:rPr>
              <w:t>69% to 70%</w:t>
            </w:r>
          </w:p>
        </w:tc>
      </w:tr>
      <w:tr>
        <w:trPr>
          <w:trHeight w:val="169"/>
        </w:trPr>
        <w:tc>
          <w:tcPr>
            <w:tcW w:w="23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Operating Expenses</w:t>
            </w:r>
          </w:p>
        </w:tc>
        <w:tc>
          <w:tcPr>
            <w:tcW w:w="324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color w:val="auto"/>
                <w:w w:val="98"/>
              </w:rPr>
              <w:t>$558 million to $568 million</w:t>
            </w: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$128 million (3)</w:t>
            </w:r>
          </w:p>
        </w:tc>
        <w:tc>
          <w:tcPr>
            <w:tcW w:w="294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8"/>
              </w:rPr>
              <w:t>$430 million to $440 million</w:t>
            </w:r>
          </w:p>
        </w:tc>
      </w:tr>
      <w:tr>
        <w:trPr>
          <w:trHeight w:val="169"/>
        </w:trPr>
        <w:tc>
          <w:tcPr>
            <w:tcW w:w="23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Operating Margins</w:t>
            </w:r>
          </w:p>
        </w:tc>
        <w:tc>
          <w:tcPr>
            <w:tcW w:w="324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color w:val="auto"/>
                <w:w w:val="92"/>
              </w:rPr>
              <w:t>10% to 14%</w:t>
            </w:r>
          </w:p>
        </w:tc>
        <w:tc>
          <w:tcPr>
            <w:tcW w:w="286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2"/>
              </w:rPr>
              <w:t>38% to 40%</w:t>
            </w:r>
          </w:p>
        </w:tc>
      </w:tr>
      <w:tr>
        <w:trPr>
          <w:trHeight w:val="169"/>
        </w:trPr>
        <w:tc>
          <w:tcPr>
            <w:tcW w:w="23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Interest &amp; Other Expense</w:t>
            </w:r>
          </w:p>
        </w:tc>
        <w:tc>
          <w:tcPr>
            <w:tcW w:w="324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color w:val="auto"/>
                <w:w w:val="99"/>
              </w:rPr>
              <w:t>$70.0 million</w:t>
            </w:r>
          </w:p>
        </w:tc>
        <w:tc>
          <w:tcPr>
            <w:tcW w:w="2860" w:type="dxa"/>
            <w:vAlign w:val="bottom"/>
            <w:tcBorders>
              <w:bottom w:val="single" w:sz="8" w:color="auto"/>
            </w:tcBorders>
          </w:tcPr>
          <w:p>
            <w:pPr>
              <w:jc w:val="right"/>
              <w:ind w:right="1328"/>
              <w:spacing w:after="0"/>
              <w:rPr>
                <w:sz w:val="20"/>
                <w:szCs w:val="20"/>
                <w:color w:val="auto"/>
              </w:rPr>
            </w:pPr>
            <w:r>
              <w:rPr>
                <w:rFonts w:ascii="Arial" w:cs="Arial" w:eastAsia="Arial" w:hAnsi="Arial"/>
                <w:sz w:val="14"/>
                <w:szCs w:val="14"/>
                <w:color w:val="auto"/>
              </w:rPr>
              <w:t>-</w:t>
            </w:r>
          </w:p>
        </w:tc>
        <w:tc>
          <w:tcPr>
            <w:tcW w:w="294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9"/>
              </w:rPr>
              <w:t>$70.0 million</w:t>
            </w:r>
          </w:p>
        </w:tc>
      </w:tr>
      <w:tr>
        <w:trPr>
          <w:trHeight w:val="169"/>
        </w:trPr>
        <w:tc>
          <w:tcPr>
            <w:tcW w:w="23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Tax Rate</w:t>
            </w:r>
          </w:p>
        </w:tc>
        <w:tc>
          <w:tcPr>
            <w:tcW w:w="324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color w:val="auto"/>
                <w:w w:val="93"/>
              </w:rPr>
              <w:t>approx. 49% to 86%</w:t>
            </w: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$11 million (4)</w:t>
            </w:r>
          </w:p>
        </w:tc>
        <w:tc>
          <w:tcPr>
            <w:tcW w:w="294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5"/>
              </w:rPr>
              <w:t>approx. 10.0%</w:t>
            </w:r>
          </w:p>
        </w:tc>
      </w:tr>
      <w:tr>
        <w:trPr>
          <w:trHeight w:val="169"/>
        </w:trPr>
        <w:tc>
          <w:tcPr>
            <w:tcW w:w="23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Earnings per Share*</w:t>
            </w:r>
          </w:p>
        </w:tc>
        <w:tc>
          <w:tcPr>
            <w:tcW w:w="324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w w:val="92"/>
              </w:rPr>
              <w:t>$0.02 to $0.17</w:t>
            </w:r>
          </w:p>
        </w:tc>
        <w:tc>
          <w:tcPr>
            <w:tcW w:w="2860" w:type="dxa"/>
            <w:vAlign w:val="bottom"/>
            <w:tcBorders>
              <w:bottom w:val="single" w:sz="8" w:color="auto"/>
            </w:tcBorders>
          </w:tcPr>
          <w:p>
            <w:pPr>
              <w:jc w:val="right"/>
              <w:ind w:right="1088"/>
              <w:spacing w:after="0"/>
              <w:rPr>
                <w:sz w:val="20"/>
                <w:szCs w:val="20"/>
                <w:color w:val="auto"/>
              </w:rPr>
            </w:pPr>
            <w:r>
              <w:rPr>
                <w:rFonts w:ascii="Arial" w:cs="Arial" w:eastAsia="Arial" w:hAnsi="Arial"/>
                <w:sz w:val="14"/>
                <w:szCs w:val="14"/>
                <w:color w:val="auto"/>
              </w:rPr>
              <w:t>$1.04 (5)</w:t>
            </w:r>
          </w:p>
        </w:tc>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$1.07 to $1.21</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 The sum of the individual per share amounts may not equal the total due to rounding.</w:t>
      </w:r>
    </w:p>
    <w:p>
      <w:pPr>
        <w:spacing w:after="0" w:line="206" w:lineRule="exact"/>
        <w:rPr>
          <w:sz w:val="20"/>
          <w:szCs w:val="20"/>
          <w:color w:val="auto"/>
        </w:rPr>
      </w:pPr>
    </w:p>
    <w:p>
      <w:pPr>
        <w:ind w:right="760" w:firstLine="8"/>
        <w:spacing w:after="0" w:line="328" w:lineRule="auto"/>
        <w:tabs>
          <w:tab w:leader="none" w:pos="306" w:val="left"/>
        </w:tabs>
        <w:numPr>
          <w:ilvl w:val="0"/>
          <w:numId w:val="1"/>
        </w:numPr>
        <w:rPr>
          <w:rFonts w:ascii="Arial" w:cs="Arial" w:eastAsia="Arial" w:hAnsi="Arial"/>
          <w:sz w:val="19"/>
          <w:szCs w:val="19"/>
          <w:color w:val="auto"/>
        </w:rPr>
      </w:pPr>
      <w:r>
        <w:rPr>
          <w:rFonts w:ascii="Arial" w:cs="Arial" w:eastAsia="Arial" w:hAnsi="Arial"/>
          <w:sz w:val="19"/>
          <w:szCs w:val="19"/>
          <w:color w:val="auto"/>
        </w:rPr>
        <w:t>Non-GAAP revenue adds back $30 million of deferred revenues related to shipments of Linear Technology products by distributors to end customers that were received by the distributors prior to ADI’s acquisition of Linear Technology</w:t>
      </w:r>
    </w:p>
    <w:p>
      <w:pPr>
        <w:spacing w:after="0" w:line="105" w:lineRule="exact"/>
        <w:rPr>
          <w:rFonts w:ascii="Arial" w:cs="Arial" w:eastAsia="Arial" w:hAnsi="Arial"/>
          <w:sz w:val="19"/>
          <w:szCs w:val="19"/>
          <w:color w:val="auto"/>
        </w:rPr>
      </w:pPr>
    </w:p>
    <w:p>
      <w:pPr>
        <w:ind w:left="320" w:hanging="312"/>
        <w:spacing w:after="0"/>
        <w:tabs>
          <w:tab w:leader="none" w:pos="320" w:val="left"/>
        </w:tabs>
        <w:numPr>
          <w:ilvl w:val="0"/>
          <w:numId w:val="1"/>
        </w:numPr>
        <w:rPr>
          <w:rFonts w:ascii="Arial" w:cs="Arial" w:eastAsia="Arial" w:hAnsi="Arial"/>
          <w:sz w:val="22"/>
          <w:szCs w:val="22"/>
          <w:color w:val="auto"/>
        </w:rPr>
      </w:pPr>
      <w:r>
        <w:rPr>
          <w:rFonts w:ascii="Arial" w:cs="Arial" w:eastAsia="Arial" w:hAnsi="Arial"/>
          <w:sz w:val="22"/>
          <w:szCs w:val="22"/>
          <w:color w:val="auto"/>
        </w:rPr>
        <w:t>Non-GAAP gross margin excludes $252 million of costs comprised of the following:</w:t>
      </w:r>
    </w:p>
    <w:p>
      <w:pPr>
        <w:spacing w:after="0" w:line="206" w:lineRule="exact"/>
        <w:rPr>
          <w:sz w:val="20"/>
          <w:szCs w:val="20"/>
          <w:color w:val="auto"/>
        </w:rPr>
      </w:pPr>
    </w:p>
    <w:p>
      <w:pPr>
        <w:ind w:left="960"/>
        <w:spacing w:after="0"/>
        <w:rPr>
          <w:sz w:val="20"/>
          <w:szCs w:val="20"/>
          <w:color w:val="auto"/>
        </w:rPr>
      </w:pPr>
      <w:r>
        <w:rPr>
          <w:rFonts w:ascii="Arial" w:cs="Arial" w:eastAsia="Arial" w:hAnsi="Arial"/>
          <w:sz w:val="22"/>
          <w:szCs w:val="22"/>
          <w:color w:val="auto"/>
        </w:rPr>
        <w:t>$187 million of amortization of step up through cost of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wp:posOffset>
            </wp:positionH>
            <wp:positionV relativeFrom="paragraph">
              <wp:posOffset>-99060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960"/>
        <w:spacing w:after="0"/>
        <w:rPr>
          <w:sz w:val="20"/>
          <w:szCs w:val="20"/>
          <w:color w:val="auto"/>
        </w:rPr>
      </w:pPr>
      <w:r>
        <w:rPr>
          <w:rFonts w:ascii="Arial" w:cs="Arial" w:eastAsia="Arial" w:hAnsi="Arial"/>
          <w:sz w:val="22"/>
          <w:szCs w:val="22"/>
          <w:color w:val="auto"/>
        </w:rPr>
        <w:t>$35 million amortization of purchased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wp:posOffset>
            </wp:positionH>
            <wp:positionV relativeFrom="paragraph">
              <wp:posOffset>-99060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960" w:right="220"/>
        <w:spacing w:after="0" w:line="274" w:lineRule="auto"/>
        <w:rPr>
          <w:sz w:val="20"/>
          <w:szCs w:val="20"/>
          <w:color w:val="auto"/>
        </w:rPr>
      </w:pPr>
      <w:r>
        <w:rPr>
          <w:rFonts w:ascii="Arial" w:cs="Arial" w:eastAsia="Arial" w:hAnsi="Arial"/>
          <w:sz w:val="21"/>
          <w:szCs w:val="21"/>
          <w:color w:val="auto"/>
        </w:rPr>
        <w:t>$21 million deferred revenues, net of related costs, for shipments of Linear Technology products by distributors to end customer that were received by distributors prior to ADI’s acquisition of Linear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wp:posOffset>
            </wp:positionH>
            <wp:positionV relativeFrom="paragraph">
              <wp:posOffset>-288290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50" w:lineRule="exact"/>
        <w:rPr>
          <w:sz w:val="20"/>
          <w:szCs w:val="20"/>
          <w:color w:val="auto"/>
        </w:rPr>
      </w:pPr>
    </w:p>
    <w:p>
      <w:pPr>
        <w:ind w:left="960"/>
        <w:spacing w:after="0"/>
        <w:rPr>
          <w:sz w:val="20"/>
          <w:szCs w:val="20"/>
          <w:color w:val="auto"/>
        </w:rPr>
      </w:pPr>
      <w:r>
        <w:rPr>
          <w:rFonts w:ascii="Arial" w:cs="Arial" w:eastAsia="Arial" w:hAnsi="Arial"/>
          <w:sz w:val="22"/>
          <w:szCs w:val="22"/>
          <w:color w:val="auto"/>
        </w:rPr>
        <w:t>$8 million depreciation of step up value on purchased fixed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wp:posOffset>
            </wp:positionH>
            <wp:positionV relativeFrom="paragraph">
              <wp:posOffset>-99060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960" w:right="260"/>
        <w:spacing w:after="0" w:line="251" w:lineRule="auto"/>
        <w:rPr>
          <w:sz w:val="20"/>
          <w:szCs w:val="20"/>
          <w:color w:val="auto"/>
        </w:rPr>
      </w:pPr>
      <w:r>
        <w:rPr>
          <w:rFonts w:ascii="Arial" w:cs="Arial" w:eastAsia="Arial" w:hAnsi="Arial"/>
          <w:sz w:val="22"/>
          <w:szCs w:val="22"/>
          <w:color w:val="auto"/>
        </w:rPr>
        <w:t>$1 million fair value adjustment associated with the replacement of share-based awards in ADI’s acquisition of Linear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wp:posOffset>
            </wp:positionH>
            <wp:positionV relativeFrom="paragraph">
              <wp:posOffset>-274320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auto"/>
        </w:rPr>
        <w:t>(3) Non-GAAP operating expenses exclude $128 million of costs comprised of the following:</w:t>
      </w:r>
    </w:p>
    <w:p>
      <w:pPr>
        <w:spacing w:after="0" w:line="206" w:lineRule="exact"/>
        <w:rPr>
          <w:sz w:val="20"/>
          <w:szCs w:val="20"/>
          <w:color w:val="auto"/>
        </w:rPr>
      </w:pPr>
    </w:p>
    <w:p>
      <w:pPr>
        <w:ind w:left="960"/>
        <w:spacing w:after="0"/>
        <w:rPr>
          <w:sz w:val="20"/>
          <w:szCs w:val="20"/>
          <w:color w:val="auto"/>
        </w:rPr>
      </w:pPr>
      <w:r>
        <w:rPr>
          <w:rFonts w:ascii="Arial" w:cs="Arial" w:eastAsia="Arial" w:hAnsi="Arial"/>
          <w:sz w:val="22"/>
          <w:szCs w:val="22"/>
          <w:color w:val="auto"/>
        </w:rPr>
        <w:t>$112 million amortization of purchased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wp:posOffset>
            </wp:positionH>
            <wp:positionV relativeFrom="paragraph">
              <wp:posOffset>-99060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960" w:right="160"/>
        <w:spacing w:after="0" w:line="251" w:lineRule="auto"/>
        <w:rPr>
          <w:sz w:val="20"/>
          <w:szCs w:val="20"/>
          <w:color w:val="auto"/>
        </w:rPr>
      </w:pPr>
      <w:r>
        <w:rPr>
          <w:rFonts w:ascii="Arial" w:cs="Arial" w:eastAsia="Arial" w:hAnsi="Arial"/>
          <w:sz w:val="22"/>
          <w:szCs w:val="22"/>
          <w:color w:val="auto"/>
        </w:rPr>
        <w:t>$11 million fair value adjustment associated with the replacement of share-based awards in ADI’s acquisition of Linear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wp:posOffset>
            </wp:positionH>
            <wp:positionV relativeFrom="paragraph">
              <wp:posOffset>-274320</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2" w:lineRule="exact"/>
        <w:rPr>
          <w:sz w:val="20"/>
          <w:szCs w:val="20"/>
          <w:color w:val="auto"/>
        </w:rPr>
      </w:pPr>
    </w:p>
    <w:p>
      <w:pPr>
        <w:ind w:left="960"/>
        <w:spacing w:after="0"/>
        <w:rPr>
          <w:sz w:val="20"/>
          <w:szCs w:val="20"/>
          <w:color w:val="auto"/>
        </w:rPr>
      </w:pPr>
      <w:r>
        <w:rPr>
          <w:rFonts w:ascii="Arial" w:cs="Arial" w:eastAsia="Arial" w:hAnsi="Arial"/>
          <w:sz w:val="22"/>
          <w:szCs w:val="22"/>
          <w:color w:val="auto"/>
        </w:rPr>
        <w:t>$5 million of transaction related costs associated with the Company’s acquisition of Linear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59690"/>
                    </a:xfrm>
                    <a:prstGeom prst="rect">
                      <a:avLst/>
                    </a:prstGeom>
                    <a:noFill/>
                  </pic:spPr>
                </pic:pic>
              </a:graphicData>
            </a:graphic>
          </wp:anchor>
        </w:drawing>
        <w:drawing>
          <wp:anchor simplePos="0" relativeHeight="251657728" behindDoc="1" locked="0" layoutInCell="0" allowOverlap="1">
            <wp:simplePos x="0" y="0"/>
            <wp:positionH relativeFrom="column">
              <wp:posOffset>455295</wp:posOffset>
            </wp:positionH>
            <wp:positionV relativeFrom="paragraph">
              <wp:posOffset>-99060</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 w:name="page7"/>
    <w:bookmarkEnd w:id="6"/>
    <w:p>
      <w:pPr>
        <w:ind w:right="200" w:firstLine="8"/>
        <w:spacing w:after="0" w:line="251" w:lineRule="auto"/>
        <w:tabs>
          <w:tab w:leader="none" w:pos="306" w:val="left"/>
        </w:tabs>
        <w:numPr>
          <w:ilvl w:val="0"/>
          <w:numId w:val="2"/>
        </w:numPr>
        <w:rPr>
          <w:rFonts w:ascii="Arial" w:cs="Arial" w:eastAsia="Arial" w:hAnsi="Arial"/>
          <w:sz w:val="22"/>
          <w:szCs w:val="22"/>
          <w:color w:val="auto"/>
        </w:rPr>
      </w:pPr>
      <w:r>
        <w:rPr>
          <w:rFonts w:ascii="Arial" w:cs="Arial" w:eastAsia="Arial" w:hAnsi="Arial"/>
          <w:sz w:val="22"/>
          <w:szCs w:val="22"/>
          <w:color w:val="auto"/>
        </w:rPr>
        <w:t>Non-GAAP tax rate excludes the tax effects of the reconciling adjustments noted in the three footnotes above and $51 million of discrete items in the quarter</w:t>
      </w:r>
    </w:p>
    <w:p>
      <w:pPr>
        <w:spacing w:after="0" w:line="173" w:lineRule="exact"/>
        <w:rPr>
          <w:rFonts w:ascii="Arial" w:cs="Arial" w:eastAsia="Arial" w:hAnsi="Arial"/>
          <w:sz w:val="22"/>
          <w:szCs w:val="22"/>
          <w:color w:val="auto"/>
        </w:rPr>
      </w:pPr>
    </w:p>
    <w:p>
      <w:pPr>
        <w:ind w:right="40" w:firstLine="8"/>
        <w:spacing w:after="0" w:line="251" w:lineRule="auto"/>
        <w:tabs>
          <w:tab w:leader="none" w:pos="306" w:val="left"/>
        </w:tabs>
        <w:numPr>
          <w:ilvl w:val="0"/>
          <w:numId w:val="2"/>
        </w:numPr>
        <w:rPr>
          <w:rFonts w:ascii="Arial" w:cs="Arial" w:eastAsia="Arial" w:hAnsi="Arial"/>
          <w:sz w:val="22"/>
          <w:szCs w:val="22"/>
          <w:color w:val="auto"/>
        </w:rPr>
      </w:pPr>
      <w:r>
        <w:rPr>
          <w:rFonts w:ascii="Arial" w:cs="Arial" w:eastAsia="Arial" w:hAnsi="Arial"/>
          <w:sz w:val="22"/>
          <w:szCs w:val="22"/>
          <w:color w:val="auto"/>
        </w:rPr>
        <w:t>Non-GAAP earnings per share includes $1.04, which represents the net impact of the non-GAAP adjustments noted above on a per share basis consisting of:</w:t>
      </w:r>
    </w:p>
    <w:p>
      <w:pPr>
        <w:spacing w:after="0" w:line="173" w:lineRule="exact"/>
        <w:rPr>
          <w:sz w:val="20"/>
          <w:szCs w:val="20"/>
          <w:color w:val="auto"/>
        </w:rPr>
      </w:pPr>
    </w:p>
    <w:p>
      <w:pPr>
        <w:ind w:left="960"/>
        <w:spacing w:after="0" w:line="251" w:lineRule="auto"/>
        <w:rPr>
          <w:sz w:val="20"/>
          <w:szCs w:val="20"/>
          <w:color w:val="auto"/>
        </w:rPr>
      </w:pPr>
      <w:r>
        <w:rPr>
          <w:rFonts w:ascii="Arial" w:cs="Arial" w:eastAsia="Arial" w:hAnsi="Arial"/>
          <w:sz w:val="22"/>
          <w:szCs w:val="22"/>
          <w:color w:val="auto"/>
        </w:rPr>
        <w:t>the deferred revenues, net of related costs, for shipments of Linear Technology products by distributors to end customers that were received by distributors prior to ADI’s acquisition of Linear Technology ($0.06)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wp:posOffset>
            </wp:positionH>
            <wp:positionV relativeFrom="paragraph">
              <wp:posOffset>-274320</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2" w:lineRule="exact"/>
        <w:rPr>
          <w:sz w:val="20"/>
          <w:szCs w:val="20"/>
          <w:color w:val="auto"/>
        </w:rPr>
      </w:pPr>
    </w:p>
    <w:p>
      <w:pPr>
        <w:ind w:left="960" w:right="20"/>
        <w:spacing w:after="0"/>
        <w:rPr>
          <w:sz w:val="20"/>
          <w:szCs w:val="20"/>
          <w:color w:val="auto"/>
        </w:rPr>
      </w:pPr>
      <w:r>
        <w:rPr>
          <w:rFonts w:ascii="Arial" w:cs="Arial" w:eastAsia="Arial" w:hAnsi="Arial"/>
          <w:sz w:val="22"/>
          <w:szCs w:val="22"/>
          <w:color w:val="auto"/>
        </w:rPr>
        <w:t>acquisition-related expenses including amortization of step up value of inventory and purchased intangible assets, depreciation of step up value on purchased fixed assets, and the fair value adjustment associated with the replacement of share-based awards in ADI’s acquisition of Linear Technology ($0.94)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wp:posOffset>
            </wp:positionH>
            <wp:positionV relativeFrom="paragraph">
              <wp:posOffset>-420370</wp:posOffset>
            </wp:positionV>
            <wp:extent cx="6858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85" w:lineRule="exact"/>
        <w:rPr>
          <w:sz w:val="20"/>
          <w:szCs w:val="20"/>
          <w:color w:val="auto"/>
        </w:rPr>
      </w:pPr>
    </w:p>
    <w:p>
      <w:pPr>
        <w:ind w:left="960"/>
        <w:spacing w:after="0"/>
        <w:rPr>
          <w:sz w:val="20"/>
          <w:szCs w:val="20"/>
          <w:color w:val="auto"/>
        </w:rPr>
      </w:pPr>
      <w:r>
        <w:rPr>
          <w:rFonts w:ascii="Arial" w:cs="Arial" w:eastAsia="Arial" w:hAnsi="Arial"/>
          <w:sz w:val="22"/>
          <w:szCs w:val="22"/>
          <w:color w:val="auto"/>
        </w:rPr>
        <w:t>acquisition-related transaction costs ($0.01)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wp:posOffset>
            </wp:positionH>
            <wp:positionV relativeFrom="paragraph">
              <wp:posOffset>-99060</wp:posOffset>
            </wp:positionV>
            <wp:extent cx="68580"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960"/>
        <w:spacing w:after="0"/>
        <w:rPr>
          <w:sz w:val="20"/>
          <w:szCs w:val="20"/>
          <w:color w:val="auto"/>
        </w:rPr>
      </w:pPr>
      <w:r>
        <w:rPr>
          <w:rFonts w:ascii="Arial" w:cs="Arial" w:eastAsia="Arial" w:hAnsi="Arial"/>
          <w:sz w:val="22"/>
          <w:szCs w:val="22"/>
          <w:color w:val="auto"/>
        </w:rPr>
        <w:t>the effect on income tax of the prior items ($0.10)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wp:posOffset>
            </wp:positionH>
            <wp:positionV relativeFrom="paragraph">
              <wp:posOffset>-99060</wp:posOffset>
            </wp:positionV>
            <wp:extent cx="68580"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960"/>
        <w:spacing w:after="0"/>
        <w:rPr>
          <w:sz w:val="20"/>
          <w:szCs w:val="20"/>
          <w:color w:val="auto"/>
        </w:rPr>
      </w:pPr>
      <w:r>
        <w:rPr>
          <w:rFonts w:ascii="Arial" w:cs="Arial" w:eastAsia="Arial" w:hAnsi="Arial"/>
          <w:sz w:val="22"/>
          <w:szCs w:val="22"/>
          <w:color w:val="auto"/>
        </w:rPr>
        <w:t>and the impact of discrete tax items ($0.14).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wp:posOffset>
            </wp:positionH>
            <wp:positionV relativeFrom="paragraph">
              <wp:posOffset>-99060</wp:posOffset>
            </wp:positionV>
            <wp:extent cx="68580" cy="68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Scheduled for Today, Wednesday, May 31, 2017 at 10:00 am ET</w:t>
      </w:r>
    </w:p>
    <w:p>
      <w:pPr>
        <w:spacing w:after="0" w:line="14" w:lineRule="exact"/>
        <w:rPr>
          <w:sz w:val="20"/>
          <w:szCs w:val="20"/>
          <w:color w:val="auto"/>
        </w:rPr>
      </w:pPr>
    </w:p>
    <w:p>
      <w:pPr>
        <w:jc w:val="both"/>
        <w:ind w:right="200"/>
        <w:spacing w:after="0" w:line="234" w:lineRule="auto"/>
        <w:rPr>
          <w:sz w:val="20"/>
          <w:szCs w:val="20"/>
          <w:color w:val="auto"/>
        </w:rPr>
      </w:pPr>
      <w:r>
        <w:rPr>
          <w:rFonts w:ascii="Arial" w:cs="Arial" w:eastAsia="Arial" w:hAnsi="Arial"/>
          <w:sz w:val="22"/>
          <w:szCs w:val="22"/>
          <w:color w:val="auto"/>
        </w:rPr>
        <w:t>ADI will host a conference call to discuss second quarter fiscal 2017 results and short-term outlook today, beginning at 10:00 am ET. Investors may join via webcast, accessible at investor.analog.com, or by telephone (call 706-634-7193 ten minutes before the call begins and provide the password "ADI").</w:t>
      </w:r>
    </w:p>
    <w:p>
      <w:pPr>
        <w:spacing w:after="0" w:line="187" w:lineRule="exact"/>
        <w:rPr>
          <w:sz w:val="20"/>
          <w:szCs w:val="20"/>
          <w:color w:val="auto"/>
        </w:rPr>
      </w:pPr>
    </w:p>
    <w:p>
      <w:pPr>
        <w:ind w:right="280"/>
        <w:spacing w:after="0" w:line="274" w:lineRule="auto"/>
        <w:rPr>
          <w:sz w:val="20"/>
          <w:szCs w:val="20"/>
          <w:color w:val="auto"/>
        </w:rPr>
      </w:pPr>
      <w:r>
        <w:rPr>
          <w:rFonts w:ascii="Arial" w:cs="Arial" w:eastAsia="Arial" w:hAnsi="Arial"/>
          <w:sz w:val="21"/>
          <w:szCs w:val="21"/>
          <w:color w:val="auto"/>
        </w:rPr>
        <w:t>A replay will be available two hours after the completion of the call. The replay may be accessed for up to two weeks by dialing 855-859-2056 (replay only) and providing the conference ID: 99084395, or by visiting investor.analog.com.</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Non-GAAP Financial Information</w:t>
      </w:r>
    </w:p>
    <w:p>
      <w:pPr>
        <w:spacing w:after="0" w:line="14" w:lineRule="exact"/>
        <w:rPr>
          <w:sz w:val="20"/>
          <w:szCs w:val="20"/>
          <w:color w:val="auto"/>
        </w:rPr>
      </w:pPr>
    </w:p>
    <w:p>
      <w:pPr>
        <w:jc w:val="both"/>
        <w:ind w:right="460"/>
        <w:spacing w:after="0" w:line="249" w:lineRule="auto"/>
        <w:rPr>
          <w:sz w:val="20"/>
          <w:szCs w:val="20"/>
          <w:color w:val="auto"/>
        </w:rPr>
      </w:pPr>
      <w:r>
        <w:rPr>
          <w:rFonts w:ascii="Arial" w:cs="Arial" w:eastAsia="Arial" w:hAnsi="Arial"/>
          <w:sz w:val="21"/>
          <w:szCs w:val="21"/>
          <w:color w:val="auto"/>
        </w:rPr>
        <w:t>This release includes non-GAAP financial measures that are not in accordance with, nor an alternative to, generally accepted accounting principles and may be different from non-GAAP measures used by other companies. In addition, these non-GAAP measures are not based on any comprehensive set of accounting rules or principles.</w:t>
      </w:r>
    </w:p>
    <w:p>
      <w:pPr>
        <w:spacing w:after="0" w:line="176"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i w:val="1"/>
          <w:iCs w:val="1"/>
          <w:color w:val="auto"/>
        </w:rPr>
        <w:t>Schedules E and F of this press release provides the reconciliation of the Company’s historical non-GAAP measures to their most comparable GAAP measures.</w:t>
      </w:r>
    </w:p>
    <w:p>
      <w:pPr>
        <w:spacing w:after="0" w:line="173" w:lineRule="exact"/>
        <w:rPr>
          <w:sz w:val="20"/>
          <w:szCs w:val="20"/>
          <w:color w:val="auto"/>
        </w:rPr>
      </w:pPr>
    </w:p>
    <w:p>
      <w:pPr>
        <w:ind w:right="140"/>
        <w:spacing w:after="0" w:line="245" w:lineRule="auto"/>
        <w:rPr>
          <w:sz w:val="20"/>
          <w:szCs w:val="20"/>
          <w:color w:val="auto"/>
        </w:rPr>
      </w:pPr>
      <w:r>
        <w:rPr>
          <w:rFonts w:ascii="Arial" w:cs="Arial" w:eastAsia="Arial" w:hAnsi="Arial"/>
          <w:sz w:val="21"/>
          <w:szCs w:val="21"/>
          <w:color w:val="auto"/>
        </w:rPr>
        <w:t>Management uses non-GAAP measures internally to evaluate the Company’s operating performance from continuing operations against past periods and to budget and allocate resources in future periods. These non-GAAP measures also assist management in evaluating the Company’s core business and trends across different reporting periods on a consistent basis. Management also uses these non-GAAP measures as the primary performance measurement when communicating with analysts and investors regarding the Company’s earnings results and outlook and believes that the presentation of these non-GAAP measures is useful to investors because it provides investors with the operating results that management uses to manage the Company and enables investors and analysts to evaluate the Company’s core business. Management also believes that the non-GAAP liquidity measure free cash flow is useful both internally and to investors because it provides information about the amount of cash generated after capital expenditures that is then available to repay debt obligations, make investments and fund acquisitions, and for certain other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27202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7" w:name="page8"/>
    <w:bookmarkEnd w:id="7"/>
    <w:p>
      <w:pPr>
        <w:ind w:right="260"/>
        <w:spacing w:after="0" w:line="257" w:lineRule="auto"/>
        <w:rPr>
          <w:sz w:val="20"/>
          <w:szCs w:val="20"/>
          <w:color w:val="auto"/>
        </w:rPr>
      </w:pPr>
      <w:r>
        <w:rPr>
          <w:rFonts w:ascii="Arial" w:cs="Arial" w:eastAsia="Arial" w:hAnsi="Arial"/>
          <w:sz w:val="22"/>
          <w:szCs w:val="22"/>
          <w:b w:val="1"/>
          <w:bCs w:val="1"/>
          <w:color w:val="auto"/>
        </w:rPr>
        <w:t>The following item is included in our Non-GAAP revenue, non-GAAP gross margin, and non-GAAP diluted earnings per share:</w:t>
      </w:r>
    </w:p>
    <w:p>
      <w:pPr>
        <w:spacing w:after="0" w:line="167"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i w:val="1"/>
          <w:iCs w:val="1"/>
          <w:color w:val="auto"/>
        </w:rPr>
        <w:t>Acquisition-Related Deferred Revenue</w:t>
      </w:r>
      <w:r>
        <w:rPr>
          <w:rFonts w:ascii="Arial" w:cs="Arial" w:eastAsia="Arial" w:hAnsi="Arial"/>
          <w:sz w:val="19"/>
          <w:szCs w:val="19"/>
          <w:color w:val="auto"/>
        </w:rPr>
        <w:t>: Deferred revenue related to shipments of Linear Technology products by distributors to end</w:t>
      </w:r>
      <w:r>
        <w:rPr>
          <w:rFonts w:ascii="Arial" w:cs="Arial" w:eastAsia="Arial" w:hAnsi="Arial"/>
          <w:sz w:val="19"/>
          <w:szCs w:val="19"/>
          <w:i w:val="1"/>
          <w:iCs w:val="1"/>
          <w:color w:val="auto"/>
        </w:rPr>
        <w:t xml:space="preserve"> </w:t>
      </w:r>
      <w:r>
        <w:rPr>
          <w:rFonts w:ascii="Arial" w:cs="Arial" w:eastAsia="Arial" w:hAnsi="Arial"/>
          <w:sz w:val="19"/>
          <w:szCs w:val="19"/>
          <w:color w:val="auto"/>
        </w:rPr>
        <w:t>customers that were received by the distributors prior to the Company’s acquisition of Linear Technology. Business combination accounting principles require the write down of deferred revenue in conjunction with the acquisition. We included these revenues in our non-GAAP measures because they relate to a specific transaction and are reflective of our ongoing financial performance.</w:t>
      </w:r>
    </w:p>
    <w:p>
      <w:pPr>
        <w:spacing w:after="0" w:line="137" w:lineRule="exact"/>
        <w:rPr>
          <w:sz w:val="20"/>
          <w:szCs w:val="20"/>
          <w:color w:val="auto"/>
        </w:rPr>
      </w:pPr>
    </w:p>
    <w:p>
      <w:pPr>
        <w:ind w:right="120"/>
        <w:spacing w:after="0" w:line="256" w:lineRule="auto"/>
        <w:rPr>
          <w:sz w:val="20"/>
          <w:szCs w:val="20"/>
          <w:color w:val="auto"/>
        </w:rPr>
      </w:pPr>
      <w:r>
        <w:rPr>
          <w:rFonts w:ascii="Arial" w:cs="Arial" w:eastAsia="Arial" w:hAnsi="Arial"/>
          <w:sz w:val="22"/>
          <w:szCs w:val="22"/>
          <w:b w:val="1"/>
          <w:bCs w:val="1"/>
          <w:color w:val="auto"/>
        </w:rPr>
        <w:t>The following items are excluded from our non-GAAP gross margin, non-GAAP operating expenses, non-GAAP operating income, non-GAAP operating margin, and non-GAAP diluted earnings per share:</w:t>
      </w:r>
    </w:p>
    <w:p>
      <w:pPr>
        <w:spacing w:after="0" w:line="169" w:lineRule="exact"/>
        <w:rPr>
          <w:sz w:val="20"/>
          <w:szCs w:val="20"/>
          <w:color w:val="auto"/>
        </w:rPr>
      </w:pPr>
    </w:p>
    <w:p>
      <w:pPr>
        <w:spacing w:after="0" w:line="235" w:lineRule="auto"/>
        <w:rPr>
          <w:sz w:val="20"/>
          <w:szCs w:val="20"/>
          <w:color w:val="auto"/>
        </w:rPr>
      </w:pPr>
      <w:r>
        <w:rPr>
          <w:rFonts w:ascii="Arial" w:cs="Arial" w:eastAsia="Arial" w:hAnsi="Arial"/>
          <w:sz w:val="22"/>
          <w:szCs w:val="22"/>
          <w:i w:val="1"/>
          <w:iCs w:val="1"/>
          <w:color w:val="auto"/>
        </w:rPr>
        <w:t>Acquisition-Related Expenses</w:t>
      </w:r>
      <w:r>
        <w:rPr>
          <w:rFonts w:ascii="Arial" w:cs="Arial" w:eastAsia="Arial" w:hAnsi="Arial"/>
          <w:sz w:val="22"/>
          <w:szCs w:val="22"/>
          <w:color w:val="auto"/>
        </w:rPr>
        <w:t>: Expenses incurred as a result of current and prior period acquisitions and primarily include expenses</w:t>
      </w:r>
      <w:r>
        <w:rPr>
          <w:rFonts w:ascii="Arial" w:cs="Arial" w:eastAsia="Arial" w:hAnsi="Arial"/>
          <w:sz w:val="22"/>
          <w:szCs w:val="22"/>
          <w:i w:val="1"/>
          <w:iCs w:val="1"/>
          <w:color w:val="auto"/>
        </w:rPr>
        <w:t xml:space="preserve"> </w:t>
      </w:r>
      <w:r>
        <w:rPr>
          <w:rFonts w:ascii="Arial" w:cs="Arial" w:eastAsia="Arial" w:hAnsi="Arial"/>
          <w:sz w:val="22"/>
          <w:szCs w:val="22"/>
          <w:color w:val="auto"/>
        </w:rPr>
        <w:t>associated with the fair value adjustments to inventory, property, plant and equipment and amortization of acquisition related intangibles, which include acquired intangibles such as purchased technology and customer relationships. Expenses also include the fair value adjustment associated with the replacement of share-based awards in the Linear Technology acquisition. We excluded these costs from our non-GAAP measures because they relate to specific transactions and are not reflective of our ongoing financial performance.</w:t>
      </w:r>
    </w:p>
    <w:p>
      <w:pPr>
        <w:spacing w:after="0" w:line="188" w:lineRule="exact"/>
        <w:rPr>
          <w:sz w:val="20"/>
          <w:szCs w:val="20"/>
          <w:color w:val="auto"/>
        </w:rPr>
      </w:pPr>
    </w:p>
    <w:p>
      <w:pPr>
        <w:jc w:val="both"/>
        <w:ind w:right="80"/>
        <w:spacing w:after="0" w:line="258" w:lineRule="auto"/>
        <w:rPr>
          <w:sz w:val="20"/>
          <w:szCs w:val="20"/>
          <w:color w:val="auto"/>
        </w:rPr>
      </w:pPr>
      <w:r>
        <w:rPr>
          <w:rFonts w:ascii="Arial" w:cs="Arial" w:eastAsia="Arial" w:hAnsi="Arial"/>
          <w:sz w:val="21"/>
          <w:szCs w:val="21"/>
          <w:i w:val="1"/>
          <w:iCs w:val="1"/>
          <w:color w:val="auto"/>
        </w:rPr>
        <w:t xml:space="preserve">Acquisition-Related Transaction Costs: </w:t>
      </w:r>
      <w:r>
        <w:rPr>
          <w:rFonts w:ascii="Arial" w:cs="Arial" w:eastAsia="Arial" w:hAnsi="Arial"/>
          <w:sz w:val="21"/>
          <w:szCs w:val="21"/>
          <w:color w:val="auto"/>
        </w:rPr>
        <w:t>Costs incurred as a result of the Linear Technology acquisition, including legal, accounting</w:t>
      </w:r>
      <w:r>
        <w:rPr>
          <w:rFonts w:ascii="Arial" w:cs="Arial" w:eastAsia="Arial" w:hAnsi="Arial"/>
          <w:sz w:val="21"/>
          <w:szCs w:val="21"/>
          <w:i w:val="1"/>
          <w:iCs w:val="1"/>
          <w:color w:val="auto"/>
        </w:rPr>
        <w:t xml:space="preserve"> </w:t>
      </w:r>
      <w:r>
        <w:rPr>
          <w:rFonts w:ascii="Arial" w:cs="Arial" w:eastAsia="Arial" w:hAnsi="Arial"/>
          <w:sz w:val="21"/>
          <w:szCs w:val="21"/>
          <w:color w:val="auto"/>
        </w:rPr>
        <w:t>and other professional fees directly related to the acquisition. We excluded these costs from our non-GAAP measures because they relate to a specific transaction and are not reflective of our ongoing financial performance.</w:t>
      </w:r>
    </w:p>
    <w:p>
      <w:pPr>
        <w:spacing w:after="0" w:line="161" w:lineRule="exact"/>
        <w:rPr>
          <w:sz w:val="20"/>
          <w:szCs w:val="20"/>
          <w:color w:val="auto"/>
        </w:rPr>
      </w:pPr>
    </w:p>
    <w:p>
      <w:pPr>
        <w:ind w:right="680"/>
        <w:spacing w:after="0" w:line="256" w:lineRule="auto"/>
        <w:rPr>
          <w:sz w:val="20"/>
          <w:szCs w:val="20"/>
          <w:color w:val="auto"/>
        </w:rPr>
      </w:pPr>
      <w:r>
        <w:rPr>
          <w:rFonts w:ascii="Arial" w:cs="Arial" w:eastAsia="Arial" w:hAnsi="Arial"/>
          <w:sz w:val="22"/>
          <w:szCs w:val="22"/>
          <w:b w:val="1"/>
          <w:bCs w:val="1"/>
          <w:color w:val="auto"/>
        </w:rPr>
        <w:t>The following items are excluded from our non-GAAP operating expenses, non-GAAP operating income, non-GAAP operating margin, and non-GAAP diluted earnings per share:</w:t>
      </w:r>
    </w:p>
    <w:p>
      <w:pPr>
        <w:spacing w:after="0" w:line="169" w:lineRule="exact"/>
        <w:rPr>
          <w:sz w:val="20"/>
          <w:szCs w:val="20"/>
          <w:color w:val="auto"/>
        </w:rPr>
      </w:pPr>
    </w:p>
    <w:p>
      <w:pPr>
        <w:ind w:right="160"/>
        <w:spacing w:after="0" w:line="238" w:lineRule="auto"/>
        <w:rPr>
          <w:sz w:val="20"/>
          <w:szCs w:val="20"/>
          <w:color w:val="auto"/>
        </w:rPr>
      </w:pPr>
      <w:r>
        <w:rPr>
          <w:rFonts w:ascii="Arial" w:cs="Arial" w:eastAsia="Arial" w:hAnsi="Arial"/>
          <w:sz w:val="22"/>
          <w:szCs w:val="22"/>
          <w:i w:val="1"/>
          <w:iCs w:val="1"/>
          <w:color w:val="auto"/>
        </w:rPr>
        <w:t xml:space="preserve">Restructuring-Related Expenses: </w:t>
      </w:r>
      <w:r>
        <w:rPr>
          <w:rFonts w:ascii="Arial" w:cs="Arial" w:eastAsia="Arial" w:hAnsi="Arial"/>
          <w:sz w:val="22"/>
          <w:szCs w:val="22"/>
          <w:color w:val="auto"/>
        </w:rPr>
        <w:t>These expenses are incurred in connection with facility closures, consolidation of manufacturing</w:t>
      </w:r>
      <w:r>
        <w:rPr>
          <w:rFonts w:ascii="Arial" w:cs="Arial" w:eastAsia="Arial" w:hAnsi="Arial"/>
          <w:sz w:val="22"/>
          <w:szCs w:val="22"/>
          <w:i w:val="1"/>
          <w:iCs w:val="1"/>
          <w:color w:val="auto"/>
        </w:rPr>
        <w:t xml:space="preserve"> </w:t>
      </w:r>
      <w:r>
        <w:rPr>
          <w:rFonts w:ascii="Arial" w:cs="Arial" w:eastAsia="Arial" w:hAnsi="Arial"/>
          <w:sz w:val="22"/>
          <w:szCs w:val="22"/>
          <w:color w:val="auto"/>
        </w:rPr>
        <w:t>facilities, severance, and other cost reduction efforts. We excluded these expenses from our non-GAAP measures because apart from ongoing expense savings as a result of such items, these expenses and the related tax effects have no direct correlation to the operation of our business in the future.</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The following items are excluded from our non-GAAP other expense and non-GAAP diluted earnings per share:</w:t>
      </w:r>
    </w:p>
    <w:p>
      <w:pPr>
        <w:spacing w:after="0" w:line="224" w:lineRule="exact"/>
        <w:rPr>
          <w:sz w:val="20"/>
          <w:szCs w:val="20"/>
          <w:color w:val="auto"/>
        </w:rPr>
      </w:pPr>
    </w:p>
    <w:p>
      <w:pPr>
        <w:ind w:right="20"/>
        <w:spacing w:after="0" w:line="248" w:lineRule="auto"/>
        <w:rPr>
          <w:sz w:val="20"/>
          <w:szCs w:val="20"/>
          <w:color w:val="auto"/>
        </w:rPr>
      </w:pPr>
      <w:r>
        <w:rPr>
          <w:rFonts w:ascii="Arial" w:cs="Arial" w:eastAsia="Arial" w:hAnsi="Arial"/>
          <w:sz w:val="21"/>
          <w:szCs w:val="21"/>
          <w:i w:val="1"/>
          <w:iCs w:val="1"/>
          <w:color w:val="auto"/>
        </w:rPr>
        <w:t xml:space="preserve">Amortization of Deferred Financing Costs: </w:t>
      </w:r>
      <w:r>
        <w:rPr>
          <w:rFonts w:ascii="Arial" w:cs="Arial" w:eastAsia="Arial" w:hAnsi="Arial"/>
          <w:sz w:val="21"/>
          <w:szCs w:val="21"/>
          <w:color w:val="auto"/>
        </w:rPr>
        <w:t>In the third quarter of fiscal 2016, in connection with the Linear Technology</w:t>
      </w:r>
      <w:r>
        <w:rPr>
          <w:rFonts w:ascii="Arial" w:cs="Arial" w:eastAsia="Arial" w:hAnsi="Arial"/>
          <w:sz w:val="21"/>
          <w:szCs w:val="21"/>
          <w:i w:val="1"/>
          <w:iCs w:val="1"/>
          <w:color w:val="auto"/>
        </w:rPr>
        <w:t xml:space="preserve"> </w:t>
      </w:r>
      <w:r>
        <w:rPr>
          <w:rFonts w:ascii="Arial" w:cs="Arial" w:eastAsia="Arial" w:hAnsi="Arial"/>
          <w:sz w:val="21"/>
          <w:szCs w:val="21"/>
          <w:color w:val="auto"/>
        </w:rPr>
        <w:t>acquisition, the Company obtained bridge financing commitments and incurred financing fees which were amortized into interest expense over the term of the bridge financing commitments. In the first quarter of fiscal 2017, the Company replaced a portion of the bridge financing commitments with $2.1 billion of senior unsecured notes. As a result, the Company accelerated $7.2 million of the unamortized bridge financing commitment fees into interest expense. We excluded these costs from our non-GAAP measures because they are not reflective of our ongoing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27202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The following items are excluded from our non-GAAP diluted earnings per share:</w:t>
      </w:r>
    </w:p>
    <w:p>
      <w:pPr>
        <w:spacing w:after="0" w:line="213" w:lineRule="exact"/>
        <w:rPr>
          <w:sz w:val="20"/>
          <w:szCs w:val="20"/>
          <w:color w:val="auto"/>
        </w:rPr>
      </w:pPr>
    </w:p>
    <w:p>
      <w:pPr>
        <w:spacing w:after="0" w:line="238" w:lineRule="auto"/>
        <w:rPr>
          <w:sz w:val="20"/>
          <w:szCs w:val="20"/>
          <w:color w:val="auto"/>
        </w:rPr>
      </w:pPr>
      <w:r>
        <w:rPr>
          <w:rFonts w:ascii="Arial" w:cs="Arial" w:eastAsia="Arial" w:hAnsi="Arial"/>
          <w:sz w:val="22"/>
          <w:szCs w:val="22"/>
          <w:i w:val="1"/>
          <w:iCs w:val="1"/>
          <w:color w:val="auto"/>
        </w:rPr>
        <w:t xml:space="preserve">Tax-Related Items: </w:t>
      </w:r>
      <w:r>
        <w:rPr>
          <w:rFonts w:ascii="Arial" w:cs="Arial" w:eastAsia="Arial" w:hAnsi="Arial"/>
          <w:sz w:val="22"/>
          <w:szCs w:val="22"/>
          <w:color w:val="auto"/>
        </w:rPr>
        <w:t>Tax adjustments associated with the non-GAAP items discussed above as well as a discrete tax item related to</w:t>
      </w:r>
      <w:r>
        <w:rPr>
          <w:rFonts w:ascii="Arial" w:cs="Arial" w:eastAsia="Arial" w:hAnsi="Arial"/>
          <w:sz w:val="22"/>
          <w:szCs w:val="22"/>
          <w:i w:val="1"/>
          <w:iCs w:val="1"/>
          <w:color w:val="auto"/>
        </w:rPr>
        <w:t xml:space="preserve"> </w:t>
      </w:r>
      <w:r>
        <w:rPr>
          <w:rFonts w:ascii="Arial" w:cs="Arial" w:eastAsia="Arial" w:hAnsi="Arial"/>
          <w:sz w:val="22"/>
          <w:szCs w:val="22"/>
          <w:color w:val="auto"/>
        </w:rPr>
        <w:t>the release of a state tax credit valuation allowance resulting from the Company’s acquisition of Linear Technology. We excluded these tax-related items from our non-GAAP measures because they are not associated with the tax expense on our current operating results.</w:t>
      </w:r>
    </w:p>
    <w:p>
      <w:pPr>
        <w:spacing w:after="0" w:line="185"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color w:val="auto"/>
        </w:rPr>
        <w:t>These non-GAAP measures have material limitations in that they do not reflect all of the amounts associated with the Company’s results of operations as determined in accordance with GAAP and should not be considered in isolation from, or as a substitute for, the Company’s financial results presented in accordance with GAAP. In addition, the Company’s non-GAAP measures may not be comparable to the non-GAAP measures reported by other companies. The Company’s use of non-GAAP measures, and the underlying methodology when including or excluding certain items, is not necessarily an indication of the results of operations that may be expected in the future, or that the Company will not, in fact, record such items in future periods.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Analog Devices</w:t>
      </w:r>
    </w:p>
    <w:p>
      <w:pPr>
        <w:spacing w:after="0" w:line="14" w:lineRule="exact"/>
        <w:rPr>
          <w:sz w:val="20"/>
          <w:szCs w:val="20"/>
          <w:color w:val="auto"/>
        </w:rPr>
      </w:pPr>
    </w:p>
    <w:p>
      <w:pPr>
        <w:ind w:right="220"/>
        <w:spacing w:after="0" w:line="234" w:lineRule="auto"/>
        <w:rPr>
          <w:sz w:val="20"/>
          <w:szCs w:val="20"/>
          <w:color w:val="auto"/>
        </w:rPr>
      </w:pPr>
      <w:r>
        <w:rPr>
          <w:rFonts w:ascii="Arial" w:cs="Arial" w:eastAsia="Arial" w:hAnsi="Arial"/>
          <w:sz w:val="22"/>
          <w:szCs w:val="22"/>
          <w:color w:val="auto"/>
        </w:rPr>
        <w:t xml:space="preserve">Analog Devices designs and manufactures semiconductor products and solutions. We enable our customers to interpret the world around us by intelligently bridging the physical and digital with unmatched technologies that sense, measure and connect. Visit </w:t>
      </w:r>
      <w:r>
        <w:rPr>
          <w:rFonts w:ascii="Arial" w:cs="Arial" w:eastAsia="Arial" w:hAnsi="Arial"/>
          <w:sz w:val="22"/>
          <w:szCs w:val="22"/>
          <w:u w:val="single" w:color="auto"/>
          <w:color w:val="auto"/>
        </w:rPr>
        <w:t>http://www.analog.com</w:t>
      </w:r>
      <w:r>
        <w:rPr>
          <w:rFonts w:ascii="Arial" w:cs="Arial" w:eastAsia="Arial" w:hAnsi="Arial"/>
          <w:sz w:val="22"/>
          <w:szCs w:val="22"/>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Statements</w:t>
      </w:r>
    </w:p>
    <w:p>
      <w:pPr>
        <w:spacing w:after="0" w:line="14" w:lineRule="exact"/>
        <w:rPr>
          <w:sz w:val="20"/>
          <w:szCs w:val="20"/>
          <w:color w:val="auto"/>
        </w:rPr>
      </w:pPr>
    </w:p>
    <w:p>
      <w:pPr>
        <w:ind w:right="40"/>
        <w:spacing w:after="0" w:line="269" w:lineRule="auto"/>
        <w:rPr>
          <w:sz w:val="20"/>
          <w:szCs w:val="20"/>
          <w:color w:val="auto"/>
        </w:rPr>
      </w:pPr>
      <w:r>
        <w:rPr>
          <w:rFonts w:ascii="Arial" w:cs="Arial" w:eastAsia="Arial" w:hAnsi="Arial"/>
          <w:sz w:val="19"/>
          <w:szCs w:val="19"/>
          <w:i w:val="1"/>
          <w:iCs w:val="1"/>
          <w:color w:val="auto"/>
        </w:rPr>
        <w:t>This press release contains forward-looking statements, which address a variety of subjects including, for example, our statements regarding expected revenue, earnings per share, gross margin, operating expenses, interest and other expense, tax rate, and other financial results, expected operating leverage, production and inventory levels, expected market trends, and expected customer demand and order rates for our products and expected benefits and synergies of the acquisition of Linear Technology Corporation (“Linear Technology”), including expected growth rates of the combined companies, expected product offerings, product development, marketing position and technical advances resulting from the transaction. Statements that are not historical facts, including statements about our beliefs, plans and expectations, are forward-looking statements. Such statements are based on our current expectations and are subject to a number of factors and uncertainties, which could cause actual results to differ materially from those described in the forward-looking statements. The following important factors and uncertainties, among others, could cause actual results to differ materially from those described in these forward-looking statements: any faltering in global economic conditions or the stability of credit and financial markets, erosion of consumer confidence and declines in customer spending, unavailability of raw materials, services, supplies or manufacturing capacity, changes in geographic, product or customer mix, higher than expected or unexpected costs associated with or relating to the acquisition of Linear Technology and the integration of the businesses; the risk that expected benefits, synergies and growth prospects of the acquisition may not be fully achieved in a timely manner, or at all; the risk that Linear Technology’s business may not be successfully integrated with Analog Devices’; the risk that we will be unable to retain and hire key personnel; and the risk that disruption resulting from the acquisition may adversely affect our business and relationships with our customers, suppliers or employees. For additional information about factors that could cause actual results to differ materially from those described in the forward-looking statements, please refer to our filings with the Securities and Exchange Commission (“SEC”), including the risk factors contained in our most recent Quarterly Report on Form 10-Q and Annual Report on Form 10-K. Forward-looking statements represent management’s current expectations and are inherently uncertain. Except as required by law, we do not undertake any obligation to update forward-looking statements made by us to reflect subsequent events or circumstances.</w:t>
      </w:r>
    </w:p>
    <w:p>
      <w:pPr>
        <w:spacing w:after="0" w:line="200" w:lineRule="exact"/>
        <w:rPr>
          <w:sz w:val="20"/>
          <w:szCs w:val="20"/>
          <w:color w:val="auto"/>
        </w:rPr>
      </w:pPr>
    </w:p>
    <w:p>
      <w:pPr>
        <w:spacing w:after="0" w:line="204"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Analog Devices and the Analog Devices logo are registered trademarks or trademarks of Analog Devices, Inc. All other trademarks mentioned in this document are the property of their respective owners.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(ADI-WEB)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260" w:type="dxa"/>
            <w:vAlign w:val="bottom"/>
            <w:gridSpan w:val="4"/>
          </w:tcPr>
          <w:p>
            <w:pPr>
              <w:jc w:val="center"/>
              <w:ind w:left="368"/>
              <w:spacing w:after="0"/>
              <w:rPr>
                <w:sz w:val="20"/>
                <w:szCs w:val="20"/>
                <w:color w:val="auto"/>
              </w:rPr>
            </w:pPr>
            <w:r>
              <w:rPr>
                <w:rFonts w:ascii="Arial" w:cs="Arial" w:eastAsia="Arial" w:hAnsi="Arial"/>
                <w:sz w:val="14"/>
                <w:szCs w:val="14"/>
                <w:b w:val="1"/>
                <w:bCs w:val="1"/>
                <w:color w:val="auto"/>
                <w:w w:val="91"/>
              </w:rPr>
              <w:t>Analog Devices, Second Quarter, Fiscal 2017</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323"/>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Schedule A</w:t>
            </w:r>
          </w:p>
        </w:tc>
        <w:tc>
          <w:tcPr>
            <w:tcW w:w="106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73"/>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3260" w:type="dxa"/>
            <w:vAlign w:val="bottom"/>
            <w:gridSpan w:val="4"/>
          </w:tcPr>
          <w:p>
            <w:pPr>
              <w:jc w:val="center"/>
              <w:ind w:left="368"/>
              <w:spacing w:after="0"/>
              <w:rPr>
                <w:sz w:val="20"/>
                <w:szCs w:val="20"/>
                <w:color w:val="auto"/>
              </w:rPr>
            </w:pPr>
            <w:r>
              <w:rPr>
                <w:rFonts w:ascii="Arial" w:cs="Arial" w:eastAsia="Arial" w:hAnsi="Arial"/>
                <w:sz w:val="14"/>
                <w:szCs w:val="14"/>
                <w:b w:val="1"/>
                <w:bCs w:val="1"/>
                <w:color w:val="auto"/>
                <w:w w:val="93"/>
              </w:rPr>
              <w:t>Revenue and Earnings Summary (Unaudited)</w:t>
            </w: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260" w:type="dxa"/>
            <w:vAlign w:val="bottom"/>
            <w:gridSpan w:val="4"/>
          </w:tcPr>
          <w:p>
            <w:pPr>
              <w:jc w:val="center"/>
              <w:ind w:left="368"/>
              <w:spacing w:after="0"/>
              <w:rPr>
                <w:sz w:val="20"/>
                <w:szCs w:val="20"/>
                <w:color w:val="auto"/>
              </w:rPr>
            </w:pPr>
            <w:r>
              <w:rPr>
                <w:rFonts w:ascii="Arial" w:cs="Arial" w:eastAsia="Arial" w:hAnsi="Arial"/>
                <w:sz w:val="14"/>
                <w:szCs w:val="14"/>
                <w:b w:val="1"/>
                <w:bCs w:val="1"/>
                <w:color w:val="auto"/>
                <w:w w:val="91"/>
              </w:rPr>
              <w:t>(In thousands, except per-share amounts)</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w w:val="99"/>
              </w:rPr>
              <w:t>Three Months Ended</w:t>
            </w: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jc w:val="center"/>
              <w:ind w:right="288"/>
              <w:spacing w:after="0" w:line="160" w:lineRule="exact"/>
              <w:rPr>
                <w:sz w:val="20"/>
                <w:szCs w:val="20"/>
                <w:color w:val="auto"/>
              </w:rPr>
            </w:pPr>
            <w:r>
              <w:rPr>
                <w:rFonts w:ascii="Arial" w:cs="Arial" w:eastAsia="Arial" w:hAnsi="Arial"/>
                <w:sz w:val="14"/>
                <w:szCs w:val="14"/>
                <w:b w:val="1"/>
                <w:bCs w:val="1"/>
                <w:color w:val="auto"/>
                <w:w w:val="94"/>
              </w:rPr>
              <w:t>2Q 17</w:t>
            </w: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jc w:val="center"/>
              <w:ind w:right="108"/>
              <w:spacing w:after="0" w:line="160" w:lineRule="exact"/>
              <w:rPr>
                <w:sz w:val="20"/>
                <w:szCs w:val="20"/>
                <w:color w:val="auto"/>
              </w:rPr>
            </w:pPr>
            <w:r>
              <w:rPr>
                <w:rFonts w:ascii="Arial" w:cs="Arial" w:eastAsia="Arial" w:hAnsi="Arial"/>
                <w:sz w:val="14"/>
                <w:szCs w:val="14"/>
                <w:b w:val="1"/>
                <w:bCs w:val="1"/>
                <w:color w:val="auto"/>
                <w:w w:val="99"/>
              </w:rPr>
              <w:t>1Q 17</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jc w:val="center"/>
              <w:ind w:right="68"/>
              <w:spacing w:after="0" w:line="160" w:lineRule="exact"/>
              <w:rPr>
                <w:sz w:val="20"/>
                <w:szCs w:val="20"/>
                <w:color w:val="auto"/>
              </w:rPr>
            </w:pPr>
            <w:r>
              <w:rPr>
                <w:rFonts w:ascii="Arial" w:cs="Arial" w:eastAsia="Arial" w:hAnsi="Arial"/>
                <w:sz w:val="14"/>
                <w:szCs w:val="14"/>
                <w:b w:val="1"/>
                <w:bCs w:val="1"/>
                <w:color w:val="auto"/>
                <w:w w:val="99"/>
              </w:rPr>
              <w:t>2Q 16</w:t>
            </w:r>
          </w:p>
        </w:tc>
        <w:tc>
          <w:tcPr>
            <w:tcW w:w="1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Pr>
          <w:p>
            <w:pPr>
              <w:jc w:val="right"/>
              <w:ind w:right="308"/>
              <w:spacing w:after="0" w:line="149" w:lineRule="exact"/>
              <w:rPr>
                <w:sz w:val="20"/>
                <w:szCs w:val="20"/>
                <w:color w:val="auto"/>
              </w:rPr>
            </w:pPr>
            <w:r>
              <w:rPr>
                <w:rFonts w:ascii="Arial" w:cs="Arial" w:eastAsia="Arial" w:hAnsi="Arial"/>
                <w:sz w:val="14"/>
                <w:szCs w:val="14"/>
                <w:b w:val="1"/>
                <w:bCs w:val="1"/>
                <w:color w:val="auto"/>
                <w:w w:val="94"/>
              </w:rPr>
              <w:t>April 29,</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jc w:val="right"/>
              <w:ind w:right="248"/>
              <w:spacing w:after="0" w:line="149" w:lineRule="exact"/>
              <w:rPr>
                <w:sz w:val="20"/>
                <w:szCs w:val="20"/>
                <w:color w:val="auto"/>
              </w:rPr>
            </w:pPr>
            <w:r>
              <w:rPr>
                <w:rFonts w:ascii="Arial" w:cs="Arial" w:eastAsia="Arial" w:hAnsi="Arial"/>
                <w:sz w:val="14"/>
                <w:szCs w:val="14"/>
                <w:b w:val="1"/>
                <w:bCs w:val="1"/>
                <w:color w:val="auto"/>
              </w:rPr>
              <w:t>Jan. 28,</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jc w:val="right"/>
              <w:ind w:right="208"/>
              <w:spacing w:after="0" w:line="149" w:lineRule="exact"/>
              <w:rPr>
                <w:sz w:val="20"/>
                <w:szCs w:val="20"/>
                <w:color w:val="auto"/>
              </w:rPr>
            </w:pPr>
            <w:r>
              <w:rPr>
                <w:rFonts w:ascii="Arial" w:cs="Arial" w:eastAsia="Arial" w:hAnsi="Arial"/>
                <w:sz w:val="14"/>
                <w:szCs w:val="14"/>
                <w:b w:val="1"/>
                <w:bCs w:val="1"/>
                <w:color w:val="auto"/>
              </w:rPr>
              <w:t>April 30,</w:t>
            </w:r>
          </w:p>
        </w:tc>
        <w:tc>
          <w:tcPr>
            <w:tcW w:w="160" w:type="dxa"/>
            <w:vAlign w:val="bottom"/>
          </w:tcPr>
          <w:p>
            <w:pPr>
              <w:spacing w:after="0"/>
              <w:rPr>
                <w:sz w:val="12"/>
                <w:szCs w:val="12"/>
                <w:color w:val="auto"/>
              </w:rPr>
            </w:pPr>
          </w:p>
        </w:tc>
      </w:tr>
      <w:tr>
        <w:trPr>
          <w:trHeight w:val="185"/>
        </w:trPr>
        <w:tc>
          <w:tcPr>
            <w:tcW w:w="20" w:type="dxa"/>
            <w:vAlign w:val="bottom"/>
          </w:tcPr>
          <w:p>
            <w:pPr>
              <w:spacing w:after="0"/>
              <w:rPr>
                <w:sz w:val="16"/>
                <w:szCs w:val="16"/>
                <w:color w:val="auto"/>
              </w:rPr>
            </w:pPr>
          </w:p>
        </w:tc>
        <w:tc>
          <w:tcPr>
            <w:tcW w:w="38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6"/>
                <w:szCs w:val="16"/>
                <w:color w:val="auto"/>
              </w:rPr>
            </w:pPr>
          </w:p>
        </w:tc>
      </w:tr>
      <w:tr>
        <w:trPr>
          <w:trHeight w:val="164"/>
        </w:trPr>
        <w:tc>
          <w:tcPr>
            <w:tcW w:w="20" w:type="dxa"/>
            <w:vAlign w:val="bottom"/>
          </w:tcPr>
          <w:p>
            <w:pPr>
              <w:spacing w:after="0"/>
              <w:rPr>
                <w:sz w:val="14"/>
                <w:szCs w:val="14"/>
                <w:color w:val="auto"/>
              </w:rPr>
            </w:pPr>
          </w:p>
        </w:tc>
        <w:tc>
          <w:tcPr>
            <w:tcW w:w="3840" w:type="dxa"/>
            <w:vAlign w:val="bottom"/>
          </w:tcPr>
          <w:p>
            <w:pPr>
              <w:spacing w:after="0"/>
              <w:rPr>
                <w:sz w:val="20"/>
                <w:szCs w:val="20"/>
                <w:color w:val="auto"/>
              </w:rPr>
            </w:pPr>
            <w:r>
              <w:rPr>
                <w:rFonts w:ascii="Arial" w:cs="Arial" w:eastAsia="Arial" w:hAnsi="Arial"/>
                <w:sz w:val="14"/>
                <w:szCs w:val="14"/>
                <w:color w:val="auto"/>
              </w:rPr>
              <w:t>Revenue</w:t>
            </w:r>
          </w:p>
        </w:tc>
        <w:tc>
          <w:tcPr>
            <w:tcW w:w="3260" w:type="dxa"/>
            <w:vAlign w:val="bottom"/>
            <w:gridSpan w:val="4"/>
          </w:tcPr>
          <w:p>
            <w:pPr>
              <w:jc w:val="right"/>
              <w:ind w:right="34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1,147,982</w:t>
            </w:r>
          </w:p>
        </w:tc>
        <w:tc>
          <w:tcPr>
            <w:tcW w:w="240" w:type="dxa"/>
            <w:vAlign w:val="bottom"/>
          </w:tcPr>
          <w:p>
            <w:pPr>
              <w:spacing w:after="0"/>
              <w:rPr>
                <w:sz w:val="14"/>
                <w:szCs w:val="14"/>
                <w:color w:val="auto"/>
              </w:rPr>
            </w:pP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984,449</w:t>
            </w:r>
          </w:p>
        </w:tc>
        <w:tc>
          <w:tcPr>
            <w:tcW w:w="300" w:type="dxa"/>
            <w:vAlign w:val="bottom"/>
          </w:tcPr>
          <w:p>
            <w:pPr>
              <w:spacing w:after="0"/>
              <w:rPr>
                <w:sz w:val="14"/>
                <w:szCs w:val="14"/>
                <w:color w:val="auto"/>
              </w:rPr>
            </w:pP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778,766</w:t>
            </w:r>
          </w:p>
        </w:tc>
        <w:tc>
          <w:tcPr>
            <w:tcW w:w="16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3840" w:type="dxa"/>
            <w:vAlign w:val="bottom"/>
          </w:tcPr>
          <w:p>
            <w:pPr>
              <w:ind w:left="200"/>
              <w:spacing w:after="0"/>
              <w:rPr>
                <w:sz w:val="20"/>
                <w:szCs w:val="20"/>
                <w:color w:val="auto"/>
              </w:rPr>
            </w:pPr>
            <w:r>
              <w:rPr>
                <w:rFonts w:ascii="Arial" w:cs="Arial" w:eastAsia="Arial" w:hAnsi="Arial"/>
                <w:sz w:val="14"/>
                <w:szCs w:val="14"/>
                <w:color w:val="auto"/>
              </w:rPr>
              <w:t>Year-to-year change</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47</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w w:val="96"/>
              </w:rPr>
              <w:t>%</w:t>
            </w:r>
          </w:p>
        </w:tc>
        <w:tc>
          <w:tcPr>
            <w:tcW w:w="440" w:type="dxa"/>
            <w:vAlign w:val="bottom"/>
          </w:tcPr>
          <w:p>
            <w:pPr>
              <w:spacing w:after="0"/>
              <w:rPr>
                <w:sz w:val="15"/>
                <w:szCs w:val="15"/>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28</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w w:val="96"/>
              </w:rPr>
              <w:t>%</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w:t>
            </w:r>
          </w:p>
        </w:tc>
        <w:tc>
          <w:tcPr>
            <w:tcW w:w="16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40" w:type="dxa"/>
            <w:vAlign w:val="bottom"/>
          </w:tcPr>
          <w:p>
            <w:pPr>
              <w:ind w:left="200"/>
              <w:spacing w:after="0"/>
              <w:rPr>
                <w:sz w:val="20"/>
                <w:szCs w:val="20"/>
                <w:color w:val="auto"/>
              </w:rPr>
            </w:pPr>
            <w:r>
              <w:rPr>
                <w:rFonts w:ascii="Arial" w:cs="Arial" w:eastAsia="Arial" w:hAnsi="Arial"/>
                <w:sz w:val="14"/>
                <w:szCs w:val="14"/>
                <w:color w:val="auto"/>
              </w:rPr>
              <w:t>Quarter-to-quarter change</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17</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w w:val="96"/>
              </w:rPr>
              <w:t>%</w:t>
            </w:r>
          </w:p>
        </w:tc>
        <w:tc>
          <w:tcPr>
            <w:tcW w:w="4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Cost of sales (1)</w:t>
            </w:r>
          </w:p>
        </w:tc>
        <w:tc>
          <w:tcPr>
            <w:tcW w:w="15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507,539</w:t>
            </w:r>
          </w:p>
        </w:tc>
        <w:tc>
          <w:tcPr>
            <w:tcW w:w="2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335,945</w:t>
            </w:r>
          </w:p>
        </w:tc>
        <w:tc>
          <w:tcPr>
            <w:tcW w:w="3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267,863</w:t>
            </w:r>
          </w:p>
        </w:tc>
        <w:tc>
          <w:tcPr>
            <w:tcW w:w="160" w:type="dxa"/>
            <w:vAlign w:val="bottom"/>
            <w:tcBorders>
              <w:bottom w:val="single" w:sz="8" w:color="auto"/>
            </w:tcBorders>
          </w:tcPr>
          <w:p>
            <w:pPr>
              <w:spacing w:after="0"/>
              <w:rPr>
                <w:sz w:val="15"/>
                <w:szCs w:val="15"/>
                <w:color w:val="auto"/>
              </w:rPr>
            </w:pPr>
          </w:p>
        </w:tc>
      </w:tr>
      <w:tr>
        <w:trPr>
          <w:trHeight w:val="164"/>
        </w:trPr>
        <w:tc>
          <w:tcPr>
            <w:tcW w:w="3860" w:type="dxa"/>
            <w:vAlign w:val="bottom"/>
            <w:gridSpan w:val="2"/>
          </w:tcPr>
          <w:p>
            <w:pPr>
              <w:spacing w:after="0"/>
              <w:rPr>
                <w:sz w:val="20"/>
                <w:szCs w:val="20"/>
                <w:color w:val="auto"/>
              </w:rPr>
            </w:pPr>
            <w:r>
              <w:rPr>
                <w:rFonts w:ascii="Arial" w:cs="Arial" w:eastAsia="Arial" w:hAnsi="Arial"/>
                <w:sz w:val="14"/>
                <w:szCs w:val="14"/>
                <w:color w:val="auto"/>
              </w:rPr>
              <w:t>Gross margin</w:t>
            </w:r>
          </w:p>
        </w:tc>
        <w:tc>
          <w:tcPr>
            <w:tcW w:w="1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640,443</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648,504</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510,903</w:t>
            </w:r>
          </w:p>
        </w:tc>
        <w:tc>
          <w:tcPr>
            <w:tcW w:w="160" w:type="dxa"/>
            <w:vAlign w:val="bottom"/>
          </w:tcPr>
          <w:p>
            <w:pPr>
              <w:spacing w:after="0"/>
              <w:rPr>
                <w:sz w:val="14"/>
                <w:szCs w:val="14"/>
                <w:color w:val="auto"/>
              </w:rPr>
            </w:pPr>
          </w:p>
        </w:tc>
      </w:tr>
      <w:tr>
        <w:trPr>
          <w:trHeight w:val="176"/>
        </w:trPr>
        <w:tc>
          <w:tcPr>
            <w:tcW w:w="3860" w:type="dxa"/>
            <w:vAlign w:val="bottom"/>
            <w:gridSpan w:val="2"/>
          </w:tcPr>
          <w:p>
            <w:pPr>
              <w:spacing w:after="0"/>
              <w:rPr>
                <w:sz w:val="20"/>
                <w:szCs w:val="20"/>
                <w:color w:val="auto"/>
              </w:rPr>
            </w:pPr>
            <w:r>
              <w:rPr>
                <w:rFonts w:ascii="Arial" w:cs="Arial" w:eastAsia="Arial" w:hAnsi="Arial"/>
                <w:sz w:val="14"/>
                <w:szCs w:val="14"/>
                <w:color w:val="auto"/>
              </w:rPr>
              <w:t>Gross margin percentage</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55.8</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w w:val="96"/>
              </w:rPr>
              <w:t>%</w:t>
            </w:r>
          </w:p>
        </w:tc>
        <w:tc>
          <w:tcPr>
            <w:tcW w:w="440" w:type="dxa"/>
            <w:vAlign w:val="bottom"/>
          </w:tcPr>
          <w:p>
            <w:pPr>
              <w:spacing w:after="0"/>
              <w:rPr>
                <w:sz w:val="15"/>
                <w:szCs w:val="15"/>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65.9</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w w:val="96"/>
              </w:rPr>
              <w:t>%</w:t>
            </w:r>
          </w:p>
        </w:tc>
        <w:tc>
          <w:tcPr>
            <w:tcW w:w="360" w:type="dxa"/>
            <w:vAlign w:val="bottom"/>
          </w:tcPr>
          <w:p>
            <w:pPr>
              <w:spacing w:after="0"/>
              <w:rPr>
                <w:sz w:val="15"/>
                <w:szCs w:val="15"/>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65.6</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6"/>
        </w:trPr>
        <w:tc>
          <w:tcPr>
            <w:tcW w:w="20" w:type="dxa"/>
            <w:vAlign w:val="bottom"/>
          </w:tcPr>
          <w:p>
            <w:pPr>
              <w:spacing w:after="0"/>
              <w:rPr>
                <w:sz w:val="15"/>
                <w:szCs w:val="15"/>
                <w:color w:val="auto"/>
              </w:rPr>
            </w:pPr>
          </w:p>
        </w:tc>
        <w:tc>
          <w:tcPr>
            <w:tcW w:w="3840" w:type="dxa"/>
            <w:vAlign w:val="bottom"/>
          </w:tcPr>
          <w:p>
            <w:pPr>
              <w:ind w:left="200"/>
              <w:spacing w:after="0"/>
              <w:rPr>
                <w:sz w:val="20"/>
                <w:szCs w:val="20"/>
                <w:color w:val="auto"/>
              </w:rPr>
            </w:pPr>
            <w:r>
              <w:rPr>
                <w:rFonts w:ascii="Arial" w:cs="Arial" w:eastAsia="Arial" w:hAnsi="Arial"/>
                <w:sz w:val="14"/>
                <w:szCs w:val="14"/>
                <w:color w:val="auto"/>
              </w:rPr>
              <w:t>Year-to-year change (basis points)</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(980)</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390</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(80)</w:t>
            </w:r>
          </w:p>
        </w:tc>
        <w:tc>
          <w:tcPr>
            <w:tcW w:w="16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84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Quarter-to-quarter change (basis points)</w:t>
            </w:r>
          </w:p>
        </w:tc>
        <w:tc>
          <w:tcPr>
            <w:tcW w:w="15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(1,010)</w:t>
            </w:r>
          </w:p>
        </w:tc>
        <w:tc>
          <w:tcPr>
            <w:tcW w:w="2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(50)</w:t>
            </w:r>
          </w:p>
        </w:tc>
        <w:tc>
          <w:tcPr>
            <w:tcW w:w="3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360</w:t>
            </w:r>
          </w:p>
        </w:tc>
        <w:tc>
          <w:tcPr>
            <w:tcW w:w="160" w:type="dxa"/>
            <w:vAlign w:val="bottom"/>
            <w:tcBorders>
              <w:bottom w:val="single" w:sz="8" w:color="auto"/>
            </w:tcBorders>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3840" w:type="dxa"/>
            <w:vAlign w:val="bottom"/>
          </w:tcPr>
          <w:p>
            <w:pPr>
              <w:spacing w:after="0"/>
              <w:rPr>
                <w:sz w:val="20"/>
                <w:szCs w:val="20"/>
                <w:color w:val="auto"/>
              </w:rPr>
            </w:pPr>
            <w:r>
              <w:rPr>
                <w:rFonts w:ascii="Arial" w:cs="Arial" w:eastAsia="Arial" w:hAnsi="Arial"/>
                <w:sz w:val="14"/>
                <w:szCs w:val="14"/>
                <w:color w:val="auto"/>
              </w:rPr>
              <w:t>Operating expenses:</w:t>
            </w:r>
          </w:p>
        </w:tc>
        <w:tc>
          <w:tcPr>
            <w:tcW w:w="1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3840" w:type="dxa"/>
            <w:vAlign w:val="bottom"/>
          </w:tcPr>
          <w:p>
            <w:pPr>
              <w:ind w:left="200"/>
              <w:spacing w:after="0"/>
              <w:rPr>
                <w:sz w:val="20"/>
                <w:szCs w:val="20"/>
                <w:color w:val="auto"/>
              </w:rPr>
            </w:pPr>
            <w:r>
              <w:rPr>
                <w:rFonts w:ascii="Arial" w:cs="Arial" w:eastAsia="Arial" w:hAnsi="Arial"/>
                <w:sz w:val="14"/>
                <w:szCs w:val="14"/>
                <w:color w:val="auto"/>
              </w:rPr>
              <w:t>R&amp;D (1)</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235,232</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183,954</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160,235</w:t>
            </w:r>
          </w:p>
        </w:tc>
        <w:tc>
          <w:tcPr>
            <w:tcW w:w="16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40" w:type="dxa"/>
            <w:vAlign w:val="bottom"/>
          </w:tcPr>
          <w:p>
            <w:pPr>
              <w:ind w:left="200"/>
              <w:spacing w:after="0"/>
              <w:rPr>
                <w:sz w:val="20"/>
                <w:szCs w:val="20"/>
                <w:color w:val="auto"/>
              </w:rPr>
            </w:pPr>
            <w:r>
              <w:rPr>
                <w:rFonts w:ascii="Arial" w:cs="Arial" w:eastAsia="Arial" w:hAnsi="Arial"/>
                <w:sz w:val="14"/>
                <w:szCs w:val="14"/>
                <w:color w:val="auto"/>
              </w:rPr>
              <w:t>Selling, marketing and G&amp;A (1)</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190,686</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130,659</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112,186</w:t>
            </w:r>
          </w:p>
        </w:tc>
        <w:tc>
          <w:tcPr>
            <w:tcW w:w="16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40" w:type="dxa"/>
            <w:vAlign w:val="bottom"/>
          </w:tcPr>
          <w:p>
            <w:pPr>
              <w:ind w:left="200"/>
              <w:spacing w:after="0"/>
              <w:rPr>
                <w:sz w:val="20"/>
                <w:szCs w:val="20"/>
                <w:color w:val="auto"/>
              </w:rPr>
            </w:pPr>
            <w:r>
              <w:rPr>
                <w:rFonts w:ascii="Arial" w:cs="Arial" w:eastAsia="Arial" w:hAnsi="Arial"/>
                <w:sz w:val="14"/>
                <w:szCs w:val="14"/>
                <w:color w:val="auto"/>
              </w:rPr>
              <w:t>Amortization of intangibles</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68,690</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18,160</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17,419</w:t>
            </w:r>
          </w:p>
        </w:tc>
        <w:tc>
          <w:tcPr>
            <w:tcW w:w="16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84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Special charges</w:t>
            </w:r>
          </w:p>
        </w:tc>
        <w:tc>
          <w:tcPr>
            <w:tcW w:w="15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49,463</w:t>
            </w:r>
          </w:p>
        </w:tc>
        <w:tc>
          <w:tcPr>
            <w:tcW w:w="3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13,684</w:t>
            </w:r>
          </w:p>
        </w:tc>
        <w:tc>
          <w:tcPr>
            <w:tcW w:w="160" w:type="dxa"/>
            <w:vAlign w:val="bottom"/>
            <w:tcBorders>
              <w:bottom w:val="single" w:sz="8" w:color="auto"/>
            </w:tcBorders>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3840" w:type="dxa"/>
            <w:vAlign w:val="bottom"/>
          </w:tcPr>
          <w:p>
            <w:pPr>
              <w:spacing w:after="0"/>
              <w:rPr>
                <w:sz w:val="20"/>
                <w:szCs w:val="20"/>
                <w:color w:val="auto"/>
              </w:rPr>
            </w:pPr>
            <w:r>
              <w:rPr>
                <w:rFonts w:ascii="Arial" w:cs="Arial" w:eastAsia="Arial" w:hAnsi="Arial"/>
                <w:sz w:val="14"/>
                <w:szCs w:val="14"/>
                <w:color w:val="auto"/>
              </w:rPr>
              <w:t>Total operating expenses</w:t>
            </w:r>
          </w:p>
        </w:tc>
        <w:tc>
          <w:tcPr>
            <w:tcW w:w="1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494,608</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382,236</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303,524</w:t>
            </w:r>
          </w:p>
        </w:tc>
        <w:tc>
          <w:tcPr>
            <w:tcW w:w="160" w:type="dxa"/>
            <w:vAlign w:val="bottom"/>
          </w:tcPr>
          <w:p>
            <w:pPr>
              <w:spacing w:after="0"/>
              <w:rPr>
                <w:sz w:val="14"/>
                <w:szCs w:val="14"/>
                <w:color w:val="auto"/>
              </w:rPr>
            </w:pPr>
          </w:p>
        </w:tc>
      </w:tr>
      <w:tr>
        <w:trPr>
          <w:trHeight w:val="176"/>
        </w:trPr>
        <w:tc>
          <w:tcPr>
            <w:tcW w:w="3860" w:type="dxa"/>
            <w:vAlign w:val="bottom"/>
            <w:gridSpan w:val="2"/>
          </w:tcPr>
          <w:p>
            <w:pPr>
              <w:spacing w:after="0"/>
              <w:rPr>
                <w:sz w:val="20"/>
                <w:szCs w:val="20"/>
                <w:color w:val="auto"/>
              </w:rPr>
            </w:pPr>
            <w:r>
              <w:rPr>
                <w:rFonts w:ascii="Arial" w:cs="Arial" w:eastAsia="Arial" w:hAnsi="Arial"/>
                <w:sz w:val="14"/>
                <w:szCs w:val="14"/>
                <w:color w:val="auto"/>
              </w:rPr>
              <w:t>Total operating expenses percentage</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43.1</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w w:val="96"/>
              </w:rPr>
              <w:t>%</w:t>
            </w:r>
          </w:p>
        </w:tc>
        <w:tc>
          <w:tcPr>
            <w:tcW w:w="440" w:type="dxa"/>
            <w:vAlign w:val="bottom"/>
          </w:tcPr>
          <w:p>
            <w:pPr>
              <w:spacing w:after="0"/>
              <w:rPr>
                <w:sz w:val="15"/>
                <w:szCs w:val="15"/>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38.8</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w w:val="96"/>
              </w:rPr>
              <w:t>%</w:t>
            </w:r>
          </w:p>
        </w:tc>
        <w:tc>
          <w:tcPr>
            <w:tcW w:w="360" w:type="dxa"/>
            <w:vAlign w:val="bottom"/>
          </w:tcPr>
          <w:p>
            <w:pPr>
              <w:spacing w:after="0"/>
              <w:rPr>
                <w:sz w:val="15"/>
                <w:szCs w:val="15"/>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39.0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6"/>
        </w:trPr>
        <w:tc>
          <w:tcPr>
            <w:tcW w:w="20" w:type="dxa"/>
            <w:vAlign w:val="bottom"/>
          </w:tcPr>
          <w:p>
            <w:pPr>
              <w:spacing w:after="0"/>
              <w:rPr>
                <w:sz w:val="15"/>
                <w:szCs w:val="15"/>
                <w:color w:val="auto"/>
              </w:rPr>
            </w:pPr>
          </w:p>
        </w:tc>
        <w:tc>
          <w:tcPr>
            <w:tcW w:w="3840" w:type="dxa"/>
            <w:vAlign w:val="bottom"/>
          </w:tcPr>
          <w:p>
            <w:pPr>
              <w:ind w:left="200"/>
              <w:spacing w:after="0"/>
              <w:rPr>
                <w:sz w:val="20"/>
                <w:szCs w:val="20"/>
                <w:color w:val="auto"/>
              </w:rPr>
            </w:pPr>
            <w:r>
              <w:rPr>
                <w:rFonts w:ascii="Arial" w:cs="Arial" w:eastAsia="Arial" w:hAnsi="Arial"/>
                <w:sz w:val="14"/>
                <w:szCs w:val="14"/>
                <w:color w:val="auto"/>
              </w:rPr>
              <w:t>Year-to-year change (basis points)</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410</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210</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300</w:t>
            </w:r>
          </w:p>
        </w:tc>
        <w:tc>
          <w:tcPr>
            <w:tcW w:w="16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84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Quarter-to-quarter change (basis points)</w:t>
            </w:r>
          </w:p>
        </w:tc>
        <w:tc>
          <w:tcPr>
            <w:tcW w:w="15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430</w:t>
            </w:r>
          </w:p>
        </w:tc>
        <w:tc>
          <w:tcPr>
            <w:tcW w:w="2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790</w:t>
            </w:r>
          </w:p>
        </w:tc>
        <w:tc>
          <w:tcPr>
            <w:tcW w:w="3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230</w:t>
            </w:r>
          </w:p>
        </w:tc>
        <w:tc>
          <w:tcPr>
            <w:tcW w:w="160" w:type="dxa"/>
            <w:vAlign w:val="bottom"/>
            <w:tcBorders>
              <w:bottom w:val="single" w:sz="8" w:color="auto"/>
            </w:tcBorders>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3840" w:type="dxa"/>
            <w:vAlign w:val="bottom"/>
          </w:tcPr>
          <w:p>
            <w:pPr>
              <w:spacing w:after="0"/>
              <w:rPr>
                <w:sz w:val="20"/>
                <w:szCs w:val="20"/>
                <w:color w:val="auto"/>
              </w:rPr>
            </w:pPr>
            <w:r>
              <w:rPr>
                <w:rFonts w:ascii="Arial" w:cs="Arial" w:eastAsia="Arial" w:hAnsi="Arial"/>
                <w:sz w:val="14"/>
                <w:szCs w:val="14"/>
                <w:color w:val="auto"/>
              </w:rPr>
              <w:t>Operating income</w:t>
            </w:r>
          </w:p>
        </w:tc>
        <w:tc>
          <w:tcPr>
            <w:tcW w:w="1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145,835</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266,268</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207,379</w:t>
            </w:r>
          </w:p>
        </w:tc>
        <w:tc>
          <w:tcPr>
            <w:tcW w:w="160" w:type="dxa"/>
            <w:vAlign w:val="bottom"/>
          </w:tcPr>
          <w:p>
            <w:pPr>
              <w:spacing w:after="0"/>
              <w:rPr>
                <w:sz w:val="14"/>
                <w:szCs w:val="14"/>
                <w:color w:val="auto"/>
              </w:rPr>
            </w:pPr>
          </w:p>
        </w:tc>
      </w:tr>
      <w:tr>
        <w:trPr>
          <w:trHeight w:val="176"/>
        </w:trPr>
        <w:tc>
          <w:tcPr>
            <w:tcW w:w="3860" w:type="dxa"/>
            <w:vAlign w:val="bottom"/>
            <w:gridSpan w:val="2"/>
          </w:tcPr>
          <w:p>
            <w:pPr>
              <w:spacing w:after="0"/>
              <w:rPr>
                <w:sz w:val="20"/>
                <w:szCs w:val="20"/>
                <w:color w:val="auto"/>
              </w:rPr>
            </w:pPr>
            <w:r>
              <w:rPr>
                <w:rFonts w:ascii="Arial" w:cs="Arial" w:eastAsia="Arial" w:hAnsi="Arial"/>
                <w:sz w:val="14"/>
                <w:szCs w:val="14"/>
                <w:color w:val="auto"/>
              </w:rPr>
              <w:t>Operating income percentage</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12.7</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w w:val="96"/>
              </w:rPr>
              <w:t>%</w:t>
            </w:r>
          </w:p>
        </w:tc>
        <w:tc>
          <w:tcPr>
            <w:tcW w:w="440" w:type="dxa"/>
            <w:vAlign w:val="bottom"/>
          </w:tcPr>
          <w:p>
            <w:pPr>
              <w:spacing w:after="0"/>
              <w:rPr>
                <w:sz w:val="15"/>
                <w:szCs w:val="15"/>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27.0</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w w:val="96"/>
              </w:rPr>
              <w:t>%</w:t>
            </w:r>
          </w:p>
        </w:tc>
        <w:tc>
          <w:tcPr>
            <w:tcW w:w="360" w:type="dxa"/>
            <w:vAlign w:val="bottom"/>
          </w:tcPr>
          <w:p>
            <w:pPr>
              <w:spacing w:after="0"/>
              <w:rPr>
                <w:sz w:val="15"/>
                <w:szCs w:val="15"/>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26.6</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6"/>
        </w:trPr>
        <w:tc>
          <w:tcPr>
            <w:tcW w:w="20" w:type="dxa"/>
            <w:vAlign w:val="bottom"/>
          </w:tcPr>
          <w:p>
            <w:pPr>
              <w:spacing w:after="0"/>
              <w:rPr>
                <w:sz w:val="15"/>
                <w:szCs w:val="15"/>
                <w:color w:val="auto"/>
              </w:rPr>
            </w:pPr>
          </w:p>
        </w:tc>
        <w:tc>
          <w:tcPr>
            <w:tcW w:w="3840" w:type="dxa"/>
            <w:vAlign w:val="bottom"/>
          </w:tcPr>
          <w:p>
            <w:pPr>
              <w:ind w:left="200"/>
              <w:spacing w:after="0"/>
              <w:rPr>
                <w:sz w:val="20"/>
                <w:szCs w:val="20"/>
                <w:color w:val="auto"/>
              </w:rPr>
            </w:pPr>
            <w:r>
              <w:rPr>
                <w:rFonts w:ascii="Arial" w:cs="Arial" w:eastAsia="Arial" w:hAnsi="Arial"/>
                <w:sz w:val="14"/>
                <w:szCs w:val="14"/>
                <w:color w:val="auto"/>
              </w:rPr>
              <w:t>Year-to-year change (basis points)</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(1,390)</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170</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(370)</w:t>
            </w:r>
          </w:p>
        </w:tc>
        <w:tc>
          <w:tcPr>
            <w:tcW w:w="16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84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Quarter-to-quarter change (basis points)</w:t>
            </w:r>
          </w:p>
        </w:tc>
        <w:tc>
          <w:tcPr>
            <w:tcW w:w="15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(1,430)</w:t>
            </w:r>
          </w:p>
        </w:tc>
        <w:tc>
          <w:tcPr>
            <w:tcW w:w="2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(860)</w:t>
            </w:r>
          </w:p>
        </w:tc>
        <w:tc>
          <w:tcPr>
            <w:tcW w:w="3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130</w:t>
            </w:r>
          </w:p>
        </w:tc>
        <w:tc>
          <w:tcPr>
            <w:tcW w:w="160" w:type="dxa"/>
            <w:vAlign w:val="bottom"/>
            <w:tcBorders>
              <w:bottom w:val="single" w:sz="8" w:color="auto"/>
            </w:tcBorders>
          </w:tcPr>
          <w:p>
            <w:pPr>
              <w:spacing w:after="0"/>
              <w:rPr>
                <w:sz w:val="15"/>
                <w:szCs w:val="15"/>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Other expense</w:t>
            </w:r>
          </w:p>
        </w:tc>
        <w:tc>
          <w:tcPr>
            <w:tcW w:w="15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59,121</w:t>
            </w: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32,959</w:t>
            </w:r>
          </w:p>
        </w:tc>
        <w:tc>
          <w:tcPr>
            <w:tcW w:w="3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12,469</w:t>
            </w:r>
          </w:p>
        </w:tc>
        <w:tc>
          <w:tcPr>
            <w:tcW w:w="160" w:type="dxa"/>
            <w:vAlign w:val="bottom"/>
            <w:tcBorders>
              <w:bottom w:val="single" w:sz="8" w:color="auto"/>
            </w:tcBorders>
          </w:tcPr>
          <w:p>
            <w:pPr>
              <w:spacing w:after="0"/>
              <w:rPr>
                <w:sz w:val="14"/>
                <w:szCs w:val="14"/>
                <w:color w:val="auto"/>
              </w:rPr>
            </w:pPr>
          </w:p>
        </w:tc>
      </w:tr>
      <w:tr>
        <w:trPr>
          <w:trHeight w:val="164"/>
        </w:trPr>
        <w:tc>
          <w:tcPr>
            <w:tcW w:w="3860" w:type="dxa"/>
            <w:vAlign w:val="bottom"/>
            <w:gridSpan w:val="2"/>
          </w:tcPr>
          <w:p>
            <w:pPr>
              <w:spacing w:after="0"/>
              <w:rPr>
                <w:sz w:val="20"/>
                <w:szCs w:val="20"/>
                <w:color w:val="auto"/>
              </w:rPr>
            </w:pPr>
            <w:r>
              <w:rPr>
                <w:rFonts w:ascii="Arial" w:cs="Arial" w:eastAsia="Arial" w:hAnsi="Arial"/>
                <w:sz w:val="14"/>
                <w:szCs w:val="14"/>
                <w:color w:val="auto"/>
              </w:rPr>
              <w:t>Income before income tax</w:t>
            </w:r>
          </w:p>
        </w:tc>
        <w:tc>
          <w:tcPr>
            <w:tcW w:w="1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86,714</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233,309</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194,910</w:t>
            </w:r>
          </w:p>
        </w:tc>
        <w:tc>
          <w:tcPr>
            <w:tcW w:w="160" w:type="dxa"/>
            <w:vAlign w:val="bottom"/>
          </w:tcPr>
          <w:p>
            <w:pPr>
              <w:spacing w:after="0"/>
              <w:rPr>
                <w:sz w:val="14"/>
                <w:szCs w:val="14"/>
                <w:color w:val="auto"/>
              </w:rPr>
            </w:pPr>
          </w:p>
        </w:tc>
      </w:tr>
      <w:tr>
        <w:trPr>
          <w:trHeight w:val="176"/>
        </w:trPr>
        <w:tc>
          <w:tcPr>
            <w:tcW w:w="3860" w:type="dxa"/>
            <w:vAlign w:val="bottom"/>
            <w:gridSpan w:val="2"/>
          </w:tcPr>
          <w:p>
            <w:pPr>
              <w:spacing w:after="0"/>
              <w:rPr>
                <w:sz w:val="20"/>
                <w:szCs w:val="20"/>
                <w:color w:val="auto"/>
              </w:rPr>
            </w:pPr>
            <w:r>
              <w:rPr>
                <w:rFonts w:ascii="Arial" w:cs="Arial" w:eastAsia="Arial" w:hAnsi="Arial"/>
                <w:sz w:val="14"/>
                <w:szCs w:val="14"/>
                <w:color w:val="auto"/>
              </w:rPr>
              <w:t>(Benefit) provision for income taxes</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(6,850)</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16,180</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24,337</w:t>
            </w:r>
          </w:p>
        </w:tc>
        <w:tc>
          <w:tcPr>
            <w:tcW w:w="160" w:type="dxa"/>
            <w:vAlign w:val="bottom"/>
          </w:tcPr>
          <w:p>
            <w:pPr>
              <w:spacing w:after="0"/>
              <w:rPr>
                <w:sz w:val="15"/>
                <w:szCs w:val="15"/>
                <w:color w:val="auto"/>
              </w:rPr>
            </w:pPr>
          </w:p>
        </w:tc>
      </w:tr>
      <w:tr>
        <w:trPr>
          <w:trHeight w:val="181"/>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Tax rate percentage</w:t>
            </w:r>
          </w:p>
        </w:tc>
        <w:tc>
          <w:tcPr>
            <w:tcW w:w="15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2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6.9</w:t>
            </w: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96"/>
              </w:rPr>
              <w:t>%</w:t>
            </w: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69"/>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Net income</w:t>
            </w:r>
          </w:p>
        </w:tc>
        <w:tc>
          <w:tcPr>
            <w:tcW w:w="326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93,564</w:t>
            </w: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217,129</w:t>
            </w:r>
          </w:p>
        </w:tc>
        <w:tc>
          <w:tcPr>
            <w:tcW w:w="3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170,573</w:t>
            </w:r>
          </w:p>
        </w:tc>
        <w:tc>
          <w:tcPr>
            <w:tcW w:w="160" w:type="dxa"/>
            <w:vAlign w:val="bottom"/>
            <w:tcBorders>
              <w:bottom w:val="single" w:sz="8" w:color="auto"/>
            </w:tcBorders>
          </w:tcPr>
          <w:p>
            <w:pPr>
              <w:spacing w:after="0"/>
              <w:rPr>
                <w:sz w:val="14"/>
                <w:szCs w:val="14"/>
                <w:color w:val="auto"/>
              </w:rPr>
            </w:pPr>
          </w:p>
        </w:tc>
      </w:tr>
      <w:tr>
        <w:trPr>
          <w:trHeight w:val="339"/>
        </w:trPr>
        <w:tc>
          <w:tcPr>
            <w:tcW w:w="3860" w:type="dxa"/>
            <w:vAlign w:val="bottom"/>
            <w:gridSpan w:val="2"/>
          </w:tcPr>
          <w:p>
            <w:pPr>
              <w:spacing w:after="0"/>
              <w:rPr>
                <w:sz w:val="20"/>
                <w:szCs w:val="20"/>
                <w:color w:val="auto"/>
              </w:rPr>
            </w:pPr>
            <w:r>
              <w:rPr>
                <w:rFonts w:ascii="Arial" w:cs="Arial" w:eastAsia="Arial" w:hAnsi="Arial"/>
                <w:sz w:val="14"/>
                <w:szCs w:val="14"/>
                <w:color w:val="auto"/>
              </w:rPr>
              <w:t>Shares used for EPS - basic</w:t>
            </w:r>
          </w:p>
        </w:tc>
        <w:tc>
          <w:tcPr>
            <w:tcW w:w="1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341,316</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308,786</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308,790</w:t>
            </w:r>
          </w:p>
        </w:tc>
        <w:tc>
          <w:tcPr>
            <w:tcW w:w="160" w:type="dxa"/>
            <w:vAlign w:val="bottom"/>
          </w:tcPr>
          <w:p>
            <w:pPr>
              <w:spacing w:after="0"/>
              <w:rPr>
                <w:sz w:val="24"/>
                <w:szCs w:val="24"/>
                <w:color w:val="auto"/>
              </w:rPr>
            </w:pPr>
          </w:p>
        </w:tc>
      </w:tr>
      <w:tr>
        <w:trPr>
          <w:trHeight w:val="182"/>
        </w:trPr>
        <w:tc>
          <w:tcPr>
            <w:tcW w:w="3860" w:type="dxa"/>
            <w:vAlign w:val="bottom"/>
            <w:gridSpan w:val="2"/>
          </w:tcPr>
          <w:p>
            <w:pPr>
              <w:spacing w:after="0"/>
              <w:rPr>
                <w:sz w:val="20"/>
                <w:szCs w:val="20"/>
                <w:color w:val="auto"/>
              </w:rPr>
            </w:pPr>
            <w:r>
              <w:rPr>
                <w:rFonts w:ascii="Arial" w:cs="Arial" w:eastAsia="Arial" w:hAnsi="Arial"/>
                <w:sz w:val="14"/>
                <w:szCs w:val="14"/>
                <w:color w:val="auto"/>
              </w:rPr>
              <w:t>Shares used for EPS - diluted</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345,654</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313,076</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312,250</w:t>
            </w:r>
          </w:p>
        </w:tc>
        <w:tc>
          <w:tcPr>
            <w:tcW w:w="160" w:type="dxa"/>
            <w:vAlign w:val="bottom"/>
          </w:tcPr>
          <w:p>
            <w:pPr>
              <w:spacing w:after="0"/>
              <w:rPr>
                <w:sz w:val="15"/>
                <w:szCs w:val="15"/>
                <w:color w:val="auto"/>
              </w:rPr>
            </w:pPr>
          </w:p>
        </w:tc>
      </w:tr>
      <w:tr>
        <w:trPr>
          <w:trHeight w:val="344"/>
        </w:trPr>
        <w:tc>
          <w:tcPr>
            <w:tcW w:w="3860" w:type="dxa"/>
            <w:vAlign w:val="bottom"/>
            <w:gridSpan w:val="2"/>
          </w:tcPr>
          <w:p>
            <w:pPr>
              <w:spacing w:after="0"/>
              <w:rPr>
                <w:sz w:val="20"/>
                <w:szCs w:val="20"/>
                <w:color w:val="auto"/>
              </w:rPr>
            </w:pPr>
            <w:r>
              <w:rPr>
                <w:rFonts w:ascii="Arial" w:cs="Arial" w:eastAsia="Arial" w:hAnsi="Arial"/>
                <w:sz w:val="14"/>
                <w:szCs w:val="14"/>
                <w:color w:val="auto"/>
              </w:rPr>
              <w:t>Earnings per share - basic</w:t>
            </w:r>
          </w:p>
        </w:tc>
        <w:tc>
          <w:tcPr>
            <w:tcW w:w="3260" w:type="dxa"/>
            <w:vAlign w:val="bottom"/>
            <w:gridSpan w:val="4"/>
          </w:tcPr>
          <w:p>
            <w:pPr>
              <w:jc w:val="right"/>
              <w:ind w:right="34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0.27</w:t>
            </w:r>
          </w:p>
        </w:tc>
        <w:tc>
          <w:tcPr>
            <w:tcW w:w="240" w:type="dxa"/>
            <w:vAlign w:val="bottom"/>
          </w:tcPr>
          <w:p>
            <w:pPr>
              <w:spacing w:after="0"/>
              <w:rPr>
                <w:sz w:val="24"/>
                <w:szCs w:val="24"/>
                <w:color w:val="auto"/>
              </w:rPr>
            </w:pP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0.70</w:t>
            </w:r>
          </w:p>
        </w:tc>
        <w:tc>
          <w:tcPr>
            <w:tcW w:w="300" w:type="dxa"/>
            <w:vAlign w:val="bottom"/>
          </w:tcPr>
          <w:p>
            <w:pPr>
              <w:spacing w:after="0"/>
              <w:rPr>
                <w:sz w:val="24"/>
                <w:szCs w:val="24"/>
                <w:color w:val="auto"/>
              </w:rPr>
            </w:pP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0.55</w:t>
            </w:r>
          </w:p>
        </w:tc>
        <w:tc>
          <w:tcPr>
            <w:tcW w:w="160" w:type="dxa"/>
            <w:vAlign w:val="bottom"/>
          </w:tcPr>
          <w:p>
            <w:pPr>
              <w:spacing w:after="0"/>
              <w:rPr>
                <w:sz w:val="24"/>
                <w:szCs w:val="24"/>
                <w:color w:val="auto"/>
              </w:rPr>
            </w:pPr>
          </w:p>
        </w:tc>
      </w:tr>
      <w:tr>
        <w:trPr>
          <w:trHeight w:val="182"/>
        </w:trPr>
        <w:tc>
          <w:tcPr>
            <w:tcW w:w="3860" w:type="dxa"/>
            <w:vAlign w:val="bottom"/>
            <w:gridSpan w:val="2"/>
          </w:tcPr>
          <w:p>
            <w:pPr>
              <w:spacing w:after="0"/>
              <w:rPr>
                <w:sz w:val="20"/>
                <w:szCs w:val="20"/>
                <w:color w:val="auto"/>
              </w:rPr>
            </w:pPr>
            <w:r>
              <w:rPr>
                <w:rFonts w:ascii="Arial" w:cs="Arial" w:eastAsia="Arial" w:hAnsi="Arial"/>
                <w:sz w:val="14"/>
                <w:szCs w:val="14"/>
                <w:color w:val="auto"/>
              </w:rPr>
              <w:t>Earnings per share - diluted</w:t>
            </w:r>
          </w:p>
        </w:tc>
        <w:tc>
          <w:tcPr>
            <w:tcW w:w="3260" w:type="dxa"/>
            <w:vAlign w:val="bottom"/>
            <w:gridSpan w:val="4"/>
          </w:tcPr>
          <w:p>
            <w:pPr>
              <w:jc w:val="right"/>
              <w:ind w:right="34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0.27</w:t>
            </w:r>
          </w:p>
        </w:tc>
        <w:tc>
          <w:tcPr>
            <w:tcW w:w="240" w:type="dxa"/>
            <w:vAlign w:val="bottom"/>
          </w:tcPr>
          <w:p>
            <w:pPr>
              <w:spacing w:after="0"/>
              <w:rPr>
                <w:sz w:val="15"/>
                <w:szCs w:val="15"/>
                <w:color w:val="auto"/>
              </w:rPr>
            </w:pP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0.69</w:t>
            </w:r>
          </w:p>
        </w:tc>
        <w:tc>
          <w:tcPr>
            <w:tcW w:w="300" w:type="dxa"/>
            <w:vAlign w:val="bottom"/>
          </w:tcPr>
          <w:p>
            <w:pPr>
              <w:spacing w:after="0"/>
              <w:rPr>
                <w:sz w:val="15"/>
                <w:szCs w:val="15"/>
                <w:color w:val="auto"/>
              </w:rPr>
            </w:pP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0.55</w:t>
            </w:r>
          </w:p>
        </w:tc>
        <w:tc>
          <w:tcPr>
            <w:tcW w:w="160" w:type="dxa"/>
            <w:vAlign w:val="bottom"/>
          </w:tcPr>
          <w:p>
            <w:pPr>
              <w:spacing w:after="0"/>
              <w:rPr>
                <w:sz w:val="15"/>
                <w:szCs w:val="15"/>
                <w:color w:val="auto"/>
              </w:rPr>
            </w:pPr>
          </w:p>
        </w:tc>
      </w:tr>
      <w:tr>
        <w:trPr>
          <w:trHeight w:val="350"/>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Dividends paid per share</w:t>
            </w:r>
          </w:p>
        </w:tc>
        <w:tc>
          <w:tcPr>
            <w:tcW w:w="326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0.45</w:t>
            </w: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0.42</w:t>
            </w:r>
          </w:p>
        </w:tc>
        <w:tc>
          <w:tcPr>
            <w:tcW w:w="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0.42</w:t>
            </w:r>
          </w:p>
        </w:tc>
        <w:tc>
          <w:tcPr>
            <w:tcW w:w="160" w:type="dxa"/>
            <w:vAlign w:val="bottom"/>
            <w:tcBorders>
              <w:bottom w:val="single" w:sz="8" w:color="auto"/>
            </w:tcBorders>
          </w:tcPr>
          <w:p>
            <w:pPr>
              <w:spacing w:after="0"/>
              <w:rPr>
                <w:sz w:val="24"/>
                <w:szCs w:val="24"/>
                <w:color w:val="auto"/>
              </w:rPr>
            </w:pPr>
          </w:p>
        </w:tc>
      </w:tr>
      <w:tr>
        <w:trPr>
          <w:trHeight w:val="339"/>
        </w:trPr>
        <w:tc>
          <w:tcPr>
            <w:tcW w:w="3860" w:type="dxa"/>
            <w:vAlign w:val="bottom"/>
            <w:gridSpan w:val="2"/>
          </w:tcPr>
          <w:p>
            <w:pPr>
              <w:spacing w:after="0"/>
              <w:rPr>
                <w:sz w:val="20"/>
                <w:szCs w:val="20"/>
                <w:color w:val="auto"/>
              </w:rPr>
            </w:pPr>
            <w:r>
              <w:rPr>
                <w:rFonts w:ascii="Arial" w:cs="Arial" w:eastAsia="Arial" w:hAnsi="Arial"/>
                <w:sz w:val="14"/>
                <w:szCs w:val="14"/>
                <w:color w:val="auto"/>
              </w:rPr>
              <w:t>(1) Includes stock-based compensation expense as follows:</w:t>
            </w:r>
          </w:p>
        </w:tc>
        <w:tc>
          <w:tcPr>
            <w:tcW w:w="1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3840" w:type="dxa"/>
            <w:vAlign w:val="bottom"/>
          </w:tcPr>
          <w:p>
            <w:pPr>
              <w:ind w:left="460"/>
              <w:spacing w:after="0"/>
              <w:rPr>
                <w:sz w:val="20"/>
                <w:szCs w:val="20"/>
                <w:color w:val="auto"/>
              </w:rPr>
            </w:pPr>
            <w:r>
              <w:rPr>
                <w:rFonts w:ascii="Arial" w:cs="Arial" w:eastAsia="Arial" w:hAnsi="Arial"/>
                <w:sz w:val="14"/>
                <w:szCs w:val="14"/>
                <w:color w:val="auto"/>
              </w:rPr>
              <w:t>Cost of sales</w:t>
            </w:r>
          </w:p>
        </w:tc>
        <w:tc>
          <w:tcPr>
            <w:tcW w:w="3260" w:type="dxa"/>
            <w:vAlign w:val="bottom"/>
            <w:gridSpan w:val="4"/>
          </w:tcPr>
          <w:p>
            <w:pPr>
              <w:jc w:val="right"/>
              <w:ind w:right="34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2,566</w:t>
            </w:r>
          </w:p>
        </w:tc>
        <w:tc>
          <w:tcPr>
            <w:tcW w:w="240" w:type="dxa"/>
            <w:vAlign w:val="bottom"/>
          </w:tcPr>
          <w:p>
            <w:pPr>
              <w:spacing w:after="0"/>
              <w:rPr>
                <w:sz w:val="15"/>
                <w:szCs w:val="15"/>
                <w:color w:val="auto"/>
              </w:rPr>
            </w:pP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1,944</w:t>
            </w:r>
          </w:p>
        </w:tc>
        <w:tc>
          <w:tcPr>
            <w:tcW w:w="300" w:type="dxa"/>
            <w:vAlign w:val="bottom"/>
          </w:tcPr>
          <w:p>
            <w:pPr>
              <w:spacing w:after="0"/>
              <w:rPr>
                <w:sz w:val="15"/>
                <w:szCs w:val="15"/>
                <w:color w:val="auto"/>
              </w:rPr>
            </w:pP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1,986</w:t>
            </w:r>
          </w:p>
        </w:tc>
        <w:tc>
          <w:tcPr>
            <w:tcW w:w="16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40" w:type="dxa"/>
            <w:vAlign w:val="bottom"/>
          </w:tcPr>
          <w:p>
            <w:pPr>
              <w:ind w:left="460"/>
              <w:spacing w:after="0"/>
              <w:rPr>
                <w:sz w:val="20"/>
                <w:szCs w:val="20"/>
                <w:color w:val="auto"/>
              </w:rPr>
            </w:pPr>
            <w:r>
              <w:rPr>
                <w:rFonts w:ascii="Arial" w:cs="Arial" w:eastAsia="Arial" w:hAnsi="Arial"/>
                <w:sz w:val="14"/>
                <w:szCs w:val="14"/>
                <w:color w:val="auto"/>
              </w:rPr>
              <w:t>R&amp;D</w:t>
            </w:r>
          </w:p>
        </w:tc>
        <w:tc>
          <w:tcPr>
            <w:tcW w:w="3260" w:type="dxa"/>
            <w:vAlign w:val="bottom"/>
            <w:gridSpan w:val="4"/>
          </w:tcPr>
          <w:p>
            <w:pPr>
              <w:jc w:val="right"/>
              <w:ind w:right="34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11,910</w:t>
            </w:r>
          </w:p>
        </w:tc>
        <w:tc>
          <w:tcPr>
            <w:tcW w:w="240" w:type="dxa"/>
            <w:vAlign w:val="bottom"/>
          </w:tcPr>
          <w:p>
            <w:pPr>
              <w:spacing w:after="0"/>
              <w:rPr>
                <w:sz w:val="15"/>
                <w:szCs w:val="15"/>
                <w:color w:val="auto"/>
              </w:rPr>
            </w:pP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7,021</w:t>
            </w:r>
          </w:p>
        </w:tc>
        <w:tc>
          <w:tcPr>
            <w:tcW w:w="300" w:type="dxa"/>
            <w:vAlign w:val="bottom"/>
          </w:tcPr>
          <w:p>
            <w:pPr>
              <w:spacing w:after="0"/>
              <w:rPr>
                <w:sz w:val="15"/>
                <w:szCs w:val="15"/>
                <w:color w:val="auto"/>
              </w:rPr>
            </w:pP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6,646</w:t>
            </w:r>
          </w:p>
        </w:tc>
        <w:tc>
          <w:tcPr>
            <w:tcW w:w="16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3840" w:type="dxa"/>
            <w:vAlign w:val="bottom"/>
          </w:tcPr>
          <w:p>
            <w:pPr>
              <w:ind w:left="460"/>
              <w:spacing w:after="0"/>
              <w:rPr>
                <w:sz w:val="20"/>
                <w:szCs w:val="20"/>
                <w:color w:val="auto"/>
              </w:rPr>
            </w:pPr>
            <w:r>
              <w:rPr>
                <w:rFonts w:ascii="Arial" w:cs="Arial" w:eastAsia="Arial" w:hAnsi="Arial"/>
                <w:sz w:val="14"/>
                <w:szCs w:val="14"/>
                <w:color w:val="auto"/>
              </w:rPr>
              <w:t>Selling, marketing and G&amp;A</w:t>
            </w:r>
          </w:p>
        </w:tc>
        <w:tc>
          <w:tcPr>
            <w:tcW w:w="3260" w:type="dxa"/>
            <w:vAlign w:val="bottom"/>
            <w:gridSpan w:val="4"/>
          </w:tcPr>
          <w:p>
            <w:pPr>
              <w:jc w:val="right"/>
              <w:ind w:right="34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8,010</w:t>
            </w:r>
          </w:p>
        </w:tc>
        <w:tc>
          <w:tcPr>
            <w:tcW w:w="240" w:type="dxa"/>
            <w:vAlign w:val="bottom"/>
          </w:tcPr>
          <w:p>
            <w:pPr>
              <w:spacing w:after="0"/>
              <w:rPr>
                <w:sz w:val="15"/>
                <w:szCs w:val="15"/>
                <w:color w:val="auto"/>
              </w:rPr>
            </w:pP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7,564</w:t>
            </w:r>
          </w:p>
        </w:tc>
        <w:tc>
          <w:tcPr>
            <w:tcW w:w="300" w:type="dxa"/>
            <w:vAlign w:val="bottom"/>
          </w:tcPr>
          <w:p>
            <w:pPr>
              <w:spacing w:after="0"/>
              <w:rPr>
                <w:sz w:val="15"/>
                <w:szCs w:val="15"/>
                <w:color w:val="auto"/>
              </w:rPr>
            </w:pP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7,327</w:t>
            </w:r>
          </w:p>
        </w:tc>
        <w:tc>
          <w:tcPr>
            <w:tcW w:w="160" w:type="dxa"/>
            <w:vAlign w:val="bottom"/>
          </w:tcPr>
          <w:p>
            <w:pPr>
              <w:spacing w:after="0"/>
              <w:rPr>
                <w:sz w:val="15"/>
                <w:szCs w:val="15"/>
                <w:color w:val="auto"/>
              </w:rPr>
            </w:pPr>
          </w:p>
        </w:tc>
      </w:tr>
      <w:tr>
        <w:trPr>
          <w:trHeight w:val="134"/>
        </w:trPr>
        <w:tc>
          <w:tcPr>
            <w:tcW w:w="20" w:type="dxa"/>
            <w:vAlign w:val="bottom"/>
          </w:tcPr>
          <w:p>
            <w:pPr>
              <w:spacing w:after="0"/>
              <w:rPr>
                <w:sz w:val="11"/>
                <w:szCs w:val="11"/>
                <w:color w:val="auto"/>
              </w:rPr>
            </w:pPr>
          </w:p>
        </w:tc>
        <w:tc>
          <w:tcPr>
            <w:tcW w:w="3840" w:type="dxa"/>
            <w:vAlign w:val="bottom"/>
            <w:tcBorders>
              <w:bottom w:val="single" w:sz="8" w:color="9A9A9A"/>
            </w:tcBorders>
          </w:tcPr>
          <w:p>
            <w:pPr>
              <w:spacing w:after="0"/>
              <w:rPr>
                <w:sz w:val="11"/>
                <w:szCs w:val="11"/>
                <w:color w:val="auto"/>
              </w:rPr>
            </w:pPr>
          </w:p>
        </w:tc>
        <w:tc>
          <w:tcPr>
            <w:tcW w:w="150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92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92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r>
      <w:tr>
        <w:trPr>
          <w:trHeight w:val="21"/>
        </w:trPr>
        <w:tc>
          <w:tcPr>
            <w:tcW w:w="20" w:type="dxa"/>
            <w:vAlign w:val="bottom"/>
          </w:tcPr>
          <w:p>
            <w:pPr>
              <w:spacing w:after="0" w:line="20" w:lineRule="exact"/>
              <w:rPr>
                <w:sz w:val="1"/>
                <w:szCs w:val="1"/>
                <w:color w:val="auto"/>
              </w:rPr>
            </w:pPr>
          </w:p>
        </w:tc>
        <w:tc>
          <w:tcPr>
            <w:tcW w:w="3840" w:type="dxa"/>
            <w:vAlign w:val="bottom"/>
            <w:tcBorders>
              <w:bottom w:val="single" w:sz="8" w:color="EEEEEE"/>
            </w:tcBorders>
          </w:tcPr>
          <w:p>
            <w:pPr>
              <w:spacing w:after="0" w:line="20" w:lineRule="exact"/>
              <w:rPr>
                <w:sz w:val="1"/>
                <w:szCs w:val="1"/>
                <w:color w:val="auto"/>
              </w:rPr>
            </w:pPr>
          </w:p>
        </w:tc>
        <w:tc>
          <w:tcPr>
            <w:tcW w:w="150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44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Analog Devices, Second Quarter, Fiscal 2017</w:t>
            </w:r>
          </w:p>
        </w:tc>
        <w:tc>
          <w:tcPr>
            <w:tcW w:w="5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23"/>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Schedule B</w:t>
            </w:r>
          </w:p>
        </w:tc>
        <w:tc>
          <w:tcPr>
            <w:tcW w:w="1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44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Selected Balance Sheet Information (Unaudited)</w:t>
            </w:r>
          </w:p>
        </w:tc>
        <w:tc>
          <w:tcPr>
            <w:tcW w:w="5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3000" w:type="dxa"/>
            <w:vAlign w:val="bottom"/>
            <w:gridSpan w:val="3"/>
          </w:tcPr>
          <w:p>
            <w:pPr>
              <w:jc w:val="center"/>
              <w:ind w:left="1268"/>
              <w:spacing w:after="0"/>
              <w:rPr>
                <w:sz w:val="20"/>
                <w:szCs w:val="20"/>
                <w:color w:val="auto"/>
              </w:rPr>
            </w:pPr>
            <w:r>
              <w:rPr>
                <w:rFonts w:ascii="Arial" w:cs="Arial" w:eastAsia="Arial" w:hAnsi="Arial"/>
                <w:sz w:val="14"/>
                <w:szCs w:val="14"/>
                <w:b w:val="1"/>
                <w:bCs w:val="1"/>
                <w:color w:val="auto"/>
                <w:w w:val="93"/>
              </w:rPr>
              <w:t>(In thousands)</w:t>
            </w:r>
          </w:p>
        </w:tc>
        <w:tc>
          <w:tcPr>
            <w:tcW w:w="1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0"/>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tcPr>
          <w:p>
            <w:pPr>
              <w:jc w:val="center"/>
              <w:ind w:right="408"/>
              <w:spacing w:after="0"/>
              <w:rPr>
                <w:sz w:val="20"/>
                <w:szCs w:val="20"/>
                <w:color w:val="auto"/>
              </w:rPr>
            </w:pPr>
            <w:r>
              <w:rPr>
                <w:rFonts w:ascii="Arial" w:cs="Arial" w:eastAsia="Arial" w:hAnsi="Arial"/>
                <w:sz w:val="14"/>
                <w:szCs w:val="14"/>
                <w:b w:val="1"/>
                <w:bCs w:val="1"/>
                <w:color w:val="auto"/>
                <w:w w:val="94"/>
              </w:rPr>
              <w:t>2Q 17</w:t>
            </w:r>
          </w:p>
        </w:tc>
        <w:tc>
          <w:tcPr>
            <w:tcW w:w="520" w:type="dxa"/>
            <w:vAlign w:val="bottom"/>
          </w:tcPr>
          <w:p>
            <w:pPr>
              <w:spacing w:after="0"/>
              <w:rPr>
                <w:sz w:val="24"/>
                <w:szCs w:val="24"/>
                <w:color w:val="auto"/>
              </w:rPr>
            </w:pPr>
          </w:p>
        </w:tc>
        <w:tc>
          <w:tcPr>
            <w:tcW w:w="1400" w:type="dxa"/>
            <w:vAlign w:val="bottom"/>
          </w:tcPr>
          <w:p>
            <w:pPr>
              <w:jc w:val="center"/>
              <w:ind w:right="408"/>
              <w:spacing w:after="0"/>
              <w:rPr>
                <w:sz w:val="20"/>
                <w:szCs w:val="20"/>
                <w:color w:val="auto"/>
              </w:rPr>
            </w:pPr>
            <w:r>
              <w:rPr>
                <w:rFonts w:ascii="Arial" w:cs="Arial" w:eastAsia="Arial" w:hAnsi="Arial"/>
                <w:sz w:val="14"/>
                <w:szCs w:val="14"/>
                <w:b w:val="1"/>
                <w:bCs w:val="1"/>
                <w:color w:val="auto"/>
                <w:w w:val="94"/>
              </w:rPr>
              <w:t>1Q 17</w:t>
            </w:r>
          </w:p>
        </w:tc>
        <w:tc>
          <w:tcPr>
            <w:tcW w:w="440" w:type="dxa"/>
            <w:vAlign w:val="bottom"/>
          </w:tcPr>
          <w:p>
            <w:pPr>
              <w:spacing w:after="0"/>
              <w:rPr>
                <w:sz w:val="24"/>
                <w:szCs w:val="2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2Q 16</w:t>
            </w: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tcPr>
          <w:p>
            <w:pPr>
              <w:jc w:val="right"/>
              <w:ind w:right="588"/>
              <w:spacing w:after="0" w:line="149" w:lineRule="exact"/>
              <w:rPr>
                <w:sz w:val="20"/>
                <w:szCs w:val="20"/>
                <w:color w:val="auto"/>
              </w:rPr>
            </w:pPr>
            <w:r>
              <w:rPr>
                <w:rFonts w:ascii="Arial" w:cs="Arial" w:eastAsia="Arial" w:hAnsi="Arial"/>
                <w:sz w:val="14"/>
                <w:szCs w:val="14"/>
                <w:b w:val="1"/>
                <w:bCs w:val="1"/>
                <w:color w:val="auto"/>
              </w:rPr>
              <w:t>April 29,</w:t>
            </w:r>
          </w:p>
        </w:tc>
        <w:tc>
          <w:tcPr>
            <w:tcW w:w="520" w:type="dxa"/>
            <w:vAlign w:val="bottom"/>
          </w:tcPr>
          <w:p>
            <w:pPr>
              <w:spacing w:after="0"/>
              <w:rPr>
                <w:sz w:val="12"/>
                <w:szCs w:val="12"/>
                <w:color w:val="auto"/>
              </w:rPr>
            </w:pPr>
          </w:p>
        </w:tc>
        <w:tc>
          <w:tcPr>
            <w:tcW w:w="1400" w:type="dxa"/>
            <w:vAlign w:val="bottom"/>
          </w:tcPr>
          <w:p>
            <w:pPr>
              <w:jc w:val="right"/>
              <w:ind w:right="628"/>
              <w:spacing w:after="0" w:line="149" w:lineRule="exact"/>
              <w:rPr>
                <w:sz w:val="20"/>
                <w:szCs w:val="20"/>
                <w:color w:val="auto"/>
              </w:rPr>
            </w:pPr>
            <w:r>
              <w:rPr>
                <w:rFonts w:ascii="Arial" w:cs="Arial" w:eastAsia="Arial" w:hAnsi="Arial"/>
                <w:sz w:val="14"/>
                <w:szCs w:val="14"/>
                <w:b w:val="1"/>
                <w:bCs w:val="1"/>
                <w:color w:val="auto"/>
              </w:rPr>
              <w:t>Jan. 28,</w:t>
            </w:r>
          </w:p>
        </w:tc>
        <w:tc>
          <w:tcPr>
            <w:tcW w:w="440" w:type="dxa"/>
            <w:vAlign w:val="bottom"/>
          </w:tcPr>
          <w:p>
            <w:pPr>
              <w:spacing w:after="0"/>
              <w:rPr>
                <w:sz w:val="12"/>
                <w:szCs w:val="12"/>
                <w:color w:val="auto"/>
              </w:rPr>
            </w:pPr>
          </w:p>
        </w:tc>
        <w:tc>
          <w:tcPr>
            <w:tcW w:w="11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April 30,</w:t>
            </w:r>
          </w:p>
        </w:tc>
      </w:tr>
      <w:tr>
        <w:trPr>
          <w:trHeight w:val="185"/>
        </w:trPr>
        <w:tc>
          <w:tcPr>
            <w:tcW w:w="20" w:type="dxa"/>
            <w:vAlign w:val="bottom"/>
          </w:tcPr>
          <w:p>
            <w:pPr>
              <w:spacing w:after="0"/>
              <w:rPr>
                <w:sz w:val="16"/>
                <w:szCs w:val="16"/>
                <w:color w:val="auto"/>
              </w:rPr>
            </w:pPr>
          </w:p>
        </w:tc>
        <w:tc>
          <w:tcPr>
            <w:tcW w:w="35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6"/>
                <w:szCs w:val="16"/>
                <w:color w:val="auto"/>
              </w:rPr>
            </w:pPr>
          </w:p>
        </w:tc>
      </w:tr>
      <w:tr>
        <w:trPr>
          <w:trHeight w:val="164"/>
        </w:trPr>
        <w:tc>
          <w:tcPr>
            <w:tcW w:w="2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Arial" w:cs="Arial" w:eastAsia="Arial" w:hAnsi="Arial"/>
                <w:sz w:val="14"/>
                <w:szCs w:val="14"/>
                <w:color w:val="auto"/>
              </w:rPr>
              <w:t>Cash &amp; short-term investments</w:t>
            </w:r>
          </w:p>
        </w:tc>
        <w:tc>
          <w:tcPr>
            <w:tcW w:w="30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168"/>
              <w:spacing w:after="0"/>
              <w:rPr>
                <w:sz w:val="20"/>
                <w:szCs w:val="20"/>
                <w:color w:val="auto"/>
              </w:rPr>
            </w:pPr>
            <w:r>
              <w:rPr>
                <w:rFonts w:ascii="Arial" w:cs="Arial" w:eastAsia="Arial" w:hAnsi="Arial"/>
                <w:sz w:val="14"/>
                <w:szCs w:val="14"/>
                <w:color w:val="auto"/>
              </w:rPr>
              <w:t>6,188,372</w:t>
            </w:r>
          </w:p>
        </w:tc>
        <w:tc>
          <w:tcPr>
            <w:tcW w:w="5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168"/>
              <w:spacing w:after="0"/>
              <w:rPr>
                <w:sz w:val="20"/>
                <w:szCs w:val="20"/>
                <w:color w:val="auto"/>
              </w:rPr>
            </w:pPr>
            <w:r>
              <w:rPr>
                <w:rFonts w:ascii="Arial" w:cs="Arial" w:eastAsia="Arial" w:hAnsi="Arial"/>
                <w:sz w:val="14"/>
                <w:szCs w:val="14"/>
                <w:color w:val="auto"/>
              </w:rPr>
              <w:t>6,317,066</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3,754,081</w:t>
            </w:r>
          </w:p>
        </w:tc>
        <w:tc>
          <w:tcPr>
            <w:tcW w:w="20" w:type="dxa"/>
            <w:vAlign w:val="bottom"/>
          </w:tcPr>
          <w:p>
            <w:pPr>
              <w:spacing w:after="0"/>
              <w:rPr>
                <w:sz w:val="14"/>
                <w:szCs w:val="14"/>
                <w:color w:val="auto"/>
              </w:rPr>
            </w:pPr>
          </w:p>
        </w:tc>
      </w:tr>
      <w:tr>
        <w:trPr>
          <w:trHeight w:val="176"/>
        </w:trPr>
        <w:tc>
          <w:tcPr>
            <w:tcW w:w="3540" w:type="dxa"/>
            <w:vAlign w:val="bottom"/>
            <w:gridSpan w:val="2"/>
          </w:tcPr>
          <w:p>
            <w:pPr>
              <w:spacing w:after="0"/>
              <w:rPr>
                <w:sz w:val="20"/>
                <w:szCs w:val="20"/>
                <w:color w:val="auto"/>
              </w:rPr>
            </w:pPr>
            <w:r>
              <w:rPr>
                <w:rFonts w:ascii="Arial" w:cs="Arial" w:eastAsia="Arial" w:hAnsi="Arial"/>
                <w:sz w:val="14"/>
                <w:szCs w:val="14"/>
                <w:color w:val="auto"/>
              </w:rPr>
              <w:t>Accounts receivable, net</w:t>
            </w:r>
          </w:p>
        </w:tc>
        <w:tc>
          <w:tcPr>
            <w:tcW w:w="1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tcPr>
          <w:p>
            <w:pPr>
              <w:jc w:val="right"/>
              <w:ind w:right="168"/>
              <w:spacing w:after="0"/>
              <w:rPr>
                <w:sz w:val="20"/>
                <w:szCs w:val="20"/>
                <w:color w:val="auto"/>
              </w:rPr>
            </w:pPr>
            <w:r>
              <w:rPr>
                <w:rFonts w:ascii="Arial" w:cs="Arial" w:eastAsia="Arial" w:hAnsi="Arial"/>
                <w:sz w:val="14"/>
                <w:szCs w:val="14"/>
                <w:color w:val="auto"/>
              </w:rPr>
              <w:t>630,353</w:t>
            </w:r>
          </w:p>
        </w:tc>
        <w:tc>
          <w:tcPr>
            <w:tcW w:w="520" w:type="dxa"/>
            <w:vAlign w:val="bottom"/>
          </w:tcPr>
          <w:p>
            <w:pPr>
              <w:spacing w:after="0"/>
              <w:rPr>
                <w:sz w:val="15"/>
                <w:szCs w:val="15"/>
                <w:color w:val="auto"/>
              </w:rPr>
            </w:pPr>
          </w:p>
        </w:tc>
        <w:tc>
          <w:tcPr>
            <w:tcW w:w="1400" w:type="dxa"/>
            <w:vAlign w:val="bottom"/>
          </w:tcPr>
          <w:p>
            <w:pPr>
              <w:jc w:val="right"/>
              <w:ind w:right="168"/>
              <w:spacing w:after="0"/>
              <w:rPr>
                <w:sz w:val="20"/>
                <w:szCs w:val="20"/>
                <w:color w:val="auto"/>
              </w:rPr>
            </w:pPr>
            <w:r>
              <w:rPr>
                <w:rFonts w:ascii="Arial" w:cs="Arial" w:eastAsia="Arial" w:hAnsi="Arial"/>
                <w:sz w:val="14"/>
                <w:szCs w:val="14"/>
                <w:color w:val="auto"/>
              </w:rPr>
              <w:t>472,511</w:t>
            </w:r>
          </w:p>
        </w:tc>
        <w:tc>
          <w:tcPr>
            <w:tcW w:w="44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398,979</w:t>
            </w:r>
          </w:p>
        </w:tc>
      </w:tr>
      <w:tr>
        <w:trPr>
          <w:trHeight w:val="176"/>
        </w:trPr>
        <w:tc>
          <w:tcPr>
            <w:tcW w:w="3540" w:type="dxa"/>
            <w:vAlign w:val="bottom"/>
            <w:gridSpan w:val="2"/>
          </w:tcPr>
          <w:p>
            <w:pPr>
              <w:spacing w:after="0"/>
              <w:rPr>
                <w:sz w:val="20"/>
                <w:szCs w:val="20"/>
                <w:color w:val="auto"/>
              </w:rPr>
            </w:pPr>
            <w:r>
              <w:rPr>
                <w:rFonts w:ascii="Arial" w:cs="Arial" w:eastAsia="Arial" w:hAnsi="Arial"/>
                <w:sz w:val="14"/>
                <w:szCs w:val="14"/>
                <w:color w:val="auto"/>
              </w:rPr>
              <w:t>Inventories (1)</w:t>
            </w:r>
          </w:p>
        </w:tc>
        <w:tc>
          <w:tcPr>
            <w:tcW w:w="1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tcPr>
          <w:p>
            <w:pPr>
              <w:jc w:val="right"/>
              <w:ind w:right="168"/>
              <w:spacing w:after="0"/>
              <w:rPr>
                <w:sz w:val="20"/>
                <w:szCs w:val="20"/>
                <w:color w:val="auto"/>
              </w:rPr>
            </w:pPr>
            <w:r>
              <w:rPr>
                <w:rFonts w:ascii="Arial" w:cs="Arial" w:eastAsia="Arial" w:hAnsi="Arial"/>
                <w:sz w:val="14"/>
                <w:szCs w:val="14"/>
                <w:color w:val="auto"/>
              </w:rPr>
              <w:t>647,858</w:t>
            </w:r>
          </w:p>
        </w:tc>
        <w:tc>
          <w:tcPr>
            <w:tcW w:w="520" w:type="dxa"/>
            <w:vAlign w:val="bottom"/>
          </w:tcPr>
          <w:p>
            <w:pPr>
              <w:spacing w:after="0"/>
              <w:rPr>
                <w:sz w:val="15"/>
                <w:szCs w:val="15"/>
                <w:color w:val="auto"/>
              </w:rPr>
            </w:pPr>
          </w:p>
        </w:tc>
        <w:tc>
          <w:tcPr>
            <w:tcW w:w="1400" w:type="dxa"/>
            <w:vAlign w:val="bottom"/>
          </w:tcPr>
          <w:p>
            <w:pPr>
              <w:jc w:val="right"/>
              <w:ind w:right="168"/>
              <w:spacing w:after="0"/>
              <w:rPr>
                <w:sz w:val="20"/>
                <w:szCs w:val="20"/>
                <w:color w:val="auto"/>
              </w:rPr>
            </w:pPr>
            <w:r>
              <w:rPr>
                <w:rFonts w:ascii="Arial" w:cs="Arial" w:eastAsia="Arial" w:hAnsi="Arial"/>
                <w:sz w:val="14"/>
                <w:szCs w:val="14"/>
                <w:color w:val="auto"/>
              </w:rPr>
              <w:t>365,586</w:t>
            </w:r>
          </w:p>
        </w:tc>
        <w:tc>
          <w:tcPr>
            <w:tcW w:w="44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399,459</w:t>
            </w:r>
          </w:p>
        </w:tc>
      </w:tr>
      <w:tr>
        <w:trPr>
          <w:trHeight w:val="181"/>
        </w:trPr>
        <w:tc>
          <w:tcPr>
            <w:tcW w:w="3540" w:type="dxa"/>
            <w:vAlign w:val="bottom"/>
            <w:gridSpan w:val="2"/>
          </w:tcPr>
          <w:p>
            <w:pPr>
              <w:spacing w:after="0"/>
              <w:rPr>
                <w:sz w:val="20"/>
                <w:szCs w:val="20"/>
                <w:color w:val="auto"/>
              </w:rPr>
            </w:pPr>
            <w:r>
              <w:rPr>
                <w:rFonts w:ascii="Arial" w:cs="Arial" w:eastAsia="Arial" w:hAnsi="Arial"/>
                <w:sz w:val="14"/>
                <w:szCs w:val="14"/>
                <w:color w:val="auto"/>
              </w:rPr>
              <w:t>Other current assets</w:t>
            </w:r>
          </w:p>
        </w:tc>
        <w:tc>
          <w:tcPr>
            <w:tcW w:w="1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tcPr>
          <w:p>
            <w:pPr>
              <w:jc w:val="right"/>
              <w:ind w:right="168"/>
              <w:spacing w:after="0"/>
              <w:rPr>
                <w:sz w:val="20"/>
                <w:szCs w:val="20"/>
                <w:color w:val="auto"/>
              </w:rPr>
            </w:pPr>
            <w:r>
              <w:rPr>
                <w:rFonts w:ascii="Arial" w:cs="Arial" w:eastAsia="Arial" w:hAnsi="Arial"/>
                <w:sz w:val="14"/>
                <w:szCs w:val="14"/>
                <w:color w:val="auto"/>
              </w:rPr>
              <w:t>68,884</w:t>
            </w:r>
          </w:p>
        </w:tc>
        <w:tc>
          <w:tcPr>
            <w:tcW w:w="520" w:type="dxa"/>
            <w:vAlign w:val="bottom"/>
          </w:tcPr>
          <w:p>
            <w:pPr>
              <w:spacing w:after="0"/>
              <w:rPr>
                <w:sz w:val="15"/>
                <w:szCs w:val="15"/>
                <w:color w:val="auto"/>
              </w:rPr>
            </w:pPr>
          </w:p>
        </w:tc>
        <w:tc>
          <w:tcPr>
            <w:tcW w:w="1400" w:type="dxa"/>
            <w:vAlign w:val="bottom"/>
          </w:tcPr>
          <w:p>
            <w:pPr>
              <w:jc w:val="right"/>
              <w:ind w:right="168"/>
              <w:spacing w:after="0"/>
              <w:rPr>
                <w:sz w:val="20"/>
                <w:szCs w:val="20"/>
                <w:color w:val="auto"/>
              </w:rPr>
            </w:pPr>
            <w:r>
              <w:rPr>
                <w:rFonts w:ascii="Arial" w:cs="Arial" w:eastAsia="Arial" w:hAnsi="Arial"/>
                <w:sz w:val="14"/>
                <w:szCs w:val="14"/>
                <w:color w:val="auto"/>
              </w:rPr>
              <w:t>78,570</w:t>
            </w:r>
          </w:p>
        </w:tc>
        <w:tc>
          <w:tcPr>
            <w:tcW w:w="44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75,355</w:t>
            </w:r>
          </w:p>
        </w:tc>
      </w:tr>
      <w:tr>
        <w:trPr>
          <w:trHeight w:val="164"/>
        </w:trPr>
        <w:tc>
          <w:tcPr>
            <w:tcW w:w="20" w:type="dxa"/>
            <w:vAlign w:val="bottom"/>
          </w:tcPr>
          <w:p>
            <w:pPr>
              <w:spacing w:after="0"/>
              <w:rPr>
                <w:sz w:val="14"/>
                <w:szCs w:val="14"/>
                <w:color w:val="auto"/>
              </w:rPr>
            </w:pPr>
          </w:p>
        </w:tc>
        <w:tc>
          <w:tcPr>
            <w:tcW w:w="3520" w:type="dxa"/>
            <w:vAlign w:val="bottom"/>
            <w:tcBorders>
              <w:top w:val="single" w:sz="8" w:color="auto"/>
            </w:tcBorders>
          </w:tcPr>
          <w:p>
            <w:pPr>
              <w:ind w:left="120"/>
              <w:spacing w:after="0"/>
              <w:rPr>
                <w:sz w:val="20"/>
                <w:szCs w:val="20"/>
                <w:color w:val="auto"/>
              </w:rPr>
            </w:pPr>
            <w:r>
              <w:rPr>
                <w:rFonts w:ascii="Arial" w:cs="Arial" w:eastAsia="Arial" w:hAnsi="Arial"/>
                <w:sz w:val="14"/>
                <w:szCs w:val="14"/>
                <w:color w:val="auto"/>
              </w:rPr>
              <w:t>Total current assets</w:t>
            </w:r>
          </w:p>
        </w:tc>
        <w:tc>
          <w:tcPr>
            <w:tcW w:w="18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rPr>
              <w:t>7,535,467</w:t>
            </w:r>
          </w:p>
        </w:tc>
        <w:tc>
          <w:tcPr>
            <w:tcW w:w="52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rPr>
              <w:t>7,233,733</w:t>
            </w:r>
          </w:p>
        </w:tc>
        <w:tc>
          <w:tcPr>
            <w:tcW w:w="4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4,627,874</w:t>
            </w:r>
          </w:p>
        </w:tc>
      </w:tr>
      <w:tr>
        <w:trPr>
          <w:trHeight w:val="176"/>
        </w:trPr>
        <w:tc>
          <w:tcPr>
            <w:tcW w:w="3540" w:type="dxa"/>
            <w:vAlign w:val="bottom"/>
            <w:gridSpan w:val="2"/>
          </w:tcPr>
          <w:p>
            <w:pPr>
              <w:spacing w:after="0"/>
              <w:rPr>
                <w:sz w:val="20"/>
                <w:szCs w:val="20"/>
                <w:color w:val="auto"/>
              </w:rPr>
            </w:pPr>
            <w:r>
              <w:rPr>
                <w:rFonts w:ascii="Arial" w:cs="Arial" w:eastAsia="Arial" w:hAnsi="Arial"/>
                <w:sz w:val="14"/>
                <w:szCs w:val="14"/>
                <w:color w:val="auto"/>
              </w:rPr>
              <w:t>PP&amp;E, net</w:t>
            </w:r>
          </w:p>
        </w:tc>
        <w:tc>
          <w:tcPr>
            <w:tcW w:w="1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tcPr>
          <w:p>
            <w:pPr>
              <w:jc w:val="right"/>
              <w:ind w:right="168"/>
              <w:spacing w:after="0"/>
              <w:rPr>
                <w:sz w:val="20"/>
                <w:szCs w:val="20"/>
                <w:color w:val="auto"/>
              </w:rPr>
            </w:pPr>
            <w:r>
              <w:rPr>
                <w:rFonts w:ascii="Arial" w:cs="Arial" w:eastAsia="Arial" w:hAnsi="Arial"/>
                <w:sz w:val="14"/>
                <w:szCs w:val="14"/>
                <w:color w:val="auto"/>
              </w:rPr>
              <w:t>1,089,319</w:t>
            </w:r>
          </w:p>
        </w:tc>
        <w:tc>
          <w:tcPr>
            <w:tcW w:w="520" w:type="dxa"/>
            <w:vAlign w:val="bottom"/>
          </w:tcPr>
          <w:p>
            <w:pPr>
              <w:spacing w:after="0"/>
              <w:rPr>
                <w:sz w:val="15"/>
                <w:szCs w:val="15"/>
                <w:color w:val="auto"/>
              </w:rPr>
            </w:pPr>
          </w:p>
        </w:tc>
        <w:tc>
          <w:tcPr>
            <w:tcW w:w="1400" w:type="dxa"/>
            <w:vAlign w:val="bottom"/>
          </w:tcPr>
          <w:p>
            <w:pPr>
              <w:jc w:val="right"/>
              <w:ind w:right="168"/>
              <w:spacing w:after="0"/>
              <w:rPr>
                <w:sz w:val="20"/>
                <w:szCs w:val="20"/>
                <w:color w:val="auto"/>
              </w:rPr>
            </w:pPr>
            <w:r>
              <w:rPr>
                <w:rFonts w:ascii="Arial" w:cs="Arial" w:eastAsia="Arial" w:hAnsi="Arial"/>
                <w:sz w:val="14"/>
                <w:szCs w:val="14"/>
                <w:color w:val="auto"/>
              </w:rPr>
              <w:t>628,924</w:t>
            </w:r>
          </w:p>
        </w:tc>
        <w:tc>
          <w:tcPr>
            <w:tcW w:w="44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626,162</w:t>
            </w:r>
          </w:p>
        </w:tc>
      </w:tr>
      <w:tr>
        <w:trPr>
          <w:trHeight w:val="176"/>
        </w:trPr>
        <w:tc>
          <w:tcPr>
            <w:tcW w:w="3540" w:type="dxa"/>
            <w:vAlign w:val="bottom"/>
            <w:gridSpan w:val="2"/>
          </w:tcPr>
          <w:p>
            <w:pPr>
              <w:spacing w:after="0"/>
              <w:rPr>
                <w:sz w:val="20"/>
                <w:szCs w:val="20"/>
                <w:color w:val="auto"/>
              </w:rPr>
            </w:pPr>
            <w:r>
              <w:rPr>
                <w:rFonts w:ascii="Arial" w:cs="Arial" w:eastAsia="Arial" w:hAnsi="Arial"/>
                <w:sz w:val="14"/>
                <w:szCs w:val="14"/>
                <w:color w:val="auto"/>
              </w:rPr>
              <w:t>Investments</w:t>
            </w:r>
          </w:p>
        </w:tc>
        <w:tc>
          <w:tcPr>
            <w:tcW w:w="1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tcPr>
          <w:p>
            <w:pPr>
              <w:jc w:val="right"/>
              <w:ind w:right="168"/>
              <w:spacing w:after="0"/>
              <w:rPr>
                <w:sz w:val="20"/>
                <w:szCs w:val="20"/>
                <w:color w:val="auto"/>
              </w:rPr>
            </w:pPr>
            <w:r>
              <w:rPr>
                <w:rFonts w:ascii="Arial" w:cs="Arial" w:eastAsia="Arial" w:hAnsi="Arial"/>
                <w:sz w:val="14"/>
                <w:szCs w:val="14"/>
                <w:color w:val="auto"/>
              </w:rPr>
              <w:t>55,815</w:t>
            </w:r>
          </w:p>
        </w:tc>
        <w:tc>
          <w:tcPr>
            <w:tcW w:w="520" w:type="dxa"/>
            <w:vAlign w:val="bottom"/>
          </w:tcPr>
          <w:p>
            <w:pPr>
              <w:spacing w:after="0"/>
              <w:rPr>
                <w:sz w:val="15"/>
                <w:szCs w:val="15"/>
                <w:color w:val="auto"/>
              </w:rPr>
            </w:pPr>
          </w:p>
        </w:tc>
        <w:tc>
          <w:tcPr>
            <w:tcW w:w="1400" w:type="dxa"/>
            <w:vAlign w:val="bottom"/>
          </w:tcPr>
          <w:p>
            <w:pPr>
              <w:jc w:val="right"/>
              <w:ind w:right="168"/>
              <w:spacing w:after="0"/>
              <w:rPr>
                <w:sz w:val="20"/>
                <w:szCs w:val="20"/>
                <w:color w:val="auto"/>
              </w:rPr>
            </w:pPr>
            <w:r>
              <w:rPr>
                <w:rFonts w:ascii="Arial" w:cs="Arial" w:eastAsia="Arial" w:hAnsi="Arial"/>
                <w:sz w:val="14"/>
                <w:szCs w:val="14"/>
                <w:color w:val="auto"/>
              </w:rPr>
              <w:t>48,690</w:t>
            </w:r>
          </w:p>
        </w:tc>
        <w:tc>
          <w:tcPr>
            <w:tcW w:w="44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50,680</w:t>
            </w:r>
          </w:p>
        </w:tc>
      </w:tr>
      <w:tr>
        <w:trPr>
          <w:trHeight w:val="176"/>
        </w:trPr>
        <w:tc>
          <w:tcPr>
            <w:tcW w:w="3540" w:type="dxa"/>
            <w:vAlign w:val="bottom"/>
            <w:gridSpan w:val="2"/>
          </w:tcPr>
          <w:p>
            <w:pPr>
              <w:spacing w:after="0"/>
              <w:rPr>
                <w:sz w:val="20"/>
                <w:szCs w:val="20"/>
                <w:color w:val="auto"/>
              </w:rPr>
            </w:pPr>
            <w:r>
              <w:rPr>
                <w:rFonts w:ascii="Arial" w:cs="Arial" w:eastAsia="Arial" w:hAnsi="Arial"/>
                <w:sz w:val="14"/>
                <w:szCs w:val="14"/>
                <w:color w:val="auto"/>
              </w:rPr>
              <w:t>Goodwill</w:t>
            </w:r>
          </w:p>
        </w:tc>
        <w:tc>
          <w:tcPr>
            <w:tcW w:w="1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tcPr>
          <w:p>
            <w:pPr>
              <w:jc w:val="right"/>
              <w:ind w:right="168"/>
              <w:spacing w:after="0"/>
              <w:rPr>
                <w:sz w:val="20"/>
                <w:szCs w:val="20"/>
                <w:color w:val="auto"/>
              </w:rPr>
            </w:pPr>
            <w:r>
              <w:rPr>
                <w:rFonts w:ascii="Arial" w:cs="Arial" w:eastAsia="Arial" w:hAnsi="Arial"/>
                <w:sz w:val="14"/>
                <w:szCs w:val="14"/>
                <w:color w:val="auto"/>
              </w:rPr>
              <w:t>12,269,501</w:t>
            </w:r>
          </w:p>
        </w:tc>
        <w:tc>
          <w:tcPr>
            <w:tcW w:w="520" w:type="dxa"/>
            <w:vAlign w:val="bottom"/>
          </w:tcPr>
          <w:p>
            <w:pPr>
              <w:spacing w:after="0"/>
              <w:rPr>
                <w:sz w:val="15"/>
                <w:szCs w:val="15"/>
                <w:color w:val="auto"/>
              </w:rPr>
            </w:pPr>
          </w:p>
        </w:tc>
        <w:tc>
          <w:tcPr>
            <w:tcW w:w="1400" w:type="dxa"/>
            <w:vAlign w:val="bottom"/>
          </w:tcPr>
          <w:p>
            <w:pPr>
              <w:jc w:val="right"/>
              <w:ind w:right="168"/>
              <w:spacing w:after="0"/>
              <w:rPr>
                <w:sz w:val="20"/>
                <w:szCs w:val="20"/>
                <w:color w:val="auto"/>
              </w:rPr>
            </w:pPr>
            <w:r>
              <w:rPr>
                <w:rFonts w:ascii="Arial" w:cs="Arial" w:eastAsia="Arial" w:hAnsi="Arial"/>
                <w:sz w:val="14"/>
                <w:szCs w:val="14"/>
                <w:color w:val="auto"/>
              </w:rPr>
              <w:t>1,677,399</w:t>
            </w:r>
          </w:p>
        </w:tc>
        <w:tc>
          <w:tcPr>
            <w:tcW w:w="44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1,639,165</w:t>
            </w:r>
          </w:p>
        </w:tc>
      </w:tr>
      <w:tr>
        <w:trPr>
          <w:trHeight w:val="176"/>
        </w:trPr>
        <w:tc>
          <w:tcPr>
            <w:tcW w:w="3540" w:type="dxa"/>
            <w:vAlign w:val="bottom"/>
            <w:gridSpan w:val="2"/>
          </w:tcPr>
          <w:p>
            <w:pPr>
              <w:spacing w:after="0"/>
              <w:rPr>
                <w:sz w:val="20"/>
                <w:szCs w:val="20"/>
                <w:color w:val="auto"/>
              </w:rPr>
            </w:pPr>
            <w:r>
              <w:rPr>
                <w:rFonts w:ascii="Arial" w:cs="Arial" w:eastAsia="Arial" w:hAnsi="Arial"/>
                <w:sz w:val="14"/>
                <w:szCs w:val="14"/>
                <w:color w:val="auto"/>
              </w:rPr>
              <w:t>Intangible assets, net</w:t>
            </w:r>
          </w:p>
        </w:tc>
        <w:tc>
          <w:tcPr>
            <w:tcW w:w="1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tcPr>
          <w:p>
            <w:pPr>
              <w:jc w:val="right"/>
              <w:ind w:right="168"/>
              <w:spacing w:after="0"/>
              <w:rPr>
                <w:sz w:val="20"/>
                <w:szCs w:val="20"/>
                <w:color w:val="auto"/>
              </w:rPr>
            </w:pPr>
            <w:r>
              <w:rPr>
                <w:rFonts w:ascii="Arial" w:cs="Arial" w:eastAsia="Arial" w:hAnsi="Arial"/>
                <w:sz w:val="14"/>
                <w:szCs w:val="14"/>
                <w:color w:val="auto"/>
              </w:rPr>
              <w:t>5,587,862</w:t>
            </w:r>
          </w:p>
        </w:tc>
        <w:tc>
          <w:tcPr>
            <w:tcW w:w="520" w:type="dxa"/>
            <w:vAlign w:val="bottom"/>
          </w:tcPr>
          <w:p>
            <w:pPr>
              <w:spacing w:after="0"/>
              <w:rPr>
                <w:sz w:val="15"/>
                <w:szCs w:val="15"/>
                <w:color w:val="auto"/>
              </w:rPr>
            </w:pPr>
          </w:p>
        </w:tc>
        <w:tc>
          <w:tcPr>
            <w:tcW w:w="1400" w:type="dxa"/>
            <w:vAlign w:val="bottom"/>
          </w:tcPr>
          <w:p>
            <w:pPr>
              <w:jc w:val="right"/>
              <w:ind w:right="168"/>
              <w:spacing w:after="0"/>
              <w:rPr>
                <w:sz w:val="20"/>
                <w:szCs w:val="20"/>
                <w:color w:val="auto"/>
              </w:rPr>
            </w:pPr>
            <w:r>
              <w:rPr>
                <w:rFonts w:ascii="Arial" w:cs="Arial" w:eastAsia="Arial" w:hAnsi="Arial"/>
                <w:sz w:val="14"/>
                <w:szCs w:val="14"/>
                <w:color w:val="auto"/>
              </w:rPr>
              <w:t>529,516</w:t>
            </w:r>
          </w:p>
        </w:tc>
        <w:tc>
          <w:tcPr>
            <w:tcW w:w="44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548,374</w:t>
            </w:r>
          </w:p>
        </w:tc>
      </w:tr>
      <w:tr>
        <w:trPr>
          <w:trHeight w:val="181"/>
        </w:trPr>
        <w:tc>
          <w:tcPr>
            <w:tcW w:w="3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Other</w:t>
            </w:r>
          </w:p>
        </w:tc>
        <w:tc>
          <w:tcPr>
            <w:tcW w:w="18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84,719</w:t>
            </w:r>
          </w:p>
        </w:tc>
        <w:tc>
          <w:tcPr>
            <w:tcW w:w="5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85,109</w:t>
            </w:r>
          </w:p>
        </w:tc>
        <w:tc>
          <w:tcPr>
            <w:tcW w:w="4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78,037</w:t>
            </w:r>
          </w:p>
        </w:tc>
      </w:tr>
      <w:tr>
        <w:trPr>
          <w:trHeight w:val="169"/>
        </w:trPr>
        <w:tc>
          <w:tcPr>
            <w:tcW w:w="3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Total assets</w:t>
            </w:r>
          </w:p>
        </w:tc>
        <w:tc>
          <w:tcPr>
            <w:tcW w:w="30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26,622,683</w:t>
            </w:r>
          </w:p>
        </w:tc>
        <w:tc>
          <w:tcPr>
            <w:tcW w:w="5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10,203,371</w:t>
            </w: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7,570,292</w:t>
            </w:r>
          </w:p>
        </w:tc>
      </w:tr>
      <w:tr>
        <w:trPr>
          <w:trHeight w:val="339"/>
        </w:trPr>
        <w:tc>
          <w:tcPr>
            <w:tcW w:w="3540" w:type="dxa"/>
            <w:vAlign w:val="bottom"/>
            <w:gridSpan w:val="2"/>
          </w:tcPr>
          <w:p>
            <w:pPr>
              <w:spacing w:after="0"/>
              <w:rPr>
                <w:sz w:val="20"/>
                <w:szCs w:val="20"/>
                <w:color w:val="auto"/>
              </w:rPr>
            </w:pPr>
            <w:r>
              <w:rPr>
                <w:rFonts w:ascii="Arial" w:cs="Arial" w:eastAsia="Arial" w:hAnsi="Arial"/>
                <w:sz w:val="14"/>
                <w:szCs w:val="14"/>
                <w:color w:val="auto"/>
              </w:rPr>
              <w:t>Deferred income on shipments to distributors, net</w:t>
            </w:r>
          </w:p>
        </w:tc>
        <w:tc>
          <w:tcPr>
            <w:tcW w:w="30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168"/>
              <w:spacing w:after="0"/>
              <w:rPr>
                <w:sz w:val="20"/>
                <w:szCs w:val="20"/>
                <w:color w:val="auto"/>
              </w:rPr>
            </w:pPr>
            <w:r>
              <w:rPr>
                <w:rFonts w:ascii="Arial" w:cs="Arial" w:eastAsia="Arial" w:hAnsi="Arial"/>
                <w:sz w:val="14"/>
                <w:szCs w:val="14"/>
                <w:color w:val="auto"/>
              </w:rPr>
              <w:t>377,792</w:t>
            </w:r>
          </w:p>
        </w:tc>
        <w:tc>
          <w:tcPr>
            <w:tcW w:w="5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168"/>
              <w:spacing w:after="0"/>
              <w:rPr>
                <w:sz w:val="20"/>
                <w:szCs w:val="20"/>
                <w:color w:val="auto"/>
              </w:rPr>
            </w:pPr>
            <w:r>
              <w:rPr>
                <w:rFonts w:ascii="Arial" w:cs="Arial" w:eastAsia="Arial" w:hAnsi="Arial"/>
                <w:sz w:val="14"/>
                <w:szCs w:val="14"/>
                <w:color w:val="auto"/>
              </w:rPr>
              <w:t>356,666</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317,290</w:t>
            </w:r>
          </w:p>
        </w:tc>
      </w:tr>
      <w:tr>
        <w:trPr>
          <w:trHeight w:val="176"/>
        </w:trPr>
        <w:tc>
          <w:tcPr>
            <w:tcW w:w="3540" w:type="dxa"/>
            <w:vAlign w:val="bottom"/>
            <w:gridSpan w:val="2"/>
          </w:tcPr>
          <w:p>
            <w:pPr>
              <w:spacing w:after="0"/>
              <w:rPr>
                <w:sz w:val="20"/>
                <w:szCs w:val="20"/>
                <w:color w:val="auto"/>
              </w:rPr>
            </w:pPr>
            <w:r>
              <w:rPr>
                <w:rFonts w:ascii="Arial" w:cs="Arial" w:eastAsia="Arial" w:hAnsi="Arial"/>
                <w:sz w:val="14"/>
                <w:szCs w:val="14"/>
                <w:color w:val="auto"/>
              </w:rPr>
              <w:t>Other current liabilities</w:t>
            </w:r>
          </w:p>
        </w:tc>
        <w:tc>
          <w:tcPr>
            <w:tcW w:w="1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tcPr>
          <w:p>
            <w:pPr>
              <w:jc w:val="right"/>
              <w:ind w:right="168"/>
              <w:spacing w:after="0"/>
              <w:rPr>
                <w:sz w:val="20"/>
                <w:szCs w:val="20"/>
                <w:color w:val="auto"/>
              </w:rPr>
            </w:pPr>
            <w:r>
              <w:rPr>
                <w:rFonts w:ascii="Arial" w:cs="Arial" w:eastAsia="Arial" w:hAnsi="Arial"/>
                <w:sz w:val="14"/>
                <w:szCs w:val="14"/>
                <w:color w:val="auto"/>
              </w:rPr>
              <w:t>750,321</w:t>
            </w:r>
          </w:p>
        </w:tc>
        <w:tc>
          <w:tcPr>
            <w:tcW w:w="520" w:type="dxa"/>
            <w:vAlign w:val="bottom"/>
          </w:tcPr>
          <w:p>
            <w:pPr>
              <w:spacing w:after="0"/>
              <w:rPr>
                <w:sz w:val="15"/>
                <w:szCs w:val="15"/>
                <w:color w:val="auto"/>
              </w:rPr>
            </w:pPr>
          </w:p>
        </w:tc>
        <w:tc>
          <w:tcPr>
            <w:tcW w:w="1400" w:type="dxa"/>
            <w:vAlign w:val="bottom"/>
          </w:tcPr>
          <w:p>
            <w:pPr>
              <w:jc w:val="right"/>
              <w:ind w:right="168"/>
              <w:spacing w:after="0"/>
              <w:rPr>
                <w:sz w:val="20"/>
                <w:szCs w:val="20"/>
                <w:color w:val="auto"/>
              </w:rPr>
            </w:pPr>
            <w:r>
              <w:rPr>
                <w:rFonts w:ascii="Arial" w:cs="Arial" w:eastAsia="Arial" w:hAnsi="Arial"/>
                <w:sz w:val="14"/>
                <w:szCs w:val="14"/>
                <w:color w:val="auto"/>
              </w:rPr>
              <w:t>454,960</w:t>
            </w:r>
          </w:p>
        </w:tc>
        <w:tc>
          <w:tcPr>
            <w:tcW w:w="44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367,310</w:t>
            </w:r>
          </w:p>
        </w:tc>
      </w:tr>
      <w:tr>
        <w:trPr>
          <w:trHeight w:val="176"/>
        </w:trPr>
        <w:tc>
          <w:tcPr>
            <w:tcW w:w="3540" w:type="dxa"/>
            <w:vAlign w:val="bottom"/>
            <w:gridSpan w:val="2"/>
          </w:tcPr>
          <w:p>
            <w:pPr>
              <w:spacing w:after="0"/>
              <w:rPr>
                <w:sz w:val="20"/>
                <w:szCs w:val="20"/>
                <w:color w:val="auto"/>
              </w:rPr>
            </w:pPr>
            <w:r>
              <w:rPr>
                <w:rFonts w:ascii="Arial" w:cs="Arial" w:eastAsia="Arial" w:hAnsi="Arial"/>
                <w:sz w:val="14"/>
                <w:szCs w:val="14"/>
                <w:color w:val="auto"/>
              </w:rPr>
              <w:t>Debt, current</w:t>
            </w:r>
          </w:p>
        </w:tc>
        <w:tc>
          <w:tcPr>
            <w:tcW w:w="1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tcPr>
          <w:p>
            <w:pPr>
              <w:jc w:val="right"/>
              <w:ind w:right="168"/>
              <w:spacing w:after="0"/>
              <w:rPr>
                <w:sz w:val="20"/>
                <w:szCs w:val="20"/>
                <w:color w:val="auto"/>
              </w:rPr>
            </w:pPr>
            <w:r>
              <w:rPr>
                <w:rFonts w:ascii="Arial" w:cs="Arial" w:eastAsia="Arial" w:hAnsi="Arial"/>
                <w:sz w:val="14"/>
                <w:szCs w:val="14"/>
                <w:color w:val="auto"/>
              </w:rPr>
              <w:t>4,321,169</w:t>
            </w:r>
          </w:p>
        </w:tc>
        <w:tc>
          <w:tcPr>
            <w:tcW w:w="520" w:type="dxa"/>
            <w:vAlign w:val="bottom"/>
          </w:tcPr>
          <w:p>
            <w:pPr>
              <w:spacing w:after="0"/>
              <w:rPr>
                <w:sz w:val="15"/>
                <w:szCs w:val="15"/>
                <w:color w:val="auto"/>
              </w:rPr>
            </w:pPr>
          </w:p>
        </w:tc>
        <w:tc>
          <w:tcPr>
            <w:tcW w:w="14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r>
      <w:tr>
        <w:trPr>
          <w:trHeight w:val="176"/>
        </w:trPr>
        <w:tc>
          <w:tcPr>
            <w:tcW w:w="3540" w:type="dxa"/>
            <w:vAlign w:val="bottom"/>
            <w:gridSpan w:val="2"/>
          </w:tcPr>
          <w:p>
            <w:pPr>
              <w:spacing w:after="0"/>
              <w:rPr>
                <w:sz w:val="20"/>
                <w:szCs w:val="20"/>
                <w:color w:val="auto"/>
              </w:rPr>
            </w:pPr>
            <w:r>
              <w:rPr>
                <w:rFonts w:ascii="Arial" w:cs="Arial" w:eastAsia="Arial" w:hAnsi="Arial"/>
                <w:sz w:val="14"/>
                <w:szCs w:val="14"/>
                <w:color w:val="auto"/>
              </w:rPr>
              <w:t>Long-term debt</w:t>
            </w:r>
          </w:p>
        </w:tc>
        <w:tc>
          <w:tcPr>
            <w:tcW w:w="1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tcPr>
          <w:p>
            <w:pPr>
              <w:jc w:val="right"/>
              <w:ind w:right="168"/>
              <w:spacing w:after="0"/>
              <w:rPr>
                <w:sz w:val="20"/>
                <w:szCs w:val="20"/>
                <w:color w:val="auto"/>
              </w:rPr>
            </w:pPr>
            <w:r>
              <w:rPr>
                <w:rFonts w:ascii="Arial" w:cs="Arial" w:eastAsia="Arial" w:hAnsi="Arial"/>
                <w:sz w:val="14"/>
                <w:szCs w:val="14"/>
                <w:color w:val="auto"/>
              </w:rPr>
              <w:t>8,572,364</w:t>
            </w:r>
          </w:p>
        </w:tc>
        <w:tc>
          <w:tcPr>
            <w:tcW w:w="520" w:type="dxa"/>
            <w:vAlign w:val="bottom"/>
          </w:tcPr>
          <w:p>
            <w:pPr>
              <w:spacing w:after="0"/>
              <w:rPr>
                <w:sz w:val="15"/>
                <w:szCs w:val="15"/>
                <w:color w:val="auto"/>
              </w:rPr>
            </w:pPr>
          </w:p>
        </w:tc>
        <w:tc>
          <w:tcPr>
            <w:tcW w:w="1400" w:type="dxa"/>
            <w:vAlign w:val="bottom"/>
          </w:tcPr>
          <w:p>
            <w:pPr>
              <w:jc w:val="right"/>
              <w:ind w:right="168"/>
              <w:spacing w:after="0"/>
              <w:rPr>
                <w:sz w:val="20"/>
                <w:szCs w:val="20"/>
                <w:color w:val="auto"/>
              </w:rPr>
            </w:pPr>
            <w:r>
              <w:rPr>
                <w:rFonts w:ascii="Arial" w:cs="Arial" w:eastAsia="Arial" w:hAnsi="Arial"/>
                <w:sz w:val="14"/>
                <w:szCs w:val="14"/>
                <w:color w:val="auto"/>
              </w:rPr>
              <w:t>3,805,400</w:t>
            </w:r>
          </w:p>
        </w:tc>
        <w:tc>
          <w:tcPr>
            <w:tcW w:w="44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1,731,336</w:t>
            </w:r>
          </w:p>
        </w:tc>
      </w:tr>
      <w:tr>
        <w:trPr>
          <w:trHeight w:val="176"/>
        </w:trPr>
        <w:tc>
          <w:tcPr>
            <w:tcW w:w="3540" w:type="dxa"/>
            <w:vAlign w:val="bottom"/>
            <w:gridSpan w:val="2"/>
          </w:tcPr>
          <w:p>
            <w:pPr>
              <w:spacing w:after="0"/>
              <w:rPr>
                <w:sz w:val="20"/>
                <w:szCs w:val="20"/>
                <w:color w:val="auto"/>
              </w:rPr>
            </w:pPr>
            <w:r>
              <w:rPr>
                <w:rFonts w:ascii="Arial" w:cs="Arial" w:eastAsia="Arial" w:hAnsi="Arial"/>
                <w:sz w:val="14"/>
                <w:szCs w:val="14"/>
                <w:color w:val="auto"/>
              </w:rPr>
              <w:t>Deferred income taxes</w:t>
            </w:r>
          </w:p>
        </w:tc>
        <w:tc>
          <w:tcPr>
            <w:tcW w:w="1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tcPr>
          <w:p>
            <w:pPr>
              <w:jc w:val="right"/>
              <w:ind w:right="168"/>
              <w:spacing w:after="0"/>
              <w:rPr>
                <w:sz w:val="20"/>
                <w:szCs w:val="20"/>
                <w:color w:val="auto"/>
              </w:rPr>
            </w:pPr>
            <w:r>
              <w:rPr>
                <w:rFonts w:ascii="Arial" w:cs="Arial" w:eastAsia="Arial" w:hAnsi="Arial"/>
                <w:sz w:val="14"/>
                <w:szCs w:val="14"/>
                <w:color w:val="auto"/>
              </w:rPr>
              <w:t>2,431,410</w:t>
            </w:r>
          </w:p>
        </w:tc>
        <w:tc>
          <w:tcPr>
            <w:tcW w:w="520" w:type="dxa"/>
            <w:vAlign w:val="bottom"/>
          </w:tcPr>
          <w:p>
            <w:pPr>
              <w:spacing w:after="0"/>
              <w:rPr>
                <w:sz w:val="15"/>
                <w:szCs w:val="15"/>
                <w:color w:val="auto"/>
              </w:rPr>
            </w:pPr>
          </w:p>
        </w:tc>
        <w:tc>
          <w:tcPr>
            <w:tcW w:w="1400" w:type="dxa"/>
            <w:vAlign w:val="bottom"/>
          </w:tcPr>
          <w:p>
            <w:pPr>
              <w:jc w:val="right"/>
              <w:ind w:right="168"/>
              <w:spacing w:after="0"/>
              <w:rPr>
                <w:sz w:val="20"/>
                <w:szCs w:val="20"/>
                <w:color w:val="auto"/>
              </w:rPr>
            </w:pPr>
            <w:r>
              <w:rPr>
                <w:rFonts w:ascii="Arial" w:cs="Arial" w:eastAsia="Arial" w:hAnsi="Arial"/>
                <w:sz w:val="14"/>
                <w:szCs w:val="14"/>
                <w:color w:val="auto"/>
              </w:rPr>
              <w:t>125,196</w:t>
            </w:r>
          </w:p>
        </w:tc>
        <w:tc>
          <w:tcPr>
            <w:tcW w:w="44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243,263</w:t>
            </w:r>
          </w:p>
        </w:tc>
      </w:tr>
      <w:tr>
        <w:trPr>
          <w:trHeight w:val="176"/>
        </w:trPr>
        <w:tc>
          <w:tcPr>
            <w:tcW w:w="3540" w:type="dxa"/>
            <w:vAlign w:val="bottom"/>
            <w:gridSpan w:val="2"/>
          </w:tcPr>
          <w:p>
            <w:pPr>
              <w:spacing w:after="0"/>
              <w:rPr>
                <w:sz w:val="20"/>
                <w:szCs w:val="20"/>
                <w:color w:val="auto"/>
              </w:rPr>
            </w:pPr>
            <w:r>
              <w:rPr>
                <w:rFonts w:ascii="Arial" w:cs="Arial" w:eastAsia="Arial" w:hAnsi="Arial"/>
                <w:sz w:val="14"/>
                <w:szCs w:val="14"/>
                <w:color w:val="auto"/>
              </w:rPr>
              <w:t>Other non-current liabilities</w:t>
            </w:r>
          </w:p>
        </w:tc>
        <w:tc>
          <w:tcPr>
            <w:tcW w:w="1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tcPr>
          <w:p>
            <w:pPr>
              <w:jc w:val="right"/>
              <w:ind w:right="168"/>
              <w:spacing w:after="0"/>
              <w:rPr>
                <w:sz w:val="20"/>
                <w:szCs w:val="20"/>
                <w:color w:val="auto"/>
              </w:rPr>
            </w:pPr>
            <w:r>
              <w:rPr>
                <w:rFonts w:ascii="Arial" w:cs="Arial" w:eastAsia="Arial" w:hAnsi="Arial"/>
                <w:sz w:val="14"/>
                <w:szCs w:val="14"/>
                <w:color w:val="auto"/>
              </w:rPr>
              <w:t>203,032</w:t>
            </w:r>
          </w:p>
        </w:tc>
        <w:tc>
          <w:tcPr>
            <w:tcW w:w="520" w:type="dxa"/>
            <w:vAlign w:val="bottom"/>
          </w:tcPr>
          <w:p>
            <w:pPr>
              <w:spacing w:after="0"/>
              <w:rPr>
                <w:sz w:val="15"/>
                <w:szCs w:val="15"/>
                <w:color w:val="auto"/>
              </w:rPr>
            </w:pPr>
          </w:p>
        </w:tc>
        <w:tc>
          <w:tcPr>
            <w:tcW w:w="1400" w:type="dxa"/>
            <w:vAlign w:val="bottom"/>
          </w:tcPr>
          <w:p>
            <w:pPr>
              <w:jc w:val="right"/>
              <w:ind w:right="168"/>
              <w:spacing w:after="0"/>
              <w:rPr>
                <w:sz w:val="20"/>
                <w:szCs w:val="20"/>
                <w:color w:val="auto"/>
              </w:rPr>
            </w:pPr>
            <w:r>
              <w:rPr>
                <w:rFonts w:ascii="Arial" w:cs="Arial" w:eastAsia="Arial" w:hAnsi="Arial"/>
                <w:sz w:val="14"/>
                <w:szCs w:val="14"/>
                <w:color w:val="auto"/>
              </w:rPr>
              <w:t>154,718</w:t>
            </w:r>
          </w:p>
        </w:tc>
        <w:tc>
          <w:tcPr>
            <w:tcW w:w="44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37,392</w:t>
            </w:r>
          </w:p>
        </w:tc>
      </w:tr>
      <w:tr>
        <w:trPr>
          <w:trHeight w:val="181"/>
        </w:trPr>
        <w:tc>
          <w:tcPr>
            <w:tcW w:w="3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Shareholders' equity</w:t>
            </w:r>
          </w:p>
        </w:tc>
        <w:tc>
          <w:tcPr>
            <w:tcW w:w="18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9,966,595</w:t>
            </w:r>
          </w:p>
        </w:tc>
        <w:tc>
          <w:tcPr>
            <w:tcW w:w="5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5,306,431</w:t>
            </w:r>
          </w:p>
        </w:tc>
        <w:tc>
          <w:tcPr>
            <w:tcW w:w="4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4,873,701</w:t>
            </w:r>
          </w:p>
        </w:tc>
      </w:tr>
      <w:tr>
        <w:trPr>
          <w:trHeight w:val="169"/>
        </w:trPr>
        <w:tc>
          <w:tcPr>
            <w:tcW w:w="3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Total liabilities &amp; equity</w:t>
            </w:r>
          </w:p>
        </w:tc>
        <w:tc>
          <w:tcPr>
            <w:tcW w:w="30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26,622,683</w:t>
            </w:r>
          </w:p>
        </w:tc>
        <w:tc>
          <w:tcPr>
            <w:tcW w:w="5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10,203,371</w:t>
            </w: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7,570,292</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21"/>
          <w:szCs w:val="21"/>
          <w:color w:val="auto"/>
        </w:rPr>
        <w:t>(1) Includes $3,007, $2,553, and $2,719 related to stock-based compensation in 2Q17, 1Q17, and 2Q16,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272020"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3960" w:type="dxa"/>
            <w:vAlign w:val="bottom"/>
            <w:gridSpan w:val="5"/>
          </w:tcPr>
          <w:p>
            <w:pPr>
              <w:jc w:val="center"/>
              <w:ind w:right="108"/>
              <w:spacing w:after="0"/>
              <w:rPr>
                <w:sz w:val="20"/>
                <w:szCs w:val="20"/>
                <w:color w:val="auto"/>
              </w:rPr>
            </w:pPr>
            <w:r>
              <w:rPr>
                <w:rFonts w:ascii="Arial" w:cs="Arial" w:eastAsia="Arial" w:hAnsi="Arial"/>
                <w:sz w:val="14"/>
                <w:szCs w:val="14"/>
                <w:b w:val="1"/>
                <w:bCs w:val="1"/>
                <w:color w:val="auto"/>
                <w:w w:val="91"/>
              </w:rPr>
              <w:t>Analog Devices, Second Quarter, Fiscal 2017</w:t>
            </w: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23"/>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Schedule C</w:t>
            </w:r>
          </w:p>
        </w:tc>
        <w:tc>
          <w:tcPr>
            <w:tcW w:w="780" w:type="dxa"/>
            <w:vAlign w:val="bottom"/>
            <w:gridSpan w:val="2"/>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3"/>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3020" w:type="dxa"/>
            <w:vAlign w:val="bottom"/>
            <w:gridSpan w:val="4"/>
          </w:tcPr>
          <w:p>
            <w:pPr>
              <w:jc w:val="center"/>
              <w:ind w:left="688"/>
              <w:spacing w:after="0"/>
              <w:rPr>
                <w:sz w:val="20"/>
                <w:szCs w:val="20"/>
                <w:color w:val="auto"/>
              </w:rPr>
            </w:pPr>
            <w:r>
              <w:rPr>
                <w:rFonts w:ascii="Arial" w:cs="Arial" w:eastAsia="Arial" w:hAnsi="Arial"/>
                <w:sz w:val="14"/>
                <w:szCs w:val="14"/>
                <w:b w:val="1"/>
                <w:bCs w:val="1"/>
                <w:color w:val="auto"/>
                <w:w w:val="94"/>
              </w:rPr>
              <w:t>Cash Flow Statement (Unaudited)</w:t>
            </w: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3020" w:type="dxa"/>
            <w:vAlign w:val="bottom"/>
            <w:gridSpan w:val="4"/>
          </w:tcPr>
          <w:p>
            <w:pPr>
              <w:jc w:val="center"/>
              <w:ind w:left="688"/>
              <w:spacing w:after="0"/>
              <w:rPr>
                <w:sz w:val="20"/>
                <w:szCs w:val="20"/>
                <w:color w:val="auto"/>
              </w:rPr>
            </w:pPr>
            <w:r>
              <w:rPr>
                <w:rFonts w:ascii="Arial" w:cs="Arial" w:eastAsia="Arial" w:hAnsi="Arial"/>
                <w:sz w:val="14"/>
                <w:szCs w:val="14"/>
                <w:b w:val="1"/>
                <w:bCs w:val="1"/>
                <w:color w:val="auto"/>
                <w:w w:val="93"/>
              </w:rPr>
              <w:t>(In thousands)</w:t>
            </w: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rPr>
              <w:t>Three Months Ended</w:t>
            </w:r>
          </w:p>
        </w:tc>
        <w:tc>
          <w:tcPr>
            <w:tcW w:w="10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jc w:val="center"/>
              <w:ind w:right="148"/>
              <w:spacing w:after="0" w:line="160" w:lineRule="exact"/>
              <w:rPr>
                <w:sz w:val="20"/>
                <w:szCs w:val="20"/>
                <w:color w:val="auto"/>
              </w:rPr>
            </w:pPr>
            <w:r>
              <w:rPr>
                <w:rFonts w:ascii="Arial" w:cs="Arial" w:eastAsia="Arial" w:hAnsi="Arial"/>
                <w:sz w:val="14"/>
                <w:szCs w:val="14"/>
                <w:b w:val="1"/>
                <w:bCs w:val="1"/>
                <w:color w:val="auto"/>
                <w:w w:val="94"/>
              </w:rPr>
              <w:t>2Q 17</w:t>
            </w: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jc w:val="center"/>
              <w:ind w:right="108"/>
              <w:spacing w:after="0" w:line="160" w:lineRule="exact"/>
              <w:rPr>
                <w:sz w:val="20"/>
                <w:szCs w:val="20"/>
                <w:color w:val="auto"/>
              </w:rPr>
            </w:pPr>
            <w:r>
              <w:rPr>
                <w:rFonts w:ascii="Arial" w:cs="Arial" w:eastAsia="Arial" w:hAnsi="Arial"/>
                <w:sz w:val="14"/>
                <w:szCs w:val="14"/>
                <w:b w:val="1"/>
                <w:bCs w:val="1"/>
                <w:color w:val="auto"/>
                <w:w w:val="94"/>
              </w:rPr>
              <w:t>1Q 17</w:t>
            </w:r>
          </w:p>
        </w:tc>
        <w:tc>
          <w:tcPr>
            <w:tcW w:w="700" w:type="dxa"/>
            <w:vAlign w:val="bottom"/>
          </w:tcPr>
          <w:p>
            <w:pPr>
              <w:spacing w:after="0"/>
              <w:rPr>
                <w:sz w:val="13"/>
                <w:szCs w:val="13"/>
                <w:color w:val="auto"/>
              </w:rPr>
            </w:pPr>
          </w:p>
        </w:tc>
        <w:tc>
          <w:tcPr>
            <w:tcW w:w="1040" w:type="dxa"/>
            <w:vAlign w:val="bottom"/>
          </w:tcPr>
          <w:p>
            <w:pPr>
              <w:jc w:val="center"/>
              <w:ind w:right="88"/>
              <w:spacing w:after="0" w:line="160" w:lineRule="exact"/>
              <w:rPr>
                <w:sz w:val="20"/>
                <w:szCs w:val="20"/>
                <w:color w:val="auto"/>
              </w:rPr>
            </w:pPr>
            <w:r>
              <w:rPr>
                <w:rFonts w:ascii="Arial" w:cs="Arial" w:eastAsia="Arial" w:hAnsi="Arial"/>
                <w:sz w:val="14"/>
                <w:szCs w:val="14"/>
                <w:b w:val="1"/>
                <w:bCs w:val="1"/>
                <w:color w:val="auto"/>
                <w:w w:val="94"/>
              </w:rPr>
              <w:t>2Q 16</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jc w:val="right"/>
              <w:ind w:right="248"/>
              <w:spacing w:after="0" w:line="149" w:lineRule="exact"/>
              <w:rPr>
                <w:sz w:val="20"/>
                <w:szCs w:val="20"/>
                <w:color w:val="auto"/>
              </w:rPr>
            </w:pPr>
            <w:r>
              <w:rPr>
                <w:rFonts w:ascii="Arial" w:cs="Arial" w:eastAsia="Arial" w:hAnsi="Arial"/>
                <w:sz w:val="14"/>
                <w:szCs w:val="14"/>
                <w:b w:val="1"/>
                <w:bCs w:val="1"/>
                <w:color w:val="auto"/>
              </w:rPr>
              <w:t>April 29,</w:t>
            </w: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tcPr>
          <w:p>
            <w:pPr>
              <w:jc w:val="right"/>
              <w:ind w:right="288"/>
              <w:spacing w:after="0" w:line="149" w:lineRule="exact"/>
              <w:rPr>
                <w:sz w:val="20"/>
                <w:szCs w:val="20"/>
                <w:color w:val="auto"/>
              </w:rPr>
            </w:pPr>
            <w:r>
              <w:rPr>
                <w:rFonts w:ascii="Arial" w:cs="Arial" w:eastAsia="Arial" w:hAnsi="Arial"/>
                <w:sz w:val="14"/>
                <w:szCs w:val="14"/>
                <w:b w:val="1"/>
                <w:bCs w:val="1"/>
                <w:color w:val="auto"/>
              </w:rPr>
              <w:t>Jan. 28,</w:t>
            </w:r>
          </w:p>
        </w:tc>
        <w:tc>
          <w:tcPr>
            <w:tcW w:w="700" w:type="dxa"/>
            <w:vAlign w:val="bottom"/>
          </w:tcPr>
          <w:p>
            <w:pPr>
              <w:spacing w:after="0"/>
              <w:rPr>
                <w:sz w:val="12"/>
                <w:szCs w:val="12"/>
                <w:color w:val="auto"/>
              </w:rPr>
            </w:pPr>
          </w:p>
        </w:tc>
        <w:tc>
          <w:tcPr>
            <w:tcW w:w="1040" w:type="dxa"/>
            <w:vAlign w:val="bottom"/>
          </w:tcPr>
          <w:p>
            <w:pPr>
              <w:jc w:val="right"/>
              <w:ind w:right="268"/>
              <w:spacing w:after="0" w:line="149" w:lineRule="exact"/>
              <w:rPr>
                <w:sz w:val="20"/>
                <w:szCs w:val="20"/>
                <w:color w:val="auto"/>
              </w:rPr>
            </w:pPr>
            <w:r>
              <w:rPr>
                <w:rFonts w:ascii="Arial" w:cs="Arial" w:eastAsia="Arial" w:hAnsi="Arial"/>
                <w:sz w:val="14"/>
                <w:szCs w:val="14"/>
                <w:b w:val="1"/>
                <w:bCs w:val="1"/>
                <w:color w:val="auto"/>
              </w:rPr>
              <w:t>April 30,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5"/>
        </w:trPr>
        <w:tc>
          <w:tcPr>
            <w:tcW w:w="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64"/>
        </w:trPr>
        <w:tc>
          <w:tcPr>
            <w:tcW w:w="3820" w:type="dxa"/>
            <w:vAlign w:val="bottom"/>
            <w:gridSpan w:val="2"/>
          </w:tcPr>
          <w:p>
            <w:pPr>
              <w:spacing w:after="0"/>
              <w:rPr>
                <w:sz w:val="20"/>
                <w:szCs w:val="20"/>
                <w:color w:val="auto"/>
              </w:rPr>
            </w:pPr>
            <w:r>
              <w:rPr>
                <w:rFonts w:ascii="Arial" w:cs="Arial" w:eastAsia="Arial" w:hAnsi="Arial"/>
                <w:sz w:val="14"/>
                <w:szCs w:val="14"/>
                <w:color w:val="auto"/>
              </w:rPr>
              <w:t>Cash flows from operating activities:</w:t>
            </w: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380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3020" w:type="dxa"/>
            <w:vAlign w:val="bottom"/>
            <w:gridSpan w:val="4"/>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93,564</w:t>
            </w:r>
          </w:p>
        </w:tc>
        <w:tc>
          <w:tcPr>
            <w:tcW w:w="320" w:type="dxa"/>
            <w:vAlign w:val="bottom"/>
          </w:tcPr>
          <w:p>
            <w:pPr>
              <w:spacing w:after="0"/>
              <w:rPr>
                <w:sz w:val="15"/>
                <w:szCs w:val="15"/>
                <w:color w:val="auto"/>
              </w:rPr>
            </w:pPr>
          </w:p>
        </w:tc>
        <w:tc>
          <w:tcPr>
            <w:tcW w:w="4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217,129</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170,573</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00" w:type="dxa"/>
            <w:vAlign w:val="bottom"/>
          </w:tcPr>
          <w:p>
            <w:pPr>
              <w:ind w:left="120"/>
              <w:spacing w:after="0"/>
              <w:rPr>
                <w:sz w:val="20"/>
                <w:szCs w:val="20"/>
                <w:color w:val="auto"/>
              </w:rPr>
            </w:pPr>
            <w:r>
              <w:rPr>
                <w:rFonts w:ascii="Arial" w:cs="Arial" w:eastAsia="Arial" w:hAnsi="Arial"/>
                <w:sz w:val="14"/>
                <w:szCs w:val="14"/>
                <w:color w:val="auto"/>
              </w:rPr>
              <w:t>Adjustments to reconcile net income</w:t>
            </w:r>
          </w:p>
        </w:tc>
        <w:tc>
          <w:tcPr>
            <w:tcW w:w="1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00" w:type="dxa"/>
            <w:vAlign w:val="bottom"/>
          </w:tcPr>
          <w:p>
            <w:pPr>
              <w:ind w:left="320"/>
              <w:spacing w:after="0"/>
              <w:rPr>
                <w:sz w:val="20"/>
                <w:szCs w:val="20"/>
                <w:color w:val="auto"/>
              </w:rPr>
            </w:pPr>
            <w:r>
              <w:rPr>
                <w:rFonts w:ascii="Arial" w:cs="Arial" w:eastAsia="Arial" w:hAnsi="Arial"/>
                <w:sz w:val="14"/>
                <w:szCs w:val="14"/>
                <w:color w:val="auto"/>
              </w:rPr>
              <w:t>to net cash provided by operations:</w:t>
            </w:r>
          </w:p>
        </w:tc>
        <w:tc>
          <w:tcPr>
            <w:tcW w:w="1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00" w:type="dxa"/>
            <w:vAlign w:val="bottom"/>
          </w:tcPr>
          <w:p>
            <w:pPr>
              <w:ind w:left="460"/>
              <w:spacing w:after="0"/>
              <w:rPr>
                <w:sz w:val="20"/>
                <w:szCs w:val="20"/>
                <w:color w:val="auto"/>
              </w:rPr>
            </w:pPr>
            <w:r>
              <w:rPr>
                <w:rFonts w:ascii="Arial" w:cs="Arial" w:eastAsia="Arial" w:hAnsi="Arial"/>
                <w:sz w:val="14"/>
                <w:szCs w:val="14"/>
                <w:color w:val="auto"/>
              </w:rPr>
              <w:t>Depreciation</w:t>
            </w:r>
          </w:p>
        </w:tc>
        <w:tc>
          <w:tcPr>
            <w:tcW w:w="1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48,772</w:t>
            </w: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34,379</w:t>
            </w:r>
          </w:p>
        </w:tc>
        <w:tc>
          <w:tcPr>
            <w:tcW w:w="70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33,483</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00" w:type="dxa"/>
            <w:vAlign w:val="bottom"/>
          </w:tcPr>
          <w:p>
            <w:pPr>
              <w:ind w:left="460"/>
              <w:spacing w:after="0"/>
              <w:rPr>
                <w:sz w:val="20"/>
                <w:szCs w:val="20"/>
                <w:color w:val="auto"/>
              </w:rPr>
            </w:pPr>
            <w:r>
              <w:rPr>
                <w:rFonts w:ascii="Arial" w:cs="Arial" w:eastAsia="Arial" w:hAnsi="Arial"/>
                <w:sz w:val="14"/>
                <w:szCs w:val="14"/>
                <w:color w:val="auto"/>
              </w:rPr>
              <w:t>Amortization of intangibles</w:t>
            </w:r>
          </w:p>
        </w:tc>
        <w:tc>
          <w:tcPr>
            <w:tcW w:w="1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88,770</w:t>
            </w: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19,947</w:t>
            </w:r>
          </w:p>
        </w:tc>
        <w:tc>
          <w:tcPr>
            <w:tcW w:w="70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18,440</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00" w:type="dxa"/>
            <w:vAlign w:val="bottom"/>
          </w:tcPr>
          <w:p>
            <w:pPr>
              <w:ind w:left="460"/>
              <w:spacing w:after="0"/>
              <w:rPr>
                <w:sz w:val="20"/>
                <w:szCs w:val="20"/>
                <w:color w:val="auto"/>
              </w:rPr>
            </w:pPr>
            <w:r>
              <w:rPr>
                <w:rFonts w:ascii="Arial" w:cs="Arial" w:eastAsia="Arial" w:hAnsi="Arial"/>
                <w:sz w:val="14"/>
                <w:szCs w:val="14"/>
                <w:color w:val="auto"/>
              </w:rPr>
              <w:t>Stock-based compensation expense</w:t>
            </w:r>
          </w:p>
        </w:tc>
        <w:tc>
          <w:tcPr>
            <w:tcW w:w="1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22,486</w:t>
            </w: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16,529</w:t>
            </w:r>
          </w:p>
        </w:tc>
        <w:tc>
          <w:tcPr>
            <w:tcW w:w="70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15,959</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00" w:type="dxa"/>
            <w:vAlign w:val="bottom"/>
          </w:tcPr>
          <w:p>
            <w:pPr>
              <w:ind w:left="460"/>
              <w:spacing w:after="0"/>
              <w:rPr>
                <w:sz w:val="20"/>
                <w:szCs w:val="20"/>
                <w:color w:val="auto"/>
              </w:rPr>
            </w:pPr>
            <w:r>
              <w:rPr>
                <w:rFonts w:ascii="Arial" w:cs="Arial" w:eastAsia="Arial" w:hAnsi="Arial"/>
                <w:sz w:val="14"/>
                <w:szCs w:val="14"/>
                <w:color w:val="auto"/>
              </w:rPr>
              <w:t>Cost of goods sold for inventory acquired</w:t>
            </w:r>
          </w:p>
        </w:tc>
        <w:tc>
          <w:tcPr>
            <w:tcW w:w="1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121,113</w:t>
            </w: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00" w:type="dxa"/>
            <w:vAlign w:val="bottom"/>
          </w:tcPr>
          <w:p>
            <w:pPr>
              <w:ind w:left="460"/>
              <w:spacing w:after="0"/>
              <w:rPr>
                <w:sz w:val="20"/>
                <w:szCs w:val="20"/>
                <w:color w:val="auto"/>
              </w:rPr>
            </w:pPr>
            <w:r>
              <w:rPr>
                <w:rFonts w:ascii="Arial" w:cs="Arial" w:eastAsia="Arial" w:hAnsi="Arial"/>
                <w:sz w:val="14"/>
                <w:szCs w:val="14"/>
                <w:color w:val="auto"/>
              </w:rPr>
              <w:t>Other non-cash activity</w:t>
            </w:r>
          </w:p>
        </w:tc>
        <w:tc>
          <w:tcPr>
            <w:tcW w:w="1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11,078</w:t>
            </w: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13,071</w:t>
            </w:r>
          </w:p>
        </w:tc>
        <w:tc>
          <w:tcPr>
            <w:tcW w:w="70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500</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00" w:type="dxa"/>
            <w:vAlign w:val="bottom"/>
          </w:tcPr>
          <w:p>
            <w:pPr>
              <w:ind w:left="460"/>
              <w:spacing w:after="0"/>
              <w:rPr>
                <w:sz w:val="20"/>
                <w:szCs w:val="20"/>
                <w:color w:val="auto"/>
              </w:rPr>
            </w:pPr>
            <w:r>
              <w:rPr>
                <w:rFonts w:ascii="Arial" w:cs="Arial" w:eastAsia="Arial" w:hAnsi="Arial"/>
                <w:sz w:val="14"/>
                <w:szCs w:val="14"/>
                <w:color w:val="auto"/>
              </w:rPr>
              <w:t>Excess tax benefit - stock options</w:t>
            </w:r>
          </w:p>
        </w:tc>
        <w:tc>
          <w:tcPr>
            <w:tcW w:w="1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(17,851)</w:t>
            </w: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(8,102)</w:t>
            </w:r>
          </w:p>
        </w:tc>
        <w:tc>
          <w:tcPr>
            <w:tcW w:w="7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(3,212)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00" w:type="dxa"/>
            <w:vAlign w:val="bottom"/>
          </w:tcPr>
          <w:p>
            <w:pPr>
              <w:ind w:left="460"/>
              <w:spacing w:after="0"/>
              <w:rPr>
                <w:sz w:val="20"/>
                <w:szCs w:val="20"/>
                <w:color w:val="auto"/>
              </w:rPr>
            </w:pPr>
            <w:r>
              <w:rPr>
                <w:rFonts w:ascii="Arial" w:cs="Arial" w:eastAsia="Arial" w:hAnsi="Arial"/>
                <w:sz w:val="14"/>
                <w:szCs w:val="14"/>
                <w:color w:val="auto"/>
              </w:rPr>
              <w:t>Deferred income taxes</w:t>
            </w:r>
          </w:p>
        </w:tc>
        <w:tc>
          <w:tcPr>
            <w:tcW w:w="1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(79,980)</w:t>
            </w: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(7,055)</w:t>
            </w:r>
          </w:p>
        </w:tc>
        <w:tc>
          <w:tcPr>
            <w:tcW w:w="70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539</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8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Changes in operating assets and liabilities</w:t>
            </w:r>
          </w:p>
        </w:tc>
        <w:tc>
          <w:tcPr>
            <w:tcW w:w="15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233,512</w:t>
            </w:r>
          </w:p>
        </w:tc>
        <w:tc>
          <w:tcPr>
            <w:tcW w:w="3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28,594</w:t>
            </w:r>
          </w:p>
        </w:tc>
        <w:tc>
          <w:tcPr>
            <w:tcW w:w="7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83,921</w:t>
            </w:r>
          </w:p>
        </w:tc>
        <w:tc>
          <w:tcPr>
            <w:tcW w:w="1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380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Total adjustments</w:t>
            </w:r>
          </w:p>
        </w:tc>
        <w:tc>
          <w:tcPr>
            <w:tcW w:w="15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427,900</w:t>
            </w: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97,363</w:t>
            </w:r>
          </w:p>
        </w:tc>
        <w:tc>
          <w:tcPr>
            <w:tcW w:w="7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149,630</w:t>
            </w:r>
          </w:p>
        </w:tc>
        <w:tc>
          <w:tcPr>
            <w:tcW w:w="1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cash provided by operating activities</w:t>
            </w:r>
          </w:p>
        </w:tc>
        <w:tc>
          <w:tcPr>
            <w:tcW w:w="15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521,464</w:t>
            </w: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314,492</w:t>
            </w:r>
          </w:p>
        </w:tc>
        <w:tc>
          <w:tcPr>
            <w:tcW w:w="7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320,203</w:t>
            </w:r>
          </w:p>
        </w:tc>
        <w:tc>
          <w:tcPr>
            <w:tcW w:w="1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38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Percent of revenue</w:t>
            </w:r>
          </w:p>
        </w:tc>
        <w:tc>
          <w:tcPr>
            <w:tcW w:w="15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45.4</w:t>
            </w: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31.9</w:t>
            </w:r>
          </w:p>
        </w:tc>
        <w:tc>
          <w:tcPr>
            <w:tcW w:w="7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w w:val="96"/>
              </w:rPr>
              <w: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r>
      <w:tr>
        <w:trPr>
          <w:trHeight w:val="339"/>
        </w:trPr>
        <w:tc>
          <w:tcPr>
            <w:tcW w:w="3820" w:type="dxa"/>
            <w:vAlign w:val="bottom"/>
            <w:gridSpan w:val="2"/>
          </w:tcPr>
          <w:p>
            <w:pPr>
              <w:spacing w:after="0"/>
              <w:rPr>
                <w:sz w:val="20"/>
                <w:szCs w:val="20"/>
                <w:color w:val="auto"/>
              </w:rPr>
            </w:pPr>
            <w:r>
              <w:rPr>
                <w:rFonts w:ascii="Arial" w:cs="Arial" w:eastAsia="Arial" w:hAnsi="Arial"/>
                <w:sz w:val="14"/>
                <w:szCs w:val="14"/>
                <w:color w:val="auto"/>
              </w:rPr>
              <w:t>Cash flows from investing activities:</w:t>
            </w:r>
          </w:p>
        </w:tc>
        <w:tc>
          <w:tcPr>
            <w:tcW w:w="1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3800" w:type="dxa"/>
            <w:vAlign w:val="bottom"/>
          </w:tcPr>
          <w:p>
            <w:pPr>
              <w:ind w:left="120"/>
              <w:spacing w:after="0"/>
              <w:rPr>
                <w:sz w:val="20"/>
                <w:szCs w:val="20"/>
                <w:color w:val="auto"/>
              </w:rPr>
            </w:pPr>
            <w:r>
              <w:rPr>
                <w:rFonts w:ascii="Arial" w:cs="Arial" w:eastAsia="Arial" w:hAnsi="Arial"/>
                <w:sz w:val="14"/>
                <w:szCs w:val="14"/>
                <w:color w:val="auto"/>
              </w:rPr>
              <w:t>Purchases of short-term available-for-sale investments</w:t>
            </w:r>
          </w:p>
        </w:tc>
        <w:tc>
          <w:tcPr>
            <w:tcW w:w="1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(378,540)</w:t>
            </w: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(326,908)</w:t>
            </w:r>
          </w:p>
        </w:tc>
        <w:tc>
          <w:tcPr>
            <w:tcW w:w="7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(1,939,750)</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00" w:type="dxa"/>
            <w:vAlign w:val="bottom"/>
          </w:tcPr>
          <w:p>
            <w:pPr>
              <w:ind w:left="120"/>
              <w:spacing w:after="0"/>
              <w:rPr>
                <w:sz w:val="20"/>
                <w:szCs w:val="20"/>
                <w:color w:val="auto"/>
              </w:rPr>
            </w:pPr>
            <w:r>
              <w:rPr>
                <w:rFonts w:ascii="Arial" w:cs="Arial" w:eastAsia="Arial" w:hAnsi="Arial"/>
                <w:sz w:val="14"/>
                <w:szCs w:val="14"/>
                <w:color w:val="auto"/>
              </w:rPr>
              <w:t>Maturities of short-term available-for-sale investments</w:t>
            </w:r>
          </w:p>
        </w:tc>
        <w:tc>
          <w:tcPr>
            <w:tcW w:w="1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1,247,493</w:t>
            </w: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1,844,380</w:t>
            </w:r>
          </w:p>
        </w:tc>
        <w:tc>
          <w:tcPr>
            <w:tcW w:w="70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1,522,688</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00" w:type="dxa"/>
            <w:vAlign w:val="bottom"/>
          </w:tcPr>
          <w:p>
            <w:pPr>
              <w:ind w:left="120"/>
              <w:spacing w:after="0"/>
              <w:rPr>
                <w:sz w:val="20"/>
                <w:szCs w:val="20"/>
                <w:color w:val="auto"/>
              </w:rPr>
            </w:pPr>
            <w:r>
              <w:rPr>
                <w:rFonts w:ascii="Arial" w:cs="Arial" w:eastAsia="Arial" w:hAnsi="Arial"/>
                <w:sz w:val="14"/>
                <w:szCs w:val="14"/>
                <w:color w:val="auto"/>
              </w:rPr>
              <w:t>Sales of short-term available-for-sale investments</w:t>
            </w:r>
          </w:p>
        </w:tc>
        <w:tc>
          <w:tcPr>
            <w:tcW w:w="1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69,787</w:t>
            </w: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287,601</w:t>
            </w:r>
          </w:p>
        </w:tc>
        <w:tc>
          <w:tcPr>
            <w:tcW w:w="70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102,316</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00" w:type="dxa"/>
            <w:vAlign w:val="bottom"/>
          </w:tcPr>
          <w:p>
            <w:pPr>
              <w:ind w:left="120"/>
              <w:spacing w:after="0"/>
              <w:rPr>
                <w:sz w:val="20"/>
                <w:szCs w:val="20"/>
                <w:color w:val="auto"/>
              </w:rPr>
            </w:pPr>
            <w:r>
              <w:rPr>
                <w:rFonts w:ascii="Arial" w:cs="Arial" w:eastAsia="Arial" w:hAnsi="Arial"/>
                <w:sz w:val="14"/>
                <w:szCs w:val="14"/>
                <w:color w:val="auto"/>
              </w:rPr>
              <w:t>Additions to property, plant and equipment</w:t>
            </w:r>
          </w:p>
        </w:tc>
        <w:tc>
          <w:tcPr>
            <w:tcW w:w="1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(46,929)</w:t>
            </w: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(28,337)</w:t>
            </w:r>
          </w:p>
        </w:tc>
        <w:tc>
          <w:tcPr>
            <w:tcW w:w="7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(25,517)</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00" w:type="dxa"/>
            <w:vAlign w:val="bottom"/>
          </w:tcPr>
          <w:p>
            <w:pPr>
              <w:ind w:left="120"/>
              <w:spacing w:after="0"/>
              <w:rPr>
                <w:sz w:val="20"/>
                <w:szCs w:val="20"/>
                <w:color w:val="auto"/>
              </w:rPr>
            </w:pPr>
            <w:r>
              <w:rPr>
                <w:rFonts w:ascii="Arial" w:cs="Arial" w:eastAsia="Arial" w:hAnsi="Arial"/>
                <w:sz w:val="14"/>
                <w:szCs w:val="14"/>
                <w:color w:val="auto"/>
              </w:rPr>
              <w:t>Payments for acquisitions, net of cash acquired</w:t>
            </w:r>
          </w:p>
        </w:tc>
        <w:tc>
          <w:tcPr>
            <w:tcW w:w="1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(9,686,497)</w:t>
            </w: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(1,036)</w:t>
            </w:r>
          </w:p>
        </w:tc>
        <w:tc>
          <w:tcPr>
            <w:tcW w:w="7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(2,203)</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8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Change in other assets</w:t>
            </w:r>
          </w:p>
        </w:tc>
        <w:tc>
          <w:tcPr>
            <w:tcW w:w="15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(6,117)</w:t>
            </w:r>
          </w:p>
        </w:tc>
        <w:tc>
          <w:tcPr>
            <w:tcW w:w="3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(5,946)</w:t>
            </w:r>
          </w:p>
        </w:tc>
        <w:tc>
          <w:tcPr>
            <w:tcW w:w="7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(2,746)</w:t>
            </w:r>
          </w:p>
        </w:tc>
        <w:tc>
          <w:tcPr>
            <w:tcW w:w="1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cash (used for) provided by investing activities</w:t>
            </w:r>
          </w:p>
        </w:tc>
        <w:tc>
          <w:tcPr>
            <w:tcW w:w="15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(8,800,803)</w:t>
            </w: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1,769,754</w:t>
            </w:r>
          </w:p>
        </w:tc>
        <w:tc>
          <w:tcPr>
            <w:tcW w:w="7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(345,212)</w:t>
            </w:r>
          </w:p>
        </w:tc>
        <w:tc>
          <w:tcPr>
            <w:tcW w:w="1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339"/>
        </w:trPr>
        <w:tc>
          <w:tcPr>
            <w:tcW w:w="3820" w:type="dxa"/>
            <w:vAlign w:val="bottom"/>
            <w:gridSpan w:val="2"/>
          </w:tcPr>
          <w:p>
            <w:pPr>
              <w:spacing w:after="0"/>
              <w:rPr>
                <w:sz w:val="20"/>
                <w:szCs w:val="20"/>
                <w:color w:val="auto"/>
              </w:rPr>
            </w:pPr>
            <w:r>
              <w:rPr>
                <w:rFonts w:ascii="Arial" w:cs="Arial" w:eastAsia="Arial" w:hAnsi="Arial"/>
                <w:sz w:val="14"/>
                <w:szCs w:val="14"/>
                <w:color w:val="auto"/>
              </w:rPr>
              <w:t>Cash flows from financing activities:</w:t>
            </w:r>
          </w:p>
        </w:tc>
        <w:tc>
          <w:tcPr>
            <w:tcW w:w="1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3800" w:type="dxa"/>
            <w:vAlign w:val="bottom"/>
          </w:tcPr>
          <w:p>
            <w:pPr>
              <w:ind w:left="120"/>
              <w:spacing w:after="0"/>
              <w:rPr>
                <w:sz w:val="20"/>
                <w:szCs w:val="20"/>
                <w:color w:val="auto"/>
              </w:rPr>
            </w:pPr>
            <w:r>
              <w:rPr>
                <w:rFonts w:ascii="Arial" w:cs="Arial" w:eastAsia="Arial" w:hAnsi="Arial"/>
                <w:sz w:val="14"/>
                <w:szCs w:val="14"/>
                <w:color w:val="auto"/>
              </w:rPr>
              <w:t>Proceeds from derivative instruments</w:t>
            </w:r>
          </w:p>
        </w:tc>
        <w:tc>
          <w:tcPr>
            <w:tcW w:w="1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3,904</w:t>
            </w:r>
          </w:p>
        </w:tc>
        <w:tc>
          <w:tcPr>
            <w:tcW w:w="70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00" w:type="dxa"/>
            <w:vAlign w:val="bottom"/>
          </w:tcPr>
          <w:p>
            <w:pPr>
              <w:ind w:left="120"/>
              <w:spacing w:after="0"/>
              <w:rPr>
                <w:sz w:val="20"/>
                <w:szCs w:val="20"/>
                <w:color w:val="auto"/>
              </w:rPr>
            </w:pPr>
            <w:r>
              <w:rPr>
                <w:rFonts w:ascii="Arial" w:cs="Arial" w:eastAsia="Arial" w:hAnsi="Arial"/>
                <w:sz w:val="14"/>
                <w:szCs w:val="14"/>
                <w:color w:val="auto"/>
              </w:rPr>
              <w:t>Proceeds from debt</w:t>
            </w:r>
          </w:p>
        </w:tc>
        <w:tc>
          <w:tcPr>
            <w:tcW w:w="1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9,083,858</w:t>
            </w: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2,072,306</w:t>
            </w:r>
          </w:p>
        </w:tc>
        <w:tc>
          <w:tcPr>
            <w:tcW w:w="70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00" w:type="dxa"/>
            <w:vAlign w:val="bottom"/>
          </w:tcPr>
          <w:p>
            <w:pPr>
              <w:ind w:left="120"/>
              <w:spacing w:after="0"/>
              <w:rPr>
                <w:sz w:val="20"/>
                <w:szCs w:val="20"/>
                <w:color w:val="auto"/>
              </w:rPr>
            </w:pPr>
            <w:r>
              <w:rPr>
                <w:rFonts w:ascii="Arial" w:cs="Arial" w:eastAsia="Arial" w:hAnsi="Arial"/>
                <w:sz w:val="14"/>
                <w:szCs w:val="14"/>
                <w:color w:val="auto"/>
              </w:rPr>
              <w:t>Payments for deferred financing fees</w:t>
            </w:r>
          </w:p>
        </w:tc>
        <w:tc>
          <w:tcPr>
            <w:tcW w:w="1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(5,625)</w:t>
            </w:r>
          </w:p>
        </w:tc>
        <w:tc>
          <w:tcPr>
            <w:tcW w:w="70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00" w:type="dxa"/>
            <w:vAlign w:val="bottom"/>
          </w:tcPr>
          <w:p>
            <w:pPr>
              <w:ind w:left="120"/>
              <w:spacing w:after="0"/>
              <w:rPr>
                <w:sz w:val="20"/>
                <w:szCs w:val="20"/>
                <w:color w:val="auto"/>
              </w:rPr>
            </w:pPr>
            <w:r>
              <w:rPr>
                <w:rFonts w:ascii="Arial" w:cs="Arial" w:eastAsia="Arial" w:hAnsi="Arial"/>
                <w:sz w:val="14"/>
                <w:szCs w:val="14"/>
                <w:color w:val="auto"/>
              </w:rPr>
              <w:t>Dividend payments to shareholders</w:t>
            </w:r>
          </w:p>
        </w:tc>
        <w:tc>
          <w:tcPr>
            <w:tcW w:w="1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(139,314)</w:t>
            </w: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(129,683)</w:t>
            </w:r>
          </w:p>
        </w:tc>
        <w:tc>
          <w:tcPr>
            <w:tcW w:w="7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(129,925)</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00" w:type="dxa"/>
            <w:vAlign w:val="bottom"/>
          </w:tcPr>
          <w:p>
            <w:pPr>
              <w:ind w:left="120"/>
              <w:spacing w:after="0"/>
              <w:rPr>
                <w:sz w:val="20"/>
                <w:szCs w:val="20"/>
                <w:color w:val="auto"/>
              </w:rPr>
            </w:pPr>
            <w:r>
              <w:rPr>
                <w:rFonts w:ascii="Arial" w:cs="Arial" w:eastAsia="Arial" w:hAnsi="Arial"/>
                <w:sz w:val="14"/>
                <w:szCs w:val="14"/>
                <w:color w:val="auto"/>
              </w:rPr>
              <w:t>Repurchase of common stock</w:t>
            </w:r>
          </w:p>
        </w:tc>
        <w:tc>
          <w:tcPr>
            <w:tcW w:w="1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(23,874)</w:t>
            </w: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(3,106)</w:t>
            </w:r>
          </w:p>
        </w:tc>
        <w:tc>
          <w:tcPr>
            <w:tcW w:w="7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(213,650)</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00" w:type="dxa"/>
            <w:vAlign w:val="bottom"/>
          </w:tcPr>
          <w:p>
            <w:pPr>
              <w:ind w:left="120"/>
              <w:spacing w:after="0"/>
              <w:rPr>
                <w:sz w:val="20"/>
                <w:szCs w:val="20"/>
                <w:color w:val="auto"/>
              </w:rPr>
            </w:pPr>
            <w:r>
              <w:rPr>
                <w:rFonts w:ascii="Arial" w:cs="Arial" w:eastAsia="Arial" w:hAnsi="Arial"/>
                <w:sz w:val="14"/>
                <w:szCs w:val="14"/>
                <w:color w:val="auto"/>
              </w:rPr>
              <w:t>Proceeds from employee stock plans</w:t>
            </w:r>
          </w:p>
        </w:tc>
        <w:tc>
          <w:tcPr>
            <w:tcW w:w="1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52,841</w:t>
            </w: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34,432</w:t>
            </w:r>
          </w:p>
        </w:tc>
        <w:tc>
          <w:tcPr>
            <w:tcW w:w="70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16,480</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00" w:type="dxa"/>
            <w:vAlign w:val="bottom"/>
          </w:tcPr>
          <w:p>
            <w:pPr>
              <w:ind w:left="120"/>
              <w:spacing w:after="0"/>
              <w:rPr>
                <w:sz w:val="20"/>
                <w:szCs w:val="20"/>
                <w:color w:val="auto"/>
              </w:rPr>
            </w:pPr>
            <w:r>
              <w:rPr>
                <w:rFonts w:ascii="Arial" w:cs="Arial" w:eastAsia="Arial" w:hAnsi="Arial"/>
                <w:sz w:val="14"/>
                <w:szCs w:val="14"/>
                <w:color w:val="auto"/>
              </w:rPr>
              <w:t>Excess tax benefit - stock options</w:t>
            </w:r>
          </w:p>
        </w:tc>
        <w:tc>
          <w:tcPr>
            <w:tcW w:w="1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17,851</w:t>
            </w: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8,102</w:t>
            </w:r>
          </w:p>
        </w:tc>
        <w:tc>
          <w:tcPr>
            <w:tcW w:w="70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3,212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8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Change in other financing activities</w:t>
            </w:r>
          </w:p>
        </w:tc>
        <w:tc>
          <w:tcPr>
            <w:tcW w:w="15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(2,237)</w:t>
            </w:r>
          </w:p>
        </w:tc>
        <w:tc>
          <w:tcPr>
            <w:tcW w:w="3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2,221</w:t>
            </w:r>
          </w:p>
        </w:tc>
        <w:tc>
          <w:tcPr>
            <w:tcW w:w="7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(2,786)</w:t>
            </w:r>
          </w:p>
        </w:tc>
        <w:tc>
          <w:tcPr>
            <w:tcW w:w="1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cash provided by (used for) financing activities</w:t>
            </w:r>
          </w:p>
        </w:tc>
        <w:tc>
          <w:tcPr>
            <w:tcW w:w="15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8,989,125</w:t>
            </w: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1,982,551</w:t>
            </w:r>
          </w:p>
        </w:tc>
        <w:tc>
          <w:tcPr>
            <w:tcW w:w="7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(326,669)</w:t>
            </w:r>
          </w:p>
        </w:tc>
        <w:tc>
          <w:tcPr>
            <w:tcW w:w="1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3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Effect of exchange rate changes on cash</w:t>
            </w:r>
          </w:p>
        </w:tc>
        <w:tc>
          <w:tcPr>
            <w:tcW w:w="15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694</w:t>
            </w: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(666)</w:t>
            </w:r>
          </w:p>
        </w:tc>
        <w:tc>
          <w:tcPr>
            <w:tcW w:w="7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898</w:t>
            </w:r>
          </w:p>
        </w:tc>
        <w:tc>
          <w:tcPr>
            <w:tcW w:w="1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339"/>
        </w:trPr>
        <w:tc>
          <w:tcPr>
            <w:tcW w:w="3820" w:type="dxa"/>
            <w:vAlign w:val="bottom"/>
            <w:gridSpan w:val="2"/>
          </w:tcPr>
          <w:p>
            <w:pPr>
              <w:spacing w:after="0"/>
              <w:rPr>
                <w:sz w:val="20"/>
                <w:szCs w:val="20"/>
                <w:color w:val="auto"/>
              </w:rPr>
            </w:pPr>
            <w:r>
              <w:rPr>
                <w:rFonts w:ascii="Arial" w:cs="Arial" w:eastAsia="Arial" w:hAnsi="Arial"/>
                <w:sz w:val="14"/>
                <w:szCs w:val="14"/>
                <w:color w:val="auto"/>
              </w:rPr>
              <w:t>Net increase (decrease) in cash and cash equivalents</w:t>
            </w:r>
          </w:p>
        </w:tc>
        <w:tc>
          <w:tcPr>
            <w:tcW w:w="1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710,480</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4,066,131</w:t>
            </w:r>
          </w:p>
        </w:tc>
        <w:tc>
          <w:tcPr>
            <w:tcW w:w="7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(350,780)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1"/>
        </w:trPr>
        <w:tc>
          <w:tcPr>
            <w:tcW w:w="3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Cash and cash equivalents at beginning of period</w:t>
            </w:r>
          </w:p>
        </w:tc>
        <w:tc>
          <w:tcPr>
            <w:tcW w:w="15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4,987,263</w:t>
            </w:r>
          </w:p>
        </w:tc>
        <w:tc>
          <w:tcPr>
            <w:tcW w:w="3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921,132</w:t>
            </w:r>
          </w:p>
        </w:tc>
        <w:tc>
          <w:tcPr>
            <w:tcW w:w="7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1,470,442</w:t>
            </w:r>
          </w:p>
        </w:tc>
        <w:tc>
          <w:tcPr>
            <w:tcW w:w="1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3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Cash and cash equivalents at end of period</w:t>
            </w:r>
          </w:p>
        </w:tc>
        <w:tc>
          <w:tcPr>
            <w:tcW w:w="302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5,697,743</w:t>
            </w: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4,987,263</w:t>
            </w: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1,119,662</w:t>
            </w:r>
          </w:p>
        </w:tc>
        <w:tc>
          <w:tcPr>
            <w:tcW w:w="1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800" w:type="dxa"/>
            <w:vAlign w:val="bottom"/>
            <w:tcBorders>
              <w:bottom w:val="single" w:sz="8" w:color="9A9A9A"/>
            </w:tcBorders>
          </w:tcPr>
          <w:p>
            <w:pPr>
              <w:spacing w:after="0"/>
              <w:rPr>
                <w:sz w:val="11"/>
                <w:szCs w:val="11"/>
                <w:color w:val="auto"/>
              </w:rPr>
            </w:pPr>
          </w:p>
        </w:tc>
        <w:tc>
          <w:tcPr>
            <w:tcW w:w="154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r>
      <w:tr>
        <w:trPr>
          <w:trHeight w:val="21"/>
        </w:trPr>
        <w:tc>
          <w:tcPr>
            <w:tcW w:w="20" w:type="dxa"/>
            <w:vAlign w:val="bottom"/>
          </w:tcPr>
          <w:p>
            <w:pPr>
              <w:spacing w:after="0" w:line="20" w:lineRule="exact"/>
              <w:rPr>
                <w:sz w:val="1"/>
                <w:szCs w:val="1"/>
                <w:color w:val="auto"/>
              </w:rPr>
            </w:pPr>
          </w:p>
        </w:tc>
        <w:tc>
          <w:tcPr>
            <w:tcW w:w="3800" w:type="dxa"/>
            <w:vAlign w:val="bottom"/>
            <w:tcBorders>
              <w:bottom w:val="single" w:sz="8" w:color="EEEEEE"/>
            </w:tcBorders>
          </w:tcPr>
          <w:p>
            <w:pPr>
              <w:spacing w:after="0" w:line="20" w:lineRule="exact"/>
              <w:rPr>
                <w:sz w:val="1"/>
                <w:szCs w:val="1"/>
                <w:color w:val="auto"/>
              </w:rPr>
            </w:pPr>
          </w:p>
        </w:tc>
        <w:tc>
          <w:tcPr>
            <w:tcW w:w="154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4"/>
          <w:szCs w:val="14"/>
          <w:b w:val="1"/>
          <w:bCs w:val="1"/>
          <w:color w:val="auto"/>
        </w:rPr>
        <w:t>Analog Devices, Second Quarter, Fiscal 2017</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Schedule 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Revenue Trends by End Market (Unaudited)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(In thousands)</w:t>
      </w:r>
    </w:p>
    <w:p>
      <w:pPr>
        <w:spacing w:after="0" w:line="183" w:lineRule="exact"/>
        <w:rPr>
          <w:sz w:val="20"/>
          <w:szCs w:val="20"/>
          <w:color w:val="auto"/>
        </w:rPr>
      </w:pPr>
    </w:p>
    <w:p>
      <w:pPr>
        <w:ind w:right="180"/>
        <w:spacing w:after="0" w:line="251" w:lineRule="auto"/>
        <w:rPr>
          <w:sz w:val="20"/>
          <w:szCs w:val="20"/>
          <w:color w:val="auto"/>
        </w:rPr>
      </w:pPr>
      <w:r>
        <w:rPr>
          <w:rFonts w:ascii="Arial" w:cs="Arial" w:eastAsia="Arial" w:hAnsi="Arial"/>
          <w:sz w:val="13"/>
          <w:szCs w:val="13"/>
          <w:color w:val="auto"/>
        </w:rPr>
        <w:t>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evolve and improve, the categorization of products by end market can vary over time. When this occurs we reclassify revenue by end market for prior periods. Such reclassifications typically do not materially change the sizing of, or the underlying trends of results within, each end market. The Company is in the process of integrating Linear results into our systems and end market classifications. As a result revenues of Linear from March 10, 2017, the acquisition date, through the end of the Company's second quarter of fiscal 2017 are presented separately in the table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6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740" w:type="dxa"/>
            <w:vAlign w:val="bottom"/>
            <w:tcBorders>
              <w:top w:val="single" w:sz="8" w:color="auto"/>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33"/>
        </w:trPr>
        <w:tc>
          <w:tcPr>
            <w:tcW w:w="4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60" w:type="dxa"/>
            <w:vAlign w:val="bottom"/>
            <w:gridSpan w:val="2"/>
          </w:tcPr>
          <w:p>
            <w:pPr>
              <w:ind w:left="440"/>
              <w:spacing w:after="0" w:line="133" w:lineRule="exact"/>
              <w:rPr>
                <w:sz w:val="20"/>
                <w:szCs w:val="20"/>
                <w:color w:val="auto"/>
              </w:rPr>
            </w:pPr>
            <w:r>
              <w:rPr>
                <w:rFonts w:ascii="Arial" w:cs="Arial" w:eastAsia="Arial" w:hAnsi="Arial"/>
                <w:sz w:val="14"/>
                <w:szCs w:val="14"/>
                <w:b w:val="1"/>
                <w:bCs w:val="1"/>
                <w:color w:val="auto"/>
              </w:rPr>
              <w:t>April 29,</w:t>
            </w: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3"/>
              </w:rPr>
              <w:t>Jan. 28,</w:t>
            </w:r>
          </w:p>
        </w:tc>
        <w:tc>
          <w:tcPr>
            <w:tcW w:w="200" w:type="dxa"/>
            <w:vAlign w:val="bottom"/>
          </w:tcPr>
          <w:p>
            <w:pPr>
              <w:spacing w:after="0"/>
              <w:rPr>
                <w:sz w:val="11"/>
                <w:szCs w:val="11"/>
                <w:color w:val="auto"/>
              </w:rPr>
            </w:pPr>
          </w:p>
        </w:tc>
        <w:tc>
          <w:tcPr>
            <w:tcW w:w="860" w:type="dxa"/>
            <w:vAlign w:val="bottom"/>
          </w:tcPr>
          <w:p>
            <w:pPr>
              <w:jc w:val="center"/>
              <w:ind w:right="128"/>
              <w:spacing w:after="0" w:line="133" w:lineRule="exact"/>
              <w:rPr>
                <w:sz w:val="20"/>
                <w:szCs w:val="20"/>
                <w:color w:val="auto"/>
              </w:rPr>
            </w:pPr>
            <w:r>
              <w:rPr>
                <w:rFonts w:ascii="Arial" w:cs="Arial" w:eastAsia="Arial" w:hAnsi="Arial"/>
                <w:sz w:val="14"/>
                <w:szCs w:val="14"/>
                <w:b w:val="1"/>
                <w:bCs w:val="1"/>
                <w:color w:val="auto"/>
                <w:w w:val="97"/>
              </w:rPr>
              <w:t>April 30,</w:t>
            </w:r>
          </w:p>
        </w:tc>
        <w:tc>
          <w:tcPr>
            <w:tcW w:w="20" w:type="dxa"/>
            <w:vAlign w:val="bottom"/>
          </w:tcPr>
          <w:p>
            <w:pPr>
              <w:spacing w:after="0"/>
              <w:rPr>
                <w:sz w:val="11"/>
                <w:szCs w:val="11"/>
                <w:color w:val="auto"/>
              </w:rPr>
            </w:pPr>
          </w:p>
        </w:tc>
      </w:tr>
      <w:tr>
        <w:trPr>
          <w:trHeight w:val="185"/>
        </w:trPr>
        <w:tc>
          <w:tcPr>
            <w:tcW w:w="4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580"/>
              <w:spacing w:after="0"/>
              <w:rPr>
                <w:sz w:val="20"/>
                <w:szCs w:val="20"/>
                <w:color w:val="auto"/>
              </w:rPr>
            </w:pPr>
            <w:r>
              <w:rPr>
                <w:rFonts w:ascii="Arial" w:cs="Arial" w:eastAsia="Arial" w:hAnsi="Arial"/>
                <w:sz w:val="14"/>
                <w:szCs w:val="14"/>
                <w:b w:val="1"/>
                <w:bCs w:val="1"/>
                <w:color w:val="auto"/>
              </w:rPr>
              <w:t>2017</w:t>
            </w:r>
          </w:p>
        </w:tc>
        <w:tc>
          <w:tcPr>
            <w:tcW w:w="8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9"/>
              </w:rPr>
              <w:t>2017</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6"/>
              </w:rPr>
              <w:t>2016</w:t>
            </w:r>
          </w:p>
        </w:tc>
        <w:tc>
          <w:tcPr>
            <w:tcW w:w="20" w:type="dxa"/>
            <w:vAlign w:val="bottom"/>
          </w:tcPr>
          <w:p>
            <w:pPr>
              <w:spacing w:after="0"/>
              <w:rPr>
                <w:sz w:val="16"/>
                <w:szCs w:val="16"/>
                <w:color w:val="auto"/>
              </w:rPr>
            </w:pPr>
          </w:p>
        </w:tc>
      </w:tr>
      <w:tr>
        <w:trPr>
          <w:trHeight w:val="169"/>
        </w:trPr>
        <w:tc>
          <w:tcPr>
            <w:tcW w:w="47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Revenue</w:t>
            </w:r>
          </w:p>
        </w:tc>
        <w:tc>
          <w:tcPr>
            <w:tcW w:w="6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 *</w:t>
            </w: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Q/Q %</w:t>
            </w:r>
          </w:p>
        </w:tc>
        <w:tc>
          <w:tcPr>
            <w:tcW w:w="9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Y/Y %</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9"/>
              </w:rPr>
              <w:t>Revenue</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2"/>
              </w:rPr>
              <w:t>Revenue</w:t>
            </w:r>
          </w:p>
        </w:tc>
        <w:tc>
          <w:tcPr>
            <w:tcW w:w="20" w:type="dxa"/>
            <w:vAlign w:val="bottom"/>
          </w:tcPr>
          <w:p>
            <w:pPr>
              <w:spacing w:after="0"/>
              <w:rPr>
                <w:sz w:val="14"/>
                <w:szCs w:val="14"/>
                <w:color w:val="auto"/>
              </w:rPr>
            </w:pPr>
          </w:p>
        </w:tc>
      </w:tr>
      <w:tr>
        <w:trPr>
          <w:trHeight w:val="164"/>
        </w:trPr>
        <w:tc>
          <w:tcPr>
            <w:tcW w:w="4760" w:type="dxa"/>
            <w:vAlign w:val="bottom"/>
          </w:tcPr>
          <w:p>
            <w:pPr>
              <w:spacing w:after="0"/>
              <w:rPr>
                <w:sz w:val="20"/>
                <w:szCs w:val="20"/>
                <w:color w:val="auto"/>
              </w:rPr>
            </w:pPr>
            <w:r>
              <w:rPr>
                <w:rFonts w:ascii="Arial" w:cs="Arial" w:eastAsia="Arial" w:hAnsi="Arial"/>
                <w:sz w:val="14"/>
                <w:szCs w:val="14"/>
                <w:color w:val="auto"/>
              </w:rPr>
              <w:t>Industrial</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462,913</w:t>
            </w:r>
          </w:p>
        </w:tc>
        <w:tc>
          <w:tcPr>
            <w:tcW w:w="680" w:type="dxa"/>
            <w:vAlign w:val="bottom"/>
          </w:tcPr>
          <w:p>
            <w:pPr>
              <w:ind w:left="240"/>
              <w:spacing w:after="0"/>
              <w:rPr>
                <w:sz w:val="20"/>
                <w:szCs w:val="20"/>
                <w:color w:val="auto"/>
              </w:rPr>
            </w:pPr>
            <w:r>
              <w:rPr>
                <w:rFonts w:ascii="Arial" w:cs="Arial" w:eastAsia="Arial" w:hAnsi="Arial"/>
                <w:sz w:val="14"/>
                <w:szCs w:val="14"/>
                <w:color w:val="auto"/>
              </w:rPr>
              <w:t>46%</w:t>
            </w:r>
          </w:p>
        </w:tc>
        <w:tc>
          <w:tcPr>
            <w:tcW w:w="380" w:type="dxa"/>
            <w:vAlign w:val="bottom"/>
          </w:tcPr>
          <w:p>
            <w:pPr>
              <w:spacing w:after="0"/>
              <w:rPr>
                <w:sz w:val="14"/>
                <w:szCs w:val="14"/>
                <w:color w:val="auto"/>
              </w:rPr>
            </w:pPr>
          </w:p>
        </w:tc>
        <w:tc>
          <w:tcPr>
            <w:tcW w:w="800" w:type="dxa"/>
            <w:vAlign w:val="bottom"/>
          </w:tcPr>
          <w:p>
            <w:pPr>
              <w:jc w:val="center"/>
              <w:ind w:right="148"/>
              <w:spacing w:after="0"/>
              <w:rPr>
                <w:sz w:val="20"/>
                <w:szCs w:val="20"/>
                <w:color w:val="auto"/>
              </w:rPr>
            </w:pPr>
            <w:r>
              <w:rPr>
                <w:rFonts w:ascii="Arial" w:cs="Arial" w:eastAsia="Arial" w:hAnsi="Arial"/>
                <w:sz w:val="14"/>
                <w:szCs w:val="14"/>
                <w:color w:val="auto"/>
                <w:w w:val="92"/>
              </w:rPr>
              <w:t>15%</w:t>
            </w:r>
          </w:p>
        </w:tc>
        <w:tc>
          <w:tcPr>
            <w:tcW w:w="940" w:type="dxa"/>
            <w:vAlign w:val="bottom"/>
          </w:tcPr>
          <w:p>
            <w:pPr>
              <w:jc w:val="center"/>
              <w:ind w:left="48"/>
              <w:spacing w:after="0"/>
              <w:rPr>
                <w:sz w:val="20"/>
                <w:szCs w:val="20"/>
                <w:color w:val="auto"/>
              </w:rPr>
            </w:pPr>
            <w:r>
              <w:rPr>
                <w:rFonts w:ascii="Arial" w:cs="Arial" w:eastAsia="Arial" w:hAnsi="Arial"/>
                <w:sz w:val="14"/>
                <w:szCs w:val="14"/>
                <w:color w:val="auto"/>
                <w:w w:val="92"/>
              </w:rPr>
              <w:t>20%</w:t>
            </w:r>
          </w:p>
        </w:tc>
        <w:tc>
          <w:tcPr>
            <w:tcW w:w="2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402,585</w:t>
            </w:r>
          </w:p>
        </w:tc>
        <w:tc>
          <w:tcPr>
            <w:tcW w:w="2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384,706</w:t>
            </w:r>
          </w:p>
        </w:tc>
        <w:tc>
          <w:tcPr>
            <w:tcW w:w="20" w:type="dxa"/>
            <w:vAlign w:val="bottom"/>
          </w:tcPr>
          <w:p>
            <w:pPr>
              <w:spacing w:after="0"/>
              <w:rPr>
                <w:sz w:val="14"/>
                <w:szCs w:val="14"/>
                <w:color w:val="auto"/>
              </w:rPr>
            </w:pPr>
          </w:p>
        </w:tc>
      </w:tr>
      <w:tr>
        <w:trPr>
          <w:trHeight w:val="176"/>
        </w:trPr>
        <w:tc>
          <w:tcPr>
            <w:tcW w:w="4760" w:type="dxa"/>
            <w:vAlign w:val="bottom"/>
          </w:tcPr>
          <w:p>
            <w:pPr>
              <w:spacing w:after="0"/>
              <w:rPr>
                <w:sz w:val="20"/>
                <w:szCs w:val="20"/>
                <w:color w:val="auto"/>
              </w:rPr>
            </w:pPr>
            <w:r>
              <w:rPr>
                <w:rFonts w:ascii="Arial" w:cs="Arial" w:eastAsia="Arial" w:hAnsi="Arial"/>
                <w:sz w:val="14"/>
                <w:szCs w:val="14"/>
                <w:color w:val="auto"/>
              </w:rPr>
              <w:t>Automotive</w:t>
            </w:r>
          </w:p>
        </w:tc>
        <w:tc>
          <w:tcPr>
            <w:tcW w:w="220" w:type="dxa"/>
            <w:vAlign w:val="bottom"/>
          </w:tcPr>
          <w:p>
            <w:pPr>
              <w:spacing w:after="0"/>
              <w:rPr>
                <w:sz w:val="15"/>
                <w:szCs w:val="15"/>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150,418</w:t>
            </w:r>
          </w:p>
        </w:tc>
        <w:tc>
          <w:tcPr>
            <w:tcW w:w="680" w:type="dxa"/>
            <w:vAlign w:val="bottom"/>
          </w:tcPr>
          <w:p>
            <w:pPr>
              <w:ind w:left="240"/>
              <w:spacing w:after="0"/>
              <w:rPr>
                <w:sz w:val="20"/>
                <w:szCs w:val="20"/>
                <w:color w:val="auto"/>
              </w:rPr>
            </w:pPr>
            <w:r>
              <w:rPr>
                <w:rFonts w:ascii="Arial" w:cs="Arial" w:eastAsia="Arial" w:hAnsi="Arial"/>
                <w:sz w:val="14"/>
                <w:szCs w:val="14"/>
                <w:color w:val="auto"/>
              </w:rPr>
              <w:t>15%</w:t>
            </w:r>
          </w:p>
        </w:tc>
        <w:tc>
          <w:tcPr>
            <w:tcW w:w="380" w:type="dxa"/>
            <w:vAlign w:val="bottom"/>
          </w:tcPr>
          <w:p>
            <w:pPr>
              <w:spacing w:after="0"/>
              <w:rPr>
                <w:sz w:val="15"/>
                <w:szCs w:val="15"/>
                <w:color w:val="auto"/>
              </w:rPr>
            </w:pPr>
          </w:p>
        </w:tc>
        <w:tc>
          <w:tcPr>
            <w:tcW w:w="800" w:type="dxa"/>
            <w:vAlign w:val="bottom"/>
          </w:tcPr>
          <w:p>
            <w:pPr>
              <w:jc w:val="center"/>
              <w:ind w:right="168"/>
              <w:spacing w:after="0"/>
              <w:rPr>
                <w:sz w:val="20"/>
                <w:szCs w:val="20"/>
                <w:color w:val="auto"/>
              </w:rPr>
            </w:pPr>
            <w:r>
              <w:rPr>
                <w:rFonts w:ascii="Arial" w:cs="Arial" w:eastAsia="Arial" w:hAnsi="Arial"/>
                <w:sz w:val="14"/>
                <w:szCs w:val="14"/>
                <w:color w:val="auto"/>
                <w:w w:val="98"/>
              </w:rPr>
              <w:t>8%</w:t>
            </w:r>
          </w:p>
        </w:tc>
        <w:tc>
          <w:tcPr>
            <w:tcW w:w="940" w:type="dxa"/>
            <w:vAlign w:val="bottom"/>
          </w:tcPr>
          <w:p>
            <w:pPr>
              <w:jc w:val="center"/>
              <w:ind w:left="68"/>
              <w:spacing w:after="0"/>
              <w:rPr>
                <w:sz w:val="20"/>
                <w:szCs w:val="20"/>
                <w:color w:val="auto"/>
              </w:rPr>
            </w:pPr>
            <w:r>
              <w:rPr>
                <w:rFonts w:ascii="Arial" w:cs="Arial" w:eastAsia="Arial" w:hAnsi="Arial"/>
                <w:sz w:val="14"/>
                <w:szCs w:val="14"/>
                <w:color w:val="auto"/>
                <w:w w:val="98"/>
              </w:rPr>
              <w:t>9%</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138,764</w:t>
            </w:r>
          </w:p>
        </w:tc>
        <w:tc>
          <w:tcPr>
            <w:tcW w:w="200" w:type="dxa"/>
            <w:vAlign w:val="bottom"/>
          </w:tcPr>
          <w:p>
            <w:pPr>
              <w:spacing w:after="0"/>
              <w:rPr>
                <w:sz w:val="15"/>
                <w:szCs w:val="15"/>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138,398</w:t>
            </w:r>
          </w:p>
        </w:tc>
      </w:tr>
      <w:tr>
        <w:trPr>
          <w:trHeight w:val="176"/>
        </w:trPr>
        <w:tc>
          <w:tcPr>
            <w:tcW w:w="4760" w:type="dxa"/>
            <w:vAlign w:val="bottom"/>
          </w:tcPr>
          <w:p>
            <w:pPr>
              <w:spacing w:after="0"/>
              <w:rPr>
                <w:sz w:val="20"/>
                <w:szCs w:val="20"/>
                <w:color w:val="auto"/>
              </w:rPr>
            </w:pPr>
            <w:r>
              <w:rPr>
                <w:rFonts w:ascii="Arial" w:cs="Arial" w:eastAsia="Arial" w:hAnsi="Arial"/>
                <w:sz w:val="14"/>
                <w:szCs w:val="14"/>
                <w:color w:val="auto"/>
              </w:rPr>
              <w:t>Consumer</w:t>
            </w:r>
          </w:p>
        </w:tc>
        <w:tc>
          <w:tcPr>
            <w:tcW w:w="220" w:type="dxa"/>
            <w:vAlign w:val="bottom"/>
          </w:tcPr>
          <w:p>
            <w:pPr>
              <w:spacing w:after="0"/>
              <w:rPr>
                <w:sz w:val="15"/>
                <w:szCs w:val="15"/>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205,444</w:t>
            </w:r>
          </w:p>
        </w:tc>
        <w:tc>
          <w:tcPr>
            <w:tcW w:w="680" w:type="dxa"/>
            <w:vAlign w:val="bottom"/>
          </w:tcPr>
          <w:p>
            <w:pPr>
              <w:ind w:left="240"/>
              <w:spacing w:after="0"/>
              <w:rPr>
                <w:sz w:val="20"/>
                <w:szCs w:val="20"/>
                <w:color w:val="auto"/>
              </w:rPr>
            </w:pPr>
            <w:r>
              <w:rPr>
                <w:rFonts w:ascii="Arial" w:cs="Arial" w:eastAsia="Arial" w:hAnsi="Arial"/>
                <w:sz w:val="14"/>
                <w:szCs w:val="14"/>
                <w:color w:val="auto"/>
              </w:rPr>
              <w:t>21%</w:t>
            </w:r>
          </w:p>
        </w:tc>
        <w:tc>
          <w:tcPr>
            <w:tcW w:w="380" w:type="dxa"/>
            <w:vAlign w:val="bottom"/>
          </w:tcPr>
          <w:p>
            <w:pPr>
              <w:spacing w:after="0"/>
              <w:rPr>
                <w:sz w:val="15"/>
                <w:szCs w:val="15"/>
                <w:color w:val="auto"/>
              </w:rPr>
            </w:pPr>
          </w:p>
        </w:tc>
        <w:tc>
          <w:tcPr>
            <w:tcW w:w="800" w:type="dxa"/>
            <w:vAlign w:val="bottom"/>
          </w:tcPr>
          <w:p>
            <w:pPr>
              <w:jc w:val="center"/>
              <w:ind w:right="168"/>
              <w:spacing w:after="0"/>
              <w:rPr>
                <w:sz w:val="20"/>
                <w:szCs w:val="20"/>
                <w:color w:val="auto"/>
              </w:rPr>
            </w:pPr>
            <w:r>
              <w:rPr>
                <w:rFonts w:ascii="Arial" w:cs="Arial" w:eastAsia="Arial" w:hAnsi="Arial"/>
                <w:sz w:val="14"/>
                <w:szCs w:val="14"/>
                <w:color w:val="auto"/>
                <w:w w:val="96"/>
              </w:rPr>
              <w:t>(24)%</w:t>
            </w:r>
          </w:p>
        </w:tc>
        <w:tc>
          <w:tcPr>
            <w:tcW w:w="940" w:type="dxa"/>
            <w:vAlign w:val="bottom"/>
          </w:tcPr>
          <w:p>
            <w:pPr>
              <w:jc w:val="center"/>
              <w:ind w:left="48"/>
              <w:spacing w:after="0"/>
              <w:rPr>
                <w:sz w:val="20"/>
                <w:szCs w:val="20"/>
                <w:color w:val="auto"/>
              </w:rPr>
            </w:pPr>
            <w:r>
              <w:rPr>
                <w:rFonts w:ascii="Arial" w:cs="Arial" w:eastAsia="Arial" w:hAnsi="Arial"/>
                <w:sz w:val="14"/>
                <w:szCs w:val="14"/>
                <w:color w:val="auto"/>
                <w:w w:val="94"/>
              </w:rPr>
              <w:t>156%</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270,146</w:t>
            </w:r>
          </w:p>
        </w:tc>
        <w:tc>
          <w:tcPr>
            <w:tcW w:w="200" w:type="dxa"/>
            <w:vAlign w:val="bottom"/>
          </w:tcPr>
          <w:p>
            <w:pPr>
              <w:spacing w:after="0"/>
              <w:rPr>
                <w:sz w:val="15"/>
                <w:szCs w:val="15"/>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80,385</w:t>
            </w:r>
          </w:p>
        </w:tc>
      </w:tr>
      <w:tr>
        <w:trPr>
          <w:trHeight w:val="181"/>
        </w:trPr>
        <w:tc>
          <w:tcPr>
            <w:tcW w:w="4760" w:type="dxa"/>
            <w:vAlign w:val="bottom"/>
          </w:tcPr>
          <w:p>
            <w:pPr>
              <w:spacing w:after="0"/>
              <w:rPr>
                <w:sz w:val="20"/>
                <w:szCs w:val="20"/>
                <w:color w:val="auto"/>
              </w:rPr>
            </w:pPr>
            <w:r>
              <w:rPr>
                <w:rFonts w:ascii="Arial" w:cs="Arial" w:eastAsia="Arial" w:hAnsi="Arial"/>
                <w:sz w:val="14"/>
                <w:szCs w:val="14"/>
                <w:color w:val="auto"/>
              </w:rPr>
              <w:t>Communications</w:t>
            </w:r>
          </w:p>
        </w:tc>
        <w:tc>
          <w:tcPr>
            <w:tcW w:w="220" w:type="dxa"/>
            <w:vAlign w:val="bottom"/>
          </w:tcPr>
          <w:p>
            <w:pPr>
              <w:spacing w:after="0"/>
              <w:rPr>
                <w:sz w:val="15"/>
                <w:szCs w:val="15"/>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181,744</w:t>
            </w:r>
          </w:p>
        </w:tc>
        <w:tc>
          <w:tcPr>
            <w:tcW w:w="680" w:type="dxa"/>
            <w:vAlign w:val="bottom"/>
          </w:tcPr>
          <w:p>
            <w:pPr>
              <w:ind w:left="240"/>
              <w:spacing w:after="0"/>
              <w:rPr>
                <w:sz w:val="20"/>
                <w:szCs w:val="20"/>
                <w:color w:val="auto"/>
              </w:rPr>
            </w:pPr>
            <w:r>
              <w:rPr>
                <w:rFonts w:ascii="Arial" w:cs="Arial" w:eastAsia="Arial" w:hAnsi="Arial"/>
                <w:sz w:val="14"/>
                <w:szCs w:val="14"/>
                <w:color w:val="auto"/>
              </w:rPr>
              <w:t>18%</w:t>
            </w:r>
          </w:p>
        </w:tc>
        <w:tc>
          <w:tcPr>
            <w:tcW w:w="380" w:type="dxa"/>
            <w:vAlign w:val="bottom"/>
          </w:tcPr>
          <w:p>
            <w:pPr>
              <w:spacing w:after="0"/>
              <w:rPr>
                <w:sz w:val="15"/>
                <w:szCs w:val="15"/>
                <w:color w:val="auto"/>
              </w:rPr>
            </w:pPr>
          </w:p>
        </w:tc>
        <w:tc>
          <w:tcPr>
            <w:tcW w:w="800" w:type="dxa"/>
            <w:vAlign w:val="bottom"/>
          </w:tcPr>
          <w:p>
            <w:pPr>
              <w:jc w:val="center"/>
              <w:ind w:right="168"/>
              <w:spacing w:after="0"/>
              <w:rPr>
                <w:sz w:val="20"/>
                <w:szCs w:val="20"/>
                <w:color w:val="auto"/>
              </w:rPr>
            </w:pPr>
            <w:r>
              <w:rPr>
                <w:rFonts w:ascii="Arial" w:cs="Arial" w:eastAsia="Arial" w:hAnsi="Arial"/>
                <w:sz w:val="14"/>
                <w:szCs w:val="14"/>
                <w:color w:val="auto"/>
                <w:w w:val="98"/>
              </w:rPr>
              <w:t>5%</w:t>
            </w:r>
          </w:p>
        </w:tc>
        <w:tc>
          <w:tcPr>
            <w:tcW w:w="940" w:type="dxa"/>
            <w:vAlign w:val="bottom"/>
          </w:tcPr>
          <w:p>
            <w:pPr>
              <w:jc w:val="center"/>
              <w:ind w:left="68"/>
              <w:spacing w:after="0"/>
              <w:rPr>
                <w:sz w:val="20"/>
                <w:szCs w:val="20"/>
                <w:color w:val="auto"/>
              </w:rPr>
            </w:pPr>
            <w:r>
              <w:rPr>
                <w:rFonts w:ascii="Arial" w:cs="Arial" w:eastAsia="Arial" w:hAnsi="Arial"/>
                <w:sz w:val="14"/>
                <w:szCs w:val="14"/>
                <w:color w:val="auto"/>
                <w:w w:val="98"/>
              </w:rPr>
              <w:t>4%</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172,954</w:t>
            </w:r>
          </w:p>
        </w:tc>
        <w:tc>
          <w:tcPr>
            <w:tcW w:w="200" w:type="dxa"/>
            <w:vAlign w:val="bottom"/>
          </w:tcPr>
          <w:p>
            <w:pPr>
              <w:spacing w:after="0"/>
              <w:rPr>
                <w:sz w:val="15"/>
                <w:szCs w:val="15"/>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175,277</w:t>
            </w:r>
          </w:p>
        </w:tc>
      </w:tr>
      <w:tr>
        <w:trPr>
          <w:trHeight w:val="169"/>
        </w:trPr>
        <w:tc>
          <w:tcPr>
            <w:tcW w:w="4760" w:type="dxa"/>
            <w:vAlign w:val="bottom"/>
          </w:tcPr>
          <w:p>
            <w:pPr>
              <w:spacing w:after="0"/>
              <w:rPr>
                <w:sz w:val="20"/>
                <w:szCs w:val="20"/>
                <w:color w:val="auto"/>
              </w:rPr>
            </w:pPr>
            <w:r>
              <w:rPr>
                <w:rFonts w:ascii="Arial" w:cs="Arial" w:eastAsia="Arial" w:hAnsi="Arial"/>
                <w:sz w:val="14"/>
                <w:szCs w:val="14"/>
                <w:b w:val="1"/>
                <w:bCs w:val="1"/>
                <w:color w:val="auto"/>
              </w:rPr>
              <w:t>Total revenue (excluding Linear revenue)</w:t>
            </w:r>
          </w:p>
        </w:tc>
        <w:tc>
          <w:tcPr>
            <w:tcW w:w="2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1,000,519</w:t>
            </w:r>
          </w:p>
        </w:tc>
        <w:tc>
          <w:tcPr>
            <w:tcW w:w="6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100%</w:t>
            </w:r>
          </w:p>
        </w:tc>
        <w:tc>
          <w:tcPr>
            <w:tcW w:w="380" w:type="dxa"/>
            <w:vAlign w:val="bottom"/>
          </w:tcPr>
          <w:p>
            <w:pPr>
              <w:spacing w:after="0"/>
              <w:rPr>
                <w:sz w:val="14"/>
                <w:szCs w:val="14"/>
                <w:color w:val="auto"/>
              </w:rPr>
            </w:pPr>
          </w:p>
        </w:tc>
        <w:tc>
          <w:tcPr>
            <w:tcW w:w="800" w:type="dxa"/>
            <w:vAlign w:val="bottom"/>
          </w:tcPr>
          <w:p>
            <w:pPr>
              <w:jc w:val="center"/>
              <w:ind w:right="148"/>
              <w:spacing w:after="0"/>
              <w:rPr>
                <w:sz w:val="20"/>
                <w:szCs w:val="20"/>
                <w:color w:val="auto"/>
              </w:rPr>
            </w:pPr>
            <w:r>
              <w:rPr>
                <w:rFonts w:ascii="Arial" w:cs="Arial" w:eastAsia="Arial" w:hAnsi="Arial"/>
                <w:sz w:val="14"/>
                <w:szCs w:val="14"/>
                <w:b w:val="1"/>
                <w:bCs w:val="1"/>
                <w:color w:val="auto"/>
              </w:rPr>
              <w:t>2%</w:t>
            </w:r>
          </w:p>
        </w:tc>
        <w:tc>
          <w:tcPr>
            <w:tcW w:w="940" w:type="dxa"/>
            <w:vAlign w:val="bottom"/>
          </w:tcPr>
          <w:p>
            <w:pPr>
              <w:jc w:val="center"/>
              <w:ind w:left="68"/>
              <w:spacing w:after="0"/>
              <w:rPr>
                <w:sz w:val="20"/>
                <w:szCs w:val="20"/>
                <w:color w:val="auto"/>
              </w:rPr>
            </w:pPr>
            <w:r>
              <w:rPr>
                <w:rFonts w:ascii="Arial" w:cs="Arial" w:eastAsia="Arial" w:hAnsi="Arial"/>
                <w:sz w:val="14"/>
                <w:szCs w:val="14"/>
                <w:b w:val="1"/>
                <w:bCs w:val="1"/>
                <w:color w:val="auto"/>
                <w:w w:val="99"/>
              </w:rPr>
              <w:t>28%</w:t>
            </w:r>
          </w:p>
        </w:tc>
        <w:tc>
          <w:tcPr>
            <w:tcW w:w="24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984,449</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778,766</w:t>
            </w:r>
          </w:p>
        </w:tc>
        <w:tc>
          <w:tcPr>
            <w:tcW w:w="20" w:type="dxa"/>
            <w:vAlign w:val="bottom"/>
          </w:tcPr>
          <w:p>
            <w:pPr>
              <w:spacing w:after="0"/>
              <w:rPr>
                <w:sz w:val="14"/>
                <w:szCs w:val="14"/>
                <w:color w:val="auto"/>
              </w:rPr>
            </w:pPr>
          </w:p>
        </w:tc>
      </w:tr>
      <w:tr>
        <w:trPr>
          <w:trHeight w:val="169"/>
        </w:trPr>
        <w:tc>
          <w:tcPr>
            <w:tcW w:w="4760" w:type="dxa"/>
            <w:vAlign w:val="bottom"/>
          </w:tcPr>
          <w:p>
            <w:pPr>
              <w:spacing w:after="0"/>
              <w:rPr>
                <w:sz w:val="20"/>
                <w:szCs w:val="20"/>
                <w:color w:val="auto"/>
              </w:rPr>
            </w:pPr>
            <w:r>
              <w:rPr>
                <w:rFonts w:ascii="Arial" w:cs="Arial" w:eastAsia="Arial" w:hAnsi="Arial"/>
                <w:sz w:val="14"/>
                <w:szCs w:val="14"/>
                <w:color w:val="auto"/>
              </w:rPr>
              <w:t>Linear Revenue</w:t>
            </w: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147,463</w:t>
            </w:r>
          </w:p>
        </w:tc>
        <w:tc>
          <w:tcPr>
            <w:tcW w:w="6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r>
      <w:tr>
        <w:trPr>
          <w:trHeight w:val="169"/>
        </w:trPr>
        <w:tc>
          <w:tcPr>
            <w:tcW w:w="4760" w:type="dxa"/>
            <w:vAlign w:val="bottom"/>
          </w:tcPr>
          <w:p>
            <w:pPr>
              <w:spacing w:after="0"/>
              <w:rPr>
                <w:sz w:val="20"/>
                <w:szCs w:val="20"/>
                <w:color w:val="auto"/>
              </w:rPr>
            </w:pPr>
            <w:r>
              <w:rPr>
                <w:rFonts w:ascii="Arial" w:cs="Arial" w:eastAsia="Arial" w:hAnsi="Arial"/>
                <w:sz w:val="14"/>
                <w:szCs w:val="14"/>
                <w:b w:val="1"/>
                <w:bCs w:val="1"/>
                <w:color w:val="auto"/>
              </w:rPr>
              <w:t>Total Revenue</w:t>
            </w: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1,147,982</w:t>
            </w:r>
          </w:p>
        </w:tc>
        <w:tc>
          <w:tcPr>
            <w:tcW w:w="6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jc w:val="center"/>
              <w:ind w:right="168"/>
              <w:spacing w:after="0"/>
              <w:rPr>
                <w:sz w:val="20"/>
                <w:szCs w:val="20"/>
                <w:color w:val="auto"/>
              </w:rPr>
            </w:pPr>
            <w:r>
              <w:rPr>
                <w:rFonts w:ascii="Arial" w:cs="Arial" w:eastAsia="Arial" w:hAnsi="Arial"/>
                <w:sz w:val="14"/>
                <w:szCs w:val="14"/>
                <w:b w:val="1"/>
                <w:bCs w:val="1"/>
                <w:color w:val="auto"/>
                <w:w w:val="99"/>
              </w:rPr>
              <w:t>17%</w:t>
            </w:r>
          </w:p>
        </w:tc>
        <w:tc>
          <w:tcPr>
            <w:tcW w:w="940" w:type="dxa"/>
            <w:vAlign w:val="bottom"/>
          </w:tcPr>
          <w:p>
            <w:pPr>
              <w:jc w:val="center"/>
              <w:ind w:left="68"/>
              <w:spacing w:after="0"/>
              <w:rPr>
                <w:sz w:val="20"/>
                <w:szCs w:val="20"/>
                <w:color w:val="auto"/>
              </w:rPr>
            </w:pPr>
            <w:r>
              <w:rPr>
                <w:rFonts w:ascii="Arial" w:cs="Arial" w:eastAsia="Arial" w:hAnsi="Arial"/>
                <w:sz w:val="14"/>
                <w:szCs w:val="14"/>
                <w:b w:val="1"/>
                <w:bCs w:val="1"/>
                <w:color w:val="auto"/>
                <w:w w:val="99"/>
              </w:rPr>
              <w:t>47%</w:t>
            </w:r>
          </w:p>
        </w:tc>
        <w:tc>
          <w:tcPr>
            <w:tcW w:w="240" w:type="dxa"/>
            <w:vAlign w:val="bottom"/>
          </w:tcPr>
          <w:p>
            <w:pPr>
              <w:spacing w:after="0"/>
              <w:rPr>
                <w:sz w:val="14"/>
                <w:szCs w:val="1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984,449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778,766</w:t>
            </w:r>
          </w:p>
        </w:tc>
        <w:tc>
          <w:tcPr>
            <w:tcW w:w="20" w:type="dxa"/>
            <w:vAlign w:val="bottom"/>
          </w:tcPr>
          <w:p>
            <w:pPr>
              <w:spacing w:after="0"/>
              <w:rPr>
                <w:sz w:val="14"/>
                <w:szCs w:val="14"/>
                <w:color w:val="auto"/>
              </w:rPr>
            </w:pPr>
          </w:p>
        </w:tc>
      </w:tr>
      <w:tr>
        <w:trPr>
          <w:trHeight w:val="20"/>
        </w:trPr>
        <w:tc>
          <w:tcPr>
            <w:tcW w:w="4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____________</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Percentages are based on total revenue (excluding Linear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596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4"/>
          <w:szCs w:val="14"/>
          <w:b w:val="1"/>
          <w:bCs w:val="1"/>
          <w:color w:val="auto"/>
        </w:rPr>
        <w:t>Analog Devices, Second Quarter, Fiscal 2017</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Schedule E</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Reconciliation of Non-GAAP to GAAP Revenue and Earnings Measures (In thousands, except per-share amounts)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See "Non-GAAP Financial Information" in this press release for a description of the items excluded from our non-GAAP measures.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4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560" w:type="dxa"/>
            <w:vAlign w:val="bottom"/>
            <w:tcBorders>
              <w:top w:val="single" w:sz="8" w:color="auto"/>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6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tcPr>
          <w:p>
            <w:pPr>
              <w:jc w:val="center"/>
              <w:ind w:right="288"/>
              <w:spacing w:after="0" w:line="160" w:lineRule="exact"/>
              <w:rPr>
                <w:sz w:val="20"/>
                <w:szCs w:val="20"/>
                <w:color w:val="auto"/>
              </w:rPr>
            </w:pPr>
            <w:r>
              <w:rPr>
                <w:rFonts w:ascii="Arial" w:cs="Arial" w:eastAsia="Arial" w:hAnsi="Arial"/>
                <w:sz w:val="14"/>
                <w:szCs w:val="14"/>
                <w:b w:val="1"/>
                <w:bCs w:val="1"/>
                <w:color w:val="auto"/>
                <w:w w:val="99"/>
              </w:rPr>
              <w:t>2Q 17</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center"/>
              <w:ind w:right="268"/>
              <w:spacing w:after="0" w:line="160" w:lineRule="exact"/>
              <w:rPr>
                <w:sz w:val="20"/>
                <w:szCs w:val="20"/>
                <w:color w:val="auto"/>
              </w:rPr>
            </w:pPr>
            <w:r>
              <w:rPr>
                <w:rFonts w:ascii="Arial" w:cs="Arial" w:eastAsia="Arial" w:hAnsi="Arial"/>
                <w:sz w:val="14"/>
                <w:szCs w:val="14"/>
                <w:b w:val="1"/>
                <w:bCs w:val="1"/>
                <w:color w:val="auto"/>
                <w:w w:val="94"/>
              </w:rPr>
              <w:t>1Q 17</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tcPr>
          <w:p>
            <w:pPr>
              <w:jc w:val="center"/>
              <w:ind w:right="308"/>
              <w:spacing w:after="0" w:line="160" w:lineRule="exact"/>
              <w:rPr>
                <w:sz w:val="20"/>
                <w:szCs w:val="20"/>
                <w:color w:val="auto"/>
              </w:rPr>
            </w:pPr>
            <w:r>
              <w:rPr>
                <w:rFonts w:ascii="Arial" w:cs="Arial" w:eastAsia="Arial" w:hAnsi="Arial"/>
                <w:sz w:val="14"/>
                <w:szCs w:val="14"/>
                <w:b w:val="1"/>
                <w:bCs w:val="1"/>
                <w:color w:val="auto"/>
                <w:w w:val="94"/>
              </w:rPr>
              <w:t>2Q 16</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jc w:val="right"/>
              <w:ind w:right="488"/>
              <w:spacing w:after="0" w:line="149" w:lineRule="exact"/>
              <w:rPr>
                <w:sz w:val="20"/>
                <w:szCs w:val="20"/>
                <w:color w:val="auto"/>
              </w:rPr>
            </w:pPr>
            <w:r>
              <w:rPr>
                <w:rFonts w:ascii="Arial" w:cs="Arial" w:eastAsia="Arial" w:hAnsi="Arial"/>
                <w:sz w:val="14"/>
                <w:szCs w:val="14"/>
                <w:b w:val="1"/>
                <w:bCs w:val="1"/>
                <w:color w:val="auto"/>
              </w:rPr>
              <w:t>April 29,</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jc w:val="right"/>
              <w:ind w:right="468"/>
              <w:spacing w:after="0" w:line="149" w:lineRule="exact"/>
              <w:rPr>
                <w:sz w:val="20"/>
                <w:szCs w:val="20"/>
                <w:color w:val="auto"/>
              </w:rPr>
            </w:pPr>
            <w:r>
              <w:rPr>
                <w:rFonts w:ascii="Arial" w:cs="Arial" w:eastAsia="Arial" w:hAnsi="Arial"/>
                <w:sz w:val="14"/>
                <w:szCs w:val="14"/>
                <w:b w:val="1"/>
                <w:bCs w:val="1"/>
                <w:color w:val="auto"/>
              </w:rPr>
              <w:t>Jan. 28,</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jc w:val="right"/>
              <w:ind w:right="488"/>
              <w:spacing w:after="0" w:line="149" w:lineRule="exact"/>
              <w:rPr>
                <w:sz w:val="20"/>
                <w:szCs w:val="20"/>
                <w:color w:val="auto"/>
              </w:rPr>
            </w:pPr>
            <w:r>
              <w:rPr>
                <w:rFonts w:ascii="Arial" w:cs="Arial" w:eastAsia="Arial" w:hAnsi="Arial"/>
                <w:sz w:val="14"/>
                <w:szCs w:val="14"/>
                <w:b w:val="1"/>
                <w:bCs w:val="1"/>
                <w:color w:val="auto"/>
              </w:rPr>
              <w:t>April 30,</w:t>
            </w:r>
          </w:p>
        </w:tc>
        <w:tc>
          <w:tcPr>
            <w:tcW w:w="0" w:type="dxa"/>
            <w:vAlign w:val="bottom"/>
          </w:tcPr>
          <w:p>
            <w:pPr>
              <w:spacing w:after="0"/>
              <w:rPr>
                <w:sz w:val="1"/>
                <w:szCs w:val="1"/>
                <w:color w:val="auto"/>
              </w:rPr>
            </w:pPr>
          </w:p>
        </w:tc>
      </w:tr>
      <w:tr>
        <w:trPr>
          <w:trHeight w:val="185"/>
        </w:trPr>
        <w:tc>
          <w:tcPr>
            <w:tcW w:w="60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60"/>
        </w:trPr>
        <w:tc>
          <w:tcPr>
            <w:tcW w:w="6040" w:type="dxa"/>
            <w:vAlign w:val="bottom"/>
          </w:tcPr>
          <w:p>
            <w:pPr>
              <w:spacing w:after="0" w:line="160" w:lineRule="exact"/>
              <w:rPr>
                <w:sz w:val="20"/>
                <w:szCs w:val="20"/>
                <w:color w:val="auto"/>
              </w:rPr>
            </w:pPr>
            <w:r>
              <w:rPr>
                <w:rFonts w:ascii="Arial" w:cs="Arial" w:eastAsia="Arial" w:hAnsi="Arial"/>
                <w:sz w:val="14"/>
                <w:szCs w:val="14"/>
                <w:b w:val="1"/>
                <w:bCs w:val="1"/>
                <w:color w:val="auto"/>
              </w:rPr>
              <w:t>GAAP Revenue</w:t>
            </w:r>
          </w:p>
        </w:tc>
        <w:tc>
          <w:tcPr>
            <w:tcW w:w="340" w:type="dxa"/>
            <w:vAlign w:val="bottom"/>
          </w:tcPr>
          <w:p>
            <w:pPr>
              <w:jc w:val="right"/>
              <w:ind w:right="128"/>
              <w:spacing w:after="0" w:line="160" w:lineRule="exact"/>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228"/>
              <w:spacing w:after="0" w:line="160" w:lineRule="exact"/>
              <w:rPr>
                <w:sz w:val="20"/>
                <w:szCs w:val="20"/>
                <w:color w:val="auto"/>
              </w:rPr>
            </w:pPr>
            <w:r>
              <w:rPr>
                <w:rFonts w:ascii="Arial" w:cs="Arial" w:eastAsia="Arial" w:hAnsi="Arial"/>
                <w:sz w:val="14"/>
                <w:szCs w:val="14"/>
                <w:b w:val="1"/>
                <w:bCs w:val="1"/>
                <w:color w:val="auto"/>
              </w:rPr>
              <w:t>1,147,982</w:t>
            </w:r>
          </w:p>
        </w:tc>
        <w:tc>
          <w:tcPr>
            <w:tcW w:w="240" w:type="dxa"/>
            <w:vAlign w:val="bottom"/>
          </w:tcPr>
          <w:p>
            <w:pPr>
              <w:spacing w:after="0"/>
              <w:rPr>
                <w:sz w:val="13"/>
                <w:szCs w:val="13"/>
                <w:color w:val="auto"/>
              </w:rPr>
            </w:pPr>
          </w:p>
        </w:tc>
        <w:tc>
          <w:tcPr>
            <w:tcW w:w="340" w:type="dxa"/>
            <w:vAlign w:val="bottom"/>
          </w:tcPr>
          <w:p>
            <w:pPr>
              <w:jc w:val="right"/>
              <w:ind w:right="108"/>
              <w:spacing w:after="0" w:line="160" w:lineRule="exact"/>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328"/>
              <w:spacing w:after="0" w:line="160" w:lineRule="exact"/>
              <w:rPr>
                <w:sz w:val="20"/>
                <w:szCs w:val="20"/>
                <w:color w:val="auto"/>
              </w:rPr>
            </w:pPr>
            <w:r>
              <w:rPr>
                <w:rFonts w:ascii="Arial" w:cs="Arial" w:eastAsia="Arial" w:hAnsi="Arial"/>
                <w:sz w:val="14"/>
                <w:szCs w:val="14"/>
                <w:b w:val="1"/>
                <w:bCs w:val="1"/>
                <w:color w:val="auto"/>
              </w:rPr>
              <w:t>984,449</w:t>
            </w:r>
          </w:p>
        </w:tc>
        <w:tc>
          <w:tcPr>
            <w:tcW w:w="280" w:type="dxa"/>
            <w:vAlign w:val="bottom"/>
          </w:tcPr>
          <w:p>
            <w:pPr>
              <w:spacing w:after="0"/>
              <w:rPr>
                <w:sz w:val="13"/>
                <w:szCs w:val="13"/>
                <w:color w:val="auto"/>
              </w:rPr>
            </w:pPr>
          </w:p>
        </w:tc>
        <w:tc>
          <w:tcPr>
            <w:tcW w:w="360" w:type="dxa"/>
            <w:vAlign w:val="bottom"/>
          </w:tcPr>
          <w:p>
            <w:pPr>
              <w:jc w:val="right"/>
              <w:ind w:right="108"/>
              <w:spacing w:after="0" w:line="160" w:lineRule="exact"/>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388"/>
              <w:spacing w:after="0" w:line="160" w:lineRule="exact"/>
              <w:rPr>
                <w:sz w:val="20"/>
                <w:szCs w:val="20"/>
                <w:color w:val="auto"/>
              </w:rPr>
            </w:pPr>
            <w:r>
              <w:rPr>
                <w:rFonts w:ascii="Arial" w:cs="Arial" w:eastAsia="Arial" w:hAnsi="Arial"/>
                <w:sz w:val="14"/>
                <w:szCs w:val="14"/>
                <w:b w:val="1"/>
                <w:bCs w:val="1"/>
                <w:color w:val="auto"/>
              </w:rPr>
              <w:t>778,766</w:t>
            </w:r>
          </w:p>
        </w:tc>
        <w:tc>
          <w:tcPr>
            <w:tcW w:w="0" w:type="dxa"/>
            <w:vAlign w:val="bottom"/>
          </w:tcPr>
          <w:p>
            <w:pPr>
              <w:spacing w:after="0"/>
              <w:rPr>
                <w:sz w:val="1"/>
                <w:szCs w:val="1"/>
                <w:color w:val="auto"/>
              </w:rPr>
            </w:pPr>
          </w:p>
        </w:tc>
      </w:tr>
      <w:tr>
        <w:trPr>
          <w:trHeight w:val="176"/>
        </w:trPr>
        <w:tc>
          <w:tcPr>
            <w:tcW w:w="6040" w:type="dxa"/>
            <w:vAlign w:val="bottom"/>
          </w:tcPr>
          <w:p>
            <w:pPr>
              <w:ind w:left="140"/>
              <w:spacing w:after="0"/>
              <w:rPr>
                <w:sz w:val="20"/>
                <w:szCs w:val="20"/>
                <w:color w:val="auto"/>
              </w:rPr>
            </w:pPr>
            <w:r>
              <w:rPr>
                <w:rFonts w:ascii="Arial" w:cs="Arial" w:eastAsia="Arial" w:hAnsi="Arial"/>
                <w:sz w:val="14"/>
                <w:szCs w:val="14"/>
                <w:b w:val="1"/>
                <w:bCs w:val="1"/>
                <w:i w:val="1"/>
                <w:iCs w:val="1"/>
                <w:color w:val="auto"/>
              </w:rPr>
              <w:t>Y/Y Revenue growth %</w:t>
            </w:r>
          </w:p>
        </w:tc>
        <w:tc>
          <w:tcPr>
            <w:tcW w:w="340" w:type="dxa"/>
            <w:vAlign w:val="bottom"/>
          </w:tcPr>
          <w:p>
            <w:pPr>
              <w:spacing w:after="0"/>
              <w:rPr>
                <w:sz w:val="15"/>
                <w:szCs w:val="15"/>
                <w:color w:val="auto"/>
              </w:rPr>
            </w:pPr>
          </w:p>
        </w:tc>
        <w:tc>
          <w:tcPr>
            <w:tcW w:w="1300" w:type="dxa"/>
            <w:vAlign w:val="bottom"/>
          </w:tcPr>
          <w:p>
            <w:pPr>
              <w:jc w:val="right"/>
              <w:ind w:right="88"/>
              <w:spacing w:after="0"/>
              <w:rPr>
                <w:sz w:val="20"/>
                <w:szCs w:val="20"/>
                <w:color w:val="auto"/>
              </w:rPr>
            </w:pPr>
            <w:r>
              <w:rPr>
                <w:rFonts w:ascii="Arial" w:cs="Arial" w:eastAsia="Arial" w:hAnsi="Arial"/>
                <w:sz w:val="14"/>
                <w:szCs w:val="14"/>
                <w:b w:val="1"/>
                <w:bCs w:val="1"/>
                <w:color w:val="auto"/>
              </w:rPr>
              <w:t>47%</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188"/>
              <w:spacing w:after="0"/>
              <w:rPr>
                <w:sz w:val="20"/>
                <w:szCs w:val="20"/>
                <w:color w:val="auto"/>
              </w:rPr>
            </w:pPr>
            <w:r>
              <w:rPr>
                <w:rFonts w:ascii="Arial" w:cs="Arial" w:eastAsia="Arial" w:hAnsi="Arial"/>
                <w:sz w:val="14"/>
                <w:szCs w:val="14"/>
                <w:b w:val="1"/>
                <w:bCs w:val="1"/>
                <w:color w:val="auto"/>
              </w:rPr>
              <w:t>28%</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jc w:val="right"/>
              <w:ind w:right="188"/>
              <w:spacing w:after="0"/>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180"/>
        </w:trPr>
        <w:tc>
          <w:tcPr>
            <w:tcW w:w="6040" w:type="dxa"/>
            <w:vAlign w:val="bottom"/>
          </w:tcPr>
          <w:p>
            <w:pPr>
              <w:ind w:left="140"/>
              <w:spacing w:after="0"/>
              <w:rPr>
                <w:sz w:val="20"/>
                <w:szCs w:val="20"/>
                <w:color w:val="auto"/>
              </w:rPr>
            </w:pPr>
            <w:r>
              <w:rPr>
                <w:rFonts w:ascii="Arial" w:cs="Arial" w:eastAsia="Arial" w:hAnsi="Arial"/>
                <w:sz w:val="14"/>
                <w:szCs w:val="14"/>
                <w:b w:val="1"/>
                <w:bCs w:val="1"/>
                <w:i w:val="1"/>
                <w:iCs w:val="1"/>
                <w:color w:val="auto"/>
              </w:rPr>
              <w:t>Q/Q Revenue growth %</w:t>
            </w:r>
          </w:p>
        </w:tc>
        <w:tc>
          <w:tcPr>
            <w:tcW w:w="340" w:type="dxa"/>
            <w:vAlign w:val="bottom"/>
          </w:tcPr>
          <w:p>
            <w:pPr>
              <w:spacing w:after="0"/>
              <w:rPr>
                <w:sz w:val="15"/>
                <w:szCs w:val="15"/>
                <w:color w:val="auto"/>
              </w:rPr>
            </w:pPr>
          </w:p>
        </w:tc>
        <w:tc>
          <w:tcPr>
            <w:tcW w:w="1300" w:type="dxa"/>
            <w:vAlign w:val="bottom"/>
          </w:tcPr>
          <w:p>
            <w:pPr>
              <w:jc w:val="right"/>
              <w:ind w:right="88"/>
              <w:spacing w:after="0"/>
              <w:rPr>
                <w:sz w:val="20"/>
                <w:szCs w:val="20"/>
                <w:color w:val="auto"/>
              </w:rPr>
            </w:pPr>
            <w:r>
              <w:rPr>
                <w:rFonts w:ascii="Arial" w:cs="Arial" w:eastAsia="Arial" w:hAnsi="Arial"/>
                <w:sz w:val="14"/>
                <w:szCs w:val="14"/>
                <w:b w:val="1"/>
                <w:bCs w:val="1"/>
                <w:color w:val="auto"/>
              </w:rPr>
              <w:t>17%</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b w:val="1"/>
                <w:bCs w:val="1"/>
                <w:color w:val="auto"/>
              </w:rPr>
              <w:t>(2)%</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jc w:val="right"/>
              <w:ind w:right="248"/>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181"/>
        </w:trPr>
        <w:tc>
          <w:tcPr>
            <w:tcW w:w="6040" w:type="dxa"/>
            <w:vAlign w:val="bottom"/>
          </w:tcPr>
          <w:p>
            <w:pPr>
              <w:ind w:left="420"/>
              <w:spacing w:after="0"/>
              <w:rPr>
                <w:sz w:val="20"/>
                <w:szCs w:val="20"/>
                <w:color w:val="auto"/>
              </w:rPr>
            </w:pPr>
            <w:r>
              <w:rPr>
                <w:rFonts w:ascii="Arial" w:cs="Arial" w:eastAsia="Arial" w:hAnsi="Arial"/>
                <w:sz w:val="14"/>
                <w:szCs w:val="14"/>
                <w:color w:val="auto"/>
              </w:rPr>
              <w:t>Acquisition-Related Deferred Revenues</w:t>
            </w: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60,759</w:t>
            </w:r>
          </w:p>
        </w:tc>
        <w:tc>
          <w:tcPr>
            <w:tcW w:w="2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6040" w:type="dxa"/>
            <w:vAlign w:val="bottom"/>
          </w:tcPr>
          <w:p>
            <w:pPr>
              <w:spacing w:after="0"/>
              <w:rPr>
                <w:sz w:val="20"/>
                <w:szCs w:val="20"/>
                <w:color w:val="auto"/>
              </w:rPr>
            </w:pPr>
            <w:r>
              <w:rPr>
                <w:rFonts w:ascii="Arial" w:cs="Arial" w:eastAsia="Arial" w:hAnsi="Arial"/>
                <w:sz w:val="14"/>
                <w:szCs w:val="14"/>
                <w:b w:val="1"/>
                <w:bCs w:val="1"/>
                <w:color w:val="auto"/>
              </w:rPr>
              <w:t>Non-GAAP Revenue</w:t>
            </w:r>
          </w:p>
        </w:tc>
        <w:tc>
          <w:tcPr>
            <w:tcW w:w="3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1,208,741</w:t>
            </w:r>
          </w:p>
        </w:tc>
        <w:tc>
          <w:tcPr>
            <w:tcW w:w="58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984,449</w:t>
            </w:r>
          </w:p>
        </w:tc>
        <w:tc>
          <w:tcPr>
            <w:tcW w:w="64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778,766</w:t>
            </w:r>
          </w:p>
        </w:tc>
        <w:tc>
          <w:tcPr>
            <w:tcW w:w="0" w:type="dxa"/>
            <w:vAlign w:val="bottom"/>
          </w:tcPr>
          <w:p>
            <w:pPr>
              <w:spacing w:after="0"/>
              <w:rPr>
                <w:sz w:val="1"/>
                <w:szCs w:val="1"/>
                <w:color w:val="auto"/>
              </w:rPr>
            </w:pPr>
          </w:p>
        </w:tc>
      </w:tr>
      <w:tr>
        <w:trPr>
          <w:trHeight w:val="20"/>
        </w:trPr>
        <w:tc>
          <w:tcPr>
            <w:tcW w:w="6040" w:type="dxa"/>
            <w:vAlign w:val="bottom"/>
            <w:vMerge w:val="restart"/>
          </w:tcPr>
          <w:p>
            <w:pPr>
              <w:ind w:left="140"/>
              <w:spacing w:after="0"/>
              <w:rPr>
                <w:sz w:val="20"/>
                <w:szCs w:val="20"/>
                <w:color w:val="auto"/>
              </w:rPr>
            </w:pPr>
            <w:r>
              <w:rPr>
                <w:rFonts w:ascii="Arial" w:cs="Arial" w:eastAsia="Arial" w:hAnsi="Arial"/>
                <w:sz w:val="14"/>
                <w:szCs w:val="14"/>
                <w:b w:val="1"/>
                <w:bCs w:val="1"/>
                <w:i w:val="1"/>
                <w:iCs w:val="1"/>
                <w:color w:val="auto"/>
              </w:rPr>
              <w:t>Y/Y Revenue growth %</w:t>
            </w: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0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jc w:val="right"/>
              <w:ind w:right="88"/>
              <w:spacing w:after="0" w:line="147" w:lineRule="exact"/>
              <w:rPr>
                <w:sz w:val="20"/>
                <w:szCs w:val="20"/>
                <w:color w:val="auto"/>
              </w:rPr>
            </w:pPr>
            <w:r>
              <w:rPr>
                <w:rFonts w:ascii="Arial" w:cs="Arial" w:eastAsia="Arial" w:hAnsi="Arial"/>
                <w:sz w:val="14"/>
                <w:szCs w:val="14"/>
                <w:b w:val="1"/>
                <w:bCs w:val="1"/>
                <w:color w:val="auto"/>
              </w:rPr>
              <w:t>55%</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jc w:val="right"/>
              <w:ind w:right="188"/>
              <w:spacing w:after="0" w:line="147" w:lineRule="exact"/>
              <w:rPr>
                <w:sz w:val="20"/>
                <w:szCs w:val="20"/>
                <w:color w:val="auto"/>
              </w:rPr>
            </w:pPr>
            <w:r>
              <w:rPr>
                <w:rFonts w:ascii="Arial" w:cs="Arial" w:eastAsia="Arial" w:hAnsi="Arial"/>
                <w:sz w:val="14"/>
                <w:szCs w:val="14"/>
                <w:b w:val="1"/>
                <w:bCs w:val="1"/>
                <w:color w:val="auto"/>
              </w:rPr>
              <w:t>28%</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jc w:val="right"/>
              <w:ind w:right="188"/>
              <w:spacing w:after="0" w:line="147" w:lineRule="exact"/>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186"/>
        </w:trPr>
        <w:tc>
          <w:tcPr>
            <w:tcW w:w="6040" w:type="dxa"/>
            <w:vAlign w:val="bottom"/>
          </w:tcPr>
          <w:p>
            <w:pPr>
              <w:ind w:left="140"/>
              <w:spacing w:after="0"/>
              <w:rPr>
                <w:sz w:val="20"/>
                <w:szCs w:val="20"/>
                <w:color w:val="auto"/>
              </w:rPr>
            </w:pPr>
            <w:r>
              <w:rPr>
                <w:rFonts w:ascii="Arial" w:cs="Arial" w:eastAsia="Arial" w:hAnsi="Arial"/>
                <w:sz w:val="14"/>
                <w:szCs w:val="14"/>
                <w:b w:val="1"/>
                <w:bCs w:val="1"/>
                <w:i w:val="1"/>
                <w:iCs w:val="1"/>
                <w:color w:val="auto"/>
              </w:rPr>
              <w:t>Q/Q Revenue growth %</w:t>
            </w:r>
          </w:p>
        </w:tc>
        <w:tc>
          <w:tcPr>
            <w:tcW w:w="340" w:type="dxa"/>
            <w:vAlign w:val="bottom"/>
          </w:tcPr>
          <w:p>
            <w:pPr>
              <w:spacing w:after="0"/>
              <w:rPr>
                <w:sz w:val="16"/>
                <w:szCs w:val="16"/>
                <w:color w:val="auto"/>
              </w:rPr>
            </w:pPr>
          </w:p>
        </w:tc>
        <w:tc>
          <w:tcPr>
            <w:tcW w:w="1300" w:type="dxa"/>
            <w:vAlign w:val="bottom"/>
          </w:tcPr>
          <w:p>
            <w:pPr>
              <w:jc w:val="right"/>
              <w:ind w:right="88"/>
              <w:spacing w:after="0"/>
              <w:rPr>
                <w:sz w:val="20"/>
                <w:szCs w:val="20"/>
                <w:color w:val="auto"/>
              </w:rPr>
            </w:pPr>
            <w:r>
              <w:rPr>
                <w:rFonts w:ascii="Arial" w:cs="Arial" w:eastAsia="Arial" w:hAnsi="Arial"/>
                <w:sz w:val="14"/>
                <w:szCs w:val="14"/>
                <w:b w:val="1"/>
                <w:bCs w:val="1"/>
                <w:color w:val="auto"/>
              </w:rPr>
              <w:t>23%</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b w:val="1"/>
                <w:bCs w:val="1"/>
                <w:color w:val="auto"/>
              </w:rPr>
              <w:t>(2)%</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jc w:val="right"/>
              <w:ind w:right="248"/>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340"/>
        </w:trPr>
        <w:tc>
          <w:tcPr>
            <w:tcW w:w="6040" w:type="dxa"/>
            <w:vAlign w:val="bottom"/>
          </w:tcPr>
          <w:p>
            <w:pPr>
              <w:spacing w:after="0"/>
              <w:rPr>
                <w:sz w:val="20"/>
                <w:szCs w:val="20"/>
                <w:color w:val="auto"/>
              </w:rPr>
            </w:pPr>
            <w:r>
              <w:rPr>
                <w:rFonts w:ascii="Arial" w:cs="Arial" w:eastAsia="Arial" w:hAnsi="Arial"/>
                <w:sz w:val="14"/>
                <w:szCs w:val="14"/>
                <w:b w:val="1"/>
                <w:bCs w:val="1"/>
                <w:color w:val="auto"/>
              </w:rPr>
              <w:t>GAAP Gross Margin</w:t>
            </w:r>
          </w:p>
        </w:tc>
        <w:tc>
          <w:tcPr>
            <w:tcW w:w="34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228"/>
              <w:spacing w:after="0"/>
              <w:rPr>
                <w:sz w:val="20"/>
                <w:szCs w:val="20"/>
                <w:color w:val="auto"/>
              </w:rPr>
            </w:pPr>
            <w:r>
              <w:rPr>
                <w:rFonts w:ascii="Arial" w:cs="Arial" w:eastAsia="Arial" w:hAnsi="Arial"/>
                <w:sz w:val="14"/>
                <w:szCs w:val="14"/>
                <w:b w:val="1"/>
                <w:bCs w:val="1"/>
                <w:color w:val="auto"/>
              </w:rPr>
              <w:t>640,443</w:t>
            </w:r>
          </w:p>
        </w:tc>
        <w:tc>
          <w:tcPr>
            <w:tcW w:w="58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328"/>
              <w:spacing w:after="0"/>
              <w:rPr>
                <w:sz w:val="20"/>
                <w:szCs w:val="20"/>
                <w:color w:val="auto"/>
              </w:rPr>
            </w:pPr>
            <w:r>
              <w:rPr>
                <w:rFonts w:ascii="Arial" w:cs="Arial" w:eastAsia="Arial" w:hAnsi="Arial"/>
                <w:sz w:val="14"/>
                <w:szCs w:val="14"/>
                <w:b w:val="1"/>
                <w:bCs w:val="1"/>
                <w:color w:val="auto"/>
              </w:rPr>
              <w:t>648,504</w:t>
            </w:r>
          </w:p>
        </w:tc>
        <w:tc>
          <w:tcPr>
            <w:tcW w:w="64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388"/>
              <w:spacing w:after="0"/>
              <w:rPr>
                <w:sz w:val="20"/>
                <w:szCs w:val="20"/>
                <w:color w:val="auto"/>
              </w:rPr>
            </w:pPr>
            <w:r>
              <w:rPr>
                <w:rFonts w:ascii="Arial" w:cs="Arial" w:eastAsia="Arial" w:hAnsi="Arial"/>
                <w:sz w:val="14"/>
                <w:szCs w:val="14"/>
                <w:b w:val="1"/>
                <w:bCs w:val="1"/>
                <w:color w:val="auto"/>
              </w:rPr>
              <w:t>510,903</w:t>
            </w:r>
          </w:p>
        </w:tc>
        <w:tc>
          <w:tcPr>
            <w:tcW w:w="0" w:type="dxa"/>
            <w:vAlign w:val="bottom"/>
          </w:tcPr>
          <w:p>
            <w:pPr>
              <w:spacing w:after="0"/>
              <w:rPr>
                <w:sz w:val="1"/>
                <w:szCs w:val="1"/>
                <w:color w:val="auto"/>
              </w:rPr>
            </w:pPr>
          </w:p>
        </w:tc>
      </w:tr>
      <w:tr>
        <w:trPr>
          <w:trHeight w:val="180"/>
        </w:trPr>
        <w:tc>
          <w:tcPr>
            <w:tcW w:w="6040" w:type="dxa"/>
            <w:vAlign w:val="bottom"/>
          </w:tcPr>
          <w:p>
            <w:pPr>
              <w:ind w:left="140"/>
              <w:spacing w:after="0"/>
              <w:rPr>
                <w:sz w:val="20"/>
                <w:szCs w:val="20"/>
                <w:color w:val="auto"/>
              </w:rPr>
            </w:pPr>
            <w:r>
              <w:rPr>
                <w:rFonts w:ascii="Arial" w:cs="Arial" w:eastAsia="Arial" w:hAnsi="Arial"/>
                <w:sz w:val="14"/>
                <w:szCs w:val="14"/>
                <w:b w:val="1"/>
                <w:bCs w:val="1"/>
                <w:i w:val="1"/>
                <w:iCs w:val="1"/>
                <w:color w:val="auto"/>
              </w:rPr>
              <w:t>Gross Margin Percentage</w:t>
            </w:r>
          </w:p>
        </w:tc>
        <w:tc>
          <w:tcPr>
            <w:tcW w:w="340" w:type="dxa"/>
            <w:vAlign w:val="bottom"/>
          </w:tcPr>
          <w:p>
            <w:pPr>
              <w:spacing w:after="0"/>
              <w:rPr>
                <w:sz w:val="15"/>
                <w:szCs w:val="15"/>
                <w:color w:val="auto"/>
              </w:rPr>
            </w:pPr>
          </w:p>
        </w:tc>
        <w:tc>
          <w:tcPr>
            <w:tcW w:w="1300" w:type="dxa"/>
            <w:vAlign w:val="bottom"/>
          </w:tcPr>
          <w:p>
            <w:pPr>
              <w:jc w:val="right"/>
              <w:ind w:right="88"/>
              <w:spacing w:after="0"/>
              <w:rPr>
                <w:sz w:val="20"/>
                <w:szCs w:val="20"/>
                <w:color w:val="auto"/>
              </w:rPr>
            </w:pPr>
            <w:r>
              <w:rPr>
                <w:rFonts w:ascii="Arial" w:cs="Arial" w:eastAsia="Arial" w:hAnsi="Arial"/>
                <w:sz w:val="14"/>
                <w:szCs w:val="14"/>
                <w:b w:val="1"/>
                <w:bCs w:val="1"/>
                <w:color w:val="auto"/>
              </w:rPr>
              <w:t>55.8%</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188"/>
              <w:spacing w:after="0"/>
              <w:rPr>
                <w:sz w:val="20"/>
                <w:szCs w:val="20"/>
                <w:color w:val="auto"/>
              </w:rPr>
            </w:pPr>
            <w:r>
              <w:rPr>
                <w:rFonts w:ascii="Arial" w:cs="Arial" w:eastAsia="Arial" w:hAnsi="Arial"/>
                <w:sz w:val="14"/>
                <w:szCs w:val="14"/>
                <w:b w:val="1"/>
                <w:bCs w:val="1"/>
                <w:color w:val="auto"/>
              </w:rPr>
              <w:t>65.9%</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jc w:val="right"/>
              <w:ind w:right="248"/>
              <w:spacing w:after="0"/>
              <w:rPr>
                <w:sz w:val="20"/>
                <w:szCs w:val="20"/>
                <w:color w:val="auto"/>
              </w:rPr>
            </w:pPr>
            <w:r>
              <w:rPr>
                <w:rFonts w:ascii="Arial" w:cs="Arial" w:eastAsia="Arial" w:hAnsi="Arial"/>
                <w:sz w:val="14"/>
                <w:szCs w:val="14"/>
                <w:b w:val="1"/>
                <w:bCs w:val="1"/>
                <w:color w:val="auto"/>
              </w:rPr>
              <w:t>65.6%</w:t>
            </w:r>
          </w:p>
        </w:tc>
        <w:tc>
          <w:tcPr>
            <w:tcW w:w="0" w:type="dxa"/>
            <w:vAlign w:val="bottom"/>
          </w:tcPr>
          <w:p>
            <w:pPr>
              <w:spacing w:after="0"/>
              <w:rPr>
                <w:sz w:val="1"/>
                <w:szCs w:val="1"/>
                <w:color w:val="auto"/>
              </w:rPr>
            </w:pPr>
          </w:p>
        </w:tc>
      </w:tr>
      <w:tr>
        <w:trPr>
          <w:trHeight w:val="176"/>
        </w:trPr>
        <w:tc>
          <w:tcPr>
            <w:tcW w:w="6040" w:type="dxa"/>
            <w:vAlign w:val="bottom"/>
          </w:tcPr>
          <w:p>
            <w:pPr>
              <w:ind w:left="420"/>
              <w:spacing w:after="0"/>
              <w:rPr>
                <w:sz w:val="20"/>
                <w:szCs w:val="20"/>
                <w:color w:val="auto"/>
              </w:rPr>
            </w:pPr>
            <w:r>
              <w:rPr>
                <w:rFonts w:ascii="Arial" w:cs="Arial" w:eastAsia="Arial" w:hAnsi="Arial"/>
                <w:sz w:val="14"/>
                <w:szCs w:val="14"/>
                <w:color w:val="auto"/>
              </w:rPr>
              <w:t>Acquisition-Related Deferred Revenues</w:t>
            </w:r>
          </w:p>
        </w:tc>
        <w:tc>
          <w:tcPr>
            <w:tcW w:w="340" w:type="dxa"/>
            <w:vAlign w:val="bottom"/>
          </w:tcPr>
          <w:p>
            <w:pPr>
              <w:spacing w:after="0"/>
              <w:rPr>
                <w:sz w:val="15"/>
                <w:szCs w:val="15"/>
                <w:color w:val="auto"/>
              </w:rPr>
            </w:pPr>
          </w:p>
        </w:tc>
        <w:tc>
          <w:tcPr>
            <w:tcW w:w="1300" w:type="dxa"/>
            <w:vAlign w:val="bottom"/>
          </w:tcPr>
          <w:p>
            <w:pPr>
              <w:jc w:val="right"/>
              <w:ind w:right="228"/>
              <w:spacing w:after="0"/>
              <w:rPr>
                <w:sz w:val="20"/>
                <w:szCs w:val="20"/>
                <w:color w:val="auto"/>
              </w:rPr>
            </w:pPr>
            <w:r>
              <w:rPr>
                <w:rFonts w:ascii="Arial" w:cs="Arial" w:eastAsia="Arial" w:hAnsi="Arial"/>
                <w:sz w:val="14"/>
                <w:szCs w:val="14"/>
                <w:color w:val="auto"/>
              </w:rPr>
              <w:t>46,480</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040" w:type="dxa"/>
            <w:vAlign w:val="bottom"/>
          </w:tcPr>
          <w:p>
            <w:pPr>
              <w:ind w:left="420"/>
              <w:spacing w:after="0"/>
              <w:rPr>
                <w:sz w:val="20"/>
                <w:szCs w:val="20"/>
                <w:color w:val="auto"/>
              </w:rPr>
            </w:pPr>
            <w:r>
              <w:rPr>
                <w:rFonts w:ascii="Arial" w:cs="Arial" w:eastAsia="Arial" w:hAnsi="Arial"/>
                <w:sz w:val="14"/>
                <w:szCs w:val="14"/>
                <w:color w:val="auto"/>
              </w:rPr>
              <w:t>Acquisition-Related Expenses</w:t>
            </w:r>
          </w:p>
        </w:tc>
        <w:tc>
          <w:tcPr>
            <w:tcW w:w="340" w:type="dxa"/>
            <w:vAlign w:val="bottom"/>
          </w:tcPr>
          <w:p>
            <w:pPr>
              <w:spacing w:after="0"/>
              <w:rPr>
                <w:sz w:val="15"/>
                <w:szCs w:val="15"/>
                <w:color w:val="auto"/>
              </w:rPr>
            </w:pPr>
          </w:p>
        </w:tc>
        <w:tc>
          <w:tcPr>
            <w:tcW w:w="1300" w:type="dxa"/>
            <w:vAlign w:val="bottom"/>
          </w:tcPr>
          <w:p>
            <w:pPr>
              <w:jc w:val="right"/>
              <w:ind w:right="228"/>
              <w:spacing w:after="0"/>
              <w:rPr>
                <w:sz w:val="20"/>
                <w:szCs w:val="20"/>
                <w:color w:val="auto"/>
              </w:rPr>
            </w:pPr>
            <w:r>
              <w:rPr>
                <w:rFonts w:ascii="Arial" w:cs="Arial" w:eastAsia="Arial" w:hAnsi="Arial"/>
                <w:sz w:val="14"/>
                <w:szCs w:val="14"/>
                <w:color w:val="auto"/>
              </w:rPr>
              <w:t>150,532</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328"/>
              <w:spacing w:after="0"/>
              <w:rPr>
                <w:sz w:val="20"/>
                <w:szCs w:val="20"/>
                <w:color w:val="auto"/>
              </w:rPr>
            </w:pPr>
            <w:r>
              <w:rPr>
                <w:rFonts w:ascii="Arial" w:cs="Arial" w:eastAsia="Arial" w:hAnsi="Arial"/>
                <w:sz w:val="14"/>
                <w:szCs w:val="14"/>
                <w:color w:val="auto"/>
              </w:rPr>
              <w:t>2,178</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jc w:val="right"/>
              <w:ind w:right="388"/>
              <w:spacing w:after="0"/>
              <w:rPr>
                <w:sz w:val="20"/>
                <w:szCs w:val="20"/>
                <w:color w:val="auto"/>
              </w:rPr>
            </w:pPr>
            <w:r>
              <w:rPr>
                <w:rFonts w:ascii="Arial" w:cs="Arial" w:eastAsia="Arial" w:hAnsi="Arial"/>
                <w:sz w:val="14"/>
                <w:szCs w:val="14"/>
                <w:color w:val="auto"/>
              </w:rPr>
              <w:t>1,476</w:t>
            </w:r>
          </w:p>
        </w:tc>
        <w:tc>
          <w:tcPr>
            <w:tcW w:w="0" w:type="dxa"/>
            <w:vAlign w:val="bottom"/>
          </w:tcPr>
          <w:p>
            <w:pPr>
              <w:spacing w:after="0"/>
              <w:rPr>
                <w:sz w:val="1"/>
                <w:szCs w:val="1"/>
                <w:color w:val="auto"/>
              </w:rPr>
            </w:pPr>
          </w:p>
        </w:tc>
      </w:tr>
      <w:tr>
        <w:trPr>
          <w:trHeight w:val="181"/>
        </w:trPr>
        <w:tc>
          <w:tcPr>
            <w:tcW w:w="6040" w:type="dxa"/>
            <w:vAlign w:val="bottom"/>
          </w:tcPr>
          <w:p>
            <w:pPr>
              <w:ind w:left="420"/>
              <w:spacing w:after="0"/>
              <w:rPr>
                <w:sz w:val="20"/>
                <w:szCs w:val="20"/>
                <w:color w:val="auto"/>
              </w:rPr>
            </w:pPr>
            <w:r>
              <w:rPr>
                <w:rFonts w:ascii="Arial" w:cs="Arial" w:eastAsia="Arial" w:hAnsi="Arial"/>
                <w:sz w:val="14"/>
                <w:szCs w:val="14"/>
                <w:color w:val="auto"/>
              </w:rPr>
              <w:t>Acquisition-Related Transaction Costs</w:t>
            </w: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200</w:t>
            </w:r>
          </w:p>
        </w:tc>
        <w:tc>
          <w:tcPr>
            <w:tcW w:w="2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6040" w:type="dxa"/>
            <w:vAlign w:val="bottom"/>
          </w:tcPr>
          <w:p>
            <w:pPr>
              <w:spacing w:after="0"/>
              <w:rPr>
                <w:sz w:val="20"/>
                <w:szCs w:val="20"/>
                <w:color w:val="auto"/>
              </w:rPr>
            </w:pPr>
            <w:r>
              <w:rPr>
                <w:rFonts w:ascii="Arial" w:cs="Arial" w:eastAsia="Arial" w:hAnsi="Arial"/>
                <w:sz w:val="14"/>
                <w:szCs w:val="14"/>
                <w:b w:val="1"/>
                <w:bCs w:val="1"/>
                <w:color w:val="auto"/>
              </w:rPr>
              <w:t>Non-GAAP Gross Margin</w:t>
            </w:r>
          </w:p>
        </w:tc>
        <w:tc>
          <w:tcPr>
            <w:tcW w:w="3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837,655</w:t>
            </w:r>
          </w:p>
        </w:tc>
        <w:tc>
          <w:tcPr>
            <w:tcW w:w="58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650,682</w:t>
            </w:r>
          </w:p>
        </w:tc>
        <w:tc>
          <w:tcPr>
            <w:tcW w:w="64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512,379</w:t>
            </w:r>
          </w:p>
        </w:tc>
        <w:tc>
          <w:tcPr>
            <w:tcW w:w="0" w:type="dxa"/>
            <w:vAlign w:val="bottom"/>
          </w:tcPr>
          <w:p>
            <w:pPr>
              <w:spacing w:after="0"/>
              <w:rPr>
                <w:sz w:val="1"/>
                <w:szCs w:val="1"/>
                <w:color w:val="auto"/>
              </w:rPr>
            </w:pPr>
          </w:p>
        </w:tc>
      </w:tr>
      <w:tr>
        <w:trPr>
          <w:trHeight w:val="20"/>
        </w:trPr>
        <w:tc>
          <w:tcPr>
            <w:tcW w:w="6040" w:type="dxa"/>
            <w:vAlign w:val="bottom"/>
            <w:vMerge w:val="restart"/>
          </w:tcPr>
          <w:p>
            <w:pPr>
              <w:ind w:left="140"/>
              <w:spacing w:after="0"/>
              <w:rPr>
                <w:sz w:val="20"/>
                <w:szCs w:val="20"/>
                <w:color w:val="auto"/>
              </w:rPr>
            </w:pPr>
            <w:r>
              <w:rPr>
                <w:rFonts w:ascii="Arial" w:cs="Arial" w:eastAsia="Arial" w:hAnsi="Arial"/>
                <w:sz w:val="14"/>
                <w:szCs w:val="14"/>
                <w:b w:val="1"/>
                <w:bCs w:val="1"/>
                <w:i w:val="1"/>
                <w:iCs w:val="1"/>
                <w:color w:val="auto"/>
              </w:rPr>
              <w:t>Gross Margin Percentage</w:t>
            </w: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jc w:val="right"/>
              <w:ind w:right="108"/>
              <w:spacing w:after="0"/>
              <w:rPr>
                <w:sz w:val="20"/>
                <w:szCs w:val="20"/>
                <w:color w:val="auto"/>
              </w:rPr>
            </w:pPr>
            <w:r>
              <w:rPr>
                <w:rFonts w:ascii="Arial" w:cs="Arial" w:eastAsia="Arial" w:hAnsi="Arial"/>
                <w:sz w:val="14"/>
                <w:szCs w:val="14"/>
                <w:b w:val="1"/>
                <w:bCs w:val="1"/>
                <w:i w:val="1"/>
                <w:iCs w:val="1"/>
                <w:color w:val="auto"/>
              </w:rPr>
              <w:t>69.3%</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ind w:right="208"/>
              <w:spacing w:after="0"/>
              <w:rPr>
                <w:sz w:val="20"/>
                <w:szCs w:val="20"/>
                <w:color w:val="auto"/>
              </w:rPr>
            </w:pPr>
            <w:r>
              <w:rPr>
                <w:rFonts w:ascii="Arial" w:cs="Arial" w:eastAsia="Arial" w:hAnsi="Arial"/>
                <w:sz w:val="14"/>
                <w:szCs w:val="14"/>
                <w:b w:val="1"/>
                <w:bCs w:val="1"/>
                <w:i w:val="1"/>
                <w:iCs w:val="1"/>
                <w:color w:val="auto"/>
              </w:rPr>
              <w:t>66.1%</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jc w:val="right"/>
              <w:ind w:right="268"/>
              <w:spacing w:after="0"/>
              <w:rPr>
                <w:sz w:val="20"/>
                <w:szCs w:val="20"/>
                <w:color w:val="auto"/>
              </w:rPr>
            </w:pPr>
            <w:r>
              <w:rPr>
                <w:rFonts w:ascii="Arial" w:cs="Arial" w:eastAsia="Arial" w:hAnsi="Arial"/>
                <w:sz w:val="14"/>
                <w:szCs w:val="14"/>
                <w:b w:val="1"/>
                <w:bCs w:val="1"/>
                <w:i w:val="1"/>
                <w:iCs w:val="1"/>
                <w:color w:val="auto"/>
              </w:rPr>
              <w:t>65.8%</w:t>
            </w:r>
          </w:p>
        </w:tc>
        <w:tc>
          <w:tcPr>
            <w:tcW w:w="0" w:type="dxa"/>
            <w:vAlign w:val="bottom"/>
          </w:tcPr>
          <w:p>
            <w:pPr>
              <w:spacing w:after="0"/>
              <w:rPr>
                <w:sz w:val="1"/>
                <w:szCs w:val="1"/>
                <w:color w:val="auto"/>
              </w:rPr>
            </w:pPr>
          </w:p>
        </w:tc>
      </w:tr>
      <w:tr>
        <w:trPr>
          <w:trHeight w:val="339"/>
        </w:trPr>
        <w:tc>
          <w:tcPr>
            <w:tcW w:w="6040" w:type="dxa"/>
            <w:vAlign w:val="bottom"/>
          </w:tcPr>
          <w:p>
            <w:pPr>
              <w:spacing w:after="0"/>
              <w:rPr>
                <w:sz w:val="20"/>
                <w:szCs w:val="20"/>
                <w:color w:val="auto"/>
              </w:rPr>
            </w:pPr>
            <w:r>
              <w:rPr>
                <w:rFonts w:ascii="Arial" w:cs="Arial" w:eastAsia="Arial" w:hAnsi="Arial"/>
                <w:sz w:val="14"/>
                <w:szCs w:val="14"/>
                <w:b w:val="1"/>
                <w:bCs w:val="1"/>
                <w:color w:val="auto"/>
              </w:rPr>
              <w:t>GAAP Operating Expenses</w:t>
            </w:r>
          </w:p>
        </w:tc>
        <w:tc>
          <w:tcPr>
            <w:tcW w:w="34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228"/>
              <w:spacing w:after="0"/>
              <w:rPr>
                <w:sz w:val="20"/>
                <w:szCs w:val="20"/>
                <w:color w:val="auto"/>
              </w:rPr>
            </w:pPr>
            <w:r>
              <w:rPr>
                <w:rFonts w:ascii="Arial" w:cs="Arial" w:eastAsia="Arial" w:hAnsi="Arial"/>
                <w:sz w:val="14"/>
                <w:szCs w:val="14"/>
                <w:b w:val="1"/>
                <w:bCs w:val="1"/>
                <w:color w:val="auto"/>
              </w:rPr>
              <w:t>494,608</w:t>
            </w:r>
          </w:p>
        </w:tc>
        <w:tc>
          <w:tcPr>
            <w:tcW w:w="58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328"/>
              <w:spacing w:after="0"/>
              <w:rPr>
                <w:sz w:val="20"/>
                <w:szCs w:val="20"/>
                <w:color w:val="auto"/>
              </w:rPr>
            </w:pPr>
            <w:r>
              <w:rPr>
                <w:rFonts w:ascii="Arial" w:cs="Arial" w:eastAsia="Arial" w:hAnsi="Arial"/>
                <w:sz w:val="14"/>
                <w:szCs w:val="14"/>
                <w:b w:val="1"/>
                <w:bCs w:val="1"/>
                <w:color w:val="auto"/>
              </w:rPr>
              <w:t>382,236</w:t>
            </w:r>
          </w:p>
        </w:tc>
        <w:tc>
          <w:tcPr>
            <w:tcW w:w="64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388"/>
              <w:spacing w:after="0"/>
              <w:rPr>
                <w:sz w:val="20"/>
                <w:szCs w:val="20"/>
                <w:color w:val="auto"/>
              </w:rPr>
            </w:pPr>
            <w:r>
              <w:rPr>
                <w:rFonts w:ascii="Arial" w:cs="Arial" w:eastAsia="Arial" w:hAnsi="Arial"/>
                <w:sz w:val="14"/>
                <w:szCs w:val="14"/>
                <w:b w:val="1"/>
                <w:bCs w:val="1"/>
                <w:color w:val="auto"/>
              </w:rPr>
              <w:t>303,524</w:t>
            </w:r>
          </w:p>
        </w:tc>
        <w:tc>
          <w:tcPr>
            <w:tcW w:w="0" w:type="dxa"/>
            <w:vAlign w:val="bottom"/>
          </w:tcPr>
          <w:p>
            <w:pPr>
              <w:spacing w:after="0"/>
              <w:rPr>
                <w:sz w:val="1"/>
                <w:szCs w:val="1"/>
                <w:color w:val="auto"/>
              </w:rPr>
            </w:pPr>
          </w:p>
        </w:tc>
      </w:tr>
      <w:tr>
        <w:trPr>
          <w:trHeight w:val="176"/>
        </w:trPr>
        <w:tc>
          <w:tcPr>
            <w:tcW w:w="6040" w:type="dxa"/>
            <w:vAlign w:val="bottom"/>
          </w:tcPr>
          <w:p>
            <w:pPr>
              <w:ind w:left="140"/>
              <w:spacing w:after="0"/>
              <w:rPr>
                <w:sz w:val="20"/>
                <w:szCs w:val="20"/>
                <w:color w:val="auto"/>
              </w:rPr>
            </w:pPr>
            <w:r>
              <w:rPr>
                <w:rFonts w:ascii="Arial" w:cs="Arial" w:eastAsia="Arial" w:hAnsi="Arial"/>
                <w:sz w:val="14"/>
                <w:szCs w:val="14"/>
                <w:b w:val="1"/>
                <w:bCs w:val="1"/>
                <w:i w:val="1"/>
                <w:iCs w:val="1"/>
                <w:color w:val="auto"/>
              </w:rPr>
              <w:t>Percent of Revenue</w:t>
            </w:r>
          </w:p>
        </w:tc>
        <w:tc>
          <w:tcPr>
            <w:tcW w:w="340" w:type="dxa"/>
            <w:vAlign w:val="bottom"/>
          </w:tcPr>
          <w:p>
            <w:pPr>
              <w:spacing w:after="0"/>
              <w:rPr>
                <w:sz w:val="15"/>
                <w:szCs w:val="15"/>
                <w:color w:val="auto"/>
              </w:rPr>
            </w:pPr>
          </w:p>
        </w:tc>
        <w:tc>
          <w:tcPr>
            <w:tcW w:w="1300" w:type="dxa"/>
            <w:vAlign w:val="bottom"/>
          </w:tcPr>
          <w:p>
            <w:pPr>
              <w:jc w:val="right"/>
              <w:ind w:right="108"/>
              <w:spacing w:after="0"/>
              <w:rPr>
                <w:sz w:val="20"/>
                <w:szCs w:val="20"/>
                <w:color w:val="auto"/>
              </w:rPr>
            </w:pPr>
            <w:r>
              <w:rPr>
                <w:rFonts w:ascii="Arial" w:cs="Arial" w:eastAsia="Arial" w:hAnsi="Arial"/>
                <w:sz w:val="14"/>
                <w:szCs w:val="14"/>
                <w:b w:val="1"/>
                <w:bCs w:val="1"/>
                <w:i w:val="1"/>
                <w:iCs w:val="1"/>
                <w:color w:val="auto"/>
              </w:rPr>
              <w:t>43.1%</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208"/>
              <w:spacing w:after="0"/>
              <w:rPr>
                <w:sz w:val="20"/>
                <w:szCs w:val="20"/>
                <w:color w:val="auto"/>
              </w:rPr>
            </w:pPr>
            <w:r>
              <w:rPr>
                <w:rFonts w:ascii="Arial" w:cs="Arial" w:eastAsia="Arial" w:hAnsi="Arial"/>
                <w:sz w:val="14"/>
                <w:szCs w:val="14"/>
                <w:b w:val="1"/>
                <w:bCs w:val="1"/>
                <w:i w:val="1"/>
                <w:iCs w:val="1"/>
                <w:color w:val="auto"/>
              </w:rPr>
              <w:t>38.8%</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jc w:val="right"/>
              <w:ind w:right="268"/>
              <w:spacing w:after="0"/>
              <w:rPr>
                <w:sz w:val="20"/>
                <w:szCs w:val="20"/>
                <w:color w:val="auto"/>
              </w:rPr>
            </w:pPr>
            <w:r>
              <w:rPr>
                <w:rFonts w:ascii="Arial" w:cs="Arial" w:eastAsia="Arial" w:hAnsi="Arial"/>
                <w:sz w:val="14"/>
                <w:szCs w:val="14"/>
                <w:b w:val="1"/>
                <w:bCs w:val="1"/>
                <w:i w:val="1"/>
                <w:iCs w:val="1"/>
                <w:color w:val="auto"/>
              </w:rPr>
              <w:t>39.0%</w:t>
            </w:r>
          </w:p>
        </w:tc>
        <w:tc>
          <w:tcPr>
            <w:tcW w:w="0" w:type="dxa"/>
            <w:vAlign w:val="bottom"/>
          </w:tcPr>
          <w:p>
            <w:pPr>
              <w:spacing w:after="0"/>
              <w:rPr>
                <w:sz w:val="1"/>
                <w:szCs w:val="1"/>
                <w:color w:val="auto"/>
              </w:rPr>
            </w:pPr>
          </w:p>
        </w:tc>
      </w:tr>
      <w:tr>
        <w:trPr>
          <w:trHeight w:val="176"/>
        </w:trPr>
        <w:tc>
          <w:tcPr>
            <w:tcW w:w="6040" w:type="dxa"/>
            <w:vAlign w:val="bottom"/>
          </w:tcPr>
          <w:p>
            <w:pPr>
              <w:ind w:left="420"/>
              <w:spacing w:after="0"/>
              <w:rPr>
                <w:sz w:val="20"/>
                <w:szCs w:val="20"/>
                <w:color w:val="auto"/>
              </w:rPr>
            </w:pPr>
            <w:r>
              <w:rPr>
                <w:rFonts w:ascii="Arial" w:cs="Arial" w:eastAsia="Arial" w:hAnsi="Arial"/>
                <w:sz w:val="14"/>
                <w:szCs w:val="14"/>
                <w:color w:val="auto"/>
              </w:rPr>
              <w:t>Acquisition-Related Expenses</w:t>
            </w:r>
          </w:p>
        </w:tc>
        <w:tc>
          <w:tcPr>
            <w:tcW w:w="340" w:type="dxa"/>
            <w:vAlign w:val="bottom"/>
          </w:tcPr>
          <w:p>
            <w:pPr>
              <w:spacing w:after="0"/>
              <w:rPr>
                <w:sz w:val="15"/>
                <w:szCs w:val="15"/>
                <w:color w:val="auto"/>
              </w:rPr>
            </w:pP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(74,861)</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288"/>
              <w:spacing w:after="0"/>
              <w:rPr>
                <w:sz w:val="20"/>
                <w:szCs w:val="20"/>
                <w:color w:val="auto"/>
              </w:rPr>
            </w:pPr>
            <w:r>
              <w:rPr>
                <w:rFonts w:ascii="Arial" w:cs="Arial" w:eastAsia="Arial" w:hAnsi="Arial"/>
                <w:sz w:val="14"/>
                <w:szCs w:val="14"/>
                <w:color w:val="auto"/>
              </w:rPr>
              <w:t>(18,232)</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jc w:val="right"/>
              <w:ind w:right="348"/>
              <w:spacing w:after="0"/>
              <w:rPr>
                <w:sz w:val="20"/>
                <w:szCs w:val="20"/>
                <w:color w:val="auto"/>
              </w:rPr>
            </w:pPr>
            <w:r>
              <w:rPr>
                <w:rFonts w:ascii="Arial" w:cs="Arial" w:eastAsia="Arial" w:hAnsi="Arial"/>
                <w:sz w:val="14"/>
                <w:szCs w:val="14"/>
                <w:color w:val="auto"/>
              </w:rPr>
              <w:t>(17,517)</w:t>
            </w:r>
          </w:p>
        </w:tc>
        <w:tc>
          <w:tcPr>
            <w:tcW w:w="0" w:type="dxa"/>
            <w:vAlign w:val="bottom"/>
          </w:tcPr>
          <w:p>
            <w:pPr>
              <w:spacing w:after="0"/>
              <w:rPr>
                <w:sz w:val="1"/>
                <w:szCs w:val="1"/>
                <w:color w:val="auto"/>
              </w:rPr>
            </w:pPr>
          </w:p>
        </w:tc>
      </w:tr>
      <w:tr>
        <w:trPr>
          <w:trHeight w:val="176"/>
        </w:trPr>
        <w:tc>
          <w:tcPr>
            <w:tcW w:w="6040" w:type="dxa"/>
            <w:vAlign w:val="bottom"/>
          </w:tcPr>
          <w:p>
            <w:pPr>
              <w:ind w:left="420"/>
              <w:spacing w:after="0"/>
              <w:rPr>
                <w:sz w:val="20"/>
                <w:szCs w:val="20"/>
                <w:color w:val="auto"/>
              </w:rPr>
            </w:pPr>
            <w:r>
              <w:rPr>
                <w:rFonts w:ascii="Arial" w:cs="Arial" w:eastAsia="Arial" w:hAnsi="Arial"/>
                <w:sz w:val="14"/>
                <w:szCs w:val="14"/>
                <w:color w:val="auto"/>
              </w:rPr>
              <w:t>Acquisition-Related Transaction Costs</w:t>
            </w:r>
          </w:p>
        </w:tc>
        <w:tc>
          <w:tcPr>
            <w:tcW w:w="340" w:type="dxa"/>
            <w:vAlign w:val="bottom"/>
          </w:tcPr>
          <w:p>
            <w:pPr>
              <w:spacing w:after="0"/>
              <w:rPr>
                <w:sz w:val="15"/>
                <w:szCs w:val="15"/>
                <w:color w:val="auto"/>
              </w:rPr>
            </w:pP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(39,766)</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288"/>
              <w:spacing w:after="0"/>
              <w:rPr>
                <w:sz w:val="20"/>
                <w:szCs w:val="20"/>
                <w:color w:val="auto"/>
              </w:rPr>
            </w:pPr>
            <w:r>
              <w:rPr>
                <w:rFonts w:ascii="Arial" w:cs="Arial" w:eastAsia="Arial" w:hAnsi="Arial"/>
                <w:sz w:val="14"/>
                <w:szCs w:val="14"/>
                <w:color w:val="auto"/>
              </w:rPr>
              <w:t>(8,011)</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6040" w:type="dxa"/>
            <w:vAlign w:val="bottom"/>
          </w:tcPr>
          <w:p>
            <w:pPr>
              <w:ind w:left="420"/>
              <w:spacing w:after="0"/>
              <w:rPr>
                <w:sz w:val="20"/>
                <w:szCs w:val="20"/>
                <w:color w:val="auto"/>
              </w:rPr>
            </w:pPr>
            <w:r>
              <w:rPr>
                <w:rFonts w:ascii="Arial" w:cs="Arial" w:eastAsia="Arial" w:hAnsi="Arial"/>
                <w:sz w:val="14"/>
                <w:szCs w:val="14"/>
                <w:color w:val="auto"/>
              </w:rPr>
              <w:t>Restructuring-Related Expense</w:t>
            </w: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(49,463)</w:t>
            </w:r>
          </w:p>
        </w:tc>
        <w:tc>
          <w:tcPr>
            <w:tcW w:w="2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(13,684)</w:t>
            </w:r>
          </w:p>
        </w:tc>
        <w:tc>
          <w:tcPr>
            <w:tcW w:w="0" w:type="dxa"/>
            <w:vAlign w:val="bottom"/>
          </w:tcPr>
          <w:p>
            <w:pPr>
              <w:spacing w:after="0"/>
              <w:rPr>
                <w:sz w:val="1"/>
                <w:szCs w:val="1"/>
                <w:color w:val="auto"/>
              </w:rPr>
            </w:pPr>
          </w:p>
        </w:tc>
      </w:tr>
      <w:tr>
        <w:trPr>
          <w:trHeight w:val="169"/>
        </w:trPr>
        <w:tc>
          <w:tcPr>
            <w:tcW w:w="6040" w:type="dxa"/>
            <w:vAlign w:val="bottom"/>
          </w:tcPr>
          <w:p>
            <w:pPr>
              <w:spacing w:after="0"/>
              <w:rPr>
                <w:sz w:val="20"/>
                <w:szCs w:val="20"/>
                <w:color w:val="auto"/>
              </w:rPr>
            </w:pPr>
            <w:r>
              <w:rPr>
                <w:rFonts w:ascii="Arial" w:cs="Arial" w:eastAsia="Arial" w:hAnsi="Arial"/>
                <w:sz w:val="14"/>
                <w:szCs w:val="14"/>
                <w:b w:val="1"/>
                <w:bCs w:val="1"/>
                <w:color w:val="auto"/>
              </w:rPr>
              <w:t>Non-GAAP Operating Expenses</w:t>
            </w:r>
          </w:p>
        </w:tc>
        <w:tc>
          <w:tcPr>
            <w:tcW w:w="3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379,981</w:t>
            </w:r>
          </w:p>
        </w:tc>
        <w:tc>
          <w:tcPr>
            <w:tcW w:w="58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306,530</w:t>
            </w:r>
          </w:p>
        </w:tc>
        <w:tc>
          <w:tcPr>
            <w:tcW w:w="64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272,323</w:t>
            </w:r>
          </w:p>
        </w:tc>
        <w:tc>
          <w:tcPr>
            <w:tcW w:w="0" w:type="dxa"/>
            <w:vAlign w:val="bottom"/>
          </w:tcPr>
          <w:p>
            <w:pPr>
              <w:spacing w:after="0"/>
              <w:rPr>
                <w:sz w:val="1"/>
                <w:szCs w:val="1"/>
                <w:color w:val="auto"/>
              </w:rPr>
            </w:pPr>
          </w:p>
        </w:tc>
      </w:tr>
      <w:tr>
        <w:trPr>
          <w:trHeight w:val="20"/>
        </w:trPr>
        <w:tc>
          <w:tcPr>
            <w:tcW w:w="6040" w:type="dxa"/>
            <w:vAlign w:val="bottom"/>
            <w:vMerge w:val="restart"/>
          </w:tcPr>
          <w:p>
            <w:pPr>
              <w:ind w:left="140"/>
              <w:spacing w:after="0"/>
              <w:rPr>
                <w:sz w:val="20"/>
                <w:szCs w:val="20"/>
                <w:color w:val="auto"/>
              </w:rPr>
            </w:pPr>
            <w:r>
              <w:rPr>
                <w:rFonts w:ascii="Arial" w:cs="Arial" w:eastAsia="Arial" w:hAnsi="Arial"/>
                <w:sz w:val="14"/>
                <w:szCs w:val="14"/>
                <w:b w:val="1"/>
                <w:bCs w:val="1"/>
                <w:i w:val="1"/>
                <w:iCs w:val="1"/>
                <w:color w:val="auto"/>
              </w:rPr>
              <w:t>Percent of Non-GAAP Revenue</w:t>
            </w: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jc w:val="right"/>
              <w:ind w:right="108"/>
              <w:spacing w:after="0"/>
              <w:rPr>
                <w:sz w:val="20"/>
                <w:szCs w:val="20"/>
                <w:color w:val="auto"/>
              </w:rPr>
            </w:pPr>
            <w:r>
              <w:rPr>
                <w:rFonts w:ascii="Arial" w:cs="Arial" w:eastAsia="Arial" w:hAnsi="Arial"/>
                <w:sz w:val="14"/>
                <w:szCs w:val="14"/>
                <w:b w:val="1"/>
                <w:bCs w:val="1"/>
                <w:i w:val="1"/>
                <w:iCs w:val="1"/>
                <w:color w:val="auto"/>
              </w:rPr>
              <w:t>31.4%</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ind w:right="208"/>
              <w:spacing w:after="0"/>
              <w:rPr>
                <w:sz w:val="20"/>
                <w:szCs w:val="20"/>
                <w:color w:val="auto"/>
              </w:rPr>
            </w:pPr>
            <w:r>
              <w:rPr>
                <w:rFonts w:ascii="Arial" w:cs="Arial" w:eastAsia="Arial" w:hAnsi="Arial"/>
                <w:sz w:val="14"/>
                <w:szCs w:val="14"/>
                <w:b w:val="1"/>
                <w:bCs w:val="1"/>
                <w:i w:val="1"/>
                <w:iCs w:val="1"/>
                <w:color w:val="auto"/>
              </w:rPr>
              <w:t>31.1%</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jc w:val="right"/>
              <w:ind w:right="268"/>
              <w:spacing w:after="0"/>
              <w:rPr>
                <w:sz w:val="20"/>
                <w:szCs w:val="20"/>
                <w:color w:val="auto"/>
              </w:rPr>
            </w:pPr>
            <w:r>
              <w:rPr>
                <w:rFonts w:ascii="Arial" w:cs="Arial" w:eastAsia="Arial" w:hAnsi="Arial"/>
                <w:sz w:val="14"/>
                <w:szCs w:val="14"/>
                <w:b w:val="1"/>
                <w:bCs w:val="1"/>
                <w:i w:val="1"/>
                <w:iCs w:val="1"/>
                <w:color w:val="auto"/>
              </w:rPr>
              <w:t>35.0%</w:t>
            </w:r>
          </w:p>
        </w:tc>
        <w:tc>
          <w:tcPr>
            <w:tcW w:w="0" w:type="dxa"/>
            <w:vAlign w:val="bottom"/>
          </w:tcPr>
          <w:p>
            <w:pPr>
              <w:spacing w:after="0"/>
              <w:rPr>
                <w:sz w:val="1"/>
                <w:szCs w:val="1"/>
                <w:color w:val="auto"/>
              </w:rPr>
            </w:pPr>
          </w:p>
        </w:tc>
      </w:tr>
      <w:tr>
        <w:trPr>
          <w:trHeight w:val="339"/>
        </w:trPr>
        <w:tc>
          <w:tcPr>
            <w:tcW w:w="6040" w:type="dxa"/>
            <w:vAlign w:val="bottom"/>
          </w:tcPr>
          <w:p>
            <w:pPr>
              <w:spacing w:after="0"/>
              <w:rPr>
                <w:sz w:val="20"/>
                <w:szCs w:val="20"/>
                <w:color w:val="auto"/>
              </w:rPr>
            </w:pPr>
            <w:r>
              <w:rPr>
                <w:rFonts w:ascii="Arial" w:cs="Arial" w:eastAsia="Arial" w:hAnsi="Arial"/>
                <w:sz w:val="14"/>
                <w:szCs w:val="14"/>
                <w:b w:val="1"/>
                <w:bCs w:val="1"/>
                <w:color w:val="auto"/>
              </w:rPr>
              <w:t>GAAP Operating Income/Margin</w:t>
            </w:r>
          </w:p>
        </w:tc>
        <w:tc>
          <w:tcPr>
            <w:tcW w:w="34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228"/>
              <w:spacing w:after="0"/>
              <w:rPr>
                <w:sz w:val="20"/>
                <w:szCs w:val="20"/>
                <w:color w:val="auto"/>
              </w:rPr>
            </w:pPr>
            <w:r>
              <w:rPr>
                <w:rFonts w:ascii="Arial" w:cs="Arial" w:eastAsia="Arial" w:hAnsi="Arial"/>
                <w:sz w:val="14"/>
                <w:szCs w:val="14"/>
                <w:b w:val="1"/>
                <w:bCs w:val="1"/>
                <w:color w:val="auto"/>
              </w:rPr>
              <w:t>145,835</w:t>
            </w:r>
          </w:p>
        </w:tc>
        <w:tc>
          <w:tcPr>
            <w:tcW w:w="58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328"/>
              <w:spacing w:after="0"/>
              <w:rPr>
                <w:sz w:val="20"/>
                <w:szCs w:val="20"/>
                <w:color w:val="auto"/>
              </w:rPr>
            </w:pPr>
            <w:r>
              <w:rPr>
                <w:rFonts w:ascii="Arial" w:cs="Arial" w:eastAsia="Arial" w:hAnsi="Arial"/>
                <w:sz w:val="14"/>
                <w:szCs w:val="14"/>
                <w:b w:val="1"/>
                <w:bCs w:val="1"/>
                <w:color w:val="auto"/>
              </w:rPr>
              <w:t>266,268</w:t>
            </w:r>
          </w:p>
        </w:tc>
        <w:tc>
          <w:tcPr>
            <w:tcW w:w="64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388"/>
              <w:spacing w:after="0"/>
              <w:rPr>
                <w:sz w:val="20"/>
                <w:szCs w:val="20"/>
                <w:color w:val="auto"/>
              </w:rPr>
            </w:pPr>
            <w:r>
              <w:rPr>
                <w:rFonts w:ascii="Arial" w:cs="Arial" w:eastAsia="Arial" w:hAnsi="Arial"/>
                <w:sz w:val="14"/>
                <w:szCs w:val="14"/>
                <w:b w:val="1"/>
                <w:bCs w:val="1"/>
                <w:color w:val="auto"/>
              </w:rPr>
              <w:t>207,379</w:t>
            </w:r>
          </w:p>
        </w:tc>
        <w:tc>
          <w:tcPr>
            <w:tcW w:w="0" w:type="dxa"/>
            <w:vAlign w:val="bottom"/>
          </w:tcPr>
          <w:p>
            <w:pPr>
              <w:spacing w:after="0"/>
              <w:rPr>
                <w:sz w:val="1"/>
                <w:szCs w:val="1"/>
                <w:color w:val="auto"/>
              </w:rPr>
            </w:pPr>
          </w:p>
        </w:tc>
      </w:tr>
      <w:tr>
        <w:trPr>
          <w:trHeight w:val="176"/>
        </w:trPr>
        <w:tc>
          <w:tcPr>
            <w:tcW w:w="6040" w:type="dxa"/>
            <w:vAlign w:val="bottom"/>
          </w:tcPr>
          <w:p>
            <w:pPr>
              <w:ind w:left="140"/>
              <w:spacing w:after="0"/>
              <w:rPr>
                <w:sz w:val="20"/>
                <w:szCs w:val="20"/>
                <w:color w:val="auto"/>
              </w:rPr>
            </w:pPr>
            <w:r>
              <w:rPr>
                <w:rFonts w:ascii="Arial" w:cs="Arial" w:eastAsia="Arial" w:hAnsi="Arial"/>
                <w:sz w:val="14"/>
                <w:szCs w:val="14"/>
                <w:b w:val="1"/>
                <w:bCs w:val="1"/>
                <w:i w:val="1"/>
                <w:iCs w:val="1"/>
                <w:color w:val="auto"/>
              </w:rPr>
              <w:t>Percent of Revenue</w:t>
            </w:r>
          </w:p>
        </w:tc>
        <w:tc>
          <w:tcPr>
            <w:tcW w:w="340" w:type="dxa"/>
            <w:vAlign w:val="bottom"/>
          </w:tcPr>
          <w:p>
            <w:pPr>
              <w:spacing w:after="0"/>
              <w:rPr>
                <w:sz w:val="15"/>
                <w:szCs w:val="15"/>
                <w:color w:val="auto"/>
              </w:rPr>
            </w:pPr>
          </w:p>
        </w:tc>
        <w:tc>
          <w:tcPr>
            <w:tcW w:w="1300" w:type="dxa"/>
            <w:vAlign w:val="bottom"/>
          </w:tcPr>
          <w:p>
            <w:pPr>
              <w:jc w:val="right"/>
              <w:ind w:right="108"/>
              <w:spacing w:after="0"/>
              <w:rPr>
                <w:sz w:val="20"/>
                <w:szCs w:val="20"/>
                <w:color w:val="auto"/>
              </w:rPr>
            </w:pPr>
            <w:r>
              <w:rPr>
                <w:rFonts w:ascii="Arial" w:cs="Arial" w:eastAsia="Arial" w:hAnsi="Arial"/>
                <w:sz w:val="14"/>
                <w:szCs w:val="14"/>
                <w:b w:val="1"/>
                <w:bCs w:val="1"/>
                <w:i w:val="1"/>
                <w:iCs w:val="1"/>
                <w:color w:val="auto"/>
              </w:rPr>
              <w:t>12.7%</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208"/>
              <w:spacing w:after="0"/>
              <w:rPr>
                <w:sz w:val="20"/>
                <w:szCs w:val="20"/>
                <w:color w:val="auto"/>
              </w:rPr>
            </w:pPr>
            <w:r>
              <w:rPr>
                <w:rFonts w:ascii="Arial" w:cs="Arial" w:eastAsia="Arial" w:hAnsi="Arial"/>
                <w:sz w:val="14"/>
                <w:szCs w:val="14"/>
                <w:b w:val="1"/>
                <w:bCs w:val="1"/>
                <w:i w:val="1"/>
                <w:iCs w:val="1"/>
                <w:color w:val="auto"/>
              </w:rPr>
              <w:t>27.0%</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jc w:val="right"/>
              <w:ind w:right="268"/>
              <w:spacing w:after="0"/>
              <w:rPr>
                <w:sz w:val="20"/>
                <w:szCs w:val="20"/>
                <w:color w:val="auto"/>
              </w:rPr>
            </w:pPr>
            <w:r>
              <w:rPr>
                <w:rFonts w:ascii="Arial" w:cs="Arial" w:eastAsia="Arial" w:hAnsi="Arial"/>
                <w:sz w:val="14"/>
                <w:szCs w:val="14"/>
                <w:b w:val="1"/>
                <w:bCs w:val="1"/>
                <w:i w:val="1"/>
                <w:iCs w:val="1"/>
                <w:color w:val="auto"/>
              </w:rPr>
              <w:t>26.6%</w:t>
            </w:r>
          </w:p>
        </w:tc>
        <w:tc>
          <w:tcPr>
            <w:tcW w:w="0" w:type="dxa"/>
            <w:vAlign w:val="bottom"/>
          </w:tcPr>
          <w:p>
            <w:pPr>
              <w:spacing w:after="0"/>
              <w:rPr>
                <w:sz w:val="1"/>
                <w:szCs w:val="1"/>
                <w:color w:val="auto"/>
              </w:rPr>
            </w:pPr>
          </w:p>
        </w:tc>
      </w:tr>
      <w:tr>
        <w:trPr>
          <w:trHeight w:val="176"/>
        </w:trPr>
        <w:tc>
          <w:tcPr>
            <w:tcW w:w="6040" w:type="dxa"/>
            <w:vAlign w:val="bottom"/>
          </w:tcPr>
          <w:p>
            <w:pPr>
              <w:ind w:left="420"/>
              <w:spacing w:after="0"/>
              <w:rPr>
                <w:sz w:val="20"/>
                <w:szCs w:val="20"/>
                <w:color w:val="auto"/>
              </w:rPr>
            </w:pPr>
            <w:r>
              <w:rPr>
                <w:rFonts w:ascii="Arial" w:cs="Arial" w:eastAsia="Arial" w:hAnsi="Arial"/>
                <w:sz w:val="14"/>
                <w:szCs w:val="14"/>
                <w:color w:val="auto"/>
              </w:rPr>
              <w:t>Acquisition-Related Revenues</w:t>
            </w:r>
          </w:p>
        </w:tc>
        <w:tc>
          <w:tcPr>
            <w:tcW w:w="340" w:type="dxa"/>
            <w:vAlign w:val="bottom"/>
          </w:tcPr>
          <w:p>
            <w:pPr>
              <w:spacing w:after="0"/>
              <w:rPr>
                <w:sz w:val="15"/>
                <w:szCs w:val="15"/>
                <w:color w:val="auto"/>
              </w:rPr>
            </w:pPr>
          </w:p>
        </w:tc>
        <w:tc>
          <w:tcPr>
            <w:tcW w:w="1300" w:type="dxa"/>
            <w:vAlign w:val="bottom"/>
          </w:tcPr>
          <w:p>
            <w:pPr>
              <w:jc w:val="right"/>
              <w:ind w:right="228"/>
              <w:spacing w:after="0"/>
              <w:rPr>
                <w:sz w:val="20"/>
                <w:szCs w:val="20"/>
                <w:color w:val="auto"/>
              </w:rPr>
            </w:pPr>
            <w:r>
              <w:rPr>
                <w:rFonts w:ascii="Arial" w:cs="Arial" w:eastAsia="Arial" w:hAnsi="Arial"/>
                <w:sz w:val="14"/>
                <w:szCs w:val="14"/>
                <w:color w:val="auto"/>
              </w:rPr>
              <w:t>46,480</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040" w:type="dxa"/>
            <w:vAlign w:val="bottom"/>
          </w:tcPr>
          <w:p>
            <w:pPr>
              <w:ind w:left="420"/>
              <w:spacing w:after="0"/>
              <w:rPr>
                <w:sz w:val="20"/>
                <w:szCs w:val="20"/>
                <w:color w:val="auto"/>
              </w:rPr>
            </w:pPr>
            <w:r>
              <w:rPr>
                <w:rFonts w:ascii="Arial" w:cs="Arial" w:eastAsia="Arial" w:hAnsi="Arial"/>
                <w:sz w:val="14"/>
                <w:szCs w:val="14"/>
                <w:color w:val="auto"/>
              </w:rPr>
              <w:t>Acquisition-Related Expenses</w:t>
            </w:r>
          </w:p>
        </w:tc>
        <w:tc>
          <w:tcPr>
            <w:tcW w:w="340" w:type="dxa"/>
            <w:vAlign w:val="bottom"/>
          </w:tcPr>
          <w:p>
            <w:pPr>
              <w:spacing w:after="0"/>
              <w:rPr>
                <w:sz w:val="15"/>
                <w:szCs w:val="15"/>
                <w:color w:val="auto"/>
              </w:rPr>
            </w:pPr>
          </w:p>
        </w:tc>
        <w:tc>
          <w:tcPr>
            <w:tcW w:w="1300" w:type="dxa"/>
            <w:vAlign w:val="bottom"/>
          </w:tcPr>
          <w:p>
            <w:pPr>
              <w:jc w:val="right"/>
              <w:ind w:right="228"/>
              <w:spacing w:after="0"/>
              <w:rPr>
                <w:sz w:val="20"/>
                <w:szCs w:val="20"/>
                <w:color w:val="auto"/>
              </w:rPr>
            </w:pPr>
            <w:r>
              <w:rPr>
                <w:rFonts w:ascii="Arial" w:cs="Arial" w:eastAsia="Arial" w:hAnsi="Arial"/>
                <w:sz w:val="14"/>
                <w:szCs w:val="14"/>
                <w:color w:val="auto"/>
              </w:rPr>
              <w:t>225,392</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328"/>
              <w:spacing w:after="0"/>
              <w:rPr>
                <w:sz w:val="20"/>
                <w:szCs w:val="20"/>
                <w:color w:val="auto"/>
              </w:rPr>
            </w:pPr>
            <w:r>
              <w:rPr>
                <w:rFonts w:ascii="Arial" w:cs="Arial" w:eastAsia="Arial" w:hAnsi="Arial"/>
                <w:sz w:val="14"/>
                <w:szCs w:val="14"/>
                <w:color w:val="auto"/>
              </w:rPr>
              <w:t>20,410</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jc w:val="right"/>
              <w:ind w:right="388"/>
              <w:spacing w:after="0"/>
              <w:rPr>
                <w:sz w:val="20"/>
                <w:szCs w:val="20"/>
                <w:color w:val="auto"/>
              </w:rPr>
            </w:pPr>
            <w:r>
              <w:rPr>
                <w:rFonts w:ascii="Arial" w:cs="Arial" w:eastAsia="Arial" w:hAnsi="Arial"/>
                <w:sz w:val="14"/>
                <w:szCs w:val="14"/>
                <w:color w:val="auto"/>
              </w:rPr>
              <w:t>18,993</w:t>
            </w:r>
          </w:p>
        </w:tc>
        <w:tc>
          <w:tcPr>
            <w:tcW w:w="0" w:type="dxa"/>
            <w:vAlign w:val="bottom"/>
          </w:tcPr>
          <w:p>
            <w:pPr>
              <w:spacing w:after="0"/>
              <w:rPr>
                <w:sz w:val="1"/>
                <w:szCs w:val="1"/>
                <w:color w:val="auto"/>
              </w:rPr>
            </w:pPr>
          </w:p>
        </w:tc>
      </w:tr>
      <w:tr>
        <w:trPr>
          <w:trHeight w:val="176"/>
        </w:trPr>
        <w:tc>
          <w:tcPr>
            <w:tcW w:w="6040" w:type="dxa"/>
            <w:vAlign w:val="bottom"/>
          </w:tcPr>
          <w:p>
            <w:pPr>
              <w:ind w:left="420"/>
              <w:spacing w:after="0"/>
              <w:rPr>
                <w:sz w:val="20"/>
                <w:szCs w:val="20"/>
                <w:color w:val="auto"/>
              </w:rPr>
            </w:pPr>
            <w:r>
              <w:rPr>
                <w:rFonts w:ascii="Arial" w:cs="Arial" w:eastAsia="Arial" w:hAnsi="Arial"/>
                <w:sz w:val="14"/>
                <w:szCs w:val="14"/>
                <w:color w:val="auto"/>
              </w:rPr>
              <w:t>Acquisition-Related Transaction Costs</w:t>
            </w:r>
          </w:p>
        </w:tc>
        <w:tc>
          <w:tcPr>
            <w:tcW w:w="340" w:type="dxa"/>
            <w:vAlign w:val="bottom"/>
          </w:tcPr>
          <w:p>
            <w:pPr>
              <w:spacing w:after="0"/>
              <w:rPr>
                <w:sz w:val="15"/>
                <w:szCs w:val="15"/>
                <w:color w:val="auto"/>
              </w:rPr>
            </w:pPr>
          </w:p>
        </w:tc>
        <w:tc>
          <w:tcPr>
            <w:tcW w:w="1300" w:type="dxa"/>
            <w:vAlign w:val="bottom"/>
          </w:tcPr>
          <w:p>
            <w:pPr>
              <w:jc w:val="right"/>
              <w:ind w:right="228"/>
              <w:spacing w:after="0"/>
              <w:rPr>
                <w:sz w:val="20"/>
                <w:szCs w:val="20"/>
                <w:color w:val="auto"/>
              </w:rPr>
            </w:pPr>
            <w:r>
              <w:rPr>
                <w:rFonts w:ascii="Arial" w:cs="Arial" w:eastAsia="Arial" w:hAnsi="Arial"/>
                <w:sz w:val="14"/>
                <w:szCs w:val="14"/>
                <w:color w:val="auto"/>
              </w:rPr>
              <w:t>39,966</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328"/>
              <w:spacing w:after="0"/>
              <w:rPr>
                <w:sz w:val="20"/>
                <w:szCs w:val="20"/>
                <w:color w:val="auto"/>
              </w:rPr>
            </w:pPr>
            <w:r>
              <w:rPr>
                <w:rFonts w:ascii="Arial" w:cs="Arial" w:eastAsia="Arial" w:hAnsi="Arial"/>
                <w:sz w:val="14"/>
                <w:szCs w:val="14"/>
                <w:color w:val="auto"/>
              </w:rPr>
              <w:t>8,011</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6040" w:type="dxa"/>
            <w:vAlign w:val="bottom"/>
          </w:tcPr>
          <w:p>
            <w:pPr>
              <w:ind w:left="420"/>
              <w:spacing w:after="0"/>
              <w:rPr>
                <w:sz w:val="20"/>
                <w:szCs w:val="20"/>
                <w:color w:val="auto"/>
              </w:rPr>
            </w:pPr>
            <w:r>
              <w:rPr>
                <w:rFonts w:ascii="Arial" w:cs="Arial" w:eastAsia="Arial" w:hAnsi="Arial"/>
                <w:sz w:val="14"/>
                <w:szCs w:val="14"/>
                <w:color w:val="auto"/>
              </w:rPr>
              <w:t>Restructuring-Related Expense</w:t>
            </w: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49,463</w:t>
            </w:r>
          </w:p>
        </w:tc>
        <w:tc>
          <w:tcPr>
            <w:tcW w:w="2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13,684</w:t>
            </w:r>
          </w:p>
        </w:tc>
        <w:tc>
          <w:tcPr>
            <w:tcW w:w="0" w:type="dxa"/>
            <w:vAlign w:val="bottom"/>
          </w:tcPr>
          <w:p>
            <w:pPr>
              <w:spacing w:after="0"/>
              <w:rPr>
                <w:sz w:val="1"/>
                <w:szCs w:val="1"/>
                <w:color w:val="auto"/>
              </w:rPr>
            </w:pPr>
          </w:p>
        </w:tc>
      </w:tr>
      <w:tr>
        <w:trPr>
          <w:trHeight w:val="169"/>
        </w:trPr>
        <w:tc>
          <w:tcPr>
            <w:tcW w:w="6040" w:type="dxa"/>
            <w:vAlign w:val="bottom"/>
          </w:tcPr>
          <w:p>
            <w:pPr>
              <w:spacing w:after="0"/>
              <w:rPr>
                <w:sz w:val="20"/>
                <w:szCs w:val="20"/>
                <w:color w:val="auto"/>
              </w:rPr>
            </w:pPr>
            <w:r>
              <w:rPr>
                <w:rFonts w:ascii="Arial" w:cs="Arial" w:eastAsia="Arial" w:hAnsi="Arial"/>
                <w:sz w:val="14"/>
                <w:szCs w:val="14"/>
                <w:b w:val="1"/>
                <w:bCs w:val="1"/>
                <w:color w:val="auto"/>
              </w:rPr>
              <w:t>Non-GAAP Operating Income/Margin</w:t>
            </w:r>
          </w:p>
        </w:tc>
        <w:tc>
          <w:tcPr>
            <w:tcW w:w="3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457,673</w:t>
            </w:r>
          </w:p>
        </w:tc>
        <w:tc>
          <w:tcPr>
            <w:tcW w:w="58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344,152</w:t>
            </w:r>
          </w:p>
        </w:tc>
        <w:tc>
          <w:tcPr>
            <w:tcW w:w="64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240,056</w:t>
            </w:r>
          </w:p>
        </w:tc>
        <w:tc>
          <w:tcPr>
            <w:tcW w:w="0" w:type="dxa"/>
            <w:vAlign w:val="bottom"/>
          </w:tcPr>
          <w:p>
            <w:pPr>
              <w:spacing w:after="0"/>
              <w:rPr>
                <w:sz w:val="1"/>
                <w:szCs w:val="1"/>
                <w:color w:val="auto"/>
              </w:rPr>
            </w:pPr>
          </w:p>
        </w:tc>
      </w:tr>
      <w:tr>
        <w:trPr>
          <w:trHeight w:val="20"/>
        </w:trPr>
        <w:tc>
          <w:tcPr>
            <w:tcW w:w="6040" w:type="dxa"/>
            <w:vAlign w:val="bottom"/>
            <w:vMerge w:val="restart"/>
          </w:tcPr>
          <w:p>
            <w:pPr>
              <w:ind w:left="140"/>
              <w:spacing w:after="0"/>
              <w:rPr>
                <w:sz w:val="20"/>
                <w:szCs w:val="20"/>
                <w:color w:val="auto"/>
              </w:rPr>
            </w:pPr>
            <w:r>
              <w:rPr>
                <w:rFonts w:ascii="Arial" w:cs="Arial" w:eastAsia="Arial" w:hAnsi="Arial"/>
                <w:sz w:val="14"/>
                <w:szCs w:val="14"/>
                <w:b w:val="1"/>
                <w:bCs w:val="1"/>
                <w:i w:val="1"/>
                <w:iCs w:val="1"/>
                <w:color w:val="auto"/>
              </w:rPr>
              <w:t>Percent of Non-GAAP Revenue</w:t>
            </w: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jc w:val="right"/>
              <w:ind w:right="108"/>
              <w:spacing w:after="0"/>
              <w:rPr>
                <w:sz w:val="20"/>
                <w:szCs w:val="20"/>
                <w:color w:val="auto"/>
              </w:rPr>
            </w:pPr>
            <w:r>
              <w:rPr>
                <w:rFonts w:ascii="Arial" w:cs="Arial" w:eastAsia="Arial" w:hAnsi="Arial"/>
                <w:sz w:val="14"/>
                <w:szCs w:val="14"/>
                <w:b w:val="1"/>
                <w:bCs w:val="1"/>
                <w:i w:val="1"/>
                <w:iCs w:val="1"/>
                <w:color w:val="auto"/>
              </w:rPr>
              <w:t>37.9%</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ind w:right="208"/>
              <w:spacing w:after="0"/>
              <w:rPr>
                <w:sz w:val="20"/>
                <w:szCs w:val="20"/>
                <w:color w:val="auto"/>
              </w:rPr>
            </w:pPr>
            <w:r>
              <w:rPr>
                <w:rFonts w:ascii="Arial" w:cs="Arial" w:eastAsia="Arial" w:hAnsi="Arial"/>
                <w:sz w:val="14"/>
                <w:szCs w:val="14"/>
                <w:b w:val="1"/>
                <w:bCs w:val="1"/>
                <w:i w:val="1"/>
                <w:iCs w:val="1"/>
                <w:color w:val="auto"/>
              </w:rPr>
              <w:t>35.0%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jc w:val="right"/>
              <w:ind w:right="268"/>
              <w:spacing w:after="0"/>
              <w:rPr>
                <w:sz w:val="20"/>
                <w:szCs w:val="20"/>
                <w:color w:val="auto"/>
              </w:rPr>
            </w:pPr>
            <w:r>
              <w:rPr>
                <w:rFonts w:ascii="Arial" w:cs="Arial" w:eastAsia="Arial" w:hAnsi="Arial"/>
                <w:sz w:val="14"/>
                <w:szCs w:val="14"/>
                <w:b w:val="1"/>
                <w:bCs w:val="1"/>
                <w:i w:val="1"/>
                <w:iCs w:val="1"/>
                <w:color w:val="auto"/>
              </w:rPr>
              <w:t>30.8%</w:t>
            </w:r>
          </w:p>
        </w:tc>
        <w:tc>
          <w:tcPr>
            <w:tcW w:w="0" w:type="dxa"/>
            <w:vAlign w:val="bottom"/>
          </w:tcPr>
          <w:p>
            <w:pPr>
              <w:spacing w:after="0"/>
              <w:rPr>
                <w:sz w:val="1"/>
                <w:szCs w:val="1"/>
                <w:color w:val="auto"/>
              </w:rPr>
            </w:pPr>
          </w:p>
        </w:tc>
      </w:tr>
      <w:tr>
        <w:trPr>
          <w:trHeight w:val="339"/>
        </w:trPr>
        <w:tc>
          <w:tcPr>
            <w:tcW w:w="6040" w:type="dxa"/>
            <w:vAlign w:val="bottom"/>
          </w:tcPr>
          <w:p>
            <w:pPr>
              <w:spacing w:after="0"/>
              <w:rPr>
                <w:sz w:val="20"/>
                <w:szCs w:val="20"/>
                <w:color w:val="auto"/>
              </w:rPr>
            </w:pPr>
            <w:r>
              <w:rPr>
                <w:rFonts w:ascii="Arial" w:cs="Arial" w:eastAsia="Arial" w:hAnsi="Arial"/>
                <w:sz w:val="14"/>
                <w:szCs w:val="14"/>
                <w:b w:val="1"/>
                <w:bCs w:val="1"/>
                <w:color w:val="auto"/>
              </w:rPr>
              <w:t>GAAP Other Expense (Income)</w:t>
            </w:r>
          </w:p>
        </w:tc>
        <w:tc>
          <w:tcPr>
            <w:tcW w:w="34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228"/>
              <w:spacing w:after="0"/>
              <w:rPr>
                <w:sz w:val="20"/>
                <w:szCs w:val="20"/>
                <w:color w:val="auto"/>
              </w:rPr>
            </w:pPr>
            <w:r>
              <w:rPr>
                <w:rFonts w:ascii="Arial" w:cs="Arial" w:eastAsia="Arial" w:hAnsi="Arial"/>
                <w:sz w:val="14"/>
                <w:szCs w:val="14"/>
                <w:b w:val="1"/>
                <w:bCs w:val="1"/>
                <w:color w:val="auto"/>
              </w:rPr>
              <w:t>59,121</w:t>
            </w:r>
          </w:p>
        </w:tc>
        <w:tc>
          <w:tcPr>
            <w:tcW w:w="58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328"/>
              <w:spacing w:after="0"/>
              <w:rPr>
                <w:sz w:val="20"/>
                <w:szCs w:val="20"/>
                <w:color w:val="auto"/>
              </w:rPr>
            </w:pPr>
            <w:r>
              <w:rPr>
                <w:rFonts w:ascii="Arial" w:cs="Arial" w:eastAsia="Arial" w:hAnsi="Arial"/>
                <w:sz w:val="14"/>
                <w:szCs w:val="14"/>
                <w:b w:val="1"/>
                <w:bCs w:val="1"/>
                <w:color w:val="auto"/>
              </w:rPr>
              <w:t>32,959</w:t>
            </w:r>
          </w:p>
        </w:tc>
        <w:tc>
          <w:tcPr>
            <w:tcW w:w="64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388"/>
              <w:spacing w:after="0"/>
              <w:rPr>
                <w:sz w:val="20"/>
                <w:szCs w:val="20"/>
                <w:color w:val="auto"/>
              </w:rPr>
            </w:pPr>
            <w:r>
              <w:rPr>
                <w:rFonts w:ascii="Arial" w:cs="Arial" w:eastAsia="Arial" w:hAnsi="Arial"/>
                <w:sz w:val="14"/>
                <w:szCs w:val="14"/>
                <w:b w:val="1"/>
                <w:bCs w:val="1"/>
                <w:color w:val="auto"/>
              </w:rPr>
              <w:t>12,469</w:t>
            </w:r>
          </w:p>
        </w:tc>
        <w:tc>
          <w:tcPr>
            <w:tcW w:w="0" w:type="dxa"/>
            <w:vAlign w:val="bottom"/>
          </w:tcPr>
          <w:p>
            <w:pPr>
              <w:spacing w:after="0"/>
              <w:rPr>
                <w:sz w:val="1"/>
                <w:szCs w:val="1"/>
                <w:color w:val="auto"/>
              </w:rPr>
            </w:pPr>
          </w:p>
        </w:tc>
      </w:tr>
      <w:tr>
        <w:trPr>
          <w:trHeight w:val="176"/>
        </w:trPr>
        <w:tc>
          <w:tcPr>
            <w:tcW w:w="6040" w:type="dxa"/>
            <w:vAlign w:val="bottom"/>
          </w:tcPr>
          <w:p>
            <w:pPr>
              <w:ind w:left="140"/>
              <w:spacing w:after="0"/>
              <w:rPr>
                <w:sz w:val="20"/>
                <w:szCs w:val="20"/>
                <w:color w:val="auto"/>
              </w:rPr>
            </w:pPr>
            <w:r>
              <w:rPr>
                <w:rFonts w:ascii="Arial" w:cs="Arial" w:eastAsia="Arial" w:hAnsi="Arial"/>
                <w:sz w:val="14"/>
                <w:szCs w:val="14"/>
                <w:b w:val="1"/>
                <w:bCs w:val="1"/>
                <w:i w:val="1"/>
                <w:iCs w:val="1"/>
                <w:color w:val="auto"/>
              </w:rPr>
              <w:t>Percent of Revenue</w:t>
            </w:r>
          </w:p>
        </w:tc>
        <w:tc>
          <w:tcPr>
            <w:tcW w:w="340" w:type="dxa"/>
            <w:vAlign w:val="bottom"/>
          </w:tcPr>
          <w:p>
            <w:pPr>
              <w:spacing w:after="0"/>
              <w:rPr>
                <w:sz w:val="15"/>
                <w:szCs w:val="15"/>
                <w:color w:val="auto"/>
              </w:rPr>
            </w:pPr>
          </w:p>
        </w:tc>
        <w:tc>
          <w:tcPr>
            <w:tcW w:w="1300" w:type="dxa"/>
            <w:vAlign w:val="bottom"/>
          </w:tcPr>
          <w:p>
            <w:pPr>
              <w:jc w:val="right"/>
              <w:ind w:right="108"/>
              <w:spacing w:after="0"/>
              <w:rPr>
                <w:sz w:val="20"/>
                <w:szCs w:val="20"/>
                <w:color w:val="auto"/>
              </w:rPr>
            </w:pPr>
            <w:r>
              <w:rPr>
                <w:rFonts w:ascii="Arial" w:cs="Arial" w:eastAsia="Arial" w:hAnsi="Arial"/>
                <w:sz w:val="14"/>
                <w:szCs w:val="14"/>
                <w:b w:val="1"/>
                <w:bCs w:val="1"/>
                <w:i w:val="1"/>
                <w:iCs w:val="1"/>
                <w:color w:val="auto"/>
              </w:rPr>
              <w:t>5.1%</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208"/>
              <w:spacing w:after="0"/>
              <w:rPr>
                <w:sz w:val="20"/>
                <w:szCs w:val="20"/>
                <w:color w:val="auto"/>
              </w:rPr>
            </w:pPr>
            <w:r>
              <w:rPr>
                <w:rFonts w:ascii="Arial" w:cs="Arial" w:eastAsia="Arial" w:hAnsi="Arial"/>
                <w:sz w:val="14"/>
                <w:szCs w:val="14"/>
                <w:b w:val="1"/>
                <w:bCs w:val="1"/>
                <w:i w:val="1"/>
                <w:iCs w:val="1"/>
                <w:color w:val="auto"/>
              </w:rPr>
              <w:t>3.3%</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jc w:val="right"/>
              <w:ind w:right="268"/>
              <w:spacing w:after="0"/>
              <w:rPr>
                <w:sz w:val="20"/>
                <w:szCs w:val="20"/>
                <w:color w:val="auto"/>
              </w:rPr>
            </w:pPr>
            <w:r>
              <w:rPr>
                <w:rFonts w:ascii="Arial" w:cs="Arial" w:eastAsia="Arial" w:hAnsi="Arial"/>
                <w:sz w:val="14"/>
                <w:szCs w:val="14"/>
                <w:b w:val="1"/>
                <w:bCs w:val="1"/>
                <w:i w:val="1"/>
                <w:iCs w:val="1"/>
                <w:color w:val="auto"/>
              </w:rPr>
              <w:t>1.6%</w:t>
            </w:r>
          </w:p>
        </w:tc>
        <w:tc>
          <w:tcPr>
            <w:tcW w:w="0" w:type="dxa"/>
            <w:vAlign w:val="bottom"/>
          </w:tcPr>
          <w:p>
            <w:pPr>
              <w:spacing w:after="0"/>
              <w:rPr>
                <w:sz w:val="1"/>
                <w:szCs w:val="1"/>
                <w:color w:val="auto"/>
              </w:rPr>
            </w:pPr>
          </w:p>
        </w:tc>
      </w:tr>
      <w:tr>
        <w:trPr>
          <w:trHeight w:val="181"/>
        </w:trPr>
        <w:tc>
          <w:tcPr>
            <w:tcW w:w="6040" w:type="dxa"/>
            <w:vAlign w:val="bottom"/>
          </w:tcPr>
          <w:p>
            <w:pPr>
              <w:ind w:left="420"/>
              <w:spacing w:after="0"/>
              <w:rPr>
                <w:sz w:val="20"/>
                <w:szCs w:val="20"/>
                <w:color w:val="auto"/>
              </w:rPr>
            </w:pPr>
            <w:r>
              <w:rPr>
                <w:rFonts w:ascii="Arial" w:cs="Arial" w:eastAsia="Arial" w:hAnsi="Arial"/>
                <w:sz w:val="14"/>
                <w:szCs w:val="14"/>
                <w:color w:val="auto"/>
              </w:rPr>
              <w:t>Amortization of Deferred Financing Costs</w:t>
            </w: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(7,214)</w:t>
            </w:r>
          </w:p>
        </w:tc>
        <w:tc>
          <w:tcPr>
            <w:tcW w:w="2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6040" w:type="dxa"/>
            <w:vAlign w:val="bottom"/>
          </w:tcPr>
          <w:p>
            <w:pPr>
              <w:spacing w:after="0"/>
              <w:rPr>
                <w:sz w:val="20"/>
                <w:szCs w:val="20"/>
                <w:color w:val="auto"/>
              </w:rPr>
            </w:pPr>
            <w:r>
              <w:rPr>
                <w:rFonts w:ascii="Arial" w:cs="Arial" w:eastAsia="Arial" w:hAnsi="Arial"/>
                <w:sz w:val="14"/>
                <w:szCs w:val="14"/>
                <w:b w:val="1"/>
                <w:bCs w:val="1"/>
                <w:color w:val="auto"/>
              </w:rPr>
              <w:t>Non-GAAP Other Expense</w:t>
            </w:r>
          </w:p>
        </w:tc>
        <w:tc>
          <w:tcPr>
            <w:tcW w:w="3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59,121</w:t>
            </w:r>
          </w:p>
        </w:tc>
        <w:tc>
          <w:tcPr>
            <w:tcW w:w="58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25,745</w:t>
            </w:r>
          </w:p>
        </w:tc>
        <w:tc>
          <w:tcPr>
            <w:tcW w:w="64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12,469</w:t>
            </w:r>
          </w:p>
        </w:tc>
        <w:tc>
          <w:tcPr>
            <w:tcW w:w="0" w:type="dxa"/>
            <w:vAlign w:val="bottom"/>
          </w:tcPr>
          <w:p>
            <w:pPr>
              <w:spacing w:after="0"/>
              <w:rPr>
                <w:sz w:val="1"/>
                <w:szCs w:val="1"/>
                <w:color w:val="auto"/>
              </w:rPr>
            </w:pPr>
          </w:p>
        </w:tc>
      </w:tr>
      <w:tr>
        <w:trPr>
          <w:trHeight w:val="20"/>
        </w:trPr>
        <w:tc>
          <w:tcPr>
            <w:tcW w:w="6040" w:type="dxa"/>
            <w:vAlign w:val="bottom"/>
            <w:vMerge w:val="restart"/>
          </w:tcPr>
          <w:p>
            <w:pPr>
              <w:ind w:left="140"/>
              <w:spacing w:after="0"/>
              <w:rPr>
                <w:sz w:val="20"/>
                <w:szCs w:val="20"/>
                <w:color w:val="auto"/>
              </w:rPr>
            </w:pPr>
            <w:r>
              <w:rPr>
                <w:rFonts w:ascii="Arial" w:cs="Arial" w:eastAsia="Arial" w:hAnsi="Arial"/>
                <w:sz w:val="14"/>
                <w:szCs w:val="14"/>
                <w:b w:val="1"/>
                <w:bCs w:val="1"/>
                <w:i w:val="1"/>
                <w:iCs w:val="1"/>
                <w:color w:val="auto"/>
              </w:rPr>
              <w:t>Percent of Non-GAAP Revenue</w:t>
            </w: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jc w:val="right"/>
              <w:ind w:right="108"/>
              <w:spacing w:after="0"/>
              <w:rPr>
                <w:sz w:val="20"/>
                <w:szCs w:val="20"/>
                <w:color w:val="auto"/>
              </w:rPr>
            </w:pPr>
            <w:r>
              <w:rPr>
                <w:rFonts w:ascii="Arial" w:cs="Arial" w:eastAsia="Arial" w:hAnsi="Arial"/>
                <w:sz w:val="14"/>
                <w:szCs w:val="14"/>
                <w:b w:val="1"/>
                <w:bCs w:val="1"/>
                <w:i w:val="1"/>
                <w:iCs w:val="1"/>
                <w:color w:val="auto"/>
              </w:rPr>
              <w:t>4.9%</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ind w:right="208"/>
              <w:spacing w:after="0"/>
              <w:rPr>
                <w:sz w:val="20"/>
                <w:szCs w:val="20"/>
                <w:color w:val="auto"/>
              </w:rPr>
            </w:pPr>
            <w:r>
              <w:rPr>
                <w:rFonts w:ascii="Arial" w:cs="Arial" w:eastAsia="Arial" w:hAnsi="Arial"/>
                <w:sz w:val="14"/>
                <w:szCs w:val="14"/>
                <w:b w:val="1"/>
                <w:bCs w:val="1"/>
                <w:i w:val="1"/>
                <w:iCs w:val="1"/>
                <w:color w:val="auto"/>
              </w:rPr>
              <w:t>2.6%</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jc w:val="right"/>
              <w:ind w:right="268"/>
              <w:spacing w:after="0"/>
              <w:rPr>
                <w:sz w:val="20"/>
                <w:szCs w:val="20"/>
                <w:color w:val="auto"/>
              </w:rPr>
            </w:pPr>
            <w:r>
              <w:rPr>
                <w:rFonts w:ascii="Arial" w:cs="Arial" w:eastAsia="Arial" w:hAnsi="Arial"/>
                <w:sz w:val="14"/>
                <w:szCs w:val="14"/>
                <w:b w:val="1"/>
                <w:bCs w:val="1"/>
                <w:i w:val="1"/>
                <w:iCs w:val="1"/>
                <w:color w:val="auto"/>
              </w:rPr>
              <w:t>1.6%</w:t>
            </w:r>
          </w:p>
        </w:tc>
        <w:tc>
          <w:tcPr>
            <w:tcW w:w="0" w:type="dxa"/>
            <w:vAlign w:val="bottom"/>
          </w:tcPr>
          <w:p>
            <w:pPr>
              <w:spacing w:after="0"/>
              <w:rPr>
                <w:sz w:val="1"/>
                <w:szCs w:val="1"/>
                <w:color w:val="auto"/>
              </w:rPr>
            </w:pPr>
          </w:p>
        </w:tc>
      </w:tr>
      <w:tr>
        <w:trPr>
          <w:trHeight w:val="128"/>
        </w:trPr>
        <w:tc>
          <w:tcPr>
            <w:tcW w:w="604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604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30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3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0"/>
        </w:trPr>
        <w:tc>
          <w:tcPr>
            <w:tcW w:w="7740" w:type="dxa"/>
            <w:vAlign w:val="bottom"/>
          </w:tcPr>
          <w:p>
            <w:pPr>
              <w:spacing w:after="0"/>
              <w:rPr>
                <w:sz w:val="20"/>
                <w:szCs w:val="20"/>
                <w:color w:val="auto"/>
              </w:rPr>
            </w:pPr>
            <w:r>
              <w:rPr>
                <w:rFonts w:ascii="Arial" w:cs="Arial" w:eastAsia="Arial" w:hAnsi="Arial"/>
                <w:sz w:val="14"/>
                <w:szCs w:val="14"/>
                <w:b w:val="1"/>
                <w:bCs w:val="1"/>
                <w:color w:val="auto"/>
              </w:rPr>
              <w:t>GAAP Diluted EPS</w:t>
            </w:r>
          </w:p>
        </w:tc>
        <w:tc>
          <w:tcPr>
            <w:tcW w:w="3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288"/>
              <w:spacing w:after="0"/>
              <w:rPr>
                <w:sz w:val="20"/>
                <w:szCs w:val="20"/>
                <w:color w:val="auto"/>
              </w:rPr>
            </w:pPr>
            <w:r>
              <w:rPr>
                <w:rFonts w:ascii="Arial" w:cs="Arial" w:eastAsia="Arial" w:hAnsi="Arial"/>
                <w:sz w:val="14"/>
                <w:szCs w:val="14"/>
                <w:b w:val="1"/>
                <w:bCs w:val="1"/>
                <w:color w:val="auto"/>
              </w:rPr>
              <w:t>0.27</w:t>
            </w:r>
          </w:p>
        </w:tc>
        <w:tc>
          <w:tcPr>
            <w:tcW w:w="54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288"/>
              <w:spacing w:after="0"/>
              <w:rPr>
                <w:sz w:val="20"/>
                <w:szCs w:val="20"/>
                <w:color w:val="auto"/>
              </w:rPr>
            </w:pPr>
            <w:r>
              <w:rPr>
                <w:rFonts w:ascii="Arial" w:cs="Arial" w:eastAsia="Arial" w:hAnsi="Arial"/>
                <w:sz w:val="14"/>
                <w:szCs w:val="14"/>
                <w:b w:val="1"/>
                <w:bCs w:val="1"/>
                <w:color w:val="auto"/>
              </w:rPr>
              <w:t>0.69</w:t>
            </w:r>
          </w:p>
        </w:tc>
        <w:tc>
          <w:tcPr>
            <w:tcW w:w="6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0.55</w:t>
            </w:r>
          </w:p>
        </w:tc>
      </w:tr>
      <w:tr>
        <w:trPr>
          <w:trHeight w:val="176"/>
        </w:trPr>
        <w:tc>
          <w:tcPr>
            <w:tcW w:w="7740" w:type="dxa"/>
            <w:vAlign w:val="bottom"/>
          </w:tcPr>
          <w:p>
            <w:pPr>
              <w:ind w:left="420"/>
              <w:spacing w:after="0"/>
              <w:rPr>
                <w:sz w:val="20"/>
                <w:szCs w:val="20"/>
                <w:color w:val="auto"/>
              </w:rPr>
            </w:pPr>
            <w:r>
              <w:rPr>
                <w:rFonts w:ascii="Arial" w:cs="Arial" w:eastAsia="Arial" w:hAnsi="Arial"/>
                <w:sz w:val="14"/>
                <w:szCs w:val="14"/>
                <w:color w:val="auto"/>
              </w:rPr>
              <w:t>Acquisition-Related Deferred Revenue</w:t>
            </w:r>
          </w:p>
        </w:tc>
        <w:tc>
          <w:tcPr>
            <w:tcW w:w="380" w:type="dxa"/>
            <w:vAlign w:val="bottom"/>
          </w:tcPr>
          <w:p>
            <w:pPr>
              <w:spacing w:after="0"/>
              <w:rPr>
                <w:sz w:val="15"/>
                <w:szCs w:val="15"/>
                <w:color w:val="auto"/>
              </w:rPr>
            </w:pPr>
          </w:p>
        </w:tc>
        <w:tc>
          <w:tcPr>
            <w:tcW w:w="840" w:type="dxa"/>
            <w:vAlign w:val="bottom"/>
          </w:tcPr>
          <w:p>
            <w:pPr>
              <w:jc w:val="right"/>
              <w:ind w:right="288"/>
              <w:spacing w:after="0"/>
              <w:rPr>
                <w:sz w:val="20"/>
                <w:szCs w:val="20"/>
                <w:color w:val="auto"/>
              </w:rPr>
            </w:pPr>
            <w:r>
              <w:rPr>
                <w:rFonts w:ascii="Arial" w:cs="Arial" w:eastAsia="Arial" w:hAnsi="Arial"/>
                <w:sz w:val="14"/>
                <w:szCs w:val="14"/>
                <w:color w:val="auto"/>
              </w:rPr>
              <w:t>0.13</w:t>
            </w:r>
          </w:p>
        </w:tc>
        <w:tc>
          <w:tcPr>
            <w:tcW w:w="540" w:type="dxa"/>
            <w:vAlign w:val="bottom"/>
          </w:tcPr>
          <w:p>
            <w:pPr>
              <w:spacing w:after="0"/>
              <w:rPr>
                <w:sz w:val="15"/>
                <w:szCs w:val="15"/>
                <w:color w:val="auto"/>
              </w:rPr>
            </w:pPr>
          </w:p>
        </w:tc>
        <w:tc>
          <w:tcPr>
            <w:tcW w:w="8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6"/>
        </w:trPr>
        <w:tc>
          <w:tcPr>
            <w:tcW w:w="7740" w:type="dxa"/>
            <w:vAlign w:val="bottom"/>
          </w:tcPr>
          <w:p>
            <w:pPr>
              <w:ind w:left="420"/>
              <w:spacing w:after="0"/>
              <w:rPr>
                <w:sz w:val="20"/>
                <w:szCs w:val="20"/>
                <w:color w:val="auto"/>
              </w:rPr>
            </w:pPr>
            <w:r>
              <w:rPr>
                <w:rFonts w:ascii="Arial" w:cs="Arial" w:eastAsia="Arial" w:hAnsi="Arial"/>
                <w:sz w:val="14"/>
                <w:szCs w:val="14"/>
                <w:color w:val="auto"/>
              </w:rPr>
              <w:t>Acquisition-Related Expenses</w:t>
            </w:r>
          </w:p>
        </w:tc>
        <w:tc>
          <w:tcPr>
            <w:tcW w:w="380" w:type="dxa"/>
            <w:vAlign w:val="bottom"/>
          </w:tcPr>
          <w:p>
            <w:pPr>
              <w:spacing w:after="0"/>
              <w:rPr>
                <w:sz w:val="15"/>
                <w:szCs w:val="15"/>
                <w:color w:val="auto"/>
              </w:rPr>
            </w:pPr>
          </w:p>
        </w:tc>
        <w:tc>
          <w:tcPr>
            <w:tcW w:w="840" w:type="dxa"/>
            <w:vAlign w:val="bottom"/>
          </w:tcPr>
          <w:p>
            <w:pPr>
              <w:jc w:val="right"/>
              <w:ind w:right="288"/>
              <w:spacing w:after="0"/>
              <w:rPr>
                <w:sz w:val="20"/>
                <w:szCs w:val="20"/>
                <w:color w:val="auto"/>
              </w:rPr>
            </w:pPr>
            <w:r>
              <w:rPr>
                <w:rFonts w:ascii="Arial" w:cs="Arial" w:eastAsia="Arial" w:hAnsi="Arial"/>
                <w:sz w:val="14"/>
                <w:szCs w:val="14"/>
                <w:color w:val="auto"/>
              </w:rPr>
              <w:t>0.65</w:t>
            </w:r>
          </w:p>
        </w:tc>
        <w:tc>
          <w:tcPr>
            <w:tcW w:w="540" w:type="dxa"/>
            <w:vAlign w:val="bottom"/>
          </w:tcPr>
          <w:p>
            <w:pPr>
              <w:spacing w:after="0"/>
              <w:rPr>
                <w:sz w:val="15"/>
                <w:szCs w:val="15"/>
                <w:color w:val="auto"/>
              </w:rPr>
            </w:pPr>
          </w:p>
        </w:tc>
        <w:tc>
          <w:tcPr>
            <w:tcW w:w="840" w:type="dxa"/>
            <w:vAlign w:val="bottom"/>
          </w:tcPr>
          <w:p>
            <w:pPr>
              <w:jc w:val="right"/>
              <w:ind w:right="288"/>
              <w:spacing w:after="0"/>
              <w:rPr>
                <w:sz w:val="20"/>
                <w:szCs w:val="20"/>
                <w:color w:val="auto"/>
              </w:rPr>
            </w:pPr>
            <w:r>
              <w:rPr>
                <w:rFonts w:ascii="Arial" w:cs="Arial" w:eastAsia="Arial" w:hAnsi="Arial"/>
                <w:sz w:val="14"/>
                <w:szCs w:val="14"/>
                <w:color w:val="auto"/>
              </w:rPr>
              <w:t>0.07</w:t>
            </w:r>
          </w:p>
        </w:tc>
        <w:tc>
          <w:tcPr>
            <w:tcW w:w="6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0.06</w:t>
            </w:r>
          </w:p>
        </w:tc>
      </w:tr>
      <w:tr>
        <w:trPr>
          <w:trHeight w:val="176"/>
        </w:trPr>
        <w:tc>
          <w:tcPr>
            <w:tcW w:w="7740" w:type="dxa"/>
            <w:vAlign w:val="bottom"/>
          </w:tcPr>
          <w:p>
            <w:pPr>
              <w:ind w:left="420"/>
              <w:spacing w:after="0"/>
              <w:rPr>
                <w:sz w:val="20"/>
                <w:szCs w:val="20"/>
                <w:color w:val="auto"/>
              </w:rPr>
            </w:pPr>
            <w:r>
              <w:rPr>
                <w:rFonts w:ascii="Arial" w:cs="Arial" w:eastAsia="Arial" w:hAnsi="Arial"/>
                <w:sz w:val="14"/>
                <w:szCs w:val="14"/>
                <w:color w:val="auto"/>
              </w:rPr>
              <w:t>Acquisition-Related Transaction Costs</w:t>
            </w:r>
          </w:p>
        </w:tc>
        <w:tc>
          <w:tcPr>
            <w:tcW w:w="380" w:type="dxa"/>
            <w:vAlign w:val="bottom"/>
          </w:tcPr>
          <w:p>
            <w:pPr>
              <w:spacing w:after="0"/>
              <w:rPr>
                <w:sz w:val="15"/>
                <w:szCs w:val="15"/>
                <w:color w:val="auto"/>
              </w:rPr>
            </w:pPr>
          </w:p>
        </w:tc>
        <w:tc>
          <w:tcPr>
            <w:tcW w:w="840" w:type="dxa"/>
            <w:vAlign w:val="bottom"/>
          </w:tcPr>
          <w:p>
            <w:pPr>
              <w:jc w:val="right"/>
              <w:ind w:right="288"/>
              <w:spacing w:after="0"/>
              <w:rPr>
                <w:sz w:val="20"/>
                <w:szCs w:val="20"/>
                <w:color w:val="auto"/>
              </w:rPr>
            </w:pPr>
            <w:r>
              <w:rPr>
                <w:rFonts w:ascii="Arial" w:cs="Arial" w:eastAsia="Arial" w:hAnsi="Arial"/>
                <w:sz w:val="14"/>
                <w:szCs w:val="14"/>
                <w:color w:val="auto"/>
              </w:rPr>
              <w:t>0.12</w:t>
            </w:r>
          </w:p>
        </w:tc>
        <w:tc>
          <w:tcPr>
            <w:tcW w:w="540" w:type="dxa"/>
            <w:vAlign w:val="bottom"/>
          </w:tcPr>
          <w:p>
            <w:pPr>
              <w:spacing w:after="0"/>
              <w:rPr>
                <w:sz w:val="15"/>
                <w:szCs w:val="15"/>
                <w:color w:val="auto"/>
              </w:rPr>
            </w:pPr>
          </w:p>
        </w:tc>
        <w:tc>
          <w:tcPr>
            <w:tcW w:w="840" w:type="dxa"/>
            <w:vAlign w:val="bottom"/>
          </w:tcPr>
          <w:p>
            <w:pPr>
              <w:jc w:val="right"/>
              <w:ind w:right="288"/>
              <w:spacing w:after="0"/>
              <w:rPr>
                <w:sz w:val="20"/>
                <w:szCs w:val="20"/>
                <w:color w:val="auto"/>
              </w:rPr>
            </w:pPr>
            <w:r>
              <w:rPr>
                <w:rFonts w:ascii="Arial" w:cs="Arial" w:eastAsia="Arial" w:hAnsi="Arial"/>
                <w:sz w:val="14"/>
                <w:szCs w:val="14"/>
                <w:color w:val="auto"/>
              </w:rPr>
              <w:t>0.03</w:t>
            </w:r>
          </w:p>
        </w:tc>
        <w:tc>
          <w:tcPr>
            <w:tcW w:w="6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6"/>
        </w:trPr>
        <w:tc>
          <w:tcPr>
            <w:tcW w:w="7740" w:type="dxa"/>
            <w:vAlign w:val="bottom"/>
          </w:tcPr>
          <w:p>
            <w:pPr>
              <w:ind w:left="420"/>
              <w:spacing w:after="0"/>
              <w:rPr>
                <w:sz w:val="20"/>
                <w:szCs w:val="20"/>
                <w:color w:val="auto"/>
              </w:rPr>
            </w:pPr>
            <w:r>
              <w:rPr>
                <w:rFonts w:ascii="Arial" w:cs="Arial" w:eastAsia="Arial" w:hAnsi="Arial"/>
                <w:sz w:val="14"/>
                <w:szCs w:val="14"/>
                <w:color w:val="auto"/>
              </w:rPr>
              <w:t>Restructuring-Related Expense</w:t>
            </w:r>
          </w:p>
        </w:tc>
        <w:tc>
          <w:tcPr>
            <w:tcW w:w="380" w:type="dxa"/>
            <w:vAlign w:val="bottom"/>
          </w:tcPr>
          <w:p>
            <w:pPr>
              <w:spacing w:after="0"/>
              <w:rPr>
                <w:sz w:val="15"/>
                <w:szCs w:val="15"/>
                <w:color w:val="auto"/>
              </w:rPr>
            </w:pPr>
          </w:p>
        </w:tc>
        <w:tc>
          <w:tcPr>
            <w:tcW w:w="8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5"/>
                <w:szCs w:val="15"/>
                <w:color w:val="auto"/>
              </w:rPr>
            </w:pPr>
          </w:p>
        </w:tc>
        <w:tc>
          <w:tcPr>
            <w:tcW w:w="840" w:type="dxa"/>
            <w:vAlign w:val="bottom"/>
          </w:tcPr>
          <w:p>
            <w:pPr>
              <w:jc w:val="right"/>
              <w:ind w:right="288"/>
              <w:spacing w:after="0"/>
              <w:rPr>
                <w:sz w:val="20"/>
                <w:szCs w:val="20"/>
                <w:color w:val="auto"/>
              </w:rPr>
            </w:pPr>
            <w:r>
              <w:rPr>
                <w:rFonts w:ascii="Arial" w:cs="Arial" w:eastAsia="Arial" w:hAnsi="Arial"/>
                <w:sz w:val="14"/>
                <w:szCs w:val="14"/>
                <w:color w:val="auto"/>
              </w:rPr>
              <w:t>0.16</w:t>
            </w:r>
          </w:p>
        </w:tc>
        <w:tc>
          <w:tcPr>
            <w:tcW w:w="6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0.04</w:t>
            </w:r>
          </w:p>
        </w:tc>
      </w:tr>
      <w:tr>
        <w:trPr>
          <w:trHeight w:val="176"/>
        </w:trPr>
        <w:tc>
          <w:tcPr>
            <w:tcW w:w="7740" w:type="dxa"/>
            <w:vAlign w:val="bottom"/>
          </w:tcPr>
          <w:p>
            <w:pPr>
              <w:ind w:left="420"/>
              <w:spacing w:after="0"/>
              <w:rPr>
                <w:sz w:val="20"/>
                <w:szCs w:val="20"/>
                <w:color w:val="auto"/>
              </w:rPr>
            </w:pPr>
            <w:r>
              <w:rPr>
                <w:rFonts w:ascii="Arial" w:cs="Arial" w:eastAsia="Arial" w:hAnsi="Arial"/>
                <w:sz w:val="14"/>
                <w:szCs w:val="14"/>
                <w:color w:val="auto"/>
              </w:rPr>
              <w:t>Amortization of Deferred Financing Costs</w:t>
            </w:r>
          </w:p>
        </w:tc>
        <w:tc>
          <w:tcPr>
            <w:tcW w:w="380" w:type="dxa"/>
            <w:vAlign w:val="bottom"/>
          </w:tcPr>
          <w:p>
            <w:pPr>
              <w:spacing w:after="0"/>
              <w:rPr>
                <w:sz w:val="15"/>
                <w:szCs w:val="15"/>
                <w:color w:val="auto"/>
              </w:rPr>
            </w:pPr>
          </w:p>
        </w:tc>
        <w:tc>
          <w:tcPr>
            <w:tcW w:w="8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5"/>
                <w:szCs w:val="15"/>
                <w:color w:val="auto"/>
              </w:rPr>
            </w:pPr>
          </w:p>
        </w:tc>
        <w:tc>
          <w:tcPr>
            <w:tcW w:w="840" w:type="dxa"/>
            <w:vAlign w:val="bottom"/>
          </w:tcPr>
          <w:p>
            <w:pPr>
              <w:jc w:val="right"/>
              <w:ind w:right="288"/>
              <w:spacing w:after="0"/>
              <w:rPr>
                <w:sz w:val="20"/>
                <w:szCs w:val="20"/>
                <w:color w:val="auto"/>
              </w:rPr>
            </w:pPr>
            <w:r>
              <w:rPr>
                <w:rFonts w:ascii="Arial" w:cs="Arial" w:eastAsia="Arial" w:hAnsi="Arial"/>
                <w:sz w:val="14"/>
                <w:szCs w:val="14"/>
                <w:color w:val="auto"/>
              </w:rPr>
              <w:t>0.02</w:t>
            </w:r>
          </w:p>
        </w:tc>
        <w:tc>
          <w:tcPr>
            <w:tcW w:w="6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6"/>
        </w:trPr>
        <w:tc>
          <w:tcPr>
            <w:tcW w:w="7740" w:type="dxa"/>
            <w:vAlign w:val="bottom"/>
          </w:tcPr>
          <w:p>
            <w:pPr>
              <w:ind w:left="420"/>
              <w:spacing w:after="0"/>
              <w:rPr>
                <w:sz w:val="20"/>
                <w:szCs w:val="20"/>
                <w:color w:val="auto"/>
              </w:rPr>
            </w:pPr>
            <w:r>
              <w:rPr>
                <w:rFonts w:ascii="Arial" w:cs="Arial" w:eastAsia="Arial" w:hAnsi="Arial"/>
                <w:sz w:val="14"/>
                <w:szCs w:val="14"/>
                <w:color w:val="auto"/>
              </w:rPr>
              <w:t>Income Tax Effect of Above Items</w:t>
            </w:r>
          </w:p>
        </w:tc>
        <w:tc>
          <w:tcPr>
            <w:tcW w:w="380" w:type="dxa"/>
            <w:vAlign w:val="bottom"/>
          </w:tcPr>
          <w:p>
            <w:pPr>
              <w:spacing w:after="0"/>
              <w:rPr>
                <w:sz w:val="15"/>
                <w:szCs w:val="15"/>
                <w:color w:val="auto"/>
              </w:rPr>
            </w:pPr>
          </w:p>
        </w:tc>
        <w:tc>
          <w:tcPr>
            <w:tcW w:w="840" w:type="dxa"/>
            <w:vAlign w:val="bottom"/>
          </w:tcPr>
          <w:p>
            <w:pPr>
              <w:jc w:val="right"/>
              <w:ind w:right="248"/>
              <w:spacing w:after="0"/>
              <w:rPr>
                <w:sz w:val="20"/>
                <w:szCs w:val="20"/>
                <w:color w:val="auto"/>
              </w:rPr>
            </w:pPr>
            <w:r>
              <w:rPr>
                <w:rFonts w:ascii="Arial" w:cs="Arial" w:eastAsia="Arial" w:hAnsi="Arial"/>
                <w:sz w:val="14"/>
                <w:szCs w:val="14"/>
                <w:color w:val="auto"/>
              </w:rPr>
              <w:t>(0.09)</w:t>
            </w:r>
          </w:p>
        </w:tc>
        <w:tc>
          <w:tcPr>
            <w:tcW w:w="540" w:type="dxa"/>
            <w:vAlign w:val="bottom"/>
          </w:tcPr>
          <w:p>
            <w:pPr>
              <w:spacing w:after="0"/>
              <w:rPr>
                <w:sz w:val="15"/>
                <w:szCs w:val="15"/>
                <w:color w:val="auto"/>
              </w:rPr>
            </w:pPr>
          </w:p>
        </w:tc>
        <w:tc>
          <w:tcPr>
            <w:tcW w:w="840" w:type="dxa"/>
            <w:vAlign w:val="bottom"/>
          </w:tcPr>
          <w:p>
            <w:pPr>
              <w:jc w:val="right"/>
              <w:ind w:right="228"/>
              <w:spacing w:after="0"/>
              <w:rPr>
                <w:sz w:val="20"/>
                <w:szCs w:val="20"/>
                <w:color w:val="auto"/>
              </w:rPr>
            </w:pPr>
            <w:r>
              <w:rPr>
                <w:rFonts w:ascii="Arial" w:cs="Arial" w:eastAsia="Arial" w:hAnsi="Arial"/>
                <w:sz w:val="14"/>
                <w:szCs w:val="14"/>
                <w:color w:val="auto"/>
              </w:rPr>
              <w:t>(0.03)</w:t>
            </w:r>
          </w:p>
        </w:tc>
        <w:tc>
          <w:tcPr>
            <w:tcW w:w="6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7740" w:type="dxa"/>
            <w:vAlign w:val="bottom"/>
          </w:tcPr>
          <w:p>
            <w:pPr>
              <w:ind w:left="420"/>
              <w:spacing w:after="0"/>
              <w:rPr>
                <w:sz w:val="20"/>
                <w:szCs w:val="20"/>
                <w:color w:val="auto"/>
              </w:rPr>
            </w:pPr>
            <w:r>
              <w:rPr>
                <w:rFonts w:ascii="Arial" w:cs="Arial" w:eastAsia="Arial" w:hAnsi="Arial"/>
                <w:sz w:val="14"/>
                <w:szCs w:val="14"/>
                <w:color w:val="auto"/>
              </w:rPr>
              <w:t>Impact of State Tax Valuation Release</w:t>
            </w:r>
          </w:p>
        </w:tc>
        <w:tc>
          <w:tcPr>
            <w:tcW w:w="3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(0.05)</w:t>
            </w:r>
          </w:p>
        </w:tc>
        <w:tc>
          <w:tcPr>
            <w:tcW w:w="5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69"/>
        </w:trPr>
        <w:tc>
          <w:tcPr>
            <w:tcW w:w="7740" w:type="dxa"/>
            <w:vAlign w:val="bottom"/>
          </w:tcPr>
          <w:p>
            <w:pPr>
              <w:spacing w:after="0"/>
              <w:rPr>
                <w:sz w:val="20"/>
                <w:szCs w:val="20"/>
                <w:color w:val="auto"/>
              </w:rPr>
            </w:pPr>
            <w:r>
              <w:rPr>
                <w:rFonts w:ascii="Arial" w:cs="Arial" w:eastAsia="Arial" w:hAnsi="Arial"/>
                <w:sz w:val="14"/>
                <w:szCs w:val="14"/>
                <w:b w:val="1"/>
                <w:bCs w:val="1"/>
                <w:color w:val="auto"/>
              </w:rPr>
              <w:t>Non-GAAP Diluted EPS (1)</w:t>
            </w:r>
          </w:p>
        </w:tc>
        <w:tc>
          <w:tcPr>
            <w:tcW w:w="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1.03</w:t>
            </w:r>
          </w:p>
        </w:tc>
        <w:tc>
          <w:tcPr>
            <w:tcW w:w="5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0.94</w:t>
            </w:r>
          </w:p>
        </w:tc>
        <w:tc>
          <w:tcPr>
            <w:tcW w:w="6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0.64</w:t>
            </w:r>
          </w:p>
        </w:tc>
      </w:tr>
      <w:tr>
        <w:trPr>
          <w:trHeight w:val="20"/>
        </w:trPr>
        <w:tc>
          <w:tcPr>
            <w:tcW w:w="7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(1) The sum of the individual per share amounts may not equal the total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59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4"/>
          <w:szCs w:val="14"/>
          <w:b w:val="1"/>
          <w:bCs w:val="1"/>
          <w:color w:val="auto"/>
        </w:rPr>
        <w:t>Analog Devices, Second Quarter, Fiscal 2017</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Schedule F</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Reconciliation of Free Cash Flow to Net Cash Flows Provided by Operating Activities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2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Three Months Ended</w:t>
            </w:r>
          </w:p>
        </w:tc>
        <w:tc>
          <w:tcPr>
            <w:tcW w:w="72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jc w:val="center"/>
              <w:ind w:right="108"/>
              <w:spacing w:after="0" w:line="160" w:lineRule="exact"/>
              <w:rPr>
                <w:sz w:val="20"/>
                <w:szCs w:val="20"/>
                <w:color w:val="auto"/>
              </w:rPr>
            </w:pPr>
            <w:r>
              <w:rPr>
                <w:rFonts w:ascii="Arial" w:cs="Arial" w:eastAsia="Arial" w:hAnsi="Arial"/>
                <w:sz w:val="14"/>
                <w:szCs w:val="14"/>
                <w:b w:val="1"/>
                <w:bCs w:val="1"/>
                <w:color w:val="auto"/>
                <w:w w:val="94"/>
              </w:rPr>
              <w:t>2Q 17</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jc w:val="center"/>
              <w:ind w:right="148"/>
              <w:spacing w:after="0" w:line="160" w:lineRule="exact"/>
              <w:rPr>
                <w:sz w:val="20"/>
                <w:szCs w:val="20"/>
                <w:color w:val="auto"/>
              </w:rPr>
            </w:pPr>
            <w:r>
              <w:rPr>
                <w:rFonts w:ascii="Arial" w:cs="Arial" w:eastAsia="Arial" w:hAnsi="Arial"/>
                <w:sz w:val="14"/>
                <w:szCs w:val="14"/>
                <w:b w:val="1"/>
                <w:bCs w:val="1"/>
                <w:color w:val="auto"/>
                <w:w w:val="99"/>
              </w:rPr>
              <w:t>1Q 17</w:t>
            </w:r>
          </w:p>
        </w:tc>
        <w:tc>
          <w:tcPr>
            <w:tcW w:w="720" w:type="dxa"/>
            <w:vAlign w:val="bottom"/>
          </w:tcPr>
          <w:p>
            <w:pPr>
              <w:spacing w:after="0"/>
              <w:rPr>
                <w:sz w:val="13"/>
                <w:szCs w:val="13"/>
                <w:color w:val="auto"/>
              </w:rPr>
            </w:pPr>
          </w:p>
        </w:tc>
        <w:tc>
          <w:tcPr>
            <w:tcW w:w="1180" w:type="dxa"/>
            <w:vAlign w:val="bottom"/>
          </w:tcPr>
          <w:p>
            <w:pPr>
              <w:jc w:val="center"/>
              <w:ind w:right="148"/>
              <w:spacing w:after="0" w:line="160" w:lineRule="exact"/>
              <w:rPr>
                <w:sz w:val="20"/>
                <w:szCs w:val="20"/>
                <w:color w:val="auto"/>
              </w:rPr>
            </w:pPr>
            <w:r>
              <w:rPr>
                <w:rFonts w:ascii="Arial" w:cs="Arial" w:eastAsia="Arial" w:hAnsi="Arial"/>
                <w:sz w:val="14"/>
                <w:szCs w:val="14"/>
                <w:b w:val="1"/>
                <w:bCs w:val="1"/>
                <w:color w:val="auto"/>
                <w:w w:val="94"/>
              </w:rPr>
              <w:t>2Q 16</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tcPr>
          <w:p>
            <w:pPr>
              <w:jc w:val="right"/>
              <w:ind w:right="268"/>
              <w:spacing w:after="0" w:line="149" w:lineRule="exact"/>
              <w:rPr>
                <w:sz w:val="20"/>
                <w:szCs w:val="20"/>
                <w:color w:val="auto"/>
              </w:rPr>
            </w:pPr>
            <w:r>
              <w:rPr>
                <w:rFonts w:ascii="Arial" w:cs="Arial" w:eastAsia="Arial" w:hAnsi="Arial"/>
                <w:sz w:val="14"/>
                <w:szCs w:val="14"/>
                <w:b w:val="1"/>
                <w:bCs w:val="1"/>
                <w:color w:val="auto"/>
              </w:rPr>
              <w:t>April 29,</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jc w:val="right"/>
              <w:ind w:right="368"/>
              <w:spacing w:after="0" w:line="149" w:lineRule="exact"/>
              <w:rPr>
                <w:sz w:val="20"/>
                <w:szCs w:val="20"/>
                <w:color w:val="auto"/>
              </w:rPr>
            </w:pPr>
            <w:r>
              <w:rPr>
                <w:rFonts w:ascii="Arial" w:cs="Arial" w:eastAsia="Arial" w:hAnsi="Arial"/>
                <w:sz w:val="14"/>
                <w:szCs w:val="14"/>
                <w:b w:val="1"/>
                <w:bCs w:val="1"/>
                <w:color w:val="auto"/>
              </w:rPr>
              <w:t>Jan. 28,</w:t>
            </w:r>
          </w:p>
        </w:tc>
        <w:tc>
          <w:tcPr>
            <w:tcW w:w="720" w:type="dxa"/>
            <w:vAlign w:val="bottom"/>
          </w:tcPr>
          <w:p>
            <w:pPr>
              <w:spacing w:after="0"/>
              <w:rPr>
                <w:sz w:val="12"/>
                <w:szCs w:val="12"/>
                <w:color w:val="auto"/>
              </w:rPr>
            </w:pPr>
          </w:p>
        </w:tc>
        <w:tc>
          <w:tcPr>
            <w:tcW w:w="1180" w:type="dxa"/>
            <w:vAlign w:val="bottom"/>
          </w:tcPr>
          <w:p>
            <w:pPr>
              <w:jc w:val="right"/>
              <w:ind w:right="348"/>
              <w:spacing w:after="0" w:line="149" w:lineRule="exact"/>
              <w:rPr>
                <w:sz w:val="20"/>
                <w:szCs w:val="20"/>
                <w:color w:val="auto"/>
              </w:rPr>
            </w:pPr>
            <w:r>
              <w:rPr>
                <w:rFonts w:ascii="Arial" w:cs="Arial" w:eastAsia="Arial" w:hAnsi="Arial"/>
                <w:sz w:val="14"/>
                <w:szCs w:val="14"/>
                <w:b w:val="1"/>
                <w:bCs w:val="1"/>
                <w:color w:val="auto"/>
              </w:rPr>
              <w:t>April 30,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5820" w:type="dxa"/>
            <w:vAlign w:val="bottom"/>
          </w:tcPr>
          <w:p>
            <w:pPr>
              <w:spacing w:after="0"/>
              <w:rPr>
                <w:sz w:val="20"/>
                <w:szCs w:val="20"/>
                <w:color w:val="auto"/>
              </w:rPr>
            </w:pPr>
            <w:r>
              <w:rPr>
                <w:rFonts w:ascii="Arial" w:cs="Arial" w:eastAsia="Arial" w:hAnsi="Arial"/>
                <w:sz w:val="14"/>
                <w:szCs w:val="14"/>
                <w:color w:val="auto"/>
              </w:rPr>
              <w:t>Net cash provided by operating activities</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521,464</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314,492</w:t>
            </w: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320,203</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820" w:type="dxa"/>
            <w:vAlign w:val="bottom"/>
          </w:tcPr>
          <w:p>
            <w:pPr>
              <w:spacing w:after="0"/>
              <w:rPr>
                <w:sz w:val="20"/>
                <w:szCs w:val="20"/>
                <w:color w:val="auto"/>
              </w:rPr>
            </w:pPr>
            <w:r>
              <w:rPr>
                <w:rFonts w:ascii="Arial" w:cs="Arial" w:eastAsia="Arial" w:hAnsi="Arial"/>
                <w:sz w:val="14"/>
                <w:szCs w:val="14"/>
                <w:color w:val="auto"/>
              </w:rPr>
              <w:t>% of Revenue</w:t>
            </w:r>
          </w:p>
        </w:tc>
        <w:tc>
          <w:tcPr>
            <w:tcW w:w="360" w:type="dxa"/>
            <w:vAlign w:val="bottom"/>
          </w:tcPr>
          <w:p>
            <w:pPr>
              <w:spacing w:after="0"/>
              <w:rPr>
                <w:sz w:val="15"/>
                <w:szCs w:val="15"/>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43.1</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31.9</w:t>
            </w:r>
          </w:p>
        </w:tc>
        <w:tc>
          <w:tcPr>
            <w:tcW w:w="72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41.1</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5820" w:type="dxa"/>
            <w:vAlign w:val="bottom"/>
          </w:tcPr>
          <w:p>
            <w:pPr>
              <w:spacing w:after="0"/>
              <w:rPr>
                <w:sz w:val="20"/>
                <w:szCs w:val="20"/>
                <w:color w:val="auto"/>
              </w:rPr>
            </w:pPr>
            <w:r>
              <w:rPr>
                <w:rFonts w:ascii="Arial" w:cs="Arial" w:eastAsia="Arial" w:hAnsi="Arial"/>
                <w:sz w:val="14"/>
                <w:szCs w:val="14"/>
                <w:color w:val="auto"/>
              </w:rPr>
              <w:t>Capital expenditures</w:t>
            </w: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(46,929)</w:t>
            </w:r>
          </w:p>
        </w:tc>
        <w:tc>
          <w:tcPr>
            <w:tcW w:w="3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(28,337)</w:t>
            </w:r>
          </w:p>
        </w:tc>
        <w:tc>
          <w:tcPr>
            <w:tcW w:w="7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(25,517)</w:t>
            </w:r>
          </w:p>
        </w:tc>
        <w:tc>
          <w:tcPr>
            <w:tcW w:w="2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820" w:type="dxa"/>
            <w:vAlign w:val="bottom"/>
          </w:tcPr>
          <w:p>
            <w:pPr>
              <w:spacing w:after="0"/>
              <w:rPr>
                <w:sz w:val="20"/>
                <w:szCs w:val="20"/>
                <w:color w:val="auto"/>
              </w:rPr>
            </w:pPr>
            <w:r>
              <w:rPr>
                <w:rFonts w:ascii="Arial" w:cs="Arial" w:eastAsia="Arial" w:hAnsi="Arial"/>
                <w:sz w:val="14"/>
                <w:szCs w:val="14"/>
                <w:color w:val="auto"/>
              </w:rPr>
              <w:t>Free cash flow</w:t>
            </w: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474,535</w:t>
            </w: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286,155</w:t>
            </w: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294,686</w:t>
            </w:r>
          </w:p>
        </w:tc>
        <w:tc>
          <w:tcPr>
            <w:tcW w:w="2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4"/>
                <w:szCs w:val="14"/>
                <w:color w:val="auto"/>
              </w:rPr>
              <w:t>% of Revenue</w:t>
            </w: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820" w:type="dxa"/>
            <w:vAlign w:val="bottom"/>
            <w:vMerge w:val="continue"/>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39.3</w:t>
            </w:r>
          </w:p>
        </w:tc>
        <w:tc>
          <w:tcPr>
            <w:tcW w:w="3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3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29.1</w:t>
            </w:r>
          </w:p>
        </w:tc>
        <w:tc>
          <w:tcPr>
            <w:tcW w:w="720" w:type="dxa"/>
            <w:vAlign w:val="bottom"/>
            <w:tcBorders>
              <w:top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37.8</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(1) 2Q17 Revenue on a non-GAAP basis and includes acquisition-related deferred revenue outlined on Schedule 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Analog Devices, Inc.</w:t>
      </w:r>
    </w:p>
    <w:p>
      <w:pPr>
        <w:spacing w:after="0" w:line="230" w:lineRule="auto"/>
        <w:rPr>
          <w:sz w:val="20"/>
          <w:szCs w:val="20"/>
          <w:color w:val="auto"/>
        </w:rPr>
      </w:pPr>
      <w:r>
        <w:rPr>
          <w:rFonts w:ascii="Arial" w:cs="Arial" w:eastAsia="Arial" w:hAnsi="Arial"/>
          <w:sz w:val="22"/>
          <w:szCs w:val="22"/>
          <w:color w:val="auto"/>
        </w:rPr>
        <w:t>Mr. Ali Husain, 781-461-3282</w:t>
      </w:r>
    </w:p>
    <w:p>
      <w:pPr>
        <w:spacing w:after="0" w:line="231" w:lineRule="auto"/>
        <w:rPr>
          <w:sz w:val="20"/>
          <w:szCs w:val="20"/>
          <w:color w:val="auto"/>
        </w:rPr>
      </w:pPr>
      <w:r>
        <w:rPr>
          <w:rFonts w:ascii="Arial" w:cs="Arial" w:eastAsia="Arial" w:hAnsi="Arial"/>
          <w:sz w:val="22"/>
          <w:szCs w:val="22"/>
          <w:color w:val="auto"/>
        </w:rPr>
        <w:t>781-461-3491 (fax)</w:t>
      </w:r>
    </w:p>
    <w:p>
      <w:pPr>
        <w:spacing w:after="0" w:line="231" w:lineRule="auto"/>
        <w:rPr>
          <w:sz w:val="20"/>
          <w:szCs w:val="20"/>
          <w:color w:val="auto"/>
        </w:rPr>
      </w:pPr>
      <w:r>
        <w:rPr>
          <w:rFonts w:ascii="Arial" w:cs="Arial" w:eastAsia="Arial" w:hAnsi="Arial"/>
          <w:sz w:val="22"/>
          <w:szCs w:val="22"/>
          <w:color w:val="auto"/>
        </w:rPr>
        <w:t>Treasurer and Head of Investor Relations</w:t>
      </w:r>
    </w:p>
    <w:p>
      <w:pPr>
        <w:spacing w:after="0"/>
        <w:rPr>
          <w:sz w:val="20"/>
          <w:szCs w:val="20"/>
          <w:color w:val="auto"/>
        </w:rPr>
      </w:pPr>
      <w:r>
        <w:rPr>
          <w:rFonts w:ascii="Arial" w:cs="Arial" w:eastAsia="Arial" w:hAnsi="Arial"/>
          <w:sz w:val="22"/>
          <w:szCs w:val="22"/>
          <w:u w:val="single" w:color="auto"/>
          <w:color w:val="auto"/>
        </w:rPr>
        <w:t>investor.relations@analog.com</w:t>
      </w:r>
    </w:p>
    <w:sectPr>
      <w:pgSz w:w="11900" w:h="16838" w:orient="portrait"/>
      <w:cols w:equalWidth="0" w:num="1">
        <w:col w:w="11420"/>
      </w:cols>
      <w:pgMar w:left="240" w:top="13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2019-12-05T01:20:17Z</dcterms:created>
  <dcterms:modified xsi:type="dcterms:W3CDTF">2019-12-05T01:20:17Z</dcterms:modified>
</cp:coreProperties>
</file>