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225425</wp:posOffset>
            </wp:positionH>
            <wp:positionV relativeFrom="page">
              <wp:posOffset>534670</wp:posOffset>
            </wp:positionV>
            <wp:extent cx="7098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568960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59055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48895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00" w:right="40" w:hanging="674"/>
        <w:spacing w:after="0" w:line="231" w:lineRule="auto"/>
        <w:tabs>
          <w:tab w:leader="none" w:pos="700" w:val="left"/>
        </w:tabs>
        <w:numPr>
          <w:ilvl w:val="0"/>
          <w:numId w:val="1"/>
        </w:numPr>
        <w:rPr>
          <w:rFonts w:ascii="MS PGothic" w:cs="MS PGothic" w:eastAsia="MS PGothic" w:hAnsi="MS PGothic"/>
          <w:sz w:val="25"/>
          <w:szCs w:val="25"/>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April 29, 2023</w:t>
      </w:r>
    </w:p>
    <w:p>
      <w:pPr>
        <w:spacing w:after="0" w:line="2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700" w:hanging="666"/>
        <w:spacing w:after="0" w:line="231" w:lineRule="auto"/>
        <w:tabs>
          <w:tab w:leader="none" w:pos="70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140" w:type="dxa"/>
            <w:vAlign w:val="bottom"/>
          </w:tcPr>
          <w:p>
            <w:pPr>
              <w:spacing w:after="0"/>
              <w:rPr>
                <w:sz w:val="20"/>
                <w:szCs w:val="20"/>
                <w:color w:val="auto"/>
              </w:rPr>
            </w:pPr>
            <w:r>
              <w:rPr>
                <w:rFonts w:ascii="Arial" w:cs="Arial" w:eastAsia="Arial" w:hAnsi="Arial"/>
                <w:sz w:val="18"/>
                <w:szCs w:val="18"/>
                <w:b w:val="1"/>
                <w:bCs w:val="1"/>
                <w:color w:val="auto"/>
                <w:w w:val="70"/>
              </w:rPr>
              <w:t>to</w:t>
            </w:r>
          </w:p>
        </w:tc>
      </w:tr>
      <w:tr>
        <w:trPr>
          <w:trHeight w:val="20"/>
        </w:trPr>
        <w:tc>
          <w:tcPr>
            <w:tcW w:w="2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Arial" w:cs="Arial" w:eastAsia="Arial" w:hAnsi="Arial"/>
                <w:sz w:val="18"/>
                <w:szCs w:val="18"/>
                <w:b w:val="1"/>
                <w:bCs w:val="1"/>
                <w:color w:val="auto"/>
                <w:w w:val="90"/>
              </w:rPr>
              <w:t>Commission File No. 1-7819</w:t>
            </w:r>
          </w:p>
        </w:tc>
        <w:tc>
          <w:tcPr>
            <w:tcW w:w="1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4356100</wp:posOffset>
            </wp:positionH>
            <wp:positionV relativeFrom="paragraph">
              <wp:posOffset>-162560</wp:posOffset>
            </wp:positionV>
            <wp:extent cx="371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147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2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sectPr>
      </w:pPr>
    </w:p>
    <w:p>
      <w:pPr>
        <w:spacing w:after="0" w:line="205" w:lineRule="exact"/>
        <w:rPr>
          <w:sz w:val="24"/>
          <w:szCs w:val="24"/>
          <w:color w:val="auto"/>
        </w:rPr>
      </w:pPr>
    </w:p>
    <w:p>
      <w:pPr>
        <w:ind w:left="228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50" w:lineRule="exact"/>
        <w:rPr>
          <w:sz w:val="24"/>
          <w:szCs w:val="24"/>
          <w:color w:val="auto"/>
        </w:rPr>
      </w:pPr>
    </w:p>
    <w:p>
      <w:pPr>
        <w:sectPr>
          <w:pgSz w:w="11900" w:h="16838" w:orient="portrait"/>
          <w:cols w:equalWidth="0" w:num="2">
            <w:col w:w="7380" w:space="720"/>
            <w:col w:w="3080"/>
          </w:cols>
          <w:pgMar w:left="320" w:top="1025" w:right="399" w:bottom="1440" w:gutter="0" w:footer="0" w:header="0"/>
          <w:type w:val="continuous"/>
        </w:sectPr>
      </w:pPr>
    </w:p>
    <w:p>
      <w:pPr>
        <w:ind w:left="1080"/>
        <w:spacing w:after="0"/>
        <w:rPr>
          <w:sz w:val="20"/>
          <w:szCs w:val="20"/>
          <w:color w:val="auto"/>
        </w:rPr>
      </w:pPr>
      <w:r>
        <w:rPr>
          <w:rFonts w:ascii="Arial" w:cs="Arial" w:eastAsia="Arial" w:hAnsi="Arial"/>
          <w:sz w:val="13"/>
          <w:szCs w:val="13"/>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(I.R.S. Employer Identification No.)</w:t>
      </w:r>
    </w:p>
    <w:p>
      <w:pPr>
        <w:spacing w:after="0" w:line="129" w:lineRule="exact"/>
        <w:rPr>
          <w:sz w:val="24"/>
          <w:szCs w:val="24"/>
          <w:color w:val="auto"/>
        </w:rPr>
      </w:pPr>
    </w:p>
    <w:p>
      <w:pPr>
        <w:sectPr>
          <w:pgSz w:w="11900" w:h="16838" w:orient="portrait"/>
          <w:cols w:equalWidth="0" w:num="2">
            <w:col w:w="6780" w:space="720"/>
            <w:col w:w="3680"/>
          </w:cols>
          <w:pgMar w:left="320" w:top="1025" w:right="399" w:bottom="1440" w:gutter="0" w:footer="0" w:header="0"/>
          <w:type w:val="continuous"/>
        </w:sectPr>
      </w:pPr>
    </w:p>
    <w:p>
      <w:pPr>
        <w:jc w:val="center"/>
        <w:ind w:left="780"/>
        <w:spacing w:after="0"/>
        <w:rPr>
          <w:sz w:val="20"/>
          <w:szCs w:val="20"/>
          <w:color w:val="auto"/>
        </w:rPr>
      </w:pPr>
      <w:r>
        <w:rPr>
          <w:rFonts w:ascii="Arial" w:cs="Arial" w:eastAsia="Arial" w:hAnsi="Arial"/>
          <w:sz w:val="16"/>
          <w:szCs w:val="16"/>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01887</w:t>
      </w:r>
    </w:p>
    <w:p>
      <w:pPr>
        <w:spacing w:after="0" w:line="58" w:lineRule="exact"/>
        <w:rPr>
          <w:sz w:val="24"/>
          <w:szCs w:val="24"/>
          <w:color w:val="auto"/>
        </w:rPr>
      </w:pPr>
    </w:p>
    <w:p>
      <w:pPr>
        <w:sectPr>
          <w:pgSz w:w="11900" w:h="16838" w:orient="portrait"/>
          <w:cols w:equalWidth="0" w:num="4">
            <w:col w:w="2780" w:space="720"/>
            <w:col w:w="960" w:space="320"/>
            <w:col w:w="2800" w:space="720"/>
            <w:col w:w="2880"/>
          </w:cols>
          <w:pgMar w:left="320" w:top="1025" w:right="399" w:bottom="1440" w:gutter="0" w:footer="0" w:header="0"/>
          <w:type w:val="continuous"/>
        </w:sectPr>
      </w:pPr>
    </w:p>
    <w:p>
      <w:pPr>
        <w:ind w:left="1720"/>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i w:val="1"/>
          <w:iCs w:val="1"/>
          <w:color w:val="auto"/>
        </w:rPr>
        <w:t>(Zip Code)</w:t>
      </w:r>
    </w:p>
    <w:p>
      <w:pPr>
        <w:spacing w:after="0" w:line="121" w:lineRule="exact"/>
        <w:rPr>
          <w:sz w:val="24"/>
          <w:szCs w:val="24"/>
          <w:color w:val="auto"/>
        </w:rPr>
      </w:pPr>
    </w:p>
    <w:p>
      <w:pPr>
        <w:sectPr>
          <w:pgSz w:w="11900" w:h="16838" w:orient="portrait"/>
          <w:cols w:equalWidth="0" w:num="2">
            <w:col w:w="7500" w:space="720"/>
            <w:col w:w="2960"/>
          </w:cols>
          <w:pgMar w:left="320" w:top="1025" w:right="3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(781) 935-5565</w:t>
      </w:r>
    </w:p>
    <w:p>
      <w:pPr>
        <w:sectPr>
          <w:pgSz w:w="11900" w:h="16838" w:orient="portrait"/>
          <w:cols w:equalWidth="0" w:num="1">
            <w:col w:w="11180"/>
          </w:cols>
          <w:pgMar w:left="320" w:top="1025" w:right="399" w:bottom="1440" w:gutter="0" w:footer="0" w:header="0"/>
          <w:type w:val="continuous"/>
        </w:sectPr>
      </w:pP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3"/>
          <w:szCs w:val="13"/>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1025" w:right="39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4180" w:space="720"/>
            <w:col w:w="1760" w:space="720"/>
            <w:col w:w="3800"/>
          </w:cols>
          <w:pgMar w:left="320" w:top="1025" w:right="39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22" w:lineRule="exact"/>
        <w:rPr>
          <w:sz w:val="24"/>
          <w:szCs w:val="24"/>
          <w:color w:val="auto"/>
        </w:rPr>
      </w:pPr>
    </w:p>
    <w:p>
      <w:pPr>
        <w:sectPr>
          <w:pgSz w:w="11900" w:h="16838" w:orient="portrait"/>
          <w:cols w:equalWidth="0" w:num="3">
            <w:col w:w="4740" w:space="720"/>
            <w:col w:w="1820" w:space="720"/>
            <w:col w:w="3180"/>
          </w:cols>
          <w:pgMar w:left="320" w:top="1025" w:right="399" w:bottom="1440" w:gutter="0" w:footer="0" w:header="0"/>
          <w:type w:val="continuous"/>
        </w:sectPr>
      </w:pPr>
    </w:p>
    <w:p>
      <w:pPr>
        <w:spacing w:after="0" w:line="11" w:lineRule="exact"/>
        <w:rPr>
          <w:sz w:val="24"/>
          <w:szCs w:val="24"/>
          <w:color w:val="auto"/>
        </w:rPr>
      </w:pPr>
    </w:p>
    <w:p>
      <w:pPr>
        <w:ind w:firstLine="446"/>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4" w:lineRule="exact"/>
        <w:rPr>
          <w:sz w:val="24"/>
          <w:szCs w:val="24"/>
          <w:color w:val="auto"/>
        </w:rPr>
      </w:pPr>
    </w:p>
    <w:p>
      <w:pPr>
        <w:ind w:right="40" w:firstLine="446"/>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1" w:lineRule="exact"/>
        <w:rPr>
          <w:sz w:val="24"/>
          <w:szCs w:val="24"/>
          <w:color w:val="auto"/>
        </w:rPr>
      </w:pPr>
    </w:p>
    <w:p>
      <w:pPr>
        <w:ind w:right="20" w:firstLine="446"/>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35"/>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58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58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44" w:lineRule="exact"/>
        <w:rPr>
          <w:sz w:val="24"/>
          <w:szCs w:val="24"/>
          <w:color w:val="auto"/>
        </w:rPr>
      </w:pPr>
    </w:p>
    <w:p>
      <w:pPr>
        <w:ind w:firstLine="44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 w:lineRule="exact"/>
        <w:rPr>
          <w:sz w:val="24"/>
          <w:szCs w:val="24"/>
          <w:color w:val="auto"/>
        </w:rPr>
      </w:pPr>
    </w:p>
    <w:p>
      <w:pPr>
        <w:ind w:left="460" w:right="1240"/>
        <w:spacing w:after="0" w:line="328"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April 29, 2023 there were 501,418,304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373380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025" w:right="399" w:bottom="1440" w:gutter="0" w:footer="0" w:header="0"/>
          <w:type w:val="continuous"/>
        </w:sectPr>
      </w:pPr>
    </w:p>
    <w:bookmarkStart w:id="1" w:name="page2"/>
    <w:bookmarkEnd w:id="1"/>
    <w:p>
      <w:pPr>
        <w:ind w:left="4000"/>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4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4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April 29, 2023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April 30, 2022</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9"/>
              </w:rPr>
              <w:t>April 29, 2023</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9"/>
              </w:rPr>
              <w:t>April 30, 2022</w:t>
            </w:r>
          </w:p>
        </w:tc>
      </w:tr>
      <w:tr>
        <w:trPr>
          <w:trHeight w:val="23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3,262,930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2,972,064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6,512,560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5,656,357</w:t>
            </w:r>
          </w:p>
        </w:tc>
      </w:tr>
      <w:tr>
        <w:trPr>
          <w:trHeight w:val="23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1,118,384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1,027,544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2,243,673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2,309,840</w:t>
            </w:r>
          </w:p>
        </w:tc>
      </w:tr>
      <w:tr>
        <w:trPr>
          <w:trHeight w:val="223"/>
        </w:trPr>
        <w:tc>
          <w:tcPr>
            <w:tcW w:w="4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2,144,546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4,268,887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3,346,517</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6"/>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420,901</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829,849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847,681</w:t>
            </w:r>
          </w:p>
        </w:tc>
      </w:tr>
      <w:tr>
        <w:trPr>
          <w:trHeight w:val="230"/>
        </w:trPr>
        <w:tc>
          <w:tcPr>
            <w:tcW w:w="4500" w:type="dxa"/>
            <w:vAlign w:val="bottom"/>
          </w:tcPr>
          <w:p>
            <w:pPr>
              <w:ind w:left="56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324,251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305,308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650,535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602,673</w:t>
            </w:r>
          </w:p>
        </w:tc>
      </w:tr>
      <w:tr>
        <w:trPr>
          <w:trHeight w:val="243"/>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Amortization of intangibles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253,021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253,476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506,163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506,843</w:t>
            </w:r>
          </w:p>
        </w:tc>
      </w:tr>
      <w:tr>
        <w:trPr>
          <w:trHeight w:val="230"/>
        </w:trPr>
        <w:tc>
          <w:tcPr>
            <w:tcW w:w="45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Special charges,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46,674</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23,136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106,402</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1,016,162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2,009,683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2,063,599</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1,128,384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918,161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2,259,204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1,282,918</w:t>
            </w: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450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63,252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123,705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101,512</w:t>
            </w:r>
          </w:p>
        </w:tc>
      </w:tr>
      <w:tr>
        <w:trPr>
          <w:trHeight w:val="243"/>
        </w:trPr>
        <w:tc>
          <w:tcPr>
            <w:tcW w:w="45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29"/>
        </w:trPr>
        <w:tc>
          <w:tcPr>
            <w:tcW w:w="45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(20,613)</w:t>
            </w:r>
          </w:p>
        </w:tc>
      </w:tr>
      <w:tr>
        <w:trPr>
          <w:trHeight w:val="223"/>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38,916</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97,808</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80,118</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1,087,923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879,245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2,161,396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1,202,800</w:t>
            </w: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110,267</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95,972</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222,266</w:t>
            </w:r>
          </w:p>
        </w:tc>
        <w:tc>
          <w:tcPr>
            <w:tcW w:w="14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139,450</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977,656</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783,273</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1,939,130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1,063,350</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w w:val="91"/>
              </w:rPr>
              <w:t>Shares used to compute earnings per common share – basic</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504,715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522,370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505,918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523,831</w:t>
            </w:r>
          </w:p>
        </w:tc>
      </w:tr>
      <w:tr>
        <w:trPr>
          <w:trHeight w:val="23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Shares used to compute earnings per common share – diluted</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508,725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526,264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509,955</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528,203</w:t>
            </w:r>
          </w:p>
        </w:tc>
      </w:tr>
      <w:tr>
        <w:trPr>
          <w:trHeight w:val="270"/>
        </w:trPr>
        <w:tc>
          <w:tcPr>
            <w:tcW w:w="4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012" w:right="1319" w:bottom="1440" w:gutter="0" w:footer="0" w:header="0"/>
        </w:sectPr>
      </w:pPr>
    </w:p>
    <w:bookmarkStart w:id="2" w:name="page3"/>
    <w:bookmarkEnd w:id="2"/>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April 29, 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April 30, 2022</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April 29, 2023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April 30, 2022</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977,656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1,939,130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1,063,350</w:t>
            </w:r>
          </w:p>
        </w:tc>
        <w:tc>
          <w:tcPr>
            <w:tcW w:w="0" w:type="dxa"/>
            <w:vAlign w:val="bottom"/>
          </w:tcPr>
          <w:p>
            <w:pPr>
              <w:spacing w:after="0"/>
              <w:rPr>
                <w:sz w:val="1"/>
                <w:szCs w:val="1"/>
                <w:color w:val="auto"/>
              </w:rPr>
            </w:pPr>
          </w:p>
        </w:tc>
      </w:tr>
      <w:tr>
        <w:trPr>
          <w:trHeight w:val="237"/>
        </w:trPr>
        <w:tc>
          <w:tcPr>
            <w:tcW w:w="49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(17,868)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1,635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(22,472)</w:t>
            </w:r>
          </w:p>
        </w:tc>
        <w:tc>
          <w:tcPr>
            <w:tcW w:w="0" w:type="dxa"/>
            <w:vAlign w:val="bottom"/>
          </w:tcPr>
          <w:p>
            <w:pPr>
              <w:spacing w:after="0"/>
              <w:rPr>
                <w:sz w:val="1"/>
                <w:szCs w:val="1"/>
                <w:color w:val="auto"/>
              </w:rPr>
            </w:pPr>
          </w:p>
        </w:tc>
      </w:tr>
      <w:tr>
        <w:trPr>
          <w:trHeight w:val="182"/>
        </w:trPr>
        <w:tc>
          <w:tcPr>
            <w:tcW w:w="496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2"/>
              </w:rPr>
              <w:t>Change in fair value of derivative instruments designated as cash</w:t>
            </w: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flow hedges, net</w:t>
            </w: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960" w:type="dxa"/>
            <w:vAlign w:val="bottom"/>
          </w:tcPr>
          <w:p>
            <w:pPr>
              <w:ind w:left="140"/>
              <w:spacing w:after="0" w:line="189" w:lineRule="exact"/>
              <w:rPr>
                <w:sz w:val="20"/>
                <w:szCs w:val="20"/>
                <w:color w:val="auto"/>
              </w:rPr>
            </w:pPr>
            <w:r>
              <w:rPr>
                <w:rFonts w:ascii="Arial" w:cs="Arial" w:eastAsia="Arial" w:hAnsi="Arial"/>
                <w:sz w:val="18"/>
                <w:szCs w:val="18"/>
                <w:color w:val="auto"/>
                <w:w w:val="98"/>
              </w:rPr>
              <w:t>Changes in pension plans, net actuarial gain/loss and foreign</w:t>
            </w: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2,628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17"/>
        </w:trPr>
        <w:tc>
          <w:tcPr>
            <w:tcW w:w="4960" w:type="dxa"/>
            <w:vAlign w:val="bottom"/>
          </w:tcPr>
          <w:p>
            <w:pPr>
              <w:ind w:left="140"/>
              <w:spacing w:after="0"/>
              <w:rPr>
                <w:sz w:val="20"/>
                <w:szCs w:val="20"/>
                <w:color w:val="auto"/>
              </w:rPr>
            </w:pPr>
            <w:r>
              <w:rPr>
                <w:rFonts w:ascii="Arial" w:cs="Arial" w:eastAsia="Arial" w:hAnsi="Arial"/>
                <w:sz w:val="18"/>
                <w:szCs w:val="18"/>
                <w:color w:val="auto"/>
              </w:rPr>
              <w:t>currency translation adjustments, net</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income</w:t>
            </w: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1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25,789</w:t>
            </w:r>
          </w:p>
        </w:tc>
        <w:tc>
          <w:tcPr>
            <w:tcW w:w="1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975,027</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764,276</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1,964,919</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1,042,300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jc w:val="right"/>
              <w:ind w:right="359"/>
              <w:spacing w:after="0"/>
              <w:rPr>
                <w:sz w:val="20"/>
                <w:szCs w:val="20"/>
                <w:color w:val="auto"/>
              </w:rPr>
            </w:pPr>
            <w:r>
              <w:rPr>
                <w:rFonts w:ascii="Arial" w:cs="Arial" w:eastAsia="Arial" w:hAnsi="Arial"/>
                <w:sz w:val="14"/>
                <w:szCs w:val="14"/>
                <w:b w:val="1"/>
                <w:bCs w:val="1"/>
                <w:color w:val="auto"/>
              </w:rPr>
              <w:t>April 29, 2023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jc w:val="right"/>
              <w:ind w:right="279"/>
              <w:spacing w:after="0"/>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26"/>
        </w:trPr>
        <w:tc>
          <w:tcPr>
            <w:tcW w:w="7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1,177,609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1,470,572</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1,616,256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1,800,462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1,648,136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1,399,914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302,919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267,044</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4,744,920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4,937,992</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plant and equipment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2,742,016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2,401,304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26,913,134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26,913,134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12,261,693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13,265,406</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2,248,858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2,264,888</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634,118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519,626</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44,799,819</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45,364,358</w:t>
            </w:r>
          </w:p>
        </w:tc>
        <w:tc>
          <w:tcPr>
            <w:tcW w:w="0" w:type="dxa"/>
            <w:vAlign w:val="bottom"/>
          </w:tcPr>
          <w:p>
            <w:pPr>
              <w:spacing w:after="0"/>
              <w:rPr>
                <w:sz w:val="1"/>
                <w:szCs w:val="1"/>
                <w:color w:val="auto"/>
              </w:rPr>
            </w:pPr>
          </w:p>
        </w:tc>
      </w:tr>
      <w:tr>
        <w:trPr>
          <w:trHeight w:val="232"/>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49,544,739</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569,002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582,160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308,968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265,845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Commercial paper notes</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253,635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1,514,805</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1,594,650</w:t>
            </w:r>
          </w:p>
        </w:tc>
        <w:tc>
          <w:tcPr>
            <w:tcW w:w="0" w:type="dxa"/>
            <w:vAlign w:val="bottom"/>
          </w:tcPr>
          <w:p>
            <w:pPr>
              <w:spacing w:after="0"/>
              <w:rPr>
                <w:sz w:val="1"/>
                <w:szCs w:val="1"/>
                <w:color w:val="auto"/>
              </w:rPr>
            </w:pPr>
          </w:p>
        </w:tc>
      </w:tr>
      <w:tr>
        <w:trPr>
          <w:trHeight w:val="206"/>
        </w:trPr>
        <w:tc>
          <w:tcPr>
            <w:tcW w:w="758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2,646,410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2,442,655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6,475,646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6,548,625</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3,325,350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3,622,538</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523,653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707,846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560,456</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515,363</w:t>
            </w:r>
          </w:p>
        </w:tc>
        <w:tc>
          <w:tcPr>
            <w:tcW w:w="0" w:type="dxa"/>
            <w:vAlign w:val="bottom"/>
          </w:tcPr>
          <w:p>
            <w:pPr>
              <w:spacing w:after="0"/>
              <w:rPr>
                <w:sz w:val="1"/>
                <w:szCs w:val="1"/>
                <w:color w:val="auto"/>
              </w:rPr>
            </w:pPr>
          </w:p>
        </w:tc>
      </w:tr>
      <w:tr>
        <w:trPr>
          <w:trHeight w:val="196"/>
        </w:trPr>
        <w:tc>
          <w:tcPr>
            <w:tcW w:w="7580" w:type="dxa"/>
            <w:vAlign w:val="bottom"/>
          </w:tcPr>
          <w:p>
            <w:pPr>
              <w:ind w:left="1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10,885,105</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11,394,372</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58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$0.16 2/3 par value, 1,200,000,000 shares authorized, 501,418,304 shares outstanding</w:t>
            </w:r>
          </w:p>
        </w:tc>
        <w:tc>
          <w:tcPr>
            <w:tcW w:w="2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83,571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84,880</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(509,295,941 on October 29, 2022)</w:t>
            </w:r>
          </w:p>
        </w:tc>
        <w:tc>
          <w:tcPr>
            <w:tcW w:w="2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Arial" w:cs="Arial" w:eastAsia="Arial" w:hAnsi="Arial"/>
                <w:sz w:val="16"/>
                <w:szCs w:val="16"/>
                <w:color w:val="auto"/>
              </w:rPr>
              <w:t>Capital in excess of par value</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26,262,226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27,857,270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9,839,790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8,721,325</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(172,363)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(198,152)</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36,013,224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36,465,323</w:t>
            </w:r>
          </w:p>
        </w:tc>
        <w:tc>
          <w:tcPr>
            <w:tcW w:w="0" w:type="dxa"/>
            <w:vAlign w:val="bottom"/>
          </w:tcPr>
          <w:p>
            <w:pPr>
              <w:spacing w:after="0"/>
              <w:rPr>
                <w:sz w:val="1"/>
                <w:szCs w:val="1"/>
                <w:color w:val="auto"/>
              </w:rPr>
            </w:pPr>
          </w:p>
        </w:tc>
      </w:tr>
      <w:tr>
        <w:trPr>
          <w:trHeight w:val="213"/>
        </w:trPr>
        <w:tc>
          <w:tcPr>
            <w:tcW w:w="758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49,544,739</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50,302,350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1012"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gridSpan w:val="7"/>
          </w:tcPr>
          <w:p>
            <w:pPr>
              <w:jc w:val="right"/>
              <w:ind w:right="476"/>
              <w:spacing w:after="0"/>
              <w:rPr>
                <w:sz w:val="20"/>
                <w:szCs w:val="20"/>
                <w:color w:val="auto"/>
              </w:rPr>
            </w:pPr>
            <w:r>
              <w:rPr>
                <w:rFonts w:ascii="Arial" w:cs="Arial" w:eastAsia="Arial" w:hAnsi="Arial"/>
                <w:sz w:val="14"/>
                <w:szCs w:val="14"/>
                <w:b w:val="1"/>
                <w:bCs w:val="1"/>
                <w:color w:val="auto"/>
              </w:rPr>
              <w:t>Three Months Ended April 29,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2260" w:type="dxa"/>
            <w:vAlign w:val="bottom"/>
            <w:gridSpan w:val="4"/>
          </w:tcPr>
          <w:p>
            <w:pPr>
              <w:jc w:val="right"/>
              <w:ind w:right="57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81"/>
        </w:trPr>
        <w:tc>
          <w:tcPr>
            <w:tcW w:w="48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28, 2023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27,319,566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9,297,347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(169,734)</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977,656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$0.86 per share</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(1,151,922)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APRIL 29,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26,262,226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9,839,790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(172,363)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3"/>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7"/>
          </w:tcPr>
          <w:p>
            <w:pPr>
              <w:jc w:val="right"/>
              <w:ind w:right="556"/>
              <w:spacing w:after="0"/>
              <w:rPr>
                <w:sz w:val="20"/>
                <w:szCs w:val="20"/>
                <w:color w:val="auto"/>
              </w:rPr>
            </w:pPr>
            <w:r>
              <w:rPr>
                <w:rFonts w:ascii="Arial" w:cs="Arial" w:eastAsia="Arial" w:hAnsi="Arial"/>
                <w:sz w:val="14"/>
                <w:szCs w:val="14"/>
                <w:b w:val="1"/>
                <w:bCs w:val="1"/>
                <w:color w:val="auto"/>
              </w:rPr>
              <w:t>Six Months Ended April 29, 2023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26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Par Value</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Earnings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29,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27,857,270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8,721,325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(198,152)</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1,939,130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$1.62 per share</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(820,665)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2,381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25,789</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3"/>
              </w:rPr>
              <w:t>(1,805,802)</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APRIL 29,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83,571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26,262,226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9,839,790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(172,363)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80" w:type="dxa"/>
            <w:vAlign w:val="bottom"/>
            <w:gridSpan w:val="7"/>
          </w:tcPr>
          <w:p>
            <w:pPr>
              <w:jc w:val="right"/>
              <w:ind w:right="456"/>
              <w:spacing w:after="0"/>
              <w:rPr>
                <w:sz w:val="20"/>
                <w:szCs w:val="20"/>
                <w:color w:val="auto"/>
              </w:rPr>
            </w:pPr>
            <w:r>
              <w:rPr>
                <w:rFonts w:ascii="Arial" w:cs="Arial" w:eastAsia="Arial" w:hAnsi="Arial"/>
                <w:sz w:val="14"/>
                <w:szCs w:val="14"/>
                <w:b w:val="1"/>
                <w:bCs w:val="1"/>
                <w:color w:val="auto"/>
              </w:rPr>
              <w:t>Three Months Ended April 30, 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8"/>
              </w:rPr>
              <w:t>Capital in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29, 2022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523,315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30,093,961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7,434,748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(188,618)</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783,273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$0.76 per share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11,348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70,996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(18,997)</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APRIL 30, 2022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519,806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29,400,284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7,820,477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48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right"/>
              <w:ind w:right="556"/>
              <w:spacing w:after="0"/>
              <w:rPr>
                <w:sz w:val="20"/>
                <w:szCs w:val="20"/>
                <w:color w:val="auto"/>
              </w:rPr>
            </w:pPr>
            <w:r>
              <w:rPr>
                <w:rFonts w:ascii="Arial" w:cs="Arial" w:eastAsia="Arial" w:hAnsi="Arial"/>
                <w:sz w:val="14"/>
                <w:szCs w:val="14"/>
                <w:b w:val="1"/>
                <w:bCs w:val="1"/>
                <w:color w:val="auto"/>
              </w:rPr>
              <w:t>Six Months Ended April 30, 2022</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8"/>
              </w:rPr>
              <w:t>Capital in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86"/>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24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OCTOBER 30, 2021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30,574,237</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7,517,316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(186,565)</w:t>
            </w: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1,063,350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and paid - $1.45 per share</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(760,189)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Issuance of stock under stock plans and 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157,935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(21,050)</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(1,351,610)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BALANCE, APRIL 30, 2022</w:t>
            </w:r>
          </w:p>
        </w:tc>
        <w:tc>
          <w:tcPr>
            <w:tcW w:w="1040" w:type="dxa"/>
            <w:vAlign w:val="bottom"/>
          </w:tcPr>
          <w:p>
            <w:pPr>
              <w:jc w:val="right"/>
              <w:spacing w:after="0"/>
              <w:rPr>
                <w:sz w:val="20"/>
                <w:szCs w:val="20"/>
                <w:color w:val="auto"/>
              </w:rPr>
            </w:pPr>
            <w:r>
              <w:rPr>
                <w:rFonts w:ascii="Arial" w:cs="Arial" w:eastAsia="Arial" w:hAnsi="Arial"/>
                <w:sz w:val="18"/>
                <w:szCs w:val="18"/>
                <w:color w:val="auto"/>
              </w:rPr>
              <w:t>519,806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29,400,284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7,820,477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(207,615)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20"/>
          </w:cols>
          <w:pgMar w:left="320" w:top="1080"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5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April 30, 2022</w:t>
            </w:r>
          </w:p>
        </w:tc>
      </w:tr>
      <w:tr>
        <w:trPr>
          <w:trHeight w:val="203"/>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1,939,130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1,063,350</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165,581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137,016</w:t>
            </w: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1,003,713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1,008,900</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Cost of goods sold for inventory acquired</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271,396</w:t>
            </w: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157,935</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(280,110)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(122,992)</w:t>
            </w:r>
          </w:p>
        </w:tc>
      </w:tr>
      <w:tr>
        <w:trPr>
          <w:trHeight w:val="219"/>
        </w:trPr>
        <w:tc>
          <w:tcPr>
            <w:tcW w:w="7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Non-cash operating lease costs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(27,697)</w:t>
            </w:r>
          </w:p>
        </w:tc>
      </w:tr>
      <w:tr>
        <w:trPr>
          <w:trHeight w:val="213"/>
        </w:trPr>
        <w:tc>
          <w:tcPr>
            <w:tcW w:w="7580" w:type="dxa"/>
            <w:vAlign w:val="bottom"/>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(10,225)</w:t>
            </w:r>
          </w:p>
        </w:tc>
      </w:tr>
      <w:tr>
        <w:trPr>
          <w:trHeight w:val="216"/>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(487,339)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(399,463)</w:t>
            </w:r>
          </w:p>
        </w:tc>
      </w:tr>
      <w:tr>
        <w:trPr>
          <w:trHeight w:val="209"/>
        </w:trPr>
        <w:tc>
          <w:tcPr>
            <w:tcW w:w="7580" w:type="dxa"/>
            <w:vAlign w:val="bottom"/>
          </w:tcPr>
          <w:p>
            <w:pPr>
              <w:ind w:left="360"/>
              <w:spacing w:after="0"/>
              <w:rPr>
                <w:sz w:val="20"/>
                <w:szCs w:val="20"/>
                <w:color w:val="auto"/>
              </w:rPr>
            </w:pPr>
            <w:r>
              <w:rPr>
                <w:rFonts w:ascii="Arial" w:cs="Arial" w:eastAsia="Arial" w:hAnsi="Arial"/>
                <w:sz w:val="16"/>
                <w:szCs w:val="16"/>
                <w:color w:val="auto"/>
              </w:rPr>
              <w:t>Total adjustments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548,756</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1,014,870</w:t>
            </w:r>
          </w:p>
        </w:tc>
      </w:tr>
      <w:tr>
        <w:trPr>
          <w:trHeight w:val="209"/>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2,487,886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2,078,220</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(229,912)</w:t>
            </w:r>
          </w:p>
        </w:tc>
      </w:tr>
      <w:tr>
        <w:trPr>
          <w:trHeight w:val="213"/>
        </w:trPr>
        <w:tc>
          <w:tcPr>
            <w:tcW w:w="7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13,010</w:t>
            </w:r>
          </w:p>
        </w:tc>
      </w:tr>
      <w:tr>
        <w:trPr>
          <w:trHeight w:val="212"/>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(460,577)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(216,902)</w:t>
            </w:r>
          </w:p>
        </w:tc>
      </w:tr>
      <w:tr>
        <w:trPr>
          <w:trHeight w:val="193"/>
        </w:trPr>
        <w:tc>
          <w:tcPr>
            <w:tcW w:w="75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Early termination of debt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(519,116)</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Dividend payments to shareholders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(820,665)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(760,189)</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(1,807,508)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(852,860)</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Proceeds from employee stock plans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67,012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20,054</w:t>
            </w:r>
          </w:p>
        </w:tc>
      </w:tr>
      <w:tr>
        <w:trPr>
          <w:trHeight w:val="219"/>
        </w:trPr>
        <w:tc>
          <w:tcPr>
            <w:tcW w:w="7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commercial paper notes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253,635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580" w:type="dxa"/>
            <w:vAlign w:val="bottom"/>
          </w:tcPr>
          <w:p>
            <w:pPr>
              <w:ind w:left="36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52,942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26,657</w:t>
            </w:r>
          </w:p>
        </w:tc>
      </w:tr>
      <w:tr>
        <w:trPr>
          <w:trHeight w:val="210"/>
        </w:trPr>
        <w:tc>
          <w:tcPr>
            <w:tcW w:w="7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cash used for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(2,320,272)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(2,085,454)</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(16,095)</w:t>
            </w:r>
          </w:p>
        </w:tc>
      </w:tr>
      <w:tr>
        <w:trPr>
          <w:trHeight w:val="209"/>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(292,963)</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(240,231)</w:t>
            </w:r>
          </w:p>
        </w:tc>
      </w:tr>
      <w:tr>
        <w:trPr>
          <w:trHeight w:val="210"/>
        </w:trPr>
        <w:tc>
          <w:tcPr>
            <w:tcW w:w="75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1,470,572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1,977,964</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1,177,609</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1,737,733</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APRIL 29, 2023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thousands except per share amounts and percentages)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5" w:lineRule="exact"/>
        <w:rPr>
          <w:sz w:val="20"/>
          <w:szCs w:val="20"/>
          <w:color w:val="auto"/>
        </w:rPr>
      </w:pPr>
    </w:p>
    <w:p>
      <w:pPr>
        <w:ind w:right="40" w:firstLine="243"/>
        <w:spacing w:after="0" w:line="257" w:lineRule="auto"/>
        <w:rPr>
          <w:sz w:val="20"/>
          <w:szCs w:val="20"/>
          <w:color w:val="auto"/>
        </w:rPr>
      </w:pPr>
      <w:r>
        <w:rPr>
          <w:rFonts w:ascii="Arial" w:cs="Arial" w:eastAsia="Arial" w:hAnsi="Arial"/>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29, 2022 (fiscal 2022) and related notes. The results of operations for the interim periods shown in this report are not necessarily indicative of the results that may be expected for the fiscal year ending October 28, 2023 (fiscal 2023) or any future period.</w:t>
      </w:r>
    </w:p>
    <w:p>
      <w:pPr>
        <w:spacing w:after="0" w:line="134"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Certain amounts reported in previous periods have been reclassified to conform to the fiscal 2023 presentation.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Shareholders' Equity</w:t>
      </w:r>
    </w:p>
    <w:p>
      <w:pPr>
        <w:spacing w:after="0" w:line="121" w:lineRule="exact"/>
        <w:rPr>
          <w:sz w:val="20"/>
          <w:szCs w:val="20"/>
          <w:color w:val="auto"/>
        </w:rPr>
      </w:pPr>
    </w:p>
    <w:p>
      <w:pPr>
        <w:ind w:firstLine="446"/>
        <w:spacing w:after="0" w:line="296" w:lineRule="auto"/>
        <w:rPr>
          <w:sz w:val="20"/>
          <w:szCs w:val="20"/>
          <w:color w:val="auto"/>
        </w:rPr>
      </w:pPr>
      <w:r>
        <w:rPr>
          <w:rFonts w:ascii="Arial" w:cs="Arial" w:eastAsia="Arial" w:hAnsi="Arial"/>
          <w:sz w:val="16"/>
          <w:szCs w:val="16"/>
          <w:color w:val="auto"/>
        </w:rPr>
        <w:t>As of April 29, 2023, the Company had repurchased a total of approximately 199.3 million shares of its common stock for approximately $13.4 billion under the Company's share repurchase program. As of April 29, 2023, an additional $3.2 billion remains available for repurchase of shares under the current authorized program. The Company also repurchases shares in settlement of employee tax withholding obligations due upon the vesting of restricted stock units/awards or the exercise of stock options as well as for the Company's employee stock purchase plan. Future repurchases of common stock will be dependent upon the Company's financial position, results of operations, outlook, liquidity and other factors deemed relevant by the Company.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4" w:lineRule="auto"/>
        <w:rPr>
          <w:sz w:val="20"/>
          <w:szCs w:val="20"/>
          <w:color w:val="auto"/>
        </w:rPr>
      </w:pPr>
      <w:r>
        <w:rPr>
          <w:rFonts w:ascii="Arial" w:cs="Arial" w:eastAsia="Arial" w:hAnsi="Arial"/>
          <w:sz w:val="18"/>
          <w:szCs w:val="18"/>
          <w:color w:val="auto"/>
        </w:rPr>
        <w:t>The following table provides the changes in accumulated other comprehensive (loss) income (AOCI) by component and the related tax effects during the first six months of fiscal 2023.</w:t>
      </w:r>
    </w:p>
    <w:tbl>
      <w:tblPr>
        <w:tblLayout w:type="fixed"/>
        <w:tblInd w:w="0" w:type="dxa"/>
        <w:tblCellMar>
          <w:top w:w="0" w:type="dxa"/>
          <w:left w:w="0" w:type="dxa"/>
          <w:bottom w:w="0" w:type="dxa"/>
          <w:right w:w="0" w:type="dxa"/>
        </w:tblCellMar>
      </w:tblPr>
      <w:tr>
        <w:trPr>
          <w:trHeight w:val="163"/>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54"/>
              <w:spacing w:after="0" w:line="163" w:lineRule="exact"/>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4"/>
              <w:spacing w:after="0" w:line="163"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1"/>
              </w:rPr>
              <w:t>currency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88"/>
              </w:rPr>
              <w:t>holding gains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w w:val="82"/>
              </w:rPr>
              <w:t>(losses) 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51"/>
              <w:spacing w:after="0"/>
              <w:rPr>
                <w:sz w:val="20"/>
                <w:szCs w:val="20"/>
                <w:color w:val="auto"/>
              </w:rPr>
            </w:pPr>
            <w:r>
              <w:rPr>
                <w:rFonts w:ascii="Arial" w:cs="Arial" w:eastAsia="Arial" w:hAnsi="Arial"/>
                <w:sz w:val="16"/>
                <w:szCs w:val="16"/>
                <w:b w:val="1"/>
                <w:bCs w:val="1"/>
                <w:color w:val="auto"/>
                <w:w w:val="86"/>
              </w:rPr>
              <w:t>Pension plans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right"/>
              <w:ind w:right="3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1"/>
              </w:rPr>
              <w:t>adjustment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8"/>
              </w:rPr>
              <w:t>derivatives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October 29,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(119,613)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(198,152)</w:t>
            </w:r>
          </w:p>
        </w:tc>
        <w:tc>
          <w:tcPr>
            <w:tcW w:w="0" w:type="dxa"/>
            <w:vAlign w:val="bottom"/>
          </w:tcPr>
          <w:p>
            <w:pPr>
              <w:spacing w:after="0"/>
              <w:rPr>
                <w:sz w:val="1"/>
                <w:szCs w:val="1"/>
                <w:color w:val="auto"/>
              </w:rPr>
            </w:pPr>
          </w:p>
        </w:tc>
      </w:tr>
      <w:tr>
        <w:trPr>
          <w:trHeight w:val="237"/>
        </w:trPr>
        <w:tc>
          <w:tcPr>
            <w:tcW w:w="59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22,009</w:t>
            </w:r>
          </w:p>
        </w:tc>
        <w:tc>
          <w:tcPr>
            <w:tcW w:w="0" w:type="dxa"/>
            <w:vAlign w:val="bottom"/>
          </w:tcPr>
          <w:p>
            <w:pPr>
              <w:spacing w:after="0"/>
              <w:rPr>
                <w:sz w:val="1"/>
                <w:szCs w:val="1"/>
                <w:color w:val="auto"/>
              </w:rPr>
            </w:pPr>
          </w:p>
        </w:tc>
      </w:tr>
      <w:tr>
        <w:trPr>
          <w:trHeight w:val="236"/>
        </w:trPr>
        <w:tc>
          <w:tcPr>
            <w:tcW w:w="5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Amounts reclassified out of other comprehensive income</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29"/>
        </w:trPr>
        <w:tc>
          <w:tcPr>
            <w:tcW w:w="5980" w:type="dxa"/>
            <w:vAlign w:val="bottom"/>
          </w:tcPr>
          <w:p>
            <w:pPr>
              <w:ind w:left="240"/>
              <w:spacing w:after="0"/>
              <w:rPr>
                <w:sz w:val="20"/>
                <w:szCs w:val="20"/>
                <w:color w:val="auto"/>
              </w:rPr>
            </w:pPr>
            <w:r>
              <w:rPr>
                <w:rFonts w:ascii="Arial" w:cs="Arial" w:eastAsia="Arial" w:hAnsi="Arial"/>
                <w:sz w:val="18"/>
                <w:szCs w:val="18"/>
                <w:color w:val="auto"/>
              </w:rPr>
              <w:t>Tax effects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25,789</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April 29, 2023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(70,501)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(96,255)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(5,607)</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(172,363)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reclassified out of AOCI into the Condensed Consolidated Statements of Income and the Condensed Consolidated Statements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with presentation location during each period were as follows: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80" w:type="dxa"/>
            <w:vAlign w:val="bottom"/>
            <w:vMerge w:val="restart"/>
          </w:tcPr>
          <w:p>
            <w:pPr>
              <w:ind w:left="20"/>
              <w:spacing w:after="0" w:line="201" w:lineRule="exact"/>
              <w:rPr>
                <w:sz w:val="20"/>
                <w:szCs w:val="20"/>
                <w:color w:val="auto"/>
              </w:rPr>
            </w:pPr>
            <w:r>
              <w:rPr>
                <w:rFonts w:ascii="Arial" w:cs="Arial" w:eastAsia="Arial" w:hAnsi="Arial"/>
                <w:sz w:val="18"/>
                <w:szCs w:val="18"/>
                <w:b w:val="1"/>
                <w:bCs w:val="1"/>
                <w:color w:val="auto"/>
              </w:rPr>
              <w:t>Comprehensive (Loss) Income</w:t>
            </w: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vMerge w:val="restart"/>
          </w:tcPr>
          <w:p>
            <w:pPr>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27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Component</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29, 2023</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April 30, 2022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April 30, 2022</w:t>
            </w:r>
          </w:p>
        </w:tc>
        <w:tc>
          <w:tcPr>
            <w:tcW w:w="120" w:type="dxa"/>
            <w:vAlign w:val="bottom"/>
            <w:tcBorders>
              <w:bottom w:val="single" w:sz="8" w:color="CCEEFF"/>
            </w:tcBorders>
          </w:tcPr>
          <w:p>
            <w:pPr>
              <w:spacing w:after="0"/>
              <w:rPr>
                <w:sz w:val="20"/>
                <w:szCs w:val="20"/>
                <w:color w:val="auto"/>
              </w:rPr>
            </w:pPr>
          </w:p>
        </w:tc>
        <w:tc>
          <w:tcPr>
            <w:tcW w:w="2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Unrealized holding (gains) losses on derivatives: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80" w:type="dxa"/>
            <w:vAlign w:val="bottom"/>
          </w:tcPr>
          <w:p>
            <w:pPr>
              <w:ind w:left="240"/>
              <w:spacing w:after="0"/>
              <w:rPr>
                <w:sz w:val="20"/>
                <w:szCs w:val="20"/>
                <w:color w:val="auto"/>
              </w:rPr>
            </w:pPr>
            <w:r>
              <w:rPr>
                <w:rFonts w:ascii="Arial" w:cs="Arial" w:eastAsia="Arial" w:hAnsi="Arial"/>
                <w:sz w:val="18"/>
                <w:szCs w:val="18"/>
                <w:color w:val="auto"/>
              </w:rPr>
              <w:t>Currency 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1,342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3,864</w:t>
            </w: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43"/>
        </w:trPr>
        <w:tc>
          <w:tcPr>
            <w:tcW w:w="27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2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15"/>
                <w:szCs w:val="15"/>
                <w:color w:val="auto"/>
              </w:rPr>
            </w:pPr>
          </w:p>
        </w:tc>
        <w:tc>
          <w:tcPr>
            <w:tcW w:w="2860" w:type="dxa"/>
            <w:vAlign w:val="bottom"/>
          </w:tcPr>
          <w:p>
            <w:pPr>
              <w:spacing w:after="0" w:line="176" w:lineRule="exact"/>
              <w:rPr>
                <w:sz w:val="20"/>
                <w:szCs w:val="20"/>
                <w:color w:val="auto"/>
              </w:rPr>
            </w:pPr>
            <w:r>
              <w:rPr>
                <w:rFonts w:ascii="Arial" w:cs="Arial" w:eastAsia="Arial" w:hAnsi="Arial"/>
                <w:sz w:val="18"/>
                <w:szCs w:val="18"/>
                <w:color w:val="auto"/>
              </w:rPr>
              <w:t>Selling, marketing, general and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rate derivatives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Borders>
              <w:bottom w:val="single" w:sz="8" w:color="CCEEFF"/>
            </w:tcBorders>
            <w:shd w:val="clear" w:color="auto" w:fill="CCEEFF"/>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9,702</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18,266</w:t>
            </w:r>
          </w:p>
        </w:tc>
        <w:tc>
          <w:tcPr>
            <w:tcW w:w="12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Borders>
              <w:bottom w:val="single" w:sz="8" w:color="CCEEFF"/>
            </w:tcBorders>
            <w:shd w:val="clear" w:color="auto" w:fill="CCEEFF"/>
          </w:tcPr>
          <w:p>
            <w:pPr>
              <w:spacing w:after="0"/>
              <w:rPr>
                <w:sz w:val="18"/>
                <w:szCs w:val="18"/>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w:t>
            </w: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8,217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5,408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15,480</w:t>
            </w: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80" w:type="dxa"/>
            <w:vAlign w:val="bottom"/>
            <w:gridSpan w:val="9"/>
          </w:tcPr>
          <w:p>
            <w:pPr>
              <w:ind w:left="20"/>
              <w:spacing w:after="0"/>
              <w:rPr>
                <w:sz w:val="20"/>
                <w:szCs w:val="20"/>
                <w:color w:val="auto"/>
              </w:rPr>
            </w:pPr>
            <w:r>
              <w:rPr>
                <w:rFonts w:ascii="Arial" w:cs="Arial" w:eastAsia="Arial" w:hAnsi="Arial"/>
                <w:sz w:val="18"/>
                <w:szCs w:val="18"/>
                <w:color w:val="auto"/>
                <w:w w:val="91"/>
              </w:rPr>
              <w:t>Amortization of pension components included in the computation of net periodic pension cost: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Total amounts reclassified out of</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6,154</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16,427</w:t>
            </w:r>
          </w:p>
        </w:tc>
        <w:tc>
          <w:tcPr>
            <w:tcW w:w="12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AOCI, net of tax</w:t>
            </w:r>
          </w:p>
        </w:tc>
        <w:tc>
          <w:tcPr>
            <w:tcW w:w="1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April 30, 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9"/>
              </w:rPr>
              <w:t>April 30, 2022</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977,656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1,939,130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1,063,350</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504,715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523,831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vMerge w:val="restart"/>
          </w:tcPr>
          <w:p>
            <w:pPr>
              <w:ind w:left="360"/>
              <w:spacing w:after="0"/>
              <w:rPr>
                <w:sz w:val="20"/>
                <w:szCs w:val="20"/>
                <w:color w:val="auto"/>
              </w:rPr>
            </w:pPr>
            <w:r>
              <w:rPr>
                <w:rFonts w:ascii="Arial" w:cs="Arial" w:eastAsia="Arial" w:hAnsi="Arial"/>
                <w:sz w:val="18"/>
                <w:szCs w:val="18"/>
                <w:color w:val="auto"/>
              </w:rPr>
              <w:t>Earnings per common share basic:</w:t>
            </w: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Weighted-average shares outstanding</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522,370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505,918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523,831</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Assumed exercise of common stock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30"/>
        </w:trPr>
        <w:tc>
          <w:tcPr>
            <w:tcW w:w="5620" w:type="dxa"/>
            <w:vAlign w:val="bottom"/>
          </w:tcPr>
          <w:p>
            <w:pPr>
              <w:ind w:left="360"/>
              <w:spacing w:after="0"/>
              <w:rPr>
                <w:sz w:val="20"/>
                <w:szCs w:val="20"/>
                <w:color w:val="auto"/>
              </w:rPr>
            </w:pPr>
            <w:r>
              <w:rPr>
                <w:rFonts w:ascii="Arial" w:cs="Arial" w:eastAsia="Arial" w:hAnsi="Arial"/>
                <w:sz w:val="18"/>
                <w:szCs w:val="18"/>
                <w:color w:val="auto"/>
              </w:rPr>
              <w:t>Weighted-average common and common equivalent shares</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508,725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526,264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509,955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528,203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Earnings per common share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shares related to:</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stock-based awards</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Special Charges, Net</w:t>
      </w:r>
    </w:p>
    <w:p>
      <w:pPr>
        <w:spacing w:after="0" w:line="175" w:lineRule="exact"/>
        <w:rPr>
          <w:sz w:val="20"/>
          <w:szCs w:val="20"/>
          <w:color w:val="auto"/>
        </w:rPr>
      </w:pPr>
    </w:p>
    <w:p>
      <w:pPr>
        <w:ind w:right="140" w:firstLine="446"/>
        <w:spacing w:after="0" w:line="271" w:lineRule="auto"/>
        <w:rPr>
          <w:sz w:val="20"/>
          <w:szCs w:val="20"/>
          <w:color w:val="auto"/>
        </w:rPr>
      </w:pPr>
      <w:r>
        <w:rPr>
          <w:rFonts w:ascii="Arial" w:cs="Arial" w:eastAsia="Arial" w:hAnsi="Arial"/>
          <w:sz w:val="18"/>
          <w:szCs w:val="18"/>
          <w:color w:val="auto"/>
        </w:rPr>
        <w:t>Liabilities related to special charges, net are included in Accrued liabilities and Other non-current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4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Accrued Special Charges</w:t>
            </w:r>
          </w:p>
        </w:tc>
        <w:tc>
          <w:tcPr>
            <w:tcW w:w="1980" w:type="dxa"/>
            <w:vAlign w:val="bottom"/>
            <w:gridSpan w:val="2"/>
          </w:tcPr>
          <w:p>
            <w:pPr>
              <w:ind w:left="100"/>
              <w:spacing w:after="0"/>
              <w:rPr>
                <w:sz w:val="20"/>
                <w:szCs w:val="20"/>
                <w:color w:val="auto"/>
              </w:rPr>
            </w:pPr>
            <w:r>
              <w:rPr>
                <w:rFonts w:ascii="Arial" w:cs="Arial" w:eastAsia="Arial" w:hAnsi="Arial"/>
                <w:sz w:val="14"/>
                <w:szCs w:val="14"/>
                <w:b w:val="1"/>
                <w:bCs w:val="1"/>
                <w:color w:val="auto"/>
                <w:w w:val="94"/>
              </w:rPr>
              <w:t>Global Repositioning Actions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29, 2022</w:t>
            </w: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center"/>
              <w:ind w:left="530"/>
              <w:spacing w:after="0"/>
              <w:rPr>
                <w:sz w:val="20"/>
                <w:szCs w:val="20"/>
                <w:color w:val="auto"/>
              </w:rPr>
            </w:pPr>
            <w:r>
              <w:rPr>
                <w:rFonts w:ascii="Arial" w:cs="Arial" w:eastAsia="Arial" w:hAnsi="Arial"/>
                <w:sz w:val="18"/>
                <w:szCs w:val="18"/>
                <w:b w:val="1"/>
                <w:bCs w:val="1"/>
                <w:color w:val="auto"/>
                <w:w w:val="87"/>
              </w:rPr>
              <w:t>52,070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2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Severance and benefit payments</w:t>
            </w:r>
          </w:p>
        </w:tc>
        <w:tc>
          <w:tcPr>
            <w:tcW w:w="7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2"/>
              </w:rPr>
              <w:t>(16,298)</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92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28, 2023</w:t>
            </w:r>
          </w:p>
        </w:tc>
        <w:tc>
          <w:tcPr>
            <w:tcW w:w="720" w:type="dxa"/>
            <w:vAlign w:val="bottom"/>
            <w:tcBorders>
              <w:bottom w:val="single" w:sz="8" w:color="auto"/>
            </w:tcBorders>
            <w:shd w:val="clear" w:color="auto" w:fill="CCEEFF"/>
          </w:tcPr>
          <w:p>
            <w:pPr>
              <w:jc w:val="right"/>
              <w:ind w:right="513"/>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center"/>
              <w:ind w:left="530"/>
              <w:spacing w:after="0" w:line="196" w:lineRule="exact"/>
              <w:rPr>
                <w:sz w:val="20"/>
                <w:szCs w:val="20"/>
                <w:color w:val="auto"/>
              </w:rPr>
            </w:pPr>
            <w:r>
              <w:rPr>
                <w:rFonts w:ascii="Arial" w:cs="Arial" w:eastAsia="Arial" w:hAnsi="Arial"/>
                <w:sz w:val="18"/>
                <w:szCs w:val="18"/>
                <w:b w:val="1"/>
                <w:bCs w:val="1"/>
                <w:color w:val="auto"/>
                <w:w w:val="87"/>
              </w:rPr>
              <w:t>35,772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Severance and benefit payments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924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jc w:val="center"/>
              <w:ind w:left="510"/>
              <w:spacing w:after="0"/>
              <w:rPr>
                <w:sz w:val="20"/>
                <w:szCs w:val="20"/>
                <w:color w:val="auto"/>
              </w:rPr>
            </w:pPr>
            <w:r>
              <w:rPr>
                <w:rFonts w:ascii="Arial" w:cs="Arial" w:eastAsia="Arial" w:hAnsi="Arial"/>
                <w:sz w:val="18"/>
                <w:szCs w:val="18"/>
                <w:color w:val="auto"/>
                <w:w w:val="92"/>
              </w:rPr>
              <w:t>(22,820)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severance and benefit costs</w:t>
            </w:r>
          </w:p>
        </w:tc>
        <w:tc>
          <w:tcPr>
            <w:tcW w:w="7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7"/>
              </w:rPr>
              <w:t>23,136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at April 29, 2023</w:t>
            </w:r>
          </w:p>
        </w:tc>
        <w:tc>
          <w:tcPr>
            <w:tcW w:w="720" w:type="dxa"/>
            <w:vAlign w:val="bottom"/>
            <w:tcBorders>
              <w:bottom w:val="single" w:sz="8" w:color="auto"/>
            </w:tcBorders>
          </w:tcPr>
          <w:p>
            <w:pPr>
              <w:jc w:val="right"/>
              <w:ind w:right="513"/>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center"/>
              <w:ind w:left="530"/>
              <w:spacing w:after="0" w:line="196" w:lineRule="exact"/>
              <w:rPr>
                <w:sz w:val="20"/>
                <w:szCs w:val="20"/>
                <w:color w:val="auto"/>
              </w:rPr>
            </w:pPr>
            <w:r>
              <w:rPr>
                <w:rFonts w:ascii="Arial" w:cs="Arial" w:eastAsia="Arial" w:hAnsi="Arial"/>
                <w:sz w:val="18"/>
                <w:szCs w:val="18"/>
                <w:b w:val="1"/>
                <w:bCs w:val="1"/>
                <w:color w:val="auto"/>
                <w:w w:val="87"/>
              </w:rPr>
              <w:t>36,088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3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1"/>
                <w:szCs w:val="21"/>
                <w:color w:val="auto"/>
              </w:rPr>
            </w:pPr>
          </w:p>
        </w:tc>
        <w:tc>
          <w:tcPr>
            <w:tcW w:w="9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liabilities</w:t>
            </w:r>
          </w:p>
        </w:tc>
        <w:tc>
          <w:tcPr>
            <w:tcW w:w="7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b w:val="1"/>
                <w:bCs w:val="1"/>
                <w:color w:val="auto"/>
                <w:w w:val="87"/>
              </w:rPr>
              <w:t>12,952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9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40" w:type="dxa"/>
            <w:vAlign w:val="bottom"/>
            <w:gridSpan w:val="2"/>
            <w:vMerge w:val="continue"/>
          </w:tcPr>
          <w:p>
            <w:pPr>
              <w:spacing w:after="0"/>
              <w:rPr>
                <w:sz w:val="18"/>
                <w:szCs w:val="18"/>
                <w:color w:val="auto"/>
              </w:rPr>
            </w:pPr>
          </w:p>
        </w:tc>
        <w:tc>
          <w:tcPr>
            <w:tcW w:w="72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b w:val="1"/>
                <w:bCs w:val="1"/>
                <w:color w:val="auto"/>
                <w:w w:val="87"/>
              </w:rPr>
              <w:t>23,136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175"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On March 17, 2022, Walter E. Ryan and Ryan Asset Management, LLC, purported stockholders of Maxim Integrated Products, Inc. (Maxim), filed a putative class action in the Court of Chancery of the State of Delaware (C.A. No. 2022—0255) against the Company and the former directors of Maxim. The complaint alleges breach of fiduciary duties by the individual defendants in connection with Maxim’s agreement, as part of the merger negotiations with the Company, to suspend Maxim dividends for up to four quarters prior to the closing of the Company's acquisition of Maxim. The complaint further alleges that the Company aided and abetted that alleged breach of fiduciary duties. The plaintiffs seek damages in an amount to be determined at trial, plaintiffs’ costs and disbursements, including reasonable attorneys’ and experts’ fees, costs and other expenses. On May 2, 2023, the Court of Chancery entered an order dismissing the action in its entirety and with prejudice. On May 9, 2023, plaintiffs filed a Motion for Reargument. The Company believes that it and the other defendants have meritorious arguments in response to the motion and defenses to the underlying allegations; however, the Company is currently unable to determine the ultimate outcome of this matter or determine an estimate, or a range of estimates, of potential losses, if any.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7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revenue within, each end market.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April 29, 2023</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April 30, 2022</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Y/Y%</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1,744,567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1,502,731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784,775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633,255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280,058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361,356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3,262,930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2,972,064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4"/>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April 29, 2023</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677"/>
              <w:spacing w:after="0"/>
              <w:rPr>
                <w:sz w:val="20"/>
                <w:szCs w:val="20"/>
                <w:color w:val="auto"/>
              </w:rPr>
            </w:pPr>
            <w:r>
              <w:rPr>
                <w:rFonts w:ascii="Arial" w:cs="Arial" w:eastAsia="Arial" w:hAnsi="Arial"/>
                <w:sz w:val="14"/>
                <w:szCs w:val="14"/>
                <w:b w:val="1"/>
                <w:bCs w:val="1"/>
                <w:color w:val="auto"/>
              </w:rPr>
              <w:t>April 30, 2022</w:t>
            </w: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jc w:val="center"/>
              <w:ind w:left="142"/>
              <w:spacing w:after="0"/>
              <w:rPr>
                <w:sz w:val="20"/>
                <w:szCs w:val="20"/>
                <w:color w:val="auto"/>
              </w:rPr>
            </w:pPr>
            <w:r>
              <w:rPr>
                <w:rFonts w:ascii="Arial" w:cs="Arial" w:eastAsia="Arial" w:hAnsi="Arial"/>
                <w:sz w:val="14"/>
                <w:szCs w:val="14"/>
                <w:b w:val="1"/>
                <w:bCs w:val="1"/>
                <w:color w:val="auto"/>
              </w:rPr>
              <w:t>Y/Y%</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3,438,006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2,849,577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40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1,498,178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1,183,985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941,735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634,641</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735,132</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6,512,560</w:t>
            </w: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5,656,357</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by Sales Channel</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gridSpan w:val="5"/>
          </w:tcPr>
          <w:p>
            <w:pPr>
              <w:jc w:val="right"/>
              <w:ind w:right="8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April 29, 2023</w:t>
            </w: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April 30, 2022</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20" w:type="dxa"/>
            <w:vAlign w:val="bottom"/>
            <w:gridSpan w:val="2"/>
          </w:tcPr>
          <w:p>
            <w:pPr>
              <w:spacing w:after="0" w:line="176" w:lineRule="exact"/>
              <w:rPr>
                <w:sz w:val="20"/>
                <w:szCs w:val="20"/>
                <w:color w:val="auto"/>
              </w:rPr>
            </w:pPr>
            <w:r>
              <w:rPr>
                <w:rFonts w:ascii="Arial" w:cs="Arial" w:eastAsia="Arial" w:hAnsi="Arial"/>
                <w:sz w:val="18"/>
                <w:szCs w:val="18"/>
                <w:color w:val="auto"/>
              </w:rPr>
              <w:t>Channel</w:t>
            </w:r>
          </w:p>
        </w:tc>
        <w:tc>
          <w:tcPr>
            <w:tcW w:w="320" w:type="dxa"/>
            <w:vAlign w:val="bottom"/>
          </w:tcPr>
          <w:p>
            <w:pPr>
              <w:spacing w:after="0"/>
              <w:rPr>
                <w:sz w:val="15"/>
                <w:szCs w:val="15"/>
                <w:color w:val="auto"/>
              </w:rPr>
            </w:pPr>
          </w:p>
        </w:tc>
        <w:tc>
          <w:tcPr>
            <w:tcW w:w="1240" w:type="dxa"/>
            <w:vAlign w:val="bottom"/>
          </w:tcPr>
          <w:p>
            <w:pPr>
              <w:jc w:val="right"/>
              <w:ind w:right="436"/>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5"/>
                <w:szCs w:val="15"/>
                <w:color w:val="auto"/>
              </w:rPr>
            </w:pPr>
          </w:p>
        </w:tc>
        <w:tc>
          <w:tcPr>
            <w:tcW w:w="1400" w:type="dxa"/>
            <w:vAlign w:val="bottom"/>
          </w:tcPr>
          <w:p>
            <w:pPr>
              <w:jc w:val="right"/>
              <w:ind w:right="4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5"/>
                <w:szCs w:val="15"/>
                <w:color w:val="auto"/>
              </w:rPr>
            </w:pPr>
          </w:p>
        </w:tc>
        <w:tc>
          <w:tcPr>
            <w:tcW w:w="1420" w:type="dxa"/>
            <w:vAlign w:val="bottom"/>
          </w:tcPr>
          <w:p>
            <w:pPr>
              <w:jc w:val="right"/>
              <w:ind w:right="57"/>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Distributors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1,996,410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1,849,988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20" w:type="dxa"/>
            <w:vAlign w:val="bottom"/>
          </w:tcPr>
          <w:p>
            <w:pPr>
              <w:spacing w:after="0"/>
              <w:rPr>
                <w:sz w:val="20"/>
                <w:szCs w:val="20"/>
                <w:color w:val="auto"/>
              </w:rPr>
            </w:pPr>
          </w:p>
        </w:tc>
        <w:tc>
          <w:tcPr>
            <w:tcW w:w="4520" w:type="dxa"/>
            <w:vAlign w:val="bottom"/>
            <w:gridSpan w:val="2"/>
          </w:tcPr>
          <w:p>
            <w:pPr>
              <w:ind w:left="14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1,224,786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1,091,710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20" w:type="dxa"/>
            <w:vAlign w:val="bottom"/>
            <w:shd w:val="clear" w:color="auto" w:fill="CCEEFF"/>
          </w:tcPr>
          <w:p>
            <w:pPr>
              <w:spacing w:after="0"/>
              <w:rPr>
                <w:sz w:val="20"/>
                <w:szCs w:val="20"/>
                <w:color w:val="auto"/>
              </w:rPr>
            </w:pPr>
          </w:p>
        </w:tc>
        <w:tc>
          <w:tcPr>
            <w:tcW w:w="4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41,734</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3,262,930</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2,972,064</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0"/>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April 29, 2023</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937"/>
              <w:spacing w:after="0"/>
              <w:rPr>
                <w:sz w:val="20"/>
                <w:szCs w:val="20"/>
                <w:color w:val="auto"/>
              </w:rPr>
            </w:pPr>
            <w:r>
              <w:rPr>
                <w:rFonts w:ascii="Arial" w:cs="Arial" w:eastAsia="Arial" w:hAnsi="Arial"/>
                <w:sz w:val="14"/>
                <w:szCs w:val="14"/>
                <w:b w:val="1"/>
                <w:bCs w:val="1"/>
                <w:color w:val="auto"/>
              </w:rPr>
              <w:t>April 30, 2022</w:t>
            </w:r>
          </w:p>
        </w:tc>
        <w:tc>
          <w:tcPr>
            <w:tcW w:w="200" w:type="dxa"/>
            <w:vAlign w:val="bottom"/>
            <w:tcBorders>
              <w:bottom w:val="single" w:sz="8" w:color="auto"/>
            </w:tcBorders>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4520" w:type="dxa"/>
            <w:vAlign w:val="bottom"/>
            <w:gridSpan w:val="2"/>
          </w:tcPr>
          <w:p>
            <w:pPr>
              <w:spacing w:after="0" w:line="185" w:lineRule="exact"/>
              <w:rPr>
                <w:sz w:val="20"/>
                <w:szCs w:val="20"/>
                <w:color w:val="auto"/>
              </w:rPr>
            </w:pPr>
            <w:r>
              <w:rPr>
                <w:rFonts w:ascii="Arial" w:cs="Arial" w:eastAsia="Arial" w:hAnsi="Arial"/>
                <w:sz w:val="18"/>
                <w:szCs w:val="18"/>
                <w:color w:val="auto"/>
              </w:rPr>
              <w:t>Channel</w:t>
            </w:r>
          </w:p>
        </w:tc>
        <w:tc>
          <w:tcPr>
            <w:tcW w:w="320" w:type="dxa"/>
            <w:vAlign w:val="bottom"/>
          </w:tcPr>
          <w:p>
            <w:pPr>
              <w:spacing w:after="0"/>
              <w:rPr>
                <w:sz w:val="16"/>
                <w:szCs w:val="16"/>
                <w:color w:val="auto"/>
              </w:rPr>
            </w:pPr>
          </w:p>
        </w:tc>
        <w:tc>
          <w:tcPr>
            <w:tcW w:w="1240" w:type="dxa"/>
            <w:vAlign w:val="bottom"/>
          </w:tcPr>
          <w:p>
            <w:pPr>
              <w:jc w:val="right"/>
              <w:ind w:right="436"/>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Arial" w:cs="Arial" w:eastAsia="Arial" w:hAnsi="Arial"/>
                <w:sz w:val="14"/>
                <w:szCs w:val="14"/>
                <w:b w:val="1"/>
                <w:bCs w:val="1"/>
                <w:color w:val="auto"/>
              </w:rPr>
              <w:t>% of Revenue*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w w:val="85"/>
              </w:rPr>
              <w:t>Revenue</w:t>
            </w:r>
          </w:p>
        </w:tc>
        <w:tc>
          <w:tcPr>
            <w:tcW w:w="120" w:type="dxa"/>
            <w:vAlign w:val="bottom"/>
          </w:tcPr>
          <w:p>
            <w:pPr>
              <w:spacing w:after="0"/>
              <w:rPr>
                <w:sz w:val="16"/>
                <w:szCs w:val="16"/>
                <w:color w:val="auto"/>
              </w:rPr>
            </w:pPr>
          </w:p>
        </w:tc>
        <w:tc>
          <w:tcPr>
            <w:tcW w:w="1420" w:type="dxa"/>
            <w:vAlign w:val="bottom"/>
          </w:tcPr>
          <w:p>
            <w:pPr>
              <w:jc w:val="right"/>
              <w:ind w:right="57"/>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6"/>
                <w:szCs w:val="16"/>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Distributors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4,007,733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3,503,042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0"/>
        </w:trPr>
        <w:tc>
          <w:tcPr>
            <w:tcW w:w="20" w:type="dxa"/>
            <w:vAlign w:val="bottom"/>
          </w:tcPr>
          <w:p>
            <w:pPr>
              <w:spacing w:after="0"/>
              <w:rPr>
                <w:sz w:val="19"/>
                <w:szCs w:val="19"/>
                <w:color w:val="auto"/>
              </w:rPr>
            </w:pPr>
          </w:p>
        </w:tc>
        <w:tc>
          <w:tcPr>
            <w:tcW w:w="4520" w:type="dxa"/>
            <w:vAlign w:val="bottom"/>
            <w:gridSpan w:val="2"/>
          </w:tcPr>
          <w:p>
            <w:pPr>
              <w:ind w:left="180"/>
              <w:spacing w:after="0"/>
              <w:rPr>
                <w:sz w:val="20"/>
                <w:szCs w:val="20"/>
                <w:color w:val="auto"/>
              </w:rPr>
            </w:pPr>
            <w:r>
              <w:rPr>
                <w:rFonts w:ascii="Arial" w:cs="Arial" w:eastAsia="Arial" w:hAnsi="Arial"/>
                <w:sz w:val="18"/>
                <w:szCs w:val="18"/>
                <w:color w:val="auto"/>
              </w:rPr>
              <w:t>Direct customers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2,420,320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2,094,891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452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6,512,560</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5,656,357</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100 %</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w:t>
      </w:r>
    </w:p>
    <w:p>
      <w:pPr>
        <w:spacing w:after="0" w:line="175"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tables below, set forth by level, presents the Company’s financial assets and liabilities, excluding accrued interest components that were accounted for at fair value on a recurring basis as of April 29, 2023 and October 29, 2022. The tables exclude cash on hand and assets and liabilities that are measured at historical cost or any basis other than fair value. As of April 29, 2023 and October 29, 2022, the Company held $661.3 million and $1,016.0 million, respectively, of cash that was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excluded from the tables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April 29, 2023</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0"/>
        </w:trPr>
        <w:tc>
          <w:tcPr>
            <w:tcW w:w="5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20" w:type="dxa"/>
            <w:vAlign w:val="bottom"/>
            <w:gridSpan w:val="5"/>
          </w:tcPr>
          <w:p>
            <w:pPr>
              <w:jc w:val="center"/>
              <w:ind w:right="160"/>
              <w:spacing w:after="0" w:line="160" w:lineRule="exact"/>
              <w:rPr>
                <w:sz w:val="20"/>
                <w:szCs w:val="20"/>
                <w:color w:val="auto"/>
              </w:rPr>
            </w:pPr>
            <w:r>
              <w:rPr>
                <w:rFonts w:ascii="Arial" w:cs="Arial" w:eastAsia="Arial" w:hAnsi="Arial"/>
                <w:sz w:val="14"/>
                <w:szCs w:val="14"/>
                <w:b w:val="1"/>
                <w:bCs w:val="1"/>
                <w:color w:val="auto"/>
                <w:w w:val="93"/>
              </w:rPr>
              <w:t>Fair Value measurement at</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Reporting Date using:</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9"/>
        </w:trPr>
        <w:tc>
          <w:tcPr>
            <w:tcW w:w="5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Quoted Prices in Active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Markets for Identical</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Significant Other</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39"/>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Observable Inputs</w:t>
            </w: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400" w:type="dxa"/>
            <w:vAlign w:val="bottom"/>
          </w:tcPr>
          <w:p>
            <w:pPr>
              <w:spacing w:after="0"/>
              <w:rPr>
                <w:sz w:val="16"/>
                <w:szCs w:val="16"/>
                <w:color w:val="auto"/>
              </w:rPr>
            </w:pPr>
          </w:p>
        </w:tc>
        <w:tc>
          <w:tcPr>
            <w:tcW w:w="1340" w:type="dxa"/>
            <w:vAlign w:val="bottom"/>
          </w:tcPr>
          <w:p>
            <w:pPr>
              <w:jc w:val="right"/>
              <w:ind w:right="633"/>
              <w:spacing w:after="0"/>
              <w:rPr>
                <w:sz w:val="20"/>
                <w:szCs w:val="20"/>
                <w:color w:val="auto"/>
              </w:rPr>
            </w:pPr>
            <w:r>
              <w:rPr>
                <w:rFonts w:ascii="Arial" w:cs="Arial" w:eastAsia="Arial" w:hAnsi="Arial"/>
                <w:sz w:val="14"/>
                <w:szCs w:val="14"/>
                <w:b w:val="1"/>
                <w:bCs w:val="1"/>
                <w:color w:val="auto"/>
              </w:rPr>
              <w:t>Total</w:t>
            </w:r>
          </w:p>
        </w:tc>
      </w:tr>
      <w:tr>
        <w:trPr>
          <w:trHeight w:val="26"/>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516,265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516,265</w:t>
            </w: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r>
      <w:tr>
        <w:trPr>
          <w:trHeight w:val="230"/>
        </w:trPr>
        <w:tc>
          <w:tcPr>
            <w:tcW w:w="5740" w:type="dxa"/>
            <w:vAlign w:val="bottom"/>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68,645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68,645</w:t>
            </w:r>
          </w:p>
        </w:tc>
      </w:tr>
      <w:tr>
        <w:trPr>
          <w:trHeight w:val="229"/>
        </w:trPr>
        <w:tc>
          <w:tcPr>
            <w:tcW w:w="5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Forward foreign currency exchange contracts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r>
      <w:tr>
        <w:trPr>
          <w:trHeight w:val="232"/>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584,910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8,541</w:t>
            </w:r>
          </w:p>
        </w:tc>
        <w:tc>
          <w:tcPr>
            <w:tcW w:w="1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593,451</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01"/>
        </w:trPr>
        <w:tc>
          <w:tcPr>
            <w:tcW w:w="5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5740" w:type="dxa"/>
            <w:vAlign w:val="bottom"/>
          </w:tcPr>
          <w:p>
            <w:pPr>
              <w:ind w:left="360"/>
              <w:spacing w:after="0"/>
              <w:rPr>
                <w:sz w:val="20"/>
                <w:szCs w:val="20"/>
                <w:color w:val="auto"/>
              </w:rPr>
            </w:pPr>
            <w:r>
              <w:rPr>
                <w:rFonts w:ascii="Arial" w:cs="Arial" w:eastAsia="Arial" w:hAnsi="Arial"/>
                <w:sz w:val="18"/>
                <w:szCs w:val="18"/>
                <w:color w:val="auto"/>
              </w:rPr>
              <w:t>Interest rate derivatives (1)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r>
      <w:tr>
        <w:trPr>
          <w:trHeight w:val="25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60" w:right="4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carrying value of the related debt was adjusted by an equal and offsetting amount. The fair value of interest rate derivatives is estimated using a discounted cash flow analysis based on the contractual terms of the derivatives. See Note 9,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in these Notes to Condensed Consolidated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w w:val="92"/>
              </w:rPr>
              <w:t>October 29, 2022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80" w:type="dxa"/>
            <w:vAlign w:val="bottom"/>
            <w:gridSpan w:val="4"/>
          </w:tcPr>
          <w:p>
            <w:pPr>
              <w:jc w:val="right"/>
              <w:ind w:right="878"/>
              <w:spacing w:after="0"/>
              <w:rPr>
                <w:sz w:val="20"/>
                <w:szCs w:val="20"/>
                <w:color w:val="auto"/>
              </w:rPr>
            </w:pPr>
            <w:r>
              <w:rPr>
                <w:rFonts w:ascii="Arial" w:cs="Arial" w:eastAsia="Arial" w:hAnsi="Arial"/>
                <w:sz w:val="14"/>
                <w:szCs w:val="14"/>
                <w:b w:val="1"/>
                <w:bCs w:val="1"/>
                <w:color w:val="auto"/>
              </w:rPr>
              <w:t>Fair Value measurement at</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80" w:type="dxa"/>
            <w:vAlign w:val="bottom"/>
            <w:gridSpan w:val="4"/>
          </w:tcPr>
          <w:p>
            <w:pPr>
              <w:jc w:val="right"/>
              <w:ind w:right="1038"/>
              <w:spacing w:after="0"/>
              <w:rPr>
                <w:sz w:val="20"/>
                <w:szCs w:val="20"/>
                <w:color w:val="auto"/>
              </w:rPr>
            </w:pPr>
            <w:r>
              <w:rPr>
                <w:rFonts w:ascii="Arial" w:cs="Arial" w:eastAsia="Arial" w:hAnsi="Arial"/>
                <w:sz w:val="14"/>
                <w:szCs w:val="14"/>
                <w:b w:val="1"/>
                <w:bCs w:val="1"/>
                <w:color w:val="auto"/>
              </w:rPr>
              <w:t>Reporting Date using:</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Quoted Prices in Active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Markets for Identical</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vMerge w:val="restart"/>
          </w:tcPr>
          <w:p>
            <w:pPr>
              <w:jc w:val="right"/>
              <w:ind w:right="6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118"/>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7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Cash equivalents:</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w:t>
            </w: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680"/>
              <w:spacing w:after="0"/>
              <w:rPr>
                <w:sz w:val="20"/>
                <w:szCs w:val="20"/>
                <w:color w:val="auto"/>
              </w:rPr>
            </w:pPr>
            <w:r>
              <w:rPr>
                <w:rFonts w:ascii="Arial" w:cs="Arial" w:eastAsia="Arial" w:hAnsi="Arial"/>
                <w:sz w:val="18"/>
                <w:szCs w:val="18"/>
                <w:color w:val="auto"/>
              </w:rPr>
              <w:t>Government and institutional money market funds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454,545</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454,545</w:t>
            </w:r>
          </w:p>
        </w:tc>
        <w:tc>
          <w:tcPr>
            <w:tcW w:w="0" w:type="dxa"/>
            <w:vAlign w:val="bottom"/>
          </w:tcPr>
          <w:p>
            <w:pPr>
              <w:spacing w:after="0"/>
              <w:rPr>
                <w:sz w:val="1"/>
                <w:szCs w:val="1"/>
                <w:color w:val="auto"/>
              </w:rPr>
            </w:pPr>
          </w:p>
        </w:tc>
      </w:tr>
      <w:tr>
        <w:trPr>
          <w:trHeight w:val="24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63,211</w:t>
            </w:r>
          </w:p>
        </w:tc>
        <w:tc>
          <w:tcPr>
            <w:tcW w:w="0" w:type="dxa"/>
            <w:vAlign w:val="bottom"/>
          </w:tcPr>
          <w:p>
            <w:pPr>
              <w:spacing w:after="0"/>
              <w:rPr>
                <w:sz w:val="1"/>
                <w:szCs w:val="1"/>
                <w:color w:val="auto"/>
              </w:rPr>
            </w:pPr>
          </w:p>
        </w:tc>
      </w:tr>
      <w:tr>
        <w:trPr>
          <w:trHeight w:val="25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measured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517,756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foreign currency exchange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5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Total liabilities measured at fair value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16,984</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 xml:space="preserve">In addition to the methods and assumptions used by the Company in estimating its fair value disclosure for financial instruments disclosed in Note 2j,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Company's Annual Report on Form 10-K for fiscal 2022, which was filed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on November 22, 2022, the following methods and assumptions were used by the Company in estimating its fair value disclosure for financial instruments:</w:t>
      </w:r>
    </w:p>
    <w:p>
      <w:pPr>
        <w:spacing w:after="0" w:line="106"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b w:val="1"/>
          <w:bCs w:val="1"/>
          <w:i w:val="1"/>
          <w:iCs w:val="1"/>
          <w:color w:val="auto"/>
        </w:rPr>
        <w:t xml:space="preserve">Interest rate derivative — </w:t>
      </w:r>
      <w:r>
        <w:rPr>
          <w:rFonts w:ascii="Arial" w:cs="Arial" w:eastAsia="Arial" w:hAnsi="Arial"/>
          <w:sz w:val="18"/>
          <w:szCs w:val="18"/>
          <w:color w:val="auto"/>
        </w:rPr>
        <w:t>The fair value of interest rate derivatives is estimated using a discounted cash flow analysis based on the contractual terms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derivatives.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 on a Recurring Basis</w:t>
      </w:r>
    </w:p>
    <w:p>
      <w:pPr>
        <w:spacing w:after="0" w:line="13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b w:val="1"/>
          <w:bCs w:val="1"/>
          <w:i w:val="1"/>
          <w:iCs w:val="1"/>
          <w:color w:val="auto"/>
        </w:rPr>
        <w:t xml:space="preserve">Commercial paper — </w:t>
      </w:r>
      <w:r>
        <w:rPr>
          <w:rFonts w:ascii="Arial" w:cs="Arial" w:eastAsia="Arial" w:hAnsi="Arial"/>
          <w:sz w:val="17"/>
          <w:szCs w:val="17"/>
          <w:color w:val="auto"/>
        </w:rPr>
        <w:t>The fair value of commercial paper is obtained from indicative market prices and are classified as Level 2 measurements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the fair value hierarchy. As of April 29, 2023, the fair value of the commercial paper notes was $254.2 million.</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Debt — </w:t>
      </w:r>
      <w:r>
        <w:rPr>
          <w:rFonts w:ascii="Arial" w:cs="Arial" w:eastAsia="Arial" w:hAnsi="Arial"/>
          <w:sz w:val="18"/>
          <w:szCs w:val="18"/>
          <w:color w:val="auto"/>
        </w:rPr>
        <w:t>The table below presents the estimated fair value of certain financial instruments not recorded at fair value on a</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type w:val="continuous"/>
        </w:sectPr>
      </w:pPr>
    </w:p>
    <w:bookmarkStart w:id="12" w:name="page13"/>
    <w:bookmarkEnd w:id="12"/>
    <w:p>
      <w:pPr>
        <w:ind w:right="180"/>
        <w:spacing w:after="0" w:line="269" w:lineRule="auto"/>
        <w:rPr>
          <w:sz w:val="20"/>
          <w:szCs w:val="20"/>
          <w:color w:val="auto"/>
        </w:rPr>
      </w:pPr>
      <w:r>
        <w:rPr>
          <w:rFonts w:ascii="Arial" w:cs="Arial" w:eastAsia="Arial" w:hAnsi="Arial"/>
          <w:sz w:val="18"/>
          <w:szCs w:val="18"/>
          <w:color w:val="auto"/>
        </w:rPr>
        <w:t>recurring basis. The fair values of the senior unsecured notes are obtained from broker prices and are classified as Level 1 measurements according to the fair value hierarchy.</w:t>
      </w:r>
    </w:p>
    <w:tbl>
      <w:tblPr>
        <w:tblLayout w:type="fixed"/>
        <w:tblInd w:w="0" w:type="dxa"/>
        <w:tblCellMar>
          <w:top w:w="0" w:type="dxa"/>
          <w:left w:w="0" w:type="dxa"/>
          <w:bottom w:w="0" w:type="dxa"/>
          <w:right w:w="0" w:type="dxa"/>
        </w:tblCellMar>
      </w:tblPr>
      <w:tr>
        <w:trPr>
          <w:trHeight w:val="186"/>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April 29, 2023</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2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October 29, 2022</w:t>
            </w:r>
          </w:p>
        </w:tc>
        <w:tc>
          <w:tcPr>
            <w:tcW w:w="0" w:type="dxa"/>
            <w:vAlign w:val="bottom"/>
          </w:tcPr>
          <w:p>
            <w:pPr>
              <w:spacing w:after="0"/>
              <w:rPr>
                <w:sz w:val="1"/>
                <w:szCs w:val="1"/>
                <w:color w:val="auto"/>
              </w:rPr>
            </w:pPr>
          </w:p>
        </w:tc>
      </w:tr>
      <w:tr>
        <w:trPr>
          <w:trHeight w:val="26"/>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right"/>
              <w:ind w:right="133"/>
              <w:spacing w:after="0" w:line="133" w:lineRule="exact"/>
              <w:rPr>
                <w:sz w:val="20"/>
                <w:szCs w:val="20"/>
                <w:color w:val="auto"/>
              </w:rPr>
            </w:pPr>
            <w:r>
              <w:rPr>
                <w:rFonts w:ascii="Arial" w:cs="Arial" w:eastAsia="Arial" w:hAnsi="Arial"/>
                <w:sz w:val="14"/>
                <w:szCs w:val="14"/>
                <w:b w:val="1"/>
                <w:bCs w:val="1"/>
                <w:color w:val="auto"/>
                <w:w w:val="96"/>
              </w:rPr>
              <w:t>Principal Amount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jc w:val="right"/>
              <w:ind w:right="133"/>
              <w:spacing w:after="0" w:line="133" w:lineRule="exact"/>
              <w:rPr>
                <w:sz w:val="20"/>
                <w:szCs w:val="20"/>
                <w:color w:val="auto"/>
              </w:rPr>
            </w:pPr>
            <w:r>
              <w:rPr>
                <w:rFonts w:ascii="Arial" w:cs="Arial" w:eastAsia="Arial" w:hAnsi="Arial"/>
                <w:sz w:val="14"/>
                <w:szCs w:val="14"/>
                <w:b w:val="1"/>
                <w:bCs w:val="1"/>
                <w:color w:val="auto"/>
                <w:w w:val="98"/>
              </w:rPr>
              <w:t>Principal Amount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492,992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491,982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April 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383,378</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851,479</w:t>
            </w:r>
          </w:p>
        </w:tc>
        <w:tc>
          <w:tcPr>
            <w:tcW w:w="0" w:type="dxa"/>
            <w:vAlign w:val="bottom"/>
          </w:tcPr>
          <w:p>
            <w:pPr>
              <w:spacing w:after="0"/>
              <w:rPr>
                <w:sz w:val="1"/>
                <w:szCs w:val="1"/>
                <w:color w:val="auto"/>
              </w:rPr>
            </w:pPr>
          </w:p>
        </w:tc>
      </w:tr>
      <w:tr>
        <w:trPr>
          <w:trHeight w:val="237"/>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Maxim 2027 Notes, due June 2027</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59,788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54,771</w:t>
            </w:r>
          </w:p>
        </w:tc>
        <w:tc>
          <w:tcPr>
            <w:tcW w:w="0" w:type="dxa"/>
            <w:vAlign w:val="bottom"/>
          </w:tcPr>
          <w:p>
            <w:pPr>
              <w:spacing w:after="0"/>
              <w:rPr>
                <w:sz w:val="1"/>
                <w:szCs w:val="1"/>
                <w:color w:val="auto"/>
              </w:rPr>
            </w:pPr>
          </w:p>
        </w:tc>
      </w:tr>
      <w:tr>
        <w:trPr>
          <w:trHeight w:val="23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2027</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June 2027</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440,212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410,091</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2028</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661,084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621,093</w:t>
            </w:r>
          </w:p>
        </w:tc>
        <w:tc>
          <w:tcPr>
            <w:tcW w:w="0" w:type="dxa"/>
            <w:vAlign w:val="bottom"/>
          </w:tcPr>
          <w:p>
            <w:pPr>
              <w:spacing w:after="0"/>
              <w:rPr>
                <w:sz w:val="1"/>
                <w:szCs w:val="1"/>
                <w:color w:val="auto"/>
              </w:rPr>
            </w:pP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2031</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2031</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786,772</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2032</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2032</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293,269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278,359</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2036</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2036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126,274</w:t>
            </w:r>
          </w:p>
        </w:tc>
        <w:tc>
          <w:tcPr>
            <w:tcW w:w="0" w:type="dxa"/>
            <w:vAlign w:val="bottom"/>
          </w:tcPr>
          <w:p>
            <w:pPr>
              <w:spacing w:after="0"/>
              <w:rPr>
                <w:sz w:val="1"/>
                <w:szCs w:val="1"/>
                <w:color w:val="auto"/>
              </w:rPr>
            </w:pP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2041</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2041</w:t>
            </w:r>
          </w:p>
        </w:tc>
        <w:tc>
          <w:tcPr>
            <w:tcW w:w="1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513,709</w:t>
            </w:r>
          </w:p>
        </w:tc>
        <w:tc>
          <w:tcPr>
            <w:tcW w:w="0" w:type="dxa"/>
            <w:vAlign w:val="bottom"/>
          </w:tcPr>
          <w:p>
            <w:pPr>
              <w:spacing w:after="0"/>
              <w:rPr>
                <w:sz w:val="1"/>
                <w:szCs w:val="1"/>
                <w:color w:val="auto"/>
              </w:rPr>
            </w:pPr>
          </w:p>
        </w:tc>
      </w:tr>
      <w:tr>
        <w:trPr>
          <w:trHeight w:val="23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2045</w:t>
            </w:r>
          </w:p>
        </w:tc>
        <w:tc>
          <w:tcPr>
            <w:tcW w:w="4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2045</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332,587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313,931</w:t>
            </w: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2051</w:t>
            </w:r>
          </w:p>
        </w:tc>
        <w:tc>
          <w:tcPr>
            <w:tcW w:w="4340" w:type="dxa"/>
            <w:vAlign w:val="bottom"/>
          </w:tcPr>
          <w:p>
            <w:pPr>
              <w:ind w:left="40"/>
              <w:spacing w:after="0"/>
              <w:rPr>
                <w:sz w:val="20"/>
                <w:szCs w:val="20"/>
                <w:color w:val="auto"/>
              </w:rPr>
            </w:pPr>
            <w:r>
              <w:rPr>
                <w:rFonts w:ascii="Arial" w:cs="Arial" w:eastAsia="Arial" w:hAnsi="Arial"/>
                <w:sz w:val="18"/>
                <w:szCs w:val="18"/>
                <w:color w:val="auto"/>
              </w:rPr>
              <w:t>Notes, due October 2051</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723,063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640,766</w:t>
            </w:r>
          </w:p>
        </w:tc>
        <w:tc>
          <w:tcPr>
            <w:tcW w:w="0" w:type="dxa"/>
            <w:vAlign w:val="bottom"/>
          </w:tcPr>
          <w:p>
            <w:pPr>
              <w:spacing w:after="0"/>
              <w:rPr>
                <w:sz w:val="1"/>
                <w:szCs w:val="1"/>
                <w:color w:val="auto"/>
              </w:rPr>
            </w:pPr>
          </w:p>
        </w:tc>
      </w:tr>
      <w:tr>
        <w:trPr>
          <w:trHeight w:val="257"/>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6,517,077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5,769,313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6,576,865</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5,472,605</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w:t>
      </w:r>
    </w:p>
    <w:p>
      <w:pPr>
        <w:spacing w:after="0" w:line="175" w:lineRule="exact"/>
        <w:rPr>
          <w:sz w:val="20"/>
          <w:szCs w:val="20"/>
          <w:color w:val="auto"/>
        </w:rPr>
      </w:pPr>
    </w:p>
    <w:p>
      <w:pPr>
        <w:ind w:right="160" w:firstLine="446"/>
        <w:spacing w:after="0" w:line="292" w:lineRule="auto"/>
        <w:rPr>
          <w:sz w:val="20"/>
          <w:szCs w:val="20"/>
          <w:color w:val="auto"/>
        </w:rPr>
      </w:pPr>
      <w:r>
        <w:rPr>
          <w:rFonts w:ascii="Arial" w:cs="Arial" w:eastAsia="Arial" w:hAnsi="Arial"/>
          <w:sz w:val="16"/>
          <w:szCs w:val="16"/>
          <w:i w:val="1"/>
          <w:iCs w:val="1"/>
          <w:color w:val="auto"/>
        </w:rPr>
        <w:t xml:space="preserve">Foreign Exchange Exposure Management </w:t>
      </w:r>
      <w:r>
        <w:rPr>
          <w:rFonts w:ascii="Arial" w:cs="Arial" w:eastAsia="Arial" w:hAnsi="Arial"/>
          <w:sz w:val="16"/>
          <w:szCs w:val="16"/>
          <w:color w:val="auto"/>
        </w:rPr>
        <w:t>— The total notional amounts of forward foreign currency derivative instruments designated as hedging</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of cash flow hedges denominated in Euros, British Pounds, Philippine Pesos, Thai Baht, South Korean Won and Japanese Yen as of April 29, 2023 and October 29, 2022 were $307.0 million and $307.1 million, respectively. The fair values of forward foreign currency derivative instruments designated as hedging instruments in the Company’s Condensed Consolidated Balance Sheets as of April 29, 2023 and October 29,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Fair Value At</w:t>
            </w:r>
          </w:p>
        </w:tc>
      </w:tr>
      <w:tr>
        <w:trPr>
          <w:trHeight w:val="196"/>
        </w:trPr>
        <w:tc>
          <w:tcPr>
            <w:tcW w:w="4100" w:type="dxa"/>
            <w:vAlign w:val="bottom"/>
          </w:tcPr>
          <w:p>
            <w:pPr>
              <w:spacing w:after="0"/>
              <w:rPr>
                <w:sz w:val="17"/>
                <w:szCs w:val="17"/>
                <w:color w:val="auto"/>
              </w:rPr>
            </w:pPr>
          </w:p>
        </w:tc>
        <w:tc>
          <w:tcPr>
            <w:tcW w:w="3840" w:type="dxa"/>
            <w:vAlign w:val="bottom"/>
            <w:gridSpan w:val="2"/>
          </w:tcPr>
          <w:p>
            <w:pPr>
              <w:ind w:left="114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7"/>
                <w:szCs w:val="17"/>
                <w:color w:val="auto"/>
              </w:rPr>
            </w:pPr>
          </w:p>
        </w:tc>
        <w:tc>
          <w:tcPr>
            <w:tcW w:w="1340" w:type="dxa"/>
            <w:vAlign w:val="bottom"/>
          </w:tcPr>
          <w:p>
            <w:pPr>
              <w:jc w:val="right"/>
              <w:ind w:right="259"/>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October 29, 2022</w:t>
            </w:r>
          </w:p>
        </w:tc>
      </w:tr>
      <w:tr>
        <w:trPr>
          <w:trHeight w:val="230"/>
        </w:trPr>
        <w:tc>
          <w:tcPr>
            <w:tcW w:w="4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00" w:type="dxa"/>
            <w:vAlign w:val="bottom"/>
          </w:tcPr>
          <w:p>
            <w:pPr>
              <w:ind w:left="20"/>
              <w:spacing w:after="0"/>
              <w:rPr>
                <w:sz w:val="20"/>
                <w:szCs w:val="20"/>
                <w:color w:val="auto"/>
              </w:rPr>
            </w:pPr>
            <w:r>
              <w:rPr>
                <w:rFonts w:ascii="Arial" w:cs="Arial" w:eastAsia="Arial" w:hAnsi="Arial"/>
                <w:sz w:val="18"/>
                <w:szCs w:val="18"/>
                <w:color w:val="auto"/>
              </w:rPr>
              <w:t>Forward foreign currency exchange contracts</w:t>
            </w: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18,050</w:t>
            </w:r>
          </w:p>
        </w:tc>
      </w:tr>
    </w:tbl>
    <w:p>
      <w:pPr>
        <w:spacing w:after="0" w:line="241"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As of April 29, 2023 and October 29, 2022, the total notional amounts of undesignated hedges related to forward foreign currency exchange contracts were $413.6 million and $246.4 million, respectively.</w:t>
      </w:r>
    </w:p>
    <w:p>
      <w:pPr>
        <w:spacing w:after="0" w:line="11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October 29, 2022</w:t>
            </w:r>
          </w:p>
        </w:tc>
      </w:tr>
      <w:tr>
        <w:trPr>
          <w:trHeight w:val="25"/>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amounts of recognized liabilities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amount of recognized assets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2,862</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(liabilities) presented in the Condensed Consolidated Balance Sheets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i w:val="1"/>
          <w:iCs w:val="1"/>
          <w:color w:val="auto"/>
        </w:rPr>
        <w:t xml:space="preserve">Interest Rate Exposure Management </w:t>
      </w:r>
      <w:r>
        <w:rPr>
          <w:rFonts w:ascii="Arial" w:cs="Arial" w:eastAsia="Arial" w:hAnsi="Arial"/>
          <w:sz w:val="17"/>
          <w:szCs w:val="17"/>
          <w:color w:val="auto"/>
        </w:rPr>
        <w:t>— The Company's current and future debt may be subject to interest rate risk. The Company utilizes interest rate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to alter interest rate exposure in an attempt to reduce the effects of changes in interest rates. During fiscal 2023, the Company entered into interest rate swap transactions related to its outstanding $1,000.0 million aggregate principal amount of 2.1% senior unsecured notes (the 2031 Notes) where the Company swapped the notional amount of its $1,000.0 million of fixed rate debt at 2.1% into floating interest rate debt through April 1, 2031.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interest rate swaps were designated and qualified as fair value hedges. The Company does not consider the risk of counterparty default to be significant. The gain or loss on the hedged item attributable to the hedged benchmark interest rate risk and the offsetting gain or loss on the related interest rate swaps were recorded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29, 2023</w:t>
            </w:r>
          </w:p>
        </w:tc>
        <w:tc>
          <w:tcPr>
            <w:tcW w:w="1200" w:type="dxa"/>
            <w:vAlign w:val="bottom"/>
          </w:tcPr>
          <w:p>
            <w:pPr>
              <w:spacing w:after="0"/>
              <w:rPr>
                <w:sz w:val="16"/>
                <w:szCs w:val="16"/>
                <w:color w:val="auto"/>
              </w:rPr>
            </w:pPr>
          </w:p>
        </w:tc>
      </w:tr>
      <w:tr>
        <w:trPr>
          <w:trHeight w:val="26"/>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w w:val="98"/>
              </w:rPr>
              <w:t>Loss on Swaps</w:t>
            </w:r>
          </w:p>
        </w:tc>
        <w:tc>
          <w:tcPr>
            <w:tcW w:w="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4"/>
                <w:szCs w:val="14"/>
                <w:b w:val="1"/>
                <w:bCs w:val="1"/>
                <w:color w:val="auto"/>
                <w:w w:val="91"/>
              </w:rPr>
              <w:t>Gain on Note</w:t>
            </w:r>
          </w:p>
        </w:tc>
      </w:tr>
      <w:tr>
        <w:trPr>
          <w:trHeight w:val="232"/>
        </w:trPr>
        <w:tc>
          <w:tcPr>
            <w:tcW w:w="79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1,866</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r>
    </w:tbl>
    <w:p>
      <w:pPr>
        <w:spacing w:after="0" w:line="242" w:lineRule="exact"/>
        <w:rPr>
          <w:sz w:val="20"/>
          <w:szCs w:val="20"/>
          <w:color w:val="auto"/>
        </w:rPr>
      </w:pPr>
    </w:p>
    <w:p>
      <w:pPr>
        <w:ind w:right="300" w:firstLine="446"/>
        <w:spacing w:after="0" w:line="263" w:lineRule="auto"/>
        <w:rPr>
          <w:sz w:val="20"/>
          <w:szCs w:val="20"/>
          <w:color w:val="auto"/>
        </w:rPr>
      </w:pPr>
      <w:r>
        <w:rPr>
          <w:rFonts w:ascii="Arial" w:cs="Arial" w:eastAsia="Arial" w:hAnsi="Arial"/>
          <w:sz w:val="18"/>
          <w:szCs w:val="18"/>
          <w:color w:val="auto"/>
        </w:rPr>
        <w:t xml:space="preserve">For information on the unrealized holding gains (losses) on derivatives included in and reclassified out of AOCI into the Condensed Consolidated Statements of Income related to forward foreign currency exchange contracts, see Note 3, </w:t>
      </w:r>
      <w:r>
        <w:rPr>
          <w:rFonts w:ascii="Arial" w:cs="Arial" w:eastAsia="Arial" w:hAnsi="Arial"/>
          <w:sz w:val="18"/>
          <w:szCs w:val="18"/>
          <w:i w:val="1"/>
          <w:iCs w:val="1"/>
          <w:color w:val="auto"/>
        </w:rPr>
        <w:t>Accumulated Other Comprehensive (Loss) Income,</w:t>
      </w:r>
      <w:r>
        <w:rPr>
          <w:rFonts w:ascii="Arial" w:cs="Arial" w:eastAsia="Arial" w:hAnsi="Arial"/>
          <w:sz w:val="18"/>
          <w:szCs w:val="18"/>
          <w:color w:val="auto"/>
        </w:rPr>
        <w:t xml:space="preserve"> in these Notes to Condensed Consolidated Financial Statements for further information.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at April 29, 2023 and October 29, 2022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October 29, 2022</w:t>
            </w:r>
          </w:p>
        </w:tc>
      </w:tr>
      <w:tr>
        <w:trPr>
          <w:trHeight w:val="24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122,518</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1,084,541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904,648</w:t>
            </w: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441,077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384,358</w:t>
            </w:r>
          </w:p>
        </w:tc>
      </w:tr>
      <w:tr>
        <w:trPr>
          <w:trHeight w:val="236"/>
        </w:trPr>
        <w:tc>
          <w:tcPr>
            <w:tcW w:w="7360" w:type="dxa"/>
            <w:vAlign w:val="bottom"/>
          </w:tcPr>
          <w:p>
            <w:pPr>
              <w:ind w:left="140"/>
              <w:spacing w:after="0"/>
              <w:rPr>
                <w:sz w:val="20"/>
                <w:szCs w:val="20"/>
                <w:color w:val="auto"/>
              </w:rPr>
            </w:pPr>
            <w:r>
              <w:rPr>
                <w:rFonts w:ascii="Arial" w:cs="Arial" w:eastAsia="Arial" w:hAnsi="Arial"/>
                <w:sz w:val="18"/>
                <w:szCs w:val="18"/>
                <w:color w:val="auto"/>
              </w:rPr>
              <w:t>Total inventories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1,648,136</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1,399,914</w:t>
            </w:r>
          </w:p>
        </w:tc>
      </w:tr>
      <w:tr>
        <w:trPr>
          <w:trHeight w:val="21"/>
        </w:trPr>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Debt</w:t>
      </w:r>
    </w:p>
    <w:p>
      <w:pPr>
        <w:spacing w:after="0" w:line="121" w:lineRule="exact"/>
        <w:rPr>
          <w:sz w:val="20"/>
          <w:szCs w:val="20"/>
          <w:color w:val="auto"/>
        </w:rPr>
      </w:pPr>
    </w:p>
    <w:p>
      <w:pPr>
        <w:ind w:right="6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On June 23, 2021, the Company entered into a Third Amended and Restated Credit Agreement (Revolving Credit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Bank of America, N.A. as administrative agent and the other banks identified therein as lenders. The Revolving Credit Agreement provides for a five year unsecured revolving credit facility in an aggregate principal amount not to exceed $2.5 billion (subject to certain terms and conditions).</w:t>
      </w:r>
    </w:p>
    <w:p>
      <w:pPr>
        <w:spacing w:after="0" w:line="7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the first quarter of fiscal 2023, the Company amended the Revolving Credit Agreement, replacing the LIBOR interest rate provisions with interest rate provisions based on a forward-looking term rate based on the secured overnight financing rate (SOFR) plus a 10 basis point credit spread adjustment. After the amendment, revolving loans under the Revolving Credit Agreement can be Term SOFR Loans or Base Rate Loans (each as defined in the Revolving Credit Agreement, as amended) at the Company's option. Each Term SOFR Loan will bear interest at a rate per annum equal to the applicable adjusted term SOFR plus a margin based on the Company's Debt Ratings (as defined in the Revolving Credit Agreement, as amended) from time to time of between 0.690% and 1.175%. As of April 29, 2023,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84" w:lineRule="exact"/>
        <w:rPr>
          <w:sz w:val="20"/>
          <w:szCs w:val="20"/>
          <w:color w:val="auto"/>
        </w:rPr>
      </w:pPr>
    </w:p>
    <w:p>
      <w:pPr>
        <w:ind w:right="140" w:firstLine="405"/>
        <w:spacing w:after="0" w:line="311" w:lineRule="auto"/>
        <w:rPr>
          <w:sz w:val="20"/>
          <w:szCs w:val="20"/>
          <w:color w:val="auto"/>
        </w:rPr>
      </w:pPr>
      <w:r>
        <w:rPr>
          <w:rFonts w:ascii="Arial" w:cs="Arial" w:eastAsia="Arial" w:hAnsi="Arial"/>
          <w:sz w:val="16"/>
          <w:szCs w:val="16"/>
          <w:b w:val="1"/>
          <w:bCs w:val="1"/>
          <w:i w:val="1"/>
          <w:iCs w:val="1"/>
          <w:color w:val="auto"/>
        </w:rPr>
        <w:t xml:space="preserve">Outstanding Debt. </w:t>
      </w:r>
      <w:r>
        <w:rPr>
          <w:rFonts w:ascii="Arial" w:cs="Arial" w:eastAsia="Arial" w:hAnsi="Arial"/>
          <w:sz w:val="16"/>
          <w:szCs w:val="16"/>
          <w:color w:val="auto"/>
        </w:rPr>
        <w:t>On April 26, 2023 (Redemption Date), the Company redeemed for cash $59.8 million representing all of the outstanding 3.450%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notes due June 15, 2027 issued by Maxim (Maxim Notes) in accordance with the terms of the indenture governing the Maxim Notes. The Maxim Notes were redeemed for cash at a redemption price equal to $1,012.55 for each $1,000 principal of the Maxim Notes and included accrued interest.</w:t>
      </w:r>
    </w:p>
    <w:p>
      <w:pPr>
        <w:spacing w:after="0" w:line="41"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b w:val="1"/>
          <w:bCs w:val="1"/>
          <w:i w:val="1"/>
          <w:iCs w:val="1"/>
          <w:color w:val="auto"/>
        </w:rPr>
        <w:t xml:space="preserve">Commercial Paper Program. </w:t>
      </w:r>
      <w:r>
        <w:rPr>
          <w:rFonts w:ascii="Arial" w:cs="Arial" w:eastAsia="Arial" w:hAnsi="Arial"/>
          <w:sz w:val="16"/>
          <w:szCs w:val="16"/>
          <w:color w:val="auto"/>
        </w:rPr>
        <w:t>On April 14, 2023, the Company established a commercial paper program under which the Company may issue short-term, unsecured commercial paper notes (CP Notes) in an amount up to a maximum aggregate face amount of $2.5 billion outstanding at any time, with maturities up to 397 days from the date of issuance. The CP Notes will be sold under customary market terms in the U.S. commercial paper market at a discount from par or at par and bear interest at rates determined at the time of issuance. The Company intends to use the net proceeds of the CP Notes for general corporate purposes, including without limitation, repayment of indebtedness, stock repurchases, acquisitions, capital expenditures and working capital. As of April 29, 2023, the Company had $253.6 million of outstanding borrowings under the commercial paper program recorded in the Condensed Consolidated Balance Sheet. The carrying value of the outstanding CP Notes approximated fair value at April 29, 2023.</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12 – Income Taxes</w:t>
      </w:r>
    </w:p>
    <w:p>
      <w:pPr>
        <w:spacing w:after="0" w:line="108" w:lineRule="exact"/>
        <w:rPr>
          <w:sz w:val="20"/>
          <w:szCs w:val="20"/>
          <w:color w:val="auto"/>
        </w:rPr>
      </w:pPr>
    </w:p>
    <w:p>
      <w:pPr>
        <w:ind w:right="100" w:firstLine="446"/>
        <w:spacing w:after="0" w:line="257" w:lineRule="auto"/>
        <w:rPr>
          <w:sz w:val="20"/>
          <w:szCs w:val="20"/>
          <w:color w:val="auto"/>
        </w:rPr>
      </w:pPr>
      <w:r>
        <w:rPr>
          <w:rFonts w:ascii="Arial" w:cs="Arial" w:eastAsia="Arial" w:hAnsi="Arial"/>
          <w:sz w:val="18"/>
          <w:szCs w:val="18"/>
          <w:color w:val="auto"/>
        </w:rPr>
        <w:t>The Company’s effective tax rates for the three- and six-month periods ended April 29, 2023 and April 30, 2022 were below the U.S. statutory tax rate of 21.0%, due to lower statutory tax rates applicable to the Company's operations in the foreign jurisdictions in which it earns income. The Company's effective tax rate also includes the effects of the mandatory capitalization and amortization of research and development expenses which began in fiscal 2023 under the Tax Cuts and Jobs Act of 2017. The mandatory capitalization requirement decreases the Company's effective tax rate primarily by increasing the foreign-derived intangible income deduction.</w:t>
      </w:r>
    </w:p>
    <w:p>
      <w:pPr>
        <w:spacing w:after="0" w:line="66"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It is reasonably possible that the balance of gross unrealized tax benefits, including accrued interest and penalties, could decrease by as much as $132.0 million within the next twelve months due to the completion of tax audits, including any administrative appeals.</w:t>
      </w:r>
    </w:p>
    <w:p>
      <w:pPr>
        <w:spacing w:after="0" w:line="11" w:lineRule="exact"/>
        <w:rPr>
          <w:sz w:val="20"/>
          <w:szCs w:val="20"/>
          <w:color w:val="auto"/>
        </w:rPr>
      </w:pPr>
    </w:p>
    <w:p>
      <w:pPr>
        <w:jc w:val="both"/>
        <w:ind w:right="220" w:firstLine="446"/>
        <w:spacing w:after="0" w:line="279" w:lineRule="auto"/>
        <w:rPr>
          <w:sz w:val="20"/>
          <w:szCs w:val="20"/>
          <w:color w:val="auto"/>
        </w:rPr>
      </w:pPr>
      <w:r>
        <w:rPr>
          <w:rFonts w:ascii="Arial" w:cs="Arial" w:eastAsia="Arial" w:hAnsi="Arial"/>
          <w:sz w:val="17"/>
          <w:szCs w:val="17"/>
          <w:color w:val="auto"/>
        </w:rPr>
        <w:t>The Company has numerous audits ongoing throughout the world including: an IRS income tax audit for the fiscal years ended November 3, 2018 and November 2, 2019; a pre-acquisition IRS income tax audit for Maxim's fiscal years ended June 27, 2015 through August 26, 2021; various U.S. state and local audits and various international audits. The Company's U.S. federal income tax returns prior to the fiscal year ended November 3, 2018 are no longer subject to examination, except for the applicable Maxim pre-acquisition fiscal years noted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Acquired Contract Assets and Contract Liabilities</w:t>
      </w:r>
    </w:p>
    <w:p>
      <w:pPr>
        <w:spacing w:after="0" w:line="104" w:lineRule="exact"/>
        <w:rPr>
          <w:sz w:val="20"/>
          <w:szCs w:val="20"/>
          <w:color w:val="auto"/>
        </w:rPr>
      </w:pPr>
    </w:p>
    <w:p>
      <w:pPr>
        <w:ind w:firstLine="446"/>
        <w:spacing w:after="0" w:line="288" w:lineRule="auto"/>
        <w:rPr>
          <w:sz w:val="20"/>
          <w:szCs w:val="20"/>
          <w:color w:val="auto"/>
        </w:rPr>
      </w:pPr>
      <w:r>
        <w:rPr>
          <w:rFonts w:ascii="Arial" w:cs="Arial" w:eastAsia="Arial" w:hAnsi="Arial"/>
          <w:sz w:val="16"/>
          <w:szCs w:val="16"/>
          <w:color w:val="auto"/>
        </w:rPr>
        <w:t xml:space="preserve">In October 2021, the Financial Accounting Standards Board issued Accounting Standards Update (ASU) No. 2021-08, </w:t>
      </w:r>
      <w:r>
        <w:rPr>
          <w:rFonts w:ascii="Arial" w:cs="Arial" w:eastAsia="Arial" w:hAnsi="Arial"/>
          <w:sz w:val="16"/>
          <w:szCs w:val="16"/>
          <w:i w:val="1"/>
          <w:iCs w:val="1"/>
          <w:color w:val="auto"/>
        </w:rPr>
        <w:t>Business Combinations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805): Accounting for Acquired Contract Assets and Contract Liabilities. </w:t>
      </w:r>
      <w:r>
        <w:rPr>
          <w:rFonts w:ascii="Arial" w:cs="Arial" w:eastAsia="Arial" w:hAnsi="Arial"/>
          <w:sz w:val="16"/>
          <w:szCs w:val="16"/>
          <w:color w:val="auto"/>
        </w:rPr>
        <w:t>Under the new guidance (ASC 805-20-30-28), the acquirer should determine what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ended November 2,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175" w:lineRule="exact"/>
        <w:rPr>
          <w:sz w:val="20"/>
          <w:szCs w:val="20"/>
          <w:color w:val="auto"/>
        </w:rPr>
      </w:pPr>
    </w:p>
    <w:p>
      <w:pPr>
        <w:jc w:val="both"/>
        <w:ind w:right="220" w:firstLine="405"/>
        <w:spacing w:after="0" w:line="342" w:lineRule="auto"/>
        <w:rPr>
          <w:sz w:val="20"/>
          <w:szCs w:val="20"/>
          <w:color w:val="auto"/>
        </w:rPr>
      </w:pPr>
      <w:r>
        <w:rPr>
          <w:rFonts w:ascii="Arial" w:cs="Arial" w:eastAsia="Arial" w:hAnsi="Arial"/>
          <w:sz w:val="16"/>
          <w:szCs w:val="16"/>
          <w:color w:val="auto"/>
        </w:rPr>
        <w:t>On May 23, 2023, the Board of Directors of the Company declared a cash dividend of $0.86 per outstanding share of common stock. The dividend will be paid on June 14, 2023 to all shareholders of record at the close of business on June 5, 2023 and is expected to total approximately $431.2 million.</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5" w:name="page16"/>
    <w:bookmarkEnd w:id="15"/>
    <w:p>
      <w:pPr>
        <w:ind w:left="20"/>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0" w:lineRule="exact"/>
        <w:rPr>
          <w:sz w:val="20"/>
          <w:szCs w:val="20"/>
          <w:color w:val="auto"/>
        </w:rPr>
      </w:pPr>
    </w:p>
    <w:p>
      <w:pPr>
        <w:ind w:right="180" w:firstLine="446"/>
        <w:spacing w:after="0" w:line="311" w:lineRule="auto"/>
        <w:rPr>
          <w:sz w:val="20"/>
          <w:szCs w:val="20"/>
          <w:color w:val="auto"/>
        </w:rPr>
      </w:pPr>
      <w:r>
        <w:rPr>
          <w:rFonts w:ascii="Arial" w:cs="Arial" w:eastAsia="Arial" w:hAnsi="Arial"/>
          <w:sz w:val="16"/>
          <w:szCs w:val="16"/>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29, 2022 (fiscal 2022).</w:t>
      </w:r>
    </w:p>
    <w:p>
      <w:pPr>
        <w:spacing w:after="0" w:line="95" w:lineRule="exact"/>
        <w:rPr>
          <w:sz w:val="20"/>
          <w:szCs w:val="20"/>
          <w:color w:val="auto"/>
        </w:rPr>
      </w:pPr>
    </w:p>
    <w:p>
      <w:pPr>
        <w:ind w:right="60" w:firstLine="446"/>
        <w:spacing w:after="0" w:line="285" w:lineRule="auto"/>
        <w:rPr>
          <w:sz w:val="20"/>
          <w:szCs w:val="20"/>
          <w:color w:val="auto"/>
        </w:rPr>
      </w:pPr>
      <w:r>
        <w:rPr>
          <w:rFonts w:ascii="Arial" w:cs="Arial" w:eastAsia="Arial" w:hAnsi="Arial"/>
          <w:sz w:val="16"/>
          <w:szCs w:val="16"/>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or results;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processes and research and development investments; our future market position and expected competitive changes in the marketplace for our products; the anticipated result of litigation matters; our plans to pay dividends or repurchase stock; servicing our outstanding debt; our plans to borrow under our Revolving Credit Agreement and issue notes under our commercial paper program and the planned use of proceeds from such borrowing and issuing; our expected tax rate; the effect of changes in or the application of new or revised tax laws; expected cost savings; the effect of new accounting pronouncements; our plans to integrate or realize the benefits or synergies expected of acquired businesses and technologies; our continued initiatives to consolidate our footprint related to our business units; and other characterizations of future events or circumstances are forward-looking statements. Our actual results could differ materially from those anticipated in these forward-looking statements as a result of various factors. Important factors that could cause actual results to differ materially from those in these forward-looking statements include the risk factors included in Part I, Item 1A, "Risk Factors" of our Annual Report on Form 10-K for fiscal 2022 and, if applicable, those included under Part II, Item 1A of this Quarterly Report on Form 10-Q.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1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95"/>
        </w:trPr>
        <w:tc>
          <w:tcPr>
            <w:tcW w:w="4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April 30, 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3,262,930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2,972,064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65.7 %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65.4 %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977,656</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783,273</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1.49</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453"/>
        </w:trPr>
        <w:tc>
          <w:tcPr>
            <w:tcW w:w="4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5"/>
        </w:trPr>
        <w:tc>
          <w:tcPr>
            <w:tcW w:w="44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April 30, 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6,512,560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5,656,357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856,203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59.2 %</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3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1,939,130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1,063,350</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875,780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3.80</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2.01</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850"/>
        </w:trPr>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jc w:val="right"/>
              <w:ind w:right="29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4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04" w:lineRule="exact"/>
        <w:rPr>
          <w:sz w:val="20"/>
          <w:szCs w:val="20"/>
          <w:color w:val="auto"/>
        </w:rPr>
      </w:pPr>
    </w:p>
    <w:p>
      <w:pPr>
        <w:ind w:firstLine="446"/>
        <w:spacing w:after="0" w:line="275"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revenue within, each end market.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5"/>
          </w:tcPr>
          <w:p>
            <w:pPr>
              <w:jc w:val="center"/>
              <w:ind w:left="1081"/>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April 30, 2022</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1,744,567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1,502,731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784,775</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633,255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453,530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280,058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361,356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3,262,930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CCEEFF"/>
            </w:tcBorders>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April 30, 2022</w:t>
            </w:r>
          </w:p>
        </w:tc>
        <w:tc>
          <w:tcPr>
            <w:tcW w:w="0" w:type="dxa"/>
            <w:vAlign w:val="bottom"/>
          </w:tcPr>
          <w:p>
            <w:pPr>
              <w:spacing w:after="0"/>
              <w:rPr>
                <w:sz w:val="1"/>
                <w:szCs w:val="1"/>
                <w:color w:val="auto"/>
              </w:rPr>
            </w:pPr>
          </w:p>
        </w:tc>
      </w:tr>
      <w:tr>
        <w:trPr>
          <w:trHeight w:val="134"/>
        </w:trPr>
        <w:tc>
          <w:tcPr>
            <w:tcW w:w="4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Y/Y%</w:t>
            </w:r>
          </w:p>
        </w:tc>
        <w:tc>
          <w:tcPr>
            <w:tcW w:w="240" w:type="dxa"/>
            <w:vAlign w:val="bottom"/>
          </w:tcPr>
          <w:p>
            <w:pPr>
              <w:spacing w:after="0"/>
              <w:rPr>
                <w:sz w:val="11"/>
                <w:szCs w:val="11"/>
                <w:color w:val="auto"/>
              </w:rPr>
            </w:pPr>
          </w:p>
        </w:tc>
        <w:tc>
          <w:tcPr>
            <w:tcW w:w="10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6"/>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6"/>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3,438,006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2,849,577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Automotive</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1,498,178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1,183,985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Communications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941,735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887,663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634,641</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735,132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6,512,560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5,656,357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11" w:lineRule="exact"/>
        <w:rPr>
          <w:sz w:val="20"/>
          <w:szCs w:val="20"/>
          <w:color w:val="auto"/>
        </w:rPr>
      </w:pPr>
    </w:p>
    <w:p>
      <w:pPr>
        <w:ind w:right="20" w:firstLine="446"/>
        <w:spacing w:after="0" w:line="301" w:lineRule="auto"/>
        <w:rPr>
          <w:sz w:val="20"/>
          <w:szCs w:val="20"/>
          <w:color w:val="auto"/>
        </w:rPr>
      </w:pPr>
      <w:r>
        <w:rPr>
          <w:rFonts w:ascii="Arial" w:cs="Arial" w:eastAsia="Arial" w:hAnsi="Arial"/>
          <w:sz w:val="16"/>
          <w:szCs w:val="16"/>
          <w:color w:val="auto"/>
        </w:rPr>
        <w:t>Revenue increased 10% and 15% in the three- and six-month periods ended April 29, 2023, respectively, as compared to the same periods of the prior fiscal year, primarily as a result of broad-based demand for our products sold into the Industrial and Automotive end markets, partially offset by a decrease in revenue in the Consumer end market primarily due to weakening market trends. The Communications end market also decreased in the three-month period ended April 29, 2023 as compared to the same period of the prior fiscal year due to the timing of infrastructure deployment cycles.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Sales Channel</w:t>
      </w:r>
    </w:p>
    <w:p>
      <w:pPr>
        <w:spacing w:after="0" w:line="10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Other customers include the U.S. government, government prime contractors and certain commercial customers for which revenue is recorded over time.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195"/>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37"/>
              <w:spacing w:after="0"/>
              <w:rPr>
                <w:sz w:val="20"/>
                <w:szCs w:val="20"/>
                <w:color w:val="auto"/>
              </w:rPr>
            </w:pPr>
            <w:r>
              <w:rPr>
                <w:rFonts w:ascii="Arial" w:cs="Arial" w:eastAsia="Arial" w:hAnsi="Arial"/>
                <w:sz w:val="14"/>
                <w:szCs w:val="14"/>
                <w:b w:val="1"/>
                <w:bCs w:val="1"/>
                <w:color w:val="auto"/>
              </w:rPr>
              <w:t>April 30, 2022</w:t>
            </w:r>
          </w:p>
        </w:tc>
      </w:tr>
      <w:tr>
        <w:trPr>
          <w:trHeight w:val="196"/>
        </w:trPr>
        <w:tc>
          <w:tcPr>
            <w:tcW w:w="4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of Revenue*</w:t>
            </w: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7"/>
        </w:trPr>
        <w:tc>
          <w:tcPr>
            <w:tcW w:w="454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1,996,410</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1,849,988</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36"/>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1,224,786</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41,734</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30,366</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1 %</w:t>
            </w:r>
          </w:p>
        </w:tc>
      </w:tr>
      <w:tr>
        <w:trPr>
          <w:trHeight w:val="25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3,262,930</w:t>
            </w:r>
          </w:p>
        </w:tc>
        <w:tc>
          <w:tcPr>
            <w:tcW w:w="12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2,972,064</w:t>
            </w: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400"/>
        </w:trPr>
        <w:tc>
          <w:tcPr>
            <w:tcW w:w="4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36"/>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196"/>
        </w:trPr>
        <w:tc>
          <w:tcPr>
            <w:tcW w:w="45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1137"/>
              <w:spacing w:after="0"/>
              <w:rPr>
                <w:sz w:val="20"/>
                <w:szCs w:val="20"/>
                <w:color w:val="auto"/>
              </w:rPr>
            </w:pPr>
            <w:r>
              <w:rPr>
                <w:rFonts w:ascii="Arial" w:cs="Arial" w:eastAsia="Arial" w:hAnsi="Arial"/>
                <w:sz w:val="14"/>
                <w:szCs w:val="14"/>
                <w:b w:val="1"/>
                <w:bCs w:val="1"/>
                <w:color w:val="auto"/>
              </w:rPr>
              <w:t>April 30, 2022</w:t>
            </w:r>
          </w:p>
        </w:tc>
      </w:tr>
      <w:tr>
        <w:trPr>
          <w:trHeight w:val="196"/>
        </w:trPr>
        <w:tc>
          <w:tcPr>
            <w:tcW w:w="4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 of Revenue*</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Revenue</w:t>
            </w:r>
          </w:p>
        </w:tc>
        <w:tc>
          <w:tcPr>
            <w:tcW w:w="12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of Revenue*</w:t>
            </w: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Channel</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540" w:type="dxa"/>
            <w:vAlign w:val="bottom"/>
          </w:tcPr>
          <w:p>
            <w:pPr>
              <w:ind w:left="160"/>
              <w:spacing w:after="0"/>
              <w:rPr>
                <w:sz w:val="20"/>
                <w:szCs w:val="20"/>
                <w:color w:val="auto"/>
              </w:rPr>
            </w:pPr>
            <w:r>
              <w:rPr>
                <w:rFonts w:ascii="Arial" w:cs="Arial" w:eastAsia="Arial" w:hAnsi="Arial"/>
                <w:sz w:val="18"/>
                <w:szCs w:val="18"/>
                <w:color w:val="auto"/>
              </w:rPr>
              <w:t>Distributors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4,007,733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62 %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3,503,042</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29"/>
        </w:trPr>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2,420,320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2,094,891</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84,507</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58,424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48"/>
        </w:trPr>
        <w:tc>
          <w:tcPr>
            <w:tcW w:w="4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6,512,560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The sum of the individual percentages may not equal the total due to rounding.</w:t>
      </w:r>
    </w:p>
    <w:p>
      <w:pPr>
        <w:spacing w:after="0" w:line="266" w:lineRule="exact"/>
        <w:rPr>
          <w:sz w:val="20"/>
          <w:szCs w:val="20"/>
          <w:color w:val="auto"/>
        </w:rPr>
      </w:pPr>
    </w:p>
    <w:p>
      <w:pPr>
        <w:ind w:right="100" w:firstLine="446"/>
        <w:spacing w:after="0" w:line="277" w:lineRule="auto"/>
        <w:rPr>
          <w:sz w:val="20"/>
          <w:szCs w:val="20"/>
          <w:color w:val="auto"/>
        </w:rPr>
      </w:pPr>
      <w:r>
        <w:rPr>
          <w:rFonts w:ascii="Arial" w:cs="Arial" w:eastAsia="Arial" w:hAnsi="Arial"/>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5"/>
        </w:trPr>
        <w:tc>
          <w:tcPr>
            <w:tcW w:w="134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April 29, 2023</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April 30, 2022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29, 2023</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April 30, 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 Change</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2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7"/>
              </w:rPr>
              <w:t>$   2,144,546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w w:val="98"/>
              </w:rPr>
              <w:t>$   1,944,520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200,026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4,268,887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97"/>
              </w:rPr>
              <w:t>$   3,346,517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922,370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Gross margin %</w:t>
            </w:r>
          </w:p>
        </w:tc>
        <w:tc>
          <w:tcPr>
            <w:tcW w:w="1260" w:type="dxa"/>
            <w:vAlign w:val="bottom"/>
          </w:tcPr>
          <w:p>
            <w:pPr>
              <w:jc w:val="right"/>
              <w:spacing w:after="0"/>
              <w:rPr>
                <w:sz w:val="20"/>
                <w:szCs w:val="20"/>
                <w:color w:val="auto"/>
              </w:rPr>
            </w:pPr>
            <w:r>
              <w:rPr>
                <w:rFonts w:ascii="Arial" w:cs="Arial" w:eastAsia="Arial" w:hAnsi="Arial"/>
                <w:sz w:val="18"/>
                <w:szCs w:val="18"/>
                <w:color w:val="auto"/>
              </w:rPr>
              <w:t>65.7 %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59.2 %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41"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Gross margin percentage increased by 30 and 630 basis points in the three- and six-month periods ended April 29, 2023, respectively, as compared to the same period of the prior fiscal year. The increase in the three-month period ended April 29, 2023 primarily related to favorable product mix. The increase in the six-month period ended April 29, 2023 was primarily as a result of additional cost of goods sold of $271.4 million related to a nonrecurring fair value adjustment recorded to inventory in the six-month period ended April 30, 2022 as a result of the acquisition of Maxim Integrated Products, Inc. (Maxim). The remainder of the increase in the six-month period ended April 29, 2023 primarily related to favorable product mix and synergies related to the acquisition of Maxim.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April 29, 2023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April 30, 2022</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April 29, 2023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April 30, 2022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8"/>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415,754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420,901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829,849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847,681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1420" w:type="dxa"/>
            <w:vAlign w:val="bottom"/>
          </w:tcPr>
          <w:p>
            <w:pPr>
              <w:ind w:left="20"/>
              <w:spacing w:after="0" w:line="176" w:lineRule="exact"/>
              <w:rPr>
                <w:sz w:val="20"/>
                <w:szCs w:val="20"/>
                <w:color w:val="auto"/>
              </w:rPr>
            </w:pPr>
            <w:r>
              <w:rPr>
                <w:rFonts w:ascii="Arial" w:cs="Arial" w:eastAsia="Arial" w:hAnsi="Arial"/>
                <w:sz w:val="18"/>
                <w:szCs w:val="18"/>
                <w:color w:val="auto"/>
                <w:w w:val="95"/>
              </w:rPr>
              <w:t>R&amp;D expenses as</w:t>
            </w: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20"/>
              <w:spacing w:after="0"/>
              <w:rPr>
                <w:sz w:val="20"/>
                <w:szCs w:val="20"/>
                <w:color w:val="auto"/>
              </w:rPr>
            </w:pPr>
            <w:r>
              <w:rPr>
                <w:rFonts w:ascii="Arial" w:cs="Arial" w:eastAsia="Arial" w:hAnsi="Arial"/>
                <w:sz w:val="18"/>
                <w:szCs w:val="18"/>
                <w:color w:val="auto"/>
              </w:rPr>
              <w:t>a % of revenue</w:t>
            </w: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2"/>
          </w:tcPr>
          <w:p>
            <w:pPr>
              <w:jc w:val="right"/>
              <w:ind w:right="508"/>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8" w:name="page19"/>
    <w:bookmarkEnd w:id="18"/>
    <w:p>
      <w:pPr>
        <w:ind w:right="140" w:firstLine="446"/>
        <w:spacing w:after="0" w:line="257" w:lineRule="auto"/>
        <w:rPr>
          <w:sz w:val="20"/>
          <w:szCs w:val="20"/>
          <w:color w:val="auto"/>
        </w:rPr>
      </w:pPr>
      <w:r>
        <w:rPr>
          <w:rFonts w:ascii="Arial" w:cs="Arial" w:eastAsia="Arial" w:hAnsi="Arial"/>
          <w:sz w:val="18"/>
          <w:szCs w:val="18"/>
          <w:color w:val="auto"/>
        </w:rPr>
        <w:t>R&amp;D expenses decreased both in the three- and six-month periods ended April 29, 2023, as compared to the same periods of the prior fiscal year. In the three-month period ended April 29, 2023, the decrease was primarily a result of lower R&amp;D employee-related variable compensation expenses and lower salary and benefit expenses, partially offset by higher discretionary spending. In the six-month period ended April 29, 2023, the decrease was primarily a result of lower salary and benefit expenses and lower discretionary spending, partially offset by higher R&amp;D employee-related variable compensation expenses.</w:t>
      </w:r>
    </w:p>
    <w:p>
      <w:pPr>
        <w:spacing w:after="0" w:line="134"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April 29, 2023</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April 30, 2022</w:t>
            </w: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29, 2023</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April 30, 2022</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8"/>
        </w:trPr>
        <w:tc>
          <w:tcPr>
            <w:tcW w:w="1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SMG&amp;A expenses $</w:t>
            </w:r>
          </w:p>
        </w:tc>
        <w:tc>
          <w:tcPr>
            <w:tcW w:w="10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324,251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305,308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1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6 %  $</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650,535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602,673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75"/>
        </w:trPr>
        <w:tc>
          <w:tcPr>
            <w:tcW w:w="15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SMG&amp;A expenses</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ind w:left="20"/>
              <w:spacing w:after="0"/>
              <w:rPr>
                <w:sz w:val="20"/>
                <w:szCs w:val="20"/>
                <w:color w:val="auto"/>
              </w:rPr>
            </w:pPr>
            <w:r>
              <w:rPr>
                <w:rFonts w:ascii="Arial" w:cs="Arial" w:eastAsia="Arial" w:hAnsi="Arial"/>
                <w:sz w:val="18"/>
                <w:szCs w:val="18"/>
                <w:color w:val="auto"/>
              </w:rPr>
              <w:t>as a % of revenue</w:t>
            </w: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firstLine="446"/>
        <w:spacing w:after="0" w:line="311" w:lineRule="auto"/>
        <w:rPr>
          <w:sz w:val="20"/>
          <w:szCs w:val="20"/>
          <w:color w:val="auto"/>
        </w:rPr>
      </w:pPr>
      <w:r>
        <w:rPr>
          <w:rFonts w:ascii="Arial" w:cs="Arial" w:eastAsia="Arial" w:hAnsi="Arial"/>
          <w:sz w:val="16"/>
          <w:szCs w:val="16"/>
          <w:color w:val="auto"/>
        </w:rPr>
        <w:t>SMG&amp;A expenses increased in both the three- and six-month periods ended April 29, 2023, as compared to the same period of the prior fiscal year, primarily as a result of higher salary and benefit expenses and discretionary spending, partially offset by lower acquisition-related transaction costs. The six-month period ended April 29, 2023 was also impacted by higher SMG&amp;A employee-related variable compensation expenses.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Intangibles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April 30, 2022</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 Change</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9"/>
              </w:rPr>
              <w:t>April 30, 2022</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148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Amortization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253,021</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253,476</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4"/>
                <w:szCs w:val="14"/>
                <w:color w:val="auto"/>
              </w:rPr>
            </w:pPr>
          </w:p>
        </w:tc>
        <w:tc>
          <w:tcPr>
            <w:tcW w:w="1220" w:type="dxa"/>
            <w:vAlign w:val="bottom"/>
            <w:gridSpan w:val="3"/>
            <w:vMerge w:val="restart"/>
            <w:shd w:val="clear" w:color="auto" w:fill="CCEEFF"/>
          </w:tcPr>
          <w:p>
            <w:pPr>
              <w:ind w:left="580"/>
              <w:spacing w:after="0"/>
              <w:rPr>
                <w:sz w:val="20"/>
                <w:szCs w:val="20"/>
                <w:color w:val="auto"/>
              </w:rPr>
            </w:pPr>
            <w:r>
              <w:rPr>
                <w:rFonts w:ascii="Arial" w:cs="Arial" w:eastAsia="Arial" w:hAnsi="Arial"/>
                <w:sz w:val="18"/>
                <w:szCs w:val="18"/>
                <w:color w:val="auto"/>
              </w:rPr>
              <w:t>— %  $</w:t>
            </w:r>
          </w:p>
        </w:tc>
        <w:tc>
          <w:tcPr>
            <w:tcW w:w="11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506,163</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506,843</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20"/>
              <w:spacing w:after="0" w:line="189" w:lineRule="exact"/>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20"/>
              <w:spacing w:after="0" w:line="176" w:lineRule="exact"/>
              <w:rPr>
                <w:sz w:val="20"/>
                <w:szCs w:val="20"/>
                <w:color w:val="auto"/>
              </w:rPr>
            </w:pPr>
            <w:r>
              <w:rPr>
                <w:rFonts w:ascii="Arial" w:cs="Arial" w:eastAsia="Arial" w:hAnsi="Arial"/>
                <w:sz w:val="18"/>
                <w:szCs w:val="18"/>
                <w:color w:val="auto"/>
                <w:w w:val="91"/>
              </w:rPr>
              <w:t>expenses as a % of</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8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Amortization expenses were relatively flat in both the three- and six-month periods ended April 29, 2023, as compared to the same periods of the prior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5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4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April 29, 2023</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April 30, 2022</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7"/>
              </w:rPr>
              <w:t>April 29, 2023</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7"/>
              </w:rPr>
              <w:t>April 30, 2022</w:t>
            </w: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Special charges,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23,136</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46,674</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(23,538)</w:t>
            </w:r>
          </w:p>
        </w:tc>
        <w:tc>
          <w:tcPr>
            <w:tcW w:w="134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(50)%  $</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8"/>
                <w:szCs w:val="18"/>
                <w:color w:val="auto"/>
              </w:rPr>
              <w:t>23,136</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39"/>
              <w:spacing w:after="0"/>
              <w:rPr>
                <w:sz w:val="20"/>
                <w:szCs w:val="20"/>
                <w:color w:val="auto"/>
              </w:rPr>
            </w:pPr>
            <w:r>
              <w:rPr>
                <w:rFonts w:ascii="Arial" w:cs="Arial" w:eastAsia="Arial" w:hAnsi="Arial"/>
                <w:sz w:val="18"/>
                <w:szCs w:val="18"/>
                <w:color w:val="auto"/>
              </w:rPr>
              <w:t>106,402</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(83,266)</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4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1340" w:type="dxa"/>
            <w:vAlign w:val="bottom"/>
            <w:gridSpan w:val="4"/>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2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0"/>
              <w:spacing w:after="0" w:line="176" w:lineRule="exact"/>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20"/>
              <w:spacing w:after="0" w:line="176" w:lineRule="exact"/>
              <w:rPr>
                <w:sz w:val="20"/>
                <w:szCs w:val="20"/>
                <w:color w:val="auto"/>
              </w:rPr>
            </w:pPr>
            <w:r>
              <w:rPr>
                <w:rFonts w:ascii="Arial" w:cs="Arial" w:eastAsia="Arial" w:hAnsi="Arial"/>
                <w:sz w:val="18"/>
                <w:szCs w:val="18"/>
                <w:color w:val="auto"/>
              </w:rPr>
              <w:t>net as a % of</w:t>
            </w: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380" w:firstLine="446"/>
        <w:spacing w:after="0" w:line="263" w:lineRule="auto"/>
        <w:rPr>
          <w:sz w:val="20"/>
          <w:szCs w:val="20"/>
          <w:color w:val="auto"/>
        </w:rPr>
      </w:pPr>
      <w:r>
        <w:rPr>
          <w:rFonts w:ascii="Arial" w:cs="Arial" w:eastAsia="Arial" w:hAnsi="Arial"/>
          <w:sz w:val="18"/>
          <w:szCs w:val="18"/>
          <w:color w:val="auto"/>
        </w:rPr>
        <w:t>Special charges, net decreased in both the three- and six-month periods ended April 29, 2023, as compared to the same periods of the prior fiscal year, primarily as a result of higher charges recorded in the first half of fiscal 2022 as part of the integration of Maxim and continued organizational initiatives to better align our global workforce with our long-term strategic plan.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Operating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95"/>
        </w:trPr>
        <w:tc>
          <w:tcPr>
            <w:tcW w:w="14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7"/>
              </w:rPr>
              <w:t>April 30, 2022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April 29, 2023</w:t>
            </w:r>
          </w:p>
        </w:tc>
        <w:tc>
          <w:tcPr>
            <w:tcW w:w="8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April 30, 2022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 Change</w:t>
            </w:r>
          </w:p>
        </w:tc>
      </w:tr>
      <w:tr>
        <w:trPr>
          <w:trHeight w:val="229"/>
        </w:trPr>
        <w:tc>
          <w:tcPr>
            <w:tcW w:w="1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Operating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1,128,384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918,161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210,223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2,259,204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98"/>
              </w:rPr>
              <w:t>$   1,282,918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976,286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188"/>
        </w:trPr>
        <w:tc>
          <w:tcPr>
            <w:tcW w:w="1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0"/>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as a % of revenue</w:t>
            </w:r>
          </w:p>
        </w:tc>
        <w:tc>
          <w:tcPr>
            <w:tcW w:w="1120" w:type="dxa"/>
            <w:vAlign w:val="bottom"/>
          </w:tcPr>
          <w:p>
            <w:pPr>
              <w:jc w:val="right"/>
              <w:spacing w:after="0"/>
              <w:rPr>
                <w:sz w:val="20"/>
                <w:szCs w:val="20"/>
                <w:color w:val="auto"/>
              </w:rPr>
            </w:pPr>
            <w:r>
              <w:rPr>
                <w:rFonts w:ascii="Arial" w:cs="Arial" w:eastAsia="Arial" w:hAnsi="Arial"/>
                <w:sz w:val="18"/>
                <w:szCs w:val="18"/>
                <w:color w:val="auto"/>
              </w:rPr>
              <w:t>34.6 %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34.7 %</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bl>
    <w:p>
      <w:pPr>
        <w:spacing w:after="0" w:line="242" w:lineRule="exact"/>
        <w:rPr>
          <w:sz w:val="20"/>
          <w:szCs w:val="20"/>
          <w:color w:val="auto"/>
        </w:rPr>
      </w:pPr>
    </w:p>
    <w:p>
      <w:pPr>
        <w:jc w:val="both"/>
        <w:ind w:right="60" w:firstLine="446"/>
        <w:spacing w:after="0" w:line="263" w:lineRule="auto"/>
        <w:rPr>
          <w:sz w:val="20"/>
          <w:szCs w:val="20"/>
          <w:color w:val="auto"/>
        </w:rPr>
      </w:pPr>
      <w:r>
        <w:rPr>
          <w:rFonts w:ascii="Arial" w:cs="Arial" w:eastAsia="Arial" w:hAnsi="Arial"/>
          <w:sz w:val="18"/>
          <w:szCs w:val="18"/>
          <w:color w:val="auto"/>
        </w:rPr>
        <w:t>The year-over-year increase in operating income in the three-month period ended April 29, 2023 was primarily the result of an increase in revenue of $290.9 million, which contributed to an increase in gross margin of $200.0 million, and decreases of $23.5 million in special charges, net and $5.1 million in R&amp;D expenses, partially offset by an increase of $18.9 million in SMG&amp;A expenses</w:t>
      </w:r>
      <w:r>
        <w:rPr>
          <w:rFonts w:ascii="Arial" w:cs="Arial" w:eastAsia="Arial" w:hAnsi="Arial"/>
          <w:sz w:val="18"/>
          <w:szCs w:val="18"/>
          <w:i w:val="1"/>
          <w:iCs w:val="1"/>
          <w:color w:val="auto"/>
        </w:rPr>
        <w:t>.</w:t>
      </w:r>
    </w:p>
    <w:p>
      <w:pPr>
        <w:spacing w:after="0" w:line="130" w:lineRule="exact"/>
        <w:rPr>
          <w:sz w:val="20"/>
          <w:szCs w:val="20"/>
          <w:color w:val="auto"/>
        </w:rPr>
      </w:pPr>
    </w:p>
    <w:p>
      <w:pPr>
        <w:ind w:right="100" w:firstLine="446"/>
        <w:spacing w:after="0" w:line="311" w:lineRule="auto"/>
        <w:rPr>
          <w:sz w:val="20"/>
          <w:szCs w:val="20"/>
          <w:color w:val="auto"/>
        </w:rPr>
      </w:pPr>
      <w:r>
        <w:rPr>
          <w:rFonts w:ascii="Arial" w:cs="Arial" w:eastAsia="Arial" w:hAnsi="Arial"/>
          <w:sz w:val="16"/>
          <w:szCs w:val="16"/>
          <w:color w:val="auto"/>
        </w:rPr>
        <w:t>The year-over-year increase in operating income in the six-month period ended April 29, 2023 was primarily the result of an increase in revenue of $856.2 million and an increase in gross margin percent, which contributed to an increase in gross margin of $922.4 million, and decreases of $83.3 million in special charges, net and $17.8 million in R&amp;D expenses, partially offset by an increase of $47.9 million in SMG&amp;A expenses</w:t>
      </w:r>
      <w:r>
        <w:rPr>
          <w:rFonts w:ascii="Arial" w:cs="Arial" w:eastAsia="Arial" w:hAnsi="Arial"/>
          <w:sz w:val="16"/>
          <w:szCs w:val="16"/>
          <w:i w:val="1"/>
          <w:iCs w:val="1"/>
          <w:color w:val="auto"/>
        </w:rPr>
        <w: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Six Months Ended</w:t>
            </w: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3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April 29, 2023</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5"/>
              </w:rPr>
              <w:t>April 30, 2022</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7"/>
              </w:rPr>
              <w:t>April 29, 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5"/>
              </w:rPr>
              <w:t>April 30, 2022</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r>
      <w:tr>
        <w:trPr>
          <w:trHeight w:val="238"/>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nonoperating expense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80,118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17,690</w:t>
            </w:r>
          </w:p>
        </w:tc>
      </w:tr>
    </w:tbl>
    <w:p>
      <w:pPr>
        <w:spacing w:after="0" w:line="229" w:lineRule="exact"/>
        <w:rPr>
          <w:sz w:val="20"/>
          <w:szCs w:val="20"/>
          <w:color w:val="auto"/>
        </w:rPr>
      </w:pPr>
    </w:p>
    <w:p>
      <w:pPr>
        <w:ind w:right="100" w:firstLine="405"/>
        <w:spacing w:after="0" w:line="308" w:lineRule="auto"/>
        <w:rPr>
          <w:sz w:val="20"/>
          <w:szCs w:val="20"/>
          <w:color w:val="auto"/>
        </w:rPr>
      </w:pPr>
      <w:r>
        <w:rPr>
          <w:rFonts w:ascii="Arial" w:cs="Arial" w:eastAsia="Arial" w:hAnsi="Arial"/>
          <w:sz w:val="17"/>
          <w:szCs w:val="17"/>
          <w:color w:val="auto"/>
        </w:rPr>
        <w:t>The year-over-year increase in nonoperating expense (income) in the three-month period ended April 29, 2023 as compared to the same period of the prior year was the result of higher interest expense related to our debt obligations partially offset by higher interest income.</w:t>
      </w:r>
    </w:p>
    <w:p>
      <w:pPr>
        <w:spacing w:after="0" w:line="92"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year-over-year increase in nonoperating expense (income) in the six-month period ended April 29, 2023 as compared to the same period of the prior year was the result of higher interest expense related to our debt obligations and lower net gains from other investments partially offset by higher interest income.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33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9"/>
              </w:rPr>
              <w:t>April 30, 2022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April 29, 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9"/>
              </w:rPr>
              <w:t>April 30, 2022</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110,267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95,972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222,266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139,450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82,816</w:t>
            </w: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187"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The effective tax rates for both the three- and six-month periods ended April 29, 2023 and April 30, 2022 were below the U.S. statutory tax rate of 21% due to lower statutory tax rates applicable to our operations in the foreign jurisdictions in which we earn income. Our pretax income for the three- and six-month periods ended April 29, 2023 and April 30, 2022 was primarily generated in Ireland at a tax rate of 12.5%. The Company's effective tax rate for the three- and six-month periods ended April 29, 2023 also included the effects of the mandatory capitalization and amortization of research and development expenses which began in fiscal 2023 under the 2017 Tax Cuts and Jobs Act. The mandatory capitalization requirement decreased our effective tax rate primarily by increasing the foreign-derived intangible income deduction.</w:t>
      </w:r>
    </w:p>
    <w:p>
      <w:pPr>
        <w:spacing w:after="0" w:line="70"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Condensed Consolidated Financial Statements in Part I, Item 1 of this Quarterly Report on Form 10-Q for further discussion.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4"/>
          </w:tcPr>
          <w:p>
            <w:pPr>
              <w:jc w:val="right"/>
              <w:ind w:right="61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38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7"/>
              </w:rPr>
              <w:t>April 29, 2023</w:t>
            </w: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April 30, 2022</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9"/>
              </w:rPr>
              <w:t>April 29, 2023</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9"/>
              </w:rPr>
              <w:t>April 30, 2022</w:t>
            </w: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38"/>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977,656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783,273</w:t>
            </w:r>
          </w:p>
        </w:tc>
        <w:tc>
          <w:tcPr>
            <w:tcW w:w="4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194,383</w:t>
            </w: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25 %  $</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1,939,130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1,063,350</w:t>
            </w:r>
          </w:p>
        </w:tc>
        <w:tc>
          <w:tcPr>
            <w:tcW w:w="44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875,780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175"/>
        </w:trPr>
        <w:tc>
          <w:tcPr>
            <w:tcW w:w="1380" w:type="dxa"/>
            <w:vAlign w:val="bottom"/>
          </w:tcPr>
          <w:p>
            <w:pPr>
              <w:ind w:left="20"/>
              <w:spacing w:after="0" w:line="176" w:lineRule="exact"/>
              <w:rPr>
                <w:sz w:val="20"/>
                <w:szCs w:val="20"/>
                <w:color w:val="auto"/>
              </w:rPr>
            </w:pPr>
            <w:r>
              <w:rPr>
                <w:rFonts w:ascii="Arial" w:cs="Arial" w:eastAsia="Arial" w:hAnsi="Arial"/>
                <w:sz w:val="18"/>
                <w:szCs w:val="18"/>
                <w:color w:val="auto"/>
              </w:rPr>
              <w:t>Net Income as a</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26.4 %</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29.8 %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18.8 %</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3.80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51"/>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0" w:name="page21"/>
    <w:bookmarkEnd w:id="20"/>
    <w:p>
      <w:pPr>
        <w:ind w:right="100" w:firstLine="446"/>
        <w:spacing w:after="0" w:line="277" w:lineRule="auto"/>
        <w:rPr>
          <w:sz w:val="20"/>
          <w:szCs w:val="20"/>
          <w:color w:val="auto"/>
        </w:rPr>
      </w:pPr>
      <w:r>
        <w:rPr>
          <w:rFonts w:ascii="Arial" w:cs="Arial" w:eastAsia="Arial" w:hAnsi="Arial"/>
          <w:sz w:val="18"/>
          <w:szCs w:val="18"/>
          <w:color w:val="auto"/>
        </w:rPr>
        <w:t>Net income increased in the three-month period ended April 29, 2023, as compared to the same period of the prior fiscal year, as a result of a $210.2 million increase in operating income, partially offset by a $14.3 million increase in provision for income taxes.</w:t>
      </w:r>
    </w:p>
    <w:p>
      <w:pPr>
        <w:spacing w:after="0" w:line="116"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Net income increased in the six-month period ended April 29, 2023, as compared to the same period of the prior fiscal year, as a result of a $976.3 million increase in operating income, partially offset by a $82.8 million increase in provision for income taxes.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At April 29, 2023, our principal source of liquidity was $1,177.6 million of cash and cash equivalents, of which approximately $339.4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69" w:lineRule="exact"/>
        <w:rPr>
          <w:sz w:val="20"/>
          <w:szCs w:val="20"/>
          <w:color w:val="auto"/>
        </w:rPr>
      </w:pPr>
    </w:p>
    <w:p>
      <w:pPr>
        <w:ind w:right="360" w:firstLine="446"/>
        <w:spacing w:after="0" w:line="262" w:lineRule="auto"/>
        <w:rPr>
          <w:sz w:val="20"/>
          <w:szCs w:val="20"/>
          <w:color w:val="auto"/>
        </w:rPr>
      </w:pPr>
      <w:r>
        <w:rPr>
          <w:rFonts w:ascii="Arial" w:cs="Arial" w:eastAsia="Arial" w:hAnsi="Arial"/>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60" w:type="dxa"/>
            <w:vAlign w:val="bottom"/>
            <w:gridSpan w:val="4"/>
          </w:tcPr>
          <w:p>
            <w:pPr>
              <w:jc w:val="right"/>
              <w:ind w:right="1214"/>
              <w:spacing w:after="0"/>
              <w:rPr>
                <w:sz w:val="20"/>
                <w:szCs w:val="20"/>
                <w:color w:val="auto"/>
              </w:rPr>
            </w:pPr>
            <w:r>
              <w:rPr>
                <w:rFonts w:ascii="Arial" w:cs="Arial" w:eastAsia="Arial" w:hAnsi="Arial"/>
                <w:sz w:val="14"/>
                <w:szCs w:val="14"/>
                <w:b w:val="1"/>
                <w:bCs w:val="1"/>
                <w:color w:val="auto"/>
              </w:rPr>
              <w:t>Six Months Ended</w:t>
            </w:r>
          </w:p>
        </w:tc>
      </w:tr>
      <w:tr>
        <w:trPr>
          <w:trHeight w:val="26"/>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1"/>
        </w:trPr>
        <w:tc>
          <w:tcPr>
            <w:tcW w:w="7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April 30, 2022</w:t>
            </w:r>
          </w:p>
        </w:tc>
      </w:tr>
      <w:tr>
        <w:trPr>
          <w:trHeight w:val="23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2,487,886</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2,078,220</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provided by operations as a %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(460,577)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(216,902)</w:t>
            </w:r>
          </w:p>
        </w:tc>
      </w:tr>
      <w:tr>
        <w:trPr>
          <w:trHeight w:val="230"/>
        </w:trPr>
        <w:tc>
          <w:tcPr>
            <w:tcW w:w="7480" w:type="dxa"/>
            <w:vAlign w:val="bottom"/>
          </w:tcPr>
          <w:p>
            <w:pPr>
              <w:ind w:left="20"/>
              <w:spacing w:after="0"/>
              <w:rPr>
                <w:sz w:val="20"/>
                <w:szCs w:val="20"/>
                <w:color w:val="auto"/>
              </w:rPr>
            </w:pPr>
            <w:r>
              <w:rPr>
                <w:rFonts w:ascii="Arial" w:cs="Arial" w:eastAsia="Arial" w:hAnsi="Arial"/>
                <w:sz w:val="18"/>
                <w:szCs w:val="18"/>
                <w:color w:val="auto"/>
              </w:rPr>
              <w:t>Net cash used for financing activities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(2,320,272)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(2,085,454)</w:t>
            </w:r>
          </w:p>
        </w:tc>
      </w:tr>
    </w:tbl>
    <w:p>
      <w:pPr>
        <w:spacing w:after="0" w:line="187"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following changes contributed to the net change in cash and cash equivalents in the six-month period ended April 29, 2023 as compared to the same period in fiscal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Cash provided by operating activities is net income adjusted for certain non-cash items and changes in operating assets and liabilities. The increase in cash provided by operating activities during the six-month period ended April 29, 2023, as compared to the same period of the prior fiscal year, was the result of higher net income adjusted for noncash items offset by changes in working capital.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right="80" w:firstLine="405"/>
        <w:spacing w:after="0" w:line="263" w:lineRule="auto"/>
        <w:rPr>
          <w:sz w:val="20"/>
          <w:szCs w:val="20"/>
          <w:color w:val="auto"/>
        </w:rPr>
      </w:pPr>
      <w:r>
        <w:rPr>
          <w:rFonts w:ascii="Arial" w:cs="Arial" w:eastAsia="Arial" w:hAnsi="Arial"/>
          <w:sz w:val="18"/>
          <w:szCs w:val="18"/>
          <w:color w:val="auto"/>
        </w:rPr>
        <w:t>Investing cash flows generally consist of capital expenditures and cash used for acquisitions. The increase in cash used for investing activities during the six-month period ended April 29, 2023, as compared to the same period of the prior fiscal year, was primarily the result of an increase in cash used for capital expenditures.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six-month period ended April 29, 2023, as compared to the same period of the prior fiscal year, was primarily the result of higher common stock repurchases and lower debt repayments, partially offset by proceeds from the issuance of commercial paper notes.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Working Capital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jc w:val="right"/>
              <w:ind w:right="294"/>
              <w:spacing w:after="0"/>
              <w:rPr>
                <w:sz w:val="20"/>
                <w:szCs w:val="20"/>
                <w:color w:val="auto"/>
              </w:rPr>
            </w:pPr>
            <w:r>
              <w:rPr>
                <w:rFonts w:ascii="Arial" w:cs="Arial" w:eastAsia="Arial" w:hAnsi="Arial"/>
                <w:sz w:val="14"/>
                <w:szCs w:val="14"/>
                <w:b w:val="1"/>
                <w:bCs w:val="1"/>
                <w:color w:val="auto"/>
              </w:rPr>
              <w:t>April 29, 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October 29, 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320" w:type="dxa"/>
            <w:vAlign w:val="bottom"/>
          </w:tcPr>
          <w:p>
            <w:pPr>
              <w:jc w:val="right"/>
              <w:ind w:right="239"/>
              <w:spacing w:after="0"/>
              <w:rPr>
                <w:sz w:val="20"/>
                <w:szCs w:val="20"/>
                <w:color w:val="auto"/>
              </w:rPr>
            </w:pPr>
            <w:r>
              <w:rPr>
                <w:rFonts w:ascii="Arial" w:cs="Arial" w:eastAsia="Arial" w:hAnsi="Arial"/>
                <w:sz w:val="14"/>
                <w:szCs w:val="14"/>
                <w:b w:val="1"/>
                <w:bCs w:val="1"/>
                <w:color w:val="auto"/>
              </w:rPr>
              <w:t>% Change</w:t>
            </w:r>
          </w:p>
        </w:tc>
      </w:tr>
      <w:tr>
        <w:trPr>
          <w:trHeight w:val="26"/>
        </w:trPr>
        <w:tc>
          <w:tcPr>
            <w:tcW w:w="5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(184,206)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Days sales outstanding*</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1,648,136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1,399,914</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248,222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Days cost of sales in inventory*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21" w:lineRule="exact"/>
        <w:rPr>
          <w:sz w:val="20"/>
          <w:szCs w:val="20"/>
          <w:color w:val="auto"/>
        </w:rPr>
      </w:pPr>
    </w:p>
    <w:p>
      <w:pPr>
        <w:ind w:left="380" w:right="60" w:hanging="332"/>
        <w:spacing w:after="0" w:line="263"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accounting adjustments related to amortization of developed technology intangible assets acquired and depreciation related to the write-up of fixed assets to fair value as a result of the acquisition of Maxim.</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accounts receivable in dollars was primarily the result of variations in the timing of collections and billings.</w:t>
      </w:r>
    </w:p>
    <w:p>
      <w:pPr>
        <w:spacing w:after="0" w:line="117" w:lineRule="exact"/>
        <w:rPr>
          <w:sz w:val="20"/>
          <w:szCs w:val="20"/>
          <w:color w:val="auto"/>
        </w:rPr>
      </w:pPr>
    </w:p>
    <w:p>
      <w:pPr>
        <w:ind w:right="200" w:firstLine="446"/>
        <w:spacing w:after="0" w:line="308" w:lineRule="auto"/>
        <w:rPr>
          <w:sz w:val="20"/>
          <w:szCs w:val="20"/>
          <w:color w:val="auto"/>
        </w:rPr>
      </w:pPr>
      <w:r>
        <w:rPr>
          <w:rFonts w:ascii="Arial" w:cs="Arial" w:eastAsia="Arial" w:hAnsi="Arial"/>
          <w:sz w:val="17"/>
          <w:szCs w:val="17"/>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w:t>
      </w:r>
    </w:p>
    <w:p>
      <w:pPr>
        <w:spacing w:after="0" w:line="38" w:lineRule="exact"/>
        <w:rPr>
          <w:sz w:val="20"/>
          <w:szCs w:val="20"/>
          <w:color w:val="auto"/>
        </w:rPr>
      </w:pPr>
    </w:p>
    <w:p>
      <w:pPr>
        <w:ind w:right="440" w:firstLine="446"/>
        <w:spacing w:after="0" w:line="277" w:lineRule="auto"/>
        <w:rPr>
          <w:sz w:val="20"/>
          <w:szCs w:val="20"/>
          <w:color w:val="auto"/>
        </w:rPr>
      </w:pPr>
      <w:r>
        <w:rPr>
          <w:rFonts w:ascii="Arial" w:cs="Arial" w:eastAsia="Arial" w:hAnsi="Arial"/>
          <w:sz w:val="18"/>
          <w:szCs w:val="18"/>
          <w:color w:val="auto"/>
        </w:rPr>
        <w:t>Current liabilities increased to $2,646.4 million at April 29, 2023 as compared to $2,442.7 million at the end of fiscal 2022 due to an increase in commercial paper notes and income taxes payable, partially offset by lower accrued liabilities.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r>
              <w:rPr>
                <w:rFonts w:ascii="Arial" w:cs="Arial" w:eastAsia="Arial" w:hAnsi="Arial"/>
                <w:sz w:val="18"/>
                <w:szCs w:val="18"/>
                <w:i w:val="1"/>
                <w:iCs w:val="1"/>
                <w:color w:val="auto"/>
                <w:w w:val="99"/>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Arial" w:cs="Arial" w:eastAsia="Arial" w:hAnsi="Arial"/>
                <w:sz w:val="18"/>
                <w:szCs w:val="18"/>
                <w:color w:val="auto"/>
              </w:rPr>
              <w:t>As of April 29, 2023,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Principal Amount</w:t>
            </w:r>
          </w:p>
        </w:tc>
      </w:tr>
      <w:tr>
        <w:trPr>
          <w:trHeight w:val="239"/>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Outstanding</w:t>
            </w:r>
          </w:p>
        </w:tc>
      </w:tr>
      <w:tr>
        <w:trPr>
          <w:trHeight w:val="227"/>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2024</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29"/>
        </w:trPr>
        <w:tc>
          <w:tcPr>
            <w:tcW w:w="400" w:type="dxa"/>
            <w:vAlign w:val="bottom"/>
          </w:tcPr>
          <w:p>
            <w:pPr>
              <w:ind w:left="20"/>
              <w:spacing w:after="0"/>
              <w:rPr>
                <w:sz w:val="20"/>
                <w:szCs w:val="20"/>
                <w:color w:val="auto"/>
              </w:rPr>
            </w:pPr>
            <w:r>
              <w:rPr>
                <w:rFonts w:ascii="Arial" w:cs="Arial" w:eastAsia="Arial" w:hAnsi="Arial"/>
                <w:sz w:val="18"/>
                <w:szCs w:val="18"/>
                <w:color w:val="auto"/>
                <w:w w:val="89"/>
              </w:rPr>
              <w:t>2025</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2026</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December 2026</w:t>
            </w: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2027</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440,212</w:t>
            </w:r>
          </w:p>
        </w:tc>
      </w:tr>
      <w:tr>
        <w:trPr>
          <w:trHeight w:val="230"/>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2028</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7"/>
        </w:trPr>
        <w:tc>
          <w:tcPr>
            <w:tcW w:w="400" w:type="dxa"/>
            <w:vAlign w:val="bottom"/>
          </w:tcPr>
          <w:p>
            <w:pPr>
              <w:ind w:left="20"/>
              <w:spacing w:after="0"/>
              <w:rPr>
                <w:sz w:val="20"/>
                <w:szCs w:val="20"/>
                <w:color w:val="auto"/>
              </w:rPr>
            </w:pPr>
            <w:r>
              <w:rPr>
                <w:rFonts w:ascii="Arial" w:cs="Arial" w:eastAsia="Arial" w:hAnsi="Arial"/>
                <w:sz w:val="18"/>
                <w:szCs w:val="18"/>
                <w:color w:val="auto"/>
                <w:w w:val="89"/>
              </w:rPr>
              <w:t>2031</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October 2031</w:t>
            </w: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6"/>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2032</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2032</w:t>
            </w:r>
          </w:p>
        </w:tc>
        <w:tc>
          <w:tcPr>
            <w:tcW w:w="44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2036</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December 2036</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144,278</w:t>
            </w:r>
          </w:p>
        </w:tc>
      </w:tr>
      <w:tr>
        <w:trPr>
          <w:trHeight w:val="24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2041</w:t>
            </w:r>
          </w:p>
        </w:tc>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October 2041</w:t>
            </w: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r>
      <w:tr>
        <w:trPr>
          <w:trHeight w:val="230"/>
        </w:trPr>
        <w:tc>
          <w:tcPr>
            <w:tcW w:w="400" w:type="dxa"/>
            <w:vAlign w:val="bottom"/>
          </w:tcPr>
          <w:p>
            <w:pPr>
              <w:ind w:left="20"/>
              <w:spacing w:after="0"/>
              <w:rPr>
                <w:sz w:val="20"/>
                <w:szCs w:val="20"/>
                <w:color w:val="auto"/>
              </w:rPr>
            </w:pPr>
            <w:r>
              <w:rPr>
                <w:rFonts w:ascii="Arial" w:cs="Arial" w:eastAsia="Arial" w:hAnsi="Arial"/>
                <w:sz w:val="18"/>
                <w:szCs w:val="18"/>
                <w:color w:val="auto"/>
                <w:w w:val="89"/>
              </w:rPr>
              <w:t>2045</w:t>
            </w:r>
          </w:p>
        </w:tc>
        <w:tc>
          <w:tcPr>
            <w:tcW w:w="8660" w:type="dxa"/>
            <w:vAlign w:val="bottom"/>
          </w:tcPr>
          <w:p>
            <w:pPr>
              <w:ind w:left="40"/>
              <w:spacing w:after="0"/>
              <w:rPr>
                <w:sz w:val="20"/>
                <w:szCs w:val="20"/>
                <w:color w:val="auto"/>
              </w:rPr>
            </w:pPr>
            <w:r>
              <w:rPr>
                <w:rFonts w:ascii="Arial" w:cs="Arial" w:eastAsia="Arial" w:hAnsi="Arial"/>
                <w:sz w:val="18"/>
                <w:szCs w:val="18"/>
                <w:color w:val="auto"/>
              </w:rPr>
              <w:t>Notes, due December 2045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332,587</w:t>
            </w:r>
          </w:p>
        </w:tc>
      </w:tr>
      <w:tr>
        <w:trPr>
          <w:trHeight w:val="23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2051</w:t>
            </w:r>
          </w:p>
        </w:tc>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October 2051</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236"/>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6,517,077</w:t>
            </w:r>
          </w:p>
        </w:tc>
      </w:tr>
      <w:tr>
        <w:trPr>
          <w:trHeight w:val="20"/>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April 29, 2023, we were in compliance with these covenants.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 Program</w:t>
      </w:r>
    </w:p>
    <w:p>
      <w:pPr>
        <w:spacing w:after="0" w:line="104" w:lineRule="exact"/>
        <w:rPr>
          <w:sz w:val="20"/>
          <w:szCs w:val="20"/>
          <w:color w:val="auto"/>
        </w:rPr>
      </w:pPr>
    </w:p>
    <w:p>
      <w:pPr>
        <w:ind w:right="220" w:firstLine="405"/>
        <w:spacing w:after="0" w:line="275" w:lineRule="auto"/>
        <w:rPr>
          <w:sz w:val="20"/>
          <w:szCs w:val="20"/>
          <w:color w:val="auto"/>
        </w:rPr>
      </w:pPr>
      <w:r>
        <w:rPr>
          <w:rFonts w:ascii="Arial" w:cs="Arial" w:eastAsia="Arial" w:hAnsi="Arial"/>
          <w:sz w:val="17"/>
          <w:szCs w:val="17"/>
          <w:color w:val="auto"/>
        </w:rPr>
        <w:t>On April 14, 2023, we established a commercial paper program under which we may issue short-term, unsecured commercial paper notes in an amount up to a maximum aggregate face amount of $2.5 billion outstanding at any time, with maturities up to 397 days from the date of issuance. As of April 29, 2023, we had $253.6 million of outstanding borrowings under the commercial paper program recorded in the Condensed Consolidated Balance Sheet. We intend to use the net proceeds of the commercial paper program for general corporate purposes, including without limitation, repayment of indebtedness, stock repurchases, acquisitions, capital expenditures and working capital.</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right="80" w:firstLine="446"/>
        <w:spacing w:after="0" w:line="342" w:lineRule="auto"/>
        <w:rPr>
          <w:sz w:val="20"/>
          <w:szCs w:val="20"/>
          <w:color w:val="auto"/>
        </w:rPr>
      </w:pPr>
      <w:r>
        <w:rPr>
          <w:rFonts w:ascii="Arial" w:cs="Arial" w:eastAsia="Arial" w:hAnsi="Arial"/>
          <w:sz w:val="16"/>
          <w:szCs w:val="16"/>
          <w:color w:val="auto"/>
        </w:rPr>
        <w:t>Our Third Amended and Restated Revolving Credit Agreement, dated as of June 23, 2021 and as amended (Revolving Credit Agreement), provides for a five year unsecured revolving credit facility in an aggregate principal amount not to exceed $2.5 billion (subject to certain terms and conditions).</w:t>
      </w:r>
    </w:p>
    <w:p>
      <w:pPr>
        <w:spacing w:after="0" w:line="16" w:lineRule="exact"/>
        <w:rPr>
          <w:sz w:val="20"/>
          <w:szCs w:val="20"/>
          <w:color w:val="auto"/>
        </w:rPr>
      </w:pPr>
    </w:p>
    <w:p>
      <w:pPr>
        <w:ind w:right="80" w:firstLine="446"/>
        <w:spacing w:after="0" w:line="296" w:lineRule="auto"/>
        <w:rPr>
          <w:sz w:val="20"/>
          <w:szCs w:val="20"/>
          <w:color w:val="auto"/>
        </w:rPr>
      </w:pPr>
      <w:r>
        <w:rPr>
          <w:rFonts w:ascii="Arial" w:cs="Arial" w:eastAsia="Arial" w:hAnsi="Arial"/>
          <w:sz w:val="16"/>
          <w:szCs w:val="16"/>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April 29, 2023, we were in compliance with these covenants.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April 29, 2023, an additional $3.2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as well as for our employee stock purchase plan. Future repurchases of common stock will be dependent upon our financial position, results of operations, outlook, liquidity, and other factors we deem relevant.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10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Net additions to property, plant and equipment were $460.5 million in the first six months of fiscal 2023. We expect capital expenditures for fiscal 2023 to be between approximately 7% to 9%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80" w:firstLine="446"/>
        <w:spacing w:after="0" w:line="257" w:lineRule="auto"/>
        <w:rPr>
          <w:sz w:val="20"/>
          <w:szCs w:val="20"/>
          <w:color w:val="auto"/>
        </w:rPr>
      </w:pPr>
      <w:r>
        <w:rPr>
          <w:rFonts w:ascii="Arial" w:cs="Arial" w:eastAsia="Arial" w:hAnsi="Arial"/>
          <w:sz w:val="18"/>
          <w:szCs w:val="18"/>
          <w:color w:val="auto"/>
        </w:rPr>
        <w:t>On May 23, 2023, our Board of Directors declared a cash dividend of $0.86 per outstanding share of common stock. The dividend will be paid on June 14, 2023 to all shareholders of record at the close of business on June 5, 2023 and is expected to total approximately $431.2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have not been any material changes during the six-month period ended April 29, 2023 to the amounts presented in the table summarizing our contractual obligations included in our Annual Report on Form 10-K for the fiscal year ended October 29, 2022.</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0" w:firstLine="446"/>
        <w:spacing w:after="0" w:line="275" w:lineRule="auto"/>
        <w:rPr>
          <w:sz w:val="20"/>
          <w:szCs w:val="20"/>
          <w:color w:val="auto"/>
        </w:rPr>
      </w:pPr>
      <w:r>
        <w:rPr>
          <w:rFonts w:ascii="Arial" w:cs="Arial" w:eastAsia="Arial" w:hAnsi="Arial"/>
          <w:sz w:val="17"/>
          <w:szCs w:val="17"/>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Arial" w:cs="Arial" w:eastAsia="Arial" w:hAnsi="Arial"/>
          <w:sz w:val="17"/>
          <w:szCs w:val="17"/>
          <w:i w:val="1"/>
          <w:iCs w:val="1"/>
          <w:color w:val="auto"/>
        </w:rPr>
        <w:t>New Accounting Pronouncements,</w:t>
      </w:r>
      <w:r>
        <w:rPr>
          <w:rFonts w:ascii="Arial" w:cs="Arial" w:eastAsia="Arial" w:hAnsi="Arial"/>
          <w:sz w:val="17"/>
          <w:szCs w:val="17"/>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80" w:firstLine="405"/>
        <w:spacing w:after="0" w:line="263" w:lineRule="auto"/>
        <w:rPr>
          <w:sz w:val="20"/>
          <w:szCs w:val="20"/>
          <w:color w:val="auto"/>
        </w:rPr>
      </w:pPr>
      <w:r>
        <w:rPr>
          <w:rFonts w:ascii="Arial" w:cs="Arial" w:eastAsia="Arial" w:hAnsi="Arial"/>
          <w:sz w:val="18"/>
          <w:szCs w:val="18"/>
          <w:color w:val="auto"/>
        </w:rPr>
        <w:t>There were no material changes in the six-month period ended April 29, 2023 to the information provided under the heading “Critical Accounting Policies and Estimates” in the section entitled "Management's Discussion and Analysis of Financial Condition and Results of Operations" of our Annual Report on Form 10-K for the fiscal year ended October 29, 2022.</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24" w:right="439" w:bottom="1440" w:gutter="0" w:footer="0" w:header="0"/>
        </w:sectPr>
      </w:pPr>
    </w:p>
    <w:bookmarkStart w:id="23" w:name="page24"/>
    <w:bookmarkEnd w:id="23"/>
    <w:p>
      <w:pPr>
        <w:ind w:left="20"/>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16" w:lineRule="exact"/>
        <w:rPr>
          <w:sz w:val="20"/>
          <w:szCs w:val="20"/>
          <w:color w:val="auto"/>
        </w:rPr>
      </w:pPr>
    </w:p>
    <w:p>
      <w:pPr>
        <w:ind w:right="680" w:firstLine="446"/>
        <w:spacing w:after="0" w:line="287" w:lineRule="auto"/>
        <w:rPr>
          <w:sz w:val="20"/>
          <w:szCs w:val="20"/>
          <w:color w:val="auto"/>
        </w:rPr>
      </w:pPr>
      <w:r>
        <w:rPr>
          <w:rFonts w:ascii="Arial" w:cs="Arial" w:eastAsia="Arial" w:hAnsi="Arial"/>
          <w:sz w:val="17"/>
          <w:szCs w:val="17"/>
          <w:color w:val="auto"/>
        </w:rPr>
        <w:t>There were no material changes in the six-month period ended April 29, 2023 to the information provided under Item 7A. “Quantitative and Qualitative Disclosures about Market Risk,” set forth in our Annual Report on Form 10-K for the fiscal year ended October 29, 2022</w:t>
      </w:r>
      <w:r>
        <w:rPr>
          <w:rFonts w:ascii="Arial" w:cs="Arial" w:eastAsia="Arial" w:hAnsi="Arial"/>
          <w:sz w:val="17"/>
          <w:szCs w:val="17"/>
          <w:color w:val="EE2724"/>
        </w:rPr>
        <w:t>.</w:t>
      </w:r>
    </w:p>
    <w:p>
      <w:pPr>
        <w:spacing w:after="0" w:line="1"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firstLine="8"/>
        <w:spacing w:after="0" w:line="269"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April 29, 2023.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April 29, 2023, our Chief Executive Officer and Chief Financial Officer concluded that, as of such date, our disclosure controls and procedures were effective at the reasonable assurance level.</w:t>
      </w:r>
    </w:p>
    <w:p>
      <w:pPr>
        <w:spacing w:after="0" w:line="43" w:lineRule="exact"/>
        <w:rPr>
          <w:rFonts w:ascii="Arial" w:cs="Arial" w:eastAsia="Arial" w:hAnsi="Arial"/>
          <w:sz w:val="17"/>
          <w:szCs w:val="17"/>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No change in our internal control over financial reporting (as defined in Rules 13a-15(f) and</w:t>
      </w:r>
    </w:p>
    <w:p>
      <w:pPr>
        <w:spacing w:after="0" w:line="34" w:lineRule="exact"/>
        <w:rPr>
          <w:rFonts w:ascii="Arial" w:cs="Arial" w:eastAsia="Arial" w:hAnsi="Arial"/>
          <w:sz w:val="17"/>
          <w:szCs w:val="17"/>
          <w:color w:val="auto"/>
        </w:rPr>
      </w:pPr>
    </w:p>
    <w:p>
      <w:pPr>
        <w:ind w:right="480"/>
        <w:spacing w:after="0" w:line="260" w:lineRule="auto"/>
        <w:rPr>
          <w:rFonts w:ascii="Arial" w:cs="Arial" w:eastAsia="Arial" w:hAnsi="Arial"/>
          <w:sz w:val="17"/>
          <w:szCs w:val="17"/>
          <w:color w:val="auto"/>
        </w:rPr>
      </w:pPr>
      <w:r>
        <w:rPr>
          <w:rFonts w:ascii="Arial" w:cs="Arial" w:eastAsia="Arial" w:hAnsi="Arial"/>
          <w:sz w:val="18"/>
          <w:szCs w:val="18"/>
          <w:color w:val="auto"/>
        </w:rPr>
        <w:t>15d-15(f) under the Exchange Act) occurred during the quarter ended April 29, 2023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80" w:firstLine="446"/>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the Notes to Condensed Consolidated Financial Statements in Part I, Item 1 of this Quarterly Report on Form 10-Q.</w:t>
      </w:r>
    </w:p>
    <w:p>
      <w:pPr>
        <w:spacing w:after="0" w:line="126"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446"/>
        <w:spacing w:after="0" w:line="263" w:lineRule="auto"/>
        <w:rPr>
          <w:sz w:val="20"/>
          <w:szCs w:val="20"/>
          <w:color w:val="auto"/>
        </w:rPr>
      </w:pPr>
      <w:r>
        <w:rPr>
          <w:rFonts w:ascii="Arial" w:cs="Arial" w:eastAsia="Arial" w:hAnsi="Arial"/>
          <w:sz w:val="18"/>
          <w:szCs w:val="18"/>
          <w:color w:val="auto"/>
        </w:rPr>
        <w:t>We are subject to a number of risks that could adversely affect our business, results of operations, financial condition and future prospects, including those identified in Part I, Item 1A, "Risk Factors" of our Annual Report on Form 10-K for the fiscal year ended October 29, 2022, which was filed with the Securities and Exchange Commission on November 22, 2022.</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12" w:right="4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ITEM 2.</w:t>
            </w:r>
          </w:p>
        </w:tc>
        <w:tc>
          <w:tcPr>
            <w:tcW w:w="5020" w:type="dxa"/>
            <w:vAlign w:val="bottom"/>
            <w:gridSpan w:val="2"/>
          </w:tcPr>
          <w:p>
            <w:pPr>
              <w:jc w:val="right"/>
              <w:ind w:right="78"/>
              <w:spacing w:after="0"/>
              <w:rPr>
                <w:sz w:val="20"/>
                <w:szCs w:val="20"/>
                <w:color w:val="auto"/>
              </w:rPr>
            </w:pPr>
            <w:r>
              <w:rPr>
                <w:rFonts w:ascii="Arial" w:cs="Arial" w:eastAsia="Arial" w:hAnsi="Arial"/>
                <w:sz w:val="18"/>
                <w:szCs w:val="18"/>
                <w:b w:val="1"/>
                <w:bCs w:val="1"/>
                <w:color w:val="auto"/>
                <w:w w:val="93"/>
              </w:rPr>
              <w:t>Unregistered Sales of Equity Securities and Use of Proceeds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9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4"/>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4"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39"/>
        </w:trPr>
        <w:tc>
          <w:tcPr>
            <w:tcW w:w="9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Average Price</w:t>
            </w:r>
          </w:p>
        </w:tc>
        <w:tc>
          <w:tcPr>
            <w:tcW w:w="100" w:type="dxa"/>
            <w:vAlign w:val="bottom"/>
          </w:tcPr>
          <w:p>
            <w:pPr>
              <w:spacing w:after="0"/>
              <w:rPr>
                <w:sz w:val="12"/>
                <w:szCs w:val="12"/>
                <w:color w:val="auto"/>
              </w:rPr>
            </w:pPr>
          </w:p>
        </w:tc>
        <w:tc>
          <w:tcPr>
            <w:tcW w:w="17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3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2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Period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980" w:type="dxa"/>
            <w:vAlign w:val="bottom"/>
          </w:tcPr>
          <w:p>
            <w:pPr>
              <w:spacing w:after="0"/>
              <w:rPr>
                <w:sz w:val="16"/>
                <w:szCs w:val="16"/>
                <w:color w:val="auto"/>
              </w:rPr>
            </w:pPr>
          </w:p>
        </w:tc>
        <w:tc>
          <w:tcPr>
            <w:tcW w:w="34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Paid Per Share (b)</w:t>
            </w:r>
          </w:p>
        </w:tc>
        <w:tc>
          <w:tcPr>
            <w:tcW w:w="10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29, 2023 through February 25, 2023</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186.64</w:t>
            </w:r>
          </w:p>
        </w:tc>
        <w:tc>
          <w:tcPr>
            <w:tcW w:w="18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435,800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4,207,876,091</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February 26, 2023 through March 25, 2023</w:t>
            </w:r>
          </w:p>
        </w:tc>
        <w:tc>
          <w:tcPr>
            <w:tcW w:w="1600" w:type="dxa"/>
            <w:vAlign w:val="bottom"/>
          </w:tcPr>
          <w:p>
            <w:pPr>
              <w:jc w:val="right"/>
              <w:spacing w:after="0"/>
              <w:rPr>
                <w:sz w:val="20"/>
                <w:szCs w:val="20"/>
                <w:color w:val="auto"/>
              </w:rPr>
            </w:pPr>
            <w:r>
              <w:rPr>
                <w:rFonts w:ascii="Arial" w:cs="Arial" w:eastAsia="Arial" w:hAnsi="Arial"/>
                <w:sz w:val="18"/>
                <w:szCs w:val="18"/>
                <w:color w:val="auto"/>
              </w:rPr>
              <w:t>2,411,978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184.84</w:t>
            </w:r>
          </w:p>
        </w:tc>
        <w:tc>
          <w:tcPr>
            <w:tcW w:w="1860" w:type="dxa"/>
            <w:vAlign w:val="bottom"/>
            <w:gridSpan w:val="2"/>
          </w:tcPr>
          <w:p>
            <w:pPr>
              <w:jc w:val="right"/>
              <w:ind w:right="5"/>
              <w:spacing w:after="0"/>
              <w:rPr>
                <w:sz w:val="20"/>
                <w:szCs w:val="20"/>
                <w:color w:val="auto"/>
              </w:rPr>
            </w:pPr>
            <w:r>
              <w:rPr>
                <w:rFonts w:ascii="Arial" w:cs="Arial" w:eastAsia="Arial" w:hAnsi="Arial"/>
                <w:sz w:val="18"/>
                <w:szCs w:val="18"/>
                <w:color w:val="auto"/>
              </w:rPr>
              <w:t>2,020,908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3,833,509,437</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March 26, 2023 through April 29, 2023</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3,284,787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185.34</w:t>
            </w:r>
          </w:p>
        </w:tc>
        <w:tc>
          <w:tcPr>
            <w:tcW w:w="1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3,253,593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3,230,493,898</w:t>
            </w: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Total</w:t>
            </w:r>
          </w:p>
        </w:tc>
        <w:tc>
          <w:tcPr>
            <w:tcW w:w="1600" w:type="dxa"/>
            <w:vAlign w:val="bottom"/>
          </w:tcPr>
          <w:p>
            <w:pPr>
              <w:jc w:val="right"/>
              <w:spacing w:after="0"/>
              <w:rPr>
                <w:sz w:val="20"/>
                <w:szCs w:val="20"/>
                <w:color w:val="auto"/>
              </w:rPr>
            </w:pPr>
            <w:r>
              <w:rPr>
                <w:rFonts w:ascii="Arial" w:cs="Arial" w:eastAsia="Arial" w:hAnsi="Arial"/>
                <w:sz w:val="18"/>
                <w:szCs w:val="18"/>
                <w:color w:val="auto"/>
              </w:rPr>
              <w:t>6,197,633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185.25</w:t>
            </w:r>
          </w:p>
        </w:tc>
        <w:tc>
          <w:tcPr>
            <w:tcW w:w="1860" w:type="dxa"/>
            <w:vAlign w:val="bottom"/>
            <w:gridSpan w:val="2"/>
          </w:tcPr>
          <w:p>
            <w:pPr>
              <w:jc w:val="right"/>
              <w:ind w:right="5"/>
              <w:spacing w:after="0"/>
              <w:rPr>
                <w:sz w:val="20"/>
                <w:szCs w:val="20"/>
                <w:color w:val="auto"/>
              </w:rPr>
            </w:pPr>
            <w:r>
              <w:rPr>
                <w:rFonts w:ascii="Arial" w:cs="Arial" w:eastAsia="Arial" w:hAnsi="Arial"/>
                <w:sz w:val="18"/>
                <w:szCs w:val="18"/>
                <w:color w:val="auto"/>
              </w:rPr>
              <w:t>5,710,301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
              <w:spacing w:after="0"/>
              <w:rPr>
                <w:sz w:val="20"/>
                <w:szCs w:val="20"/>
                <w:color w:val="auto"/>
              </w:rPr>
            </w:pPr>
            <w:r>
              <w:rPr>
                <w:rFonts w:ascii="Arial" w:cs="Arial" w:eastAsia="Arial" w:hAnsi="Arial"/>
                <w:sz w:val="18"/>
                <w:szCs w:val="18"/>
                <w:color w:val="auto"/>
              </w:rPr>
              <w:t>3,230,493,898</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660" w:right="92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487,332 shares withheld by us from employees to satisfy minimum employee tax obligations upon vesting of restricted stock units/awards granted to our employees under our equity compensation plans.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400" w:hanging="328"/>
        <w:spacing w:after="0" w:line="29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9860" w:type="dxa"/>
            <w:vAlign w:val="bottom"/>
            <w:gridSpan w:val="7"/>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64"/>
        </w:trPr>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20" w:type="dxa"/>
            <w:vAlign w:val="bottom"/>
          </w:tcPr>
          <w:p>
            <w:pPr>
              <w:spacing w:after="0"/>
              <w:rPr>
                <w:sz w:val="24"/>
                <w:szCs w:val="24"/>
                <w:color w:val="auto"/>
              </w:rPr>
            </w:pPr>
          </w:p>
        </w:tc>
        <w:tc>
          <w:tcPr>
            <w:tcW w:w="934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w:t>
            </w:r>
          </w:p>
        </w:tc>
        <w:tc>
          <w:tcPr>
            <w:tcW w:w="520" w:type="dxa"/>
            <w:vAlign w:val="bottom"/>
          </w:tcPr>
          <w:p>
            <w:pPr>
              <w:spacing w:after="0"/>
              <w:rPr>
                <w:sz w:val="18"/>
                <w:szCs w:val="18"/>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0000FF"/>
                <w:w w:val="93"/>
              </w:rPr>
              <w:t>Form of Relative Total Shareholder Return Performance Restricted Stock Unit Agreement for Employees for usage under the</w:t>
            </w:r>
          </w:p>
        </w:tc>
      </w:tr>
      <w:tr>
        <w:trPr>
          <w:trHeight w:val="169"/>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1"/>
              </w:rPr>
              <w:t>Company's 2020 Equity Incentive Plan adopted April 3, 2023.</w:t>
            </w:r>
          </w:p>
        </w:tc>
        <w:tc>
          <w:tcPr>
            <w:tcW w:w="4540" w:type="dxa"/>
            <w:vAlign w:val="bottom"/>
            <w:tcBorders>
              <w:top w:val="single" w:sz="8" w:color="0000FF"/>
            </w:tcBorders>
            <w:gridSpan w:val="3"/>
          </w:tcPr>
          <w:p>
            <w:pPr>
              <w:spacing w:after="0"/>
              <w:rPr>
                <w:sz w:val="14"/>
                <w:szCs w:val="14"/>
                <w:color w:val="auto"/>
              </w:rPr>
            </w:pPr>
          </w:p>
        </w:tc>
        <w:tc>
          <w:tcPr>
            <w:tcW w:w="320" w:type="dxa"/>
            <w:vAlign w:val="bottom"/>
          </w:tcPr>
          <w:p>
            <w:pPr>
              <w:spacing w:after="0"/>
              <w:rPr>
                <w:sz w:val="14"/>
                <w:szCs w:val="14"/>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31.1†</w:t>
            </w:r>
          </w:p>
        </w:tc>
        <w:tc>
          <w:tcPr>
            <w:tcW w:w="520" w:type="dxa"/>
            <w:vAlign w:val="bottom"/>
          </w:tcPr>
          <w:p>
            <w:pPr>
              <w:spacing w:after="0"/>
              <w:rPr>
                <w:sz w:val="18"/>
                <w:szCs w:val="18"/>
                <w:color w:val="auto"/>
              </w:rPr>
            </w:pPr>
          </w:p>
        </w:tc>
        <w:tc>
          <w:tcPr>
            <w:tcW w:w="9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Pursuant to Rule 13a-14(a) and 15d-14(a) of the Securities Exchange Act, as Adopted Pursuant to Section 302 of the</w:t>
            </w:r>
          </w:p>
        </w:tc>
      </w:tr>
      <w:tr>
        <w:trPr>
          <w:trHeight w:val="156"/>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40" w:type="dxa"/>
            <w:vAlign w:val="bottom"/>
            <w:gridSpan w:val="6"/>
          </w:tcPr>
          <w:p>
            <w:pPr>
              <w:spacing w:after="0" w:line="156" w:lineRule="exact"/>
              <w:rPr>
                <w:sz w:val="20"/>
                <w:szCs w:val="20"/>
                <w:color w:val="auto"/>
              </w:rPr>
            </w:pPr>
            <w:r>
              <w:rPr>
                <w:rFonts w:ascii="Arial" w:cs="Arial" w:eastAsia="Arial" w:hAnsi="Arial"/>
                <w:sz w:val="18"/>
                <w:szCs w:val="18"/>
                <w:color w:val="0000FF"/>
              </w:rPr>
              <w:t>Sarbanes-Oxley Act of 2002 (Chief Executive Officer).</w:t>
            </w:r>
          </w:p>
        </w:tc>
      </w:tr>
      <w:tr>
        <w:trPr>
          <w:trHeight w:val="20"/>
        </w:trPr>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8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r>
      <w:tr>
        <w:trPr>
          <w:trHeight w:val="223"/>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31.2†</w:t>
            </w:r>
          </w:p>
        </w:tc>
        <w:tc>
          <w:tcPr>
            <w:tcW w:w="520" w:type="dxa"/>
            <w:vAlign w:val="bottom"/>
          </w:tcPr>
          <w:p>
            <w:pPr>
              <w:spacing w:after="0"/>
              <w:rPr>
                <w:sz w:val="19"/>
                <w:szCs w:val="19"/>
                <w:color w:val="auto"/>
              </w:rPr>
            </w:pPr>
          </w:p>
        </w:tc>
        <w:tc>
          <w:tcPr>
            <w:tcW w:w="9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Certification Pursuant to Rule 13a-14(a) and 15d-14(a) of the Securities Exchange Act, as Adopted Pursuant to Section 302 of the</w:t>
            </w:r>
          </w:p>
        </w:tc>
      </w:tr>
      <w:tr>
        <w:trPr>
          <w:trHeight w:val="155"/>
        </w:trPr>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98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Sarbanes-Oxley Act of 2002 (Chief Financial Officer).</w:t>
            </w:r>
          </w:p>
        </w:tc>
        <w:tc>
          <w:tcPr>
            <w:tcW w:w="5360" w:type="dxa"/>
            <w:vAlign w:val="bottom"/>
            <w:gridSpan w:val="5"/>
          </w:tcPr>
          <w:p>
            <w:pPr>
              <w:spacing w:after="0"/>
              <w:rPr>
                <w:sz w:val="13"/>
                <w:szCs w:val="13"/>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32.1†*</w:t>
            </w:r>
          </w:p>
        </w:tc>
        <w:tc>
          <w:tcPr>
            <w:tcW w:w="520" w:type="dxa"/>
            <w:vAlign w:val="bottom"/>
          </w:tcPr>
          <w:p>
            <w:pPr>
              <w:spacing w:after="0"/>
              <w:rPr>
                <w:sz w:val="18"/>
                <w:szCs w:val="18"/>
                <w:color w:val="auto"/>
              </w:rPr>
            </w:pPr>
          </w:p>
        </w:tc>
        <w:tc>
          <w:tcPr>
            <w:tcW w:w="54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Certification Pursuant to 18 U.S.C. Section 1350 (Chief Executive Officer).</w:t>
            </w:r>
          </w:p>
        </w:tc>
        <w:tc>
          <w:tcPr>
            <w:tcW w:w="3880" w:type="dxa"/>
            <w:vAlign w:val="bottom"/>
            <w:gridSpan w:val="2"/>
          </w:tcPr>
          <w:p>
            <w:pPr>
              <w:spacing w:after="0"/>
              <w:rPr>
                <w:sz w:val="18"/>
                <w:szCs w:val="18"/>
                <w:color w:val="auto"/>
              </w:rPr>
            </w:pPr>
          </w:p>
        </w:tc>
      </w:tr>
      <w:tr>
        <w:trPr>
          <w:trHeight w:val="223"/>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32.2†*</w:t>
            </w:r>
          </w:p>
        </w:tc>
        <w:tc>
          <w:tcPr>
            <w:tcW w:w="520" w:type="dxa"/>
            <w:vAlign w:val="bottom"/>
          </w:tcPr>
          <w:p>
            <w:pPr>
              <w:spacing w:after="0"/>
              <w:rPr>
                <w:sz w:val="19"/>
                <w:szCs w:val="19"/>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0000FF"/>
              </w:rPr>
              <w:t>Certification Pursuant to 18 U.S.C. Section 1350 (Chief Financial Officer).</w:t>
            </w:r>
          </w:p>
        </w:tc>
      </w:tr>
      <w:tr>
        <w:trPr>
          <w:trHeight w:val="20"/>
        </w:trPr>
        <w:tc>
          <w:tcPr>
            <w:tcW w:w="10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0" w:type="dxa"/>
            <w:vAlign w:val="bottom"/>
            <w:gridSpan w:val="3"/>
            <w:shd w:val="clear" w:color="auto" w:fill="0000FF"/>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r>
      <w:tr>
        <w:trPr>
          <w:trHeight w:val="196"/>
        </w:trPr>
        <w:tc>
          <w:tcPr>
            <w:tcW w:w="1060" w:type="dxa"/>
            <w:vAlign w:val="bottom"/>
            <w:gridSpan w:val="2"/>
          </w:tcPr>
          <w:p>
            <w:pPr>
              <w:jc w:val="center"/>
              <w:spacing w:after="0" w:line="196" w:lineRule="exact"/>
              <w:rPr>
                <w:sz w:val="20"/>
                <w:szCs w:val="20"/>
                <w:color w:val="auto"/>
              </w:rPr>
            </w:pPr>
            <w:r>
              <w:rPr>
                <w:rFonts w:ascii="Arial" w:cs="Arial" w:eastAsia="Arial" w:hAnsi="Arial"/>
                <w:sz w:val="18"/>
                <w:szCs w:val="18"/>
                <w:color w:val="auto"/>
                <w:w w:val="95"/>
              </w:rPr>
              <w:t>101.INS</w:t>
            </w:r>
          </w:p>
        </w:tc>
        <w:tc>
          <w:tcPr>
            <w:tcW w:w="520" w:type="dxa"/>
            <w:vAlign w:val="bottom"/>
          </w:tcPr>
          <w:p>
            <w:pPr>
              <w:spacing w:after="0"/>
              <w:rPr>
                <w:sz w:val="17"/>
                <w:szCs w:val="17"/>
                <w:color w:val="auto"/>
              </w:rPr>
            </w:pPr>
          </w:p>
        </w:tc>
        <w:tc>
          <w:tcPr>
            <w:tcW w:w="9340" w:type="dxa"/>
            <w:vAlign w:val="bottom"/>
            <w:gridSpan w:val="6"/>
          </w:tcPr>
          <w:p>
            <w:pPr>
              <w:spacing w:after="0" w:line="196" w:lineRule="exact"/>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30"/>
        </w:trPr>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document.**</w:t>
            </w:r>
          </w:p>
        </w:tc>
      </w:tr>
      <w:tr>
        <w:trPr>
          <w:trHeight w:val="241"/>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101.SCH</w:t>
            </w:r>
          </w:p>
        </w:tc>
        <w:tc>
          <w:tcPr>
            <w:tcW w:w="52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Inline XBRL Schema Document.**</w:t>
            </w:r>
          </w:p>
        </w:tc>
      </w:tr>
      <w:tr>
        <w:trPr>
          <w:trHeight w:val="22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4"/>
              </w:rPr>
              <w:t>101.CAL</w:t>
            </w:r>
          </w:p>
        </w:tc>
        <w:tc>
          <w:tcPr>
            <w:tcW w:w="520" w:type="dxa"/>
            <w:vAlign w:val="bottom"/>
          </w:tcPr>
          <w:p>
            <w:pPr>
              <w:spacing w:after="0"/>
              <w:rPr>
                <w:sz w:val="19"/>
                <w:szCs w:val="19"/>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5"/>
              </w:rPr>
              <w:t>101.LAB</w:t>
            </w:r>
          </w:p>
        </w:tc>
        <w:tc>
          <w:tcPr>
            <w:tcW w:w="52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Inline XBRL Labels Linkbase Document.**</w:t>
            </w:r>
          </w:p>
        </w:tc>
      </w:tr>
      <w:tr>
        <w:trPr>
          <w:trHeight w:val="242"/>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1"/>
              </w:rPr>
              <w:t>101.PRE</w:t>
            </w:r>
          </w:p>
        </w:tc>
        <w:tc>
          <w:tcPr>
            <w:tcW w:w="520" w:type="dxa"/>
            <w:vAlign w:val="bottom"/>
          </w:tcPr>
          <w:p>
            <w:pPr>
              <w:spacing w:after="0"/>
              <w:rPr>
                <w:sz w:val="21"/>
                <w:szCs w:val="21"/>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2"/>
              </w:rPr>
              <w:t>101.DEF</w:t>
            </w:r>
          </w:p>
        </w:tc>
        <w:tc>
          <w:tcPr>
            <w:tcW w:w="52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Arial" w:cs="Arial" w:eastAsia="Arial" w:hAnsi="Arial"/>
                <w:sz w:val="18"/>
                <w:szCs w:val="18"/>
                <w:color w:val="auto"/>
              </w:rPr>
              <w:t>Inline XBRL Definition Linkbase Document.**</w:t>
            </w:r>
          </w:p>
        </w:tc>
      </w:tr>
    </w:tbl>
    <w:p>
      <w:pPr>
        <w:ind w:left="1600" w:right="140" w:hanging="1167"/>
        <w:spacing w:after="0" w:line="242"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600" w:hanging="1077"/>
        <w:spacing w:after="0"/>
        <w:tabs>
          <w:tab w:leader="none" w:pos="1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23" w:lineRule="exact"/>
        <w:rPr>
          <w:sz w:val="20"/>
          <w:szCs w:val="20"/>
          <w:color w:val="auto"/>
        </w:rPr>
      </w:pPr>
    </w:p>
    <w:p>
      <w:pPr>
        <w:ind w:left="1600" w:hanging="1077"/>
        <w:spacing w:after="0"/>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contract or agreement.</w:t>
      </w:r>
    </w:p>
    <w:p>
      <w:pPr>
        <w:spacing w:after="0" w:line="35" w:lineRule="exact"/>
        <w:rPr>
          <w:sz w:val="20"/>
          <w:szCs w:val="20"/>
          <w:color w:val="auto"/>
        </w:rPr>
      </w:pPr>
    </w:p>
    <w:p>
      <w:pPr>
        <w:ind w:left="1600" w:right="60" w:hanging="1077"/>
        <w:spacing w:after="0" w:line="232" w:lineRule="auto"/>
        <w:tabs>
          <w:tab w:leader="none" w:pos="1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600" w:hanging="1122"/>
        <w:spacing w:after="0"/>
        <w:tabs>
          <w:tab w:leader="none" w:pos="1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6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Attached as Exhibit 101 to this report are the following formatted in iXBRL (Inline Extensible Business Reporting Language): (i) Condensed Consolidated Statements of Income for the three- and six-months ended April 29, 2023 and April 30, 2022, (ii) Condensed Consolidated Statements of Comprehensive Income for the three- and six-months ended April 29, 2023 and April 30, 2022, (iii) Condensed Consolidated Balance Sheets at April 29, 2023 and January 28, 2023, (iv) Condensed Consolidated Statements of Shareholders' Equity for the three- and six-months ended April 29, 2023 and April 30, 2022,</w:t>
      </w:r>
    </w:p>
    <w:p>
      <w:pPr>
        <w:spacing w:after="0" w:line="1" w:lineRule="exact"/>
        <w:rPr>
          <w:sz w:val="20"/>
          <w:szCs w:val="20"/>
          <w:color w:val="auto"/>
        </w:rPr>
      </w:pPr>
    </w:p>
    <w:p>
      <w:pPr>
        <w:ind w:right="800" w:firstLine="8"/>
        <w:spacing w:after="0" w:line="260"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April 29, 2023 and April 30, 2022 and (vi) Notes to Condensed Consolidated Financial Statements for the three- and six-months ended April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53" w:right="399" w:bottom="1440" w:gutter="0" w:footer="0" w:header="0"/>
        </w:sectPr>
      </w:pPr>
    </w:p>
    <w:bookmarkStart w:id="27" w:name="page28"/>
    <w:bookmarkEnd w:id="27"/>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4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7780" w:type="dxa"/>
            <w:vAlign w:val="bottom"/>
            <w:gridSpan w:val="2"/>
          </w:tcPr>
          <w:p>
            <w:pPr>
              <w:ind w:left="1620"/>
              <w:spacing w:after="0"/>
              <w:rPr>
                <w:sz w:val="20"/>
                <w:szCs w:val="20"/>
                <w:color w:val="auto"/>
              </w:rPr>
            </w:pPr>
            <w:r>
              <w:rPr>
                <w:rFonts w:ascii="Arial" w:cs="Arial" w:eastAsia="Arial" w:hAnsi="Arial"/>
                <w:sz w:val="18"/>
                <w:szCs w:val="18"/>
                <w:color w:val="auto"/>
              </w:rPr>
              <w:t>ANALOG DEVICES, INC.</w:t>
            </w:r>
          </w:p>
        </w:tc>
      </w:tr>
      <w:tr>
        <w:trPr>
          <w:trHeight w:val="506"/>
        </w:trPr>
        <w:tc>
          <w:tcPr>
            <w:tcW w:w="3080" w:type="dxa"/>
            <w:vAlign w:val="bottom"/>
          </w:tcPr>
          <w:p>
            <w:pPr>
              <w:spacing w:after="0"/>
              <w:rPr>
                <w:sz w:val="20"/>
                <w:szCs w:val="20"/>
                <w:color w:val="auto"/>
              </w:rPr>
            </w:pPr>
            <w:r>
              <w:rPr>
                <w:rFonts w:ascii="Arial" w:cs="Arial" w:eastAsia="Arial" w:hAnsi="Arial"/>
                <w:sz w:val="18"/>
                <w:szCs w:val="18"/>
                <w:color w:val="auto"/>
              </w:rPr>
              <w:t>Date: May 24, 2023</w:t>
            </w:r>
          </w:p>
        </w:tc>
        <w:tc>
          <w:tcPr>
            <w:tcW w:w="2160" w:type="dxa"/>
            <w:vAlign w:val="bottom"/>
          </w:tcPr>
          <w:p>
            <w:pPr>
              <w:ind w:left="16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Vincent Roche</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Vincent Roche</w:t>
            </w:r>
          </w:p>
        </w:tc>
      </w:tr>
      <w:tr>
        <w:trPr>
          <w:trHeight w:val="229"/>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Chief Executive Officer and Chair of the Board of Directors</w:t>
            </w:r>
          </w:p>
        </w:tc>
      </w:tr>
      <w:tr>
        <w:trPr>
          <w:trHeight w:val="230"/>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r>
      <w:tr>
        <w:trPr>
          <w:trHeight w:val="513"/>
        </w:trPr>
        <w:tc>
          <w:tcPr>
            <w:tcW w:w="3080" w:type="dxa"/>
            <w:vAlign w:val="bottom"/>
          </w:tcPr>
          <w:p>
            <w:pPr>
              <w:spacing w:after="0"/>
              <w:rPr>
                <w:sz w:val="20"/>
                <w:szCs w:val="20"/>
                <w:color w:val="auto"/>
              </w:rPr>
            </w:pPr>
            <w:r>
              <w:rPr>
                <w:rFonts w:ascii="Arial" w:cs="Arial" w:eastAsia="Arial" w:hAnsi="Arial"/>
                <w:sz w:val="18"/>
                <w:szCs w:val="18"/>
                <w:color w:val="auto"/>
              </w:rPr>
              <w:t>Date: May 24, 2023</w:t>
            </w:r>
          </w:p>
        </w:tc>
        <w:tc>
          <w:tcPr>
            <w:tcW w:w="2160" w:type="dxa"/>
            <w:vAlign w:val="bottom"/>
          </w:tcPr>
          <w:p>
            <w:pPr>
              <w:ind w:left="162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Prashanth Mahendra-Rajah</w:t>
            </w:r>
          </w:p>
        </w:tc>
      </w:tr>
      <w:tr>
        <w:trPr>
          <w:trHeight w:val="222"/>
        </w:trPr>
        <w:tc>
          <w:tcPr>
            <w:tcW w:w="30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Prashanth Mahendra-Rajah</w:t>
            </w:r>
          </w:p>
        </w:tc>
      </w:tr>
      <w:tr>
        <w:trPr>
          <w:trHeight w:val="230"/>
        </w:trPr>
        <w:tc>
          <w:tcPr>
            <w:tcW w:w="30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Executive Vice President, Finance and Chief Financial Officer</w:t>
            </w:r>
          </w:p>
        </w:tc>
      </w:tr>
      <w:tr>
        <w:trPr>
          <w:trHeight w:val="243"/>
        </w:trPr>
        <w:tc>
          <w:tcPr>
            <w:tcW w:w="308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1012" w:right="65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2020 EQUITY INCENTIVE PLAN</w:t>
      </w:r>
    </w:p>
    <w:p>
      <w:pPr>
        <w:spacing w:after="0" w:line="26"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27"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231" w:lineRule="exact"/>
        <w:rPr>
          <w:sz w:val="20"/>
          <w:szCs w:val="20"/>
          <w:color w:val="auto"/>
        </w:rPr>
      </w:pPr>
    </w:p>
    <w:p>
      <w:pPr>
        <w:ind w:left="8"/>
        <w:spacing w:after="0"/>
        <w:rPr>
          <w:sz w:val="20"/>
          <w:szCs w:val="20"/>
          <w:color w:val="auto"/>
        </w:rPr>
      </w:pPr>
      <w:r>
        <w:rPr>
          <w:rFonts w:ascii="Arial" w:cs="Arial" w:eastAsia="Arial" w:hAnsi="Arial"/>
          <w:sz w:val="16"/>
          <w:szCs w:val="16"/>
          <w:color w:val="auto"/>
        </w:rPr>
        <w:t>Participant Name</w:t>
      </w:r>
    </w:p>
    <w:p>
      <w:pPr>
        <w:ind w:left="8"/>
        <w:spacing w:after="0" w:line="211" w:lineRule="auto"/>
        <w:rPr>
          <w:sz w:val="20"/>
          <w:szCs w:val="20"/>
          <w:color w:val="auto"/>
        </w:rPr>
      </w:pPr>
      <w:r>
        <w:rPr>
          <w:rFonts w:ascii="Arial" w:cs="Arial" w:eastAsia="Arial" w:hAnsi="Arial"/>
          <w:sz w:val="16"/>
          <w:szCs w:val="16"/>
          <w:color w:val="auto"/>
        </w:rPr>
        <w:t>Employee ID</w:t>
      </w:r>
    </w:p>
    <w:p>
      <w:pPr>
        <w:ind w:left="8"/>
        <w:spacing w:after="0"/>
        <w:rPr>
          <w:sz w:val="20"/>
          <w:szCs w:val="20"/>
          <w:color w:val="auto"/>
        </w:rPr>
      </w:pPr>
      <w:r>
        <w:rPr>
          <w:rFonts w:ascii="Arial" w:cs="Arial" w:eastAsia="Arial" w:hAnsi="Arial"/>
          <w:sz w:val="16"/>
          <w:szCs w:val="16"/>
          <w:color w:val="auto"/>
        </w:rPr>
        <w:t>Grant ID: Client Grant ID</w:t>
      </w:r>
    </w:p>
    <w:p>
      <w:pPr>
        <w:spacing w:after="0" w:line="207" w:lineRule="exact"/>
        <w:rPr>
          <w:sz w:val="20"/>
          <w:szCs w:val="20"/>
          <w:color w:val="auto"/>
        </w:rPr>
      </w:pPr>
    </w:p>
    <w:p>
      <w:pPr>
        <w:jc w:val="both"/>
        <w:ind w:left="8" w:right="320"/>
        <w:spacing w:after="0" w:line="219"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21" w:lineRule="exact"/>
        <w:rPr>
          <w:sz w:val="20"/>
          <w:szCs w:val="20"/>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Performance Restricted Stock Unit</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328" w:right="320"/>
        <w:spacing w:after="0"/>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10"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b w:val="1"/>
          <w:bCs w:val="1"/>
          <w:color w:val="0000CC"/>
        </w:rPr>
        <w:t>Date of Grant:  Grant Date</w:t>
      </w:r>
    </w:p>
    <w:p>
      <w:pPr>
        <w:ind w:left="328"/>
        <w:spacing w:after="0" w:line="211" w:lineRule="auto"/>
        <w:rPr>
          <w:rFonts w:ascii="Arial" w:cs="Arial" w:eastAsia="Arial" w:hAnsi="Arial"/>
          <w:sz w:val="16"/>
          <w:szCs w:val="16"/>
          <w:color w:val="auto"/>
        </w:rPr>
      </w:pPr>
      <w:r>
        <w:rPr>
          <w:rFonts w:ascii="Arial" w:cs="Arial" w:eastAsia="Arial" w:hAnsi="Arial"/>
          <w:sz w:val="16"/>
          <w:szCs w:val="16"/>
          <w:b w:val="1"/>
          <w:bCs w:val="1"/>
          <w:color w:val="0000CC"/>
        </w:rPr>
        <w:t>Number of Performance RSUs (“Initial Grant Number”):  Number of Awards Granted</w:t>
      </w:r>
    </w:p>
    <w:p>
      <w:pPr>
        <w:ind w:left="328"/>
        <w:spacing w:after="0"/>
        <w:rPr>
          <w:rFonts w:ascii="Arial" w:cs="Arial" w:eastAsia="Arial" w:hAnsi="Arial"/>
          <w:sz w:val="16"/>
          <w:szCs w:val="16"/>
          <w:color w:val="auto"/>
        </w:rPr>
      </w:pPr>
      <w:r>
        <w:rPr>
          <w:rFonts w:ascii="Arial" w:cs="Arial" w:eastAsia="Arial" w:hAnsi="Arial"/>
          <w:sz w:val="16"/>
          <w:szCs w:val="16"/>
          <w:b w:val="1"/>
          <w:bCs w:val="1"/>
          <w:color w:val="0000CC"/>
        </w:rPr>
        <w:t>Vesting Date:  Cliff Vesting Date</w:t>
      </w:r>
    </w:p>
    <w:p>
      <w:pPr>
        <w:spacing w:after="0" w:line="180" w:lineRule="exact"/>
        <w:rPr>
          <w:rFonts w:ascii="Arial" w:cs="Arial" w:eastAsia="Arial" w:hAnsi="Arial"/>
          <w:sz w:val="16"/>
          <w:szCs w:val="16"/>
          <w:color w:val="auto"/>
        </w:rPr>
      </w:pPr>
    </w:p>
    <w:p>
      <w:pPr>
        <w:jc w:val="both"/>
        <w:ind w:left="328" w:right="320"/>
        <w:spacing w:after="0" w:line="225" w:lineRule="auto"/>
        <w:rPr>
          <w:rFonts w:ascii="Arial" w:cs="Arial" w:eastAsia="Arial" w:hAnsi="Arial"/>
          <w:sz w:val="16"/>
          <w:szCs w:val="16"/>
          <w:color w:val="auto"/>
        </w:rPr>
      </w:pPr>
      <w:r>
        <w:rPr>
          <w:rFonts w:ascii="Arial" w:cs="Arial" w:eastAsia="Arial" w:hAnsi="Arial"/>
          <w:sz w:val="16"/>
          <w:szCs w:val="16"/>
          <w:color w:val="auto"/>
        </w:rPr>
        <w:t xml:space="preserve">If the Participant resides in Australia, Canada, China, a European Economic Area or European Union member state, Hong Kong, Israel, Japan, Serbia, Switzerland, Taiwan, Turkey, or the United Kingdom, due to local legal requirements the Participant </w:t>
      </w:r>
      <w:r>
        <w:rPr>
          <w:rFonts w:ascii="Arial" w:cs="Arial" w:eastAsia="Arial" w:hAnsi="Arial"/>
          <w:sz w:val="16"/>
          <w:szCs w:val="16"/>
          <w:b w:val="1"/>
          <w:bCs w:val="1"/>
          <w:i w:val="1"/>
          <w:iCs w:val="1"/>
          <w:color w:val="auto"/>
        </w:rPr>
        <w:t>must accept</w:t>
      </w:r>
      <w:r>
        <w:rPr>
          <w:rFonts w:ascii="Arial" w:cs="Arial" w:eastAsia="Arial" w:hAnsi="Arial"/>
          <w:sz w:val="16"/>
          <w:szCs w:val="16"/>
          <w:color w:val="auto"/>
        </w:rPr>
        <w:t xml:space="preserve"> this Agreement no later than Grant Custom 4 or </w:t>
      </w:r>
      <w:r>
        <w:rPr>
          <w:rFonts w:ascii="Arial" w:cs="Arial" w:eastAsia="Arial" w:hAnsi="Arial"/>
          <w:sz w:val="16"/>
          <w:szCs w:val="16"/>
          <w:b w:val="1"/>
          <w:bCs w:val="1"/>
          <w:i w:val="1"/>
          <w:iCs w:val="1"/>
          <w:color w:val="auto"/>
        </w:rPr>
        <w:t>this Award shall terminate and will become null and void</w:t>
      </w:r>
      <w:r>
        <w:rPr>
          <w:rFonts w:ascii="Arial" w:cs="Arial" w:eastAsia="Arial" w:hAnsi="Arial"/>
          <w:sz w:val="16"/>
          <w:szCs w:val="16"/>
          <w:color w:val="auto"/>
        </w:rPr>
        <w:t>. For purposes of this Agreement, the Participant is deemed to reside in the country where his or her Employer is located.</w:t>
      </w:r>
    </w:p>
    <w:p>
      <w:pPr>
        <w:spacing w:after="0" w:line="174" w:lineRule="exact"/>
        <w:rPr>
          <w:rFonts w:ascii="Arial" w:cs="Arial" w:eastAsia="Arial" w:hAnsi="Arial"/>
          <w:sz w:val="16"/>
          <w:szCs w:val="16"/>
          <w:color w:val="auto"/>
        </w:rPr>
      </w:pPr>
    </w:p>
    <w:p>
      <w:pPr>
        <w:jc w:val="both"/>
        <w:ind w:left="328" w:right="320"/>
        <w:spacing w:after="0" w:line="225" w:lineRule="auto"/>
        <w:rPr>
          <w:rFonts w:ascii="Arial" w:cs="Arial" w:eastAsia="Arial" w:hAnsi="Arial"/>
          <w:sz w:val="16"/>
          <w:szCs w:val="16"/>
          <w:color w:val="auto"/>
        </w:rPr>
      </w:pPr>
      <w:r>
        <w:rPr>
          <w:rFonts w:ascii="Arial" w:cs="Arial" w:eastAsia="Arial" w:hAnsi="Arial"/>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74" w:lineRule="exact"/>
        <w:rPr>
          <w:rFonts w:ascii="Arial" w:cs="Arial" w:eastAsia="Arial" w:hAnsi="Arial"/>
          <w:sz w:val="16"/>
          <w:szCs w:val="16"/>
          <w:color w:val="auto"/>
        </w:rPr>
      </w:pPr>
    </w:p>
    <w:p>
      <w:pPr>
        <w:jc w:val="both"/>
        <w:ind w:left="328" w:right="320"/>
        <w:spacing w:after="0" w:line="225" w:lineRule="auto"/>
        <w:rPr>
          <w:rFonts w:ascii="Arial" w:cs="Arial" w:eastAsia="Arial" w:hAnsi="Arial"/>
          <w:sz w:val="16"/>
          <w:szCs w:val="16"/>
          <w:color w:val="auto"/>
        </w:rPr>
      </w:pPr>
      <w:r>
        <w:rPr>
          <w:rFonts w:ascii="Arial" w:cs="Arial" w:eastAsia="Arial" w:hAnsi="Arial"/>
          <w:sz w:val="16"/>
          <w:szCs w:val="16"/>
          <w:color w:val="auto"/>
        </w:rPr>
        <w:t>Each one (1) Performance RSU shall, if and when it vests in accordance with this Agreement, automatically convert into one (1) share of Common Stock issuable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20" w:lineRule="exact"/>
        <w:rPr>
          <w:rFonts w:ascii="Arial" w:cs="Arial" w:eastAsia="Arial" w:hAnsi="Arial"/>
          <w:sz w:val="16"/>
          <w:szCs w:val="16"/>
          <w:color w:val="auto"/>
        </w:rPr>
      </w:pPr>
    </w:p>
    <w:p>
      <w:pPr>
        <w:ind w:left="328" w:hanging="328"/>
        <w:spacing w:after="0"/>
        <w:tabs>
          <w:tab w:leader="none" w:pos="328"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left="648" w:right="320" w:hanging="324"/>
        <w:spacing w:after="0" w:line="230" w:lineRule="auto"/>
        <w:tabs>
          <w:tab w:leader="none" w:pos="648" w:val="left"/>
        </w:tabs>
        <w:numPr>
          <w:ilvl w:val="1"/>
          <w:numId w:val="13"/>
        </w:numPr>
        <w:rPr>
          <w:rFonts w:ascii="Arial" w:cs="Arial" w:eastAsia="Arial" w:hAnsi="Arial"/>
          <w:sz w:val="15"/>
          <w:szCs w:val="15"/>
          <w:color w:val="auto"/>
        </w:rPr>
      </w:pPr>
      <w:r>
        <w:rPr>
          <w:rFonts w:ascii="Arial" w:cs="Arial" w:eastAsia="Arial" w:hAnsi="Arial"/>
          <w:sz w:val="15"/>
          <w:szCs w:val="15"/>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2(c).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22" w:lineRule="exact"/>
        <w:rPr>
          <w:rFonts w:ascii="Arial" w:cs="Arial" w:eastAsia="Arial" w:hAnsi="Arial"/>
          <w:sz w:val="15"/>
          <w:szCs w:val="15"/>
          <w:color w:val="auto"/>
        </w:rPr>
      </w:pPr>
    </w:p>
    <w:p>
      <w:pPr>
        <w:jc w:val="both"/>
        <w:ind w:left="648" w:right="320" w:hanging="324"/>
        <w:spacing w:after="0" w:line="225" w:lineRule="auto"/>
        <w:tabs>
          <w:tab w:leader="none" w:pos="6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20" w:lineRule="exact"/>
        <w:rPr>
          <w:rFonts w:ascii="Arial" w:cs="Arial" w:eastAsia="Arial" w:hAnsi="Arial"/>
          <w:sz w:val="16"/>
          <w:szCs w:val="16"/>
          <w:color w:val="auto"/>
        </w:rPr>
      </w:pPr>
    </w:p>
    <w:p>
      <w:pPr>
        <w:jc w:val="both"/>
        <w:ind w:left="648" w:right="320" w:hanging="324"/>
        <w:spacing w:after="0" w:line="222" w:lineRule="auto"/>
        <w:tabs>
          <w:tab w:leader="none" w:pos="648"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 the event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08"/>
          </w:cols>
          <w:pgMar w:left="652" w:top="101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48" w:right="320" w:hanging="324"/>
        <w:spacing w:after="0" w:line="235" w:lineRule="auto"/>
        <w:tabs>
          <w:tab w:leader="none" w:pos="6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 xml:space="preserve">In the event the Participant becomes </w:t>
      </w:r>
      <w:r>
        <w:rPr>
          <w:rFonts w:ascii="Arial" w:cs="Arial" w:eastAsia="Arial" w:hAnsi="Arial"/>
          <w:sz w:val="15"/>
          <w:szCs w:val="15"/>
          <w:u w:val="single" w:color="auto"/>
          <w:color w:val="auto"/>
        </w:rPr>
        <w:t>Disabled</w:t>
      </w:r>
      <w:r>
        <w:rPr>
          <w:rFonts w:ascii="Arial" w:cs="Arial" w:eastAsia="Arial" w:hAnsi="Arial"/>
          <w:sz w:val="15"/>
          <w:szCs w:val="15"/>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with respect to the Participant shall have the meaning set forth in Section 409(a)(2)(C) of the Code.</w:t>
      </w:r>
    </w:p>
    <w:p>
      <w:pPr>
        <w:spacing w:after="0" w:line="120" w:lineRule="exact"/>
        <w:rPr>
          <w:rFonts w:ascii="Arial" w:cs="Arial" w:eastAsia="Arial" w:hAnsi="Arial"/>
          <w:sz w:val="15"/>
          <w:szCs w:val="15"/>
          <w:color w:val="auto"/>
        </w:rPr>
      </w:pPr>
    </w:p>
    <w:p>
      <w:pPr>
        <w:jc w:val="both"/>
        <w:ind w:left="648" w:right="320" w:hanging="324"/>
        <w:spacing w:after="0" w:line="237" w:lineRule="auto"/>
        <w:tabs>
          <w:tab w:leader="none" w:pos="648" w:val="left"/>
        </w:tabs>
        <w:numPr>
          <w:ilvl w:val="1"/>
          <w:numId w:val="14"/>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0" w:lineRule="exact"/>
        <w:rPr>
          <w:rFonts w:ascii="Arial" w:cs="Arial" w:eastAsia="Arial" w:hAnsi="Arial"/>
          <w:sz w:val="15"/>
          <w:szCs w:val="15"/>
          <w:color w:val="auto"/>
        </w:rPr>
      </w:pPr>
    </w:p>
    <w:p>
      <w:pPr>
        <w:ind w:left="648" w:right="320" w:hanging="324"/>
        <w:spacing w:after="0"/>
        <w:tabs>
          <w:tab w:leader="none" w:pos="648"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avoidance of doubt, the Performance RSUs granted to the Participant under this Agreement are expressly excluded from any Equity Award Policy for Acceleration of Vesting in the Event of a Change in Control that was previously adopted by Maxim Integrated Products, Inc.</w:t>
      </w:r>
    </w:p>
    <w:p>
      <w:pPr>
        <w:spacing w:after="0" w:line="118" w:lineRule="exact"/>
        <w:rPr>
          <w:rFonts w:ascii="Arial" w:cs="Arial" w:eastAsia="Arial" w:hAnsi="Arial"/>
          <w:sz w:val="16"/>
          <w:szCs w:val="16"/>
          <w:color w:val="auto"/>
        </w:rPr>
      </w:pPr>
    </w:p>
    <w:p>
      <w:pPr>
        <w:ind w:left="328" w:hanging="328"/>
        <w:spacing w:after="0"/>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left="648" w:hanging="324"/>
        <w:spacing w:after="0"/>
        <w:tabs>
          <w:tab w:leader="none" w:pos="648"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Performance RSUs, either voluntarily or by operation of law.</w:t>
      </w:r>
    </w:p>
    <w:p>
      <w:pPr>
        <w:spacing w:after="0" w:line="140" w:lineRule="exact"/>
        <w:rPr>
          <w:rFonts w:ascii="Arial" w:cs="Arial" w:eastAsia="Arial" w:hAnsi="Arial"/>
          <w:sz w:val="16"/>
          <w:szCs w:val="16"/>
          <w:color w:val="auto"/>
        </w:rPr>
      </w:pPr>
    </w:p>
    <w:p>
      <w:pPr>
        <w:jc w:val="both"/>
        <w:ind w:left="648" w:right="320" w:hanging="324"/>
        <w:spacing w:after="0" w:line="230" w:lineRule="auto"/>
        <w:tabs>
          <w:tab w:leader="none" w:pos="648"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9" w:lineRule="exact"/>
        <w:rPr>
          <w:rFonts w:ascii="Arial" w:cs="Arial" w:eastAsia="Arial" w:hAnsi="Arial"/>
          <w:sz w:val="16"/>
          <w:szCs w:val="16"/>
          <w:color w:val="auto"/>
        </w:rPr>
      </w:pPr>
    </w:p>
    <w:p>
      <w:pPr>
        <w:jc w:val="both"/>
        <w:ind w:left="328" w:right="320" w:hanging="328"/>
        <w:spacing w:after="0" w:line="222" w:lineRule="auto"/>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Not a Shareholder</w:t>
      </w:r>
      <w:r>
        <w:rPr>
          <w:rFonts w:ascii="Arial" w:cs="Arial" w:eastAsia="Arial" w:hAnsi="Arial"/>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21" w:lineRule="exact"/>
        <w:rPr>
          <w:rFonts w:ascii="Arial" w:cs="Arial" w:eastAsia="Arial" w:hAnsi="Arial"/>
          <w:sz w:val="16"/>
          <w:szCs w:val="16"/>
          <w:color w:val="auto"/>
        </w:rPr>
      </w:pPr>
    </w:p>
    <w:p>
      <w:pPr>
        <w:jc w:val="both"/>
        <w:ind w:left="328" w:right="320" w:hanging="328"/>
        <w:spacing w:after="0" w:line="264" w:lineRule="auto"/>
        <w:tabs>
          <w:tab w:leader="none" w:pos="328"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Provisions of the Plan</w:t>
      </w:r>
      <w:r>
        <w:rPr>
          <w:rFonts w:ascii="Arial" w:cs="Arial" w:eastAsia="Arial" w:hAnsi="Arial"/>
          <w:sz w:val="14"/>
          <w:szCs w:val="14"/>
          <w:color w:val="auto"/>
        </w:rPr>
        <w:t xml:space="preserve">. The Performance RSUs and Shares, including the grant and issuance thereof, are subject to the provisions of the Plan. A copy of the Plan prospectus is available on the Company’s Intranet at </w:t>
      </w:r>
      <w:r>
        <w:rPr>
          <w:rFonts w:ascii="Arial" w:cs="Arial" w:eastAsia="Arial" w:hAnsi="Arial"/>
          <w:sz w:val="14"/>
          <w:szCs w:val="14"/>
          <w:u w:val="single" w:color="auto"/>
          <w:color w:val="0563C1"/>
        </w:rPr>
        <w:t>https://thecircuit.web.analog.com/Pages/CircuitHome.aspx</w:t>
      </w:r>
      <w:r>
        <w:rPr>
          <w:rFonts w:ascii="Arial" w:cs="Arial" w:eastAsia="Arial" w:hAnsi="Arial"/>
          <w:sz w:val="14"/>
          <w:szCs w:val="14"/>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Arial" w:cs="Arial" w:eastAsia="Arial" w:hAnsi="Arial"/>
          <w:sz w:val="14"/>
          <w:szCs w:val="14"/>
          <w:u w:val="single" w:color="auto"/>
          <w:color w:val="0563C1"/>
        </w:rPr>
        <w:t>Stock_Plan_Admin@Analog.com</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left="328" w:hanging="328"/>
        <w:spacing w:after="0"/>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left="648" w:right="320" w:hanging="324"/>
        <w:spacing w:after="0" w:line="231" w:lineRule="auto"/>
        <w:tabs>
          <w:tab w:leader="none" w:pos="648" w:val="left"/>
        </w:tabs>
        <w:numPr>
          <w:ilvl w:val="1"/>
          <w:numId w:val="15"/>
        </w:numPr>
        <w:rPr>
          <w:rFonts w:ascii="Arial" w:cs="Arial" w:eastAsia="Arial" w:hAnsi="Arial"/>
          <w:sz w:val="15"/>
          <w:szCs w:val="15"/>
          <w:color w:val="auto"/>
        </w:rPr>
      </w:pPr>
      <w:r>
        <w:rPr>
          <w:rFonts w:ascii="Arial" w:cs="Arial" w:eastAsia="Arial" w:hAnsi="Arial"/>
          <w:sz w:val="15"/>
          <w:szCs w:val="15"/>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7" w:lineRule="exact"/>
        <w:rPr>
          <w:rFonts w:ascii="Arial" w:cs="Arial" w:eastAsia="Arial" w:hAnsi="Arial"/>
          <w:sz w:val="15"/>
          <w:szCs w:val="15"/>
          <w:color w:val="auto"/>
        </w:rPr>
      </w:pPr>
    </w:p>
    <w:p>
      <w:pPr>
        <w:jc w:val="both"/>
        <w:ind w:left="648" w:right="320" w:hanging="324"/>
        <w:spacing w:after="0" w:line="248" w:lineRule="auto"/>
        <w:tabs>
          <w:tab w:leader="none" w:pos="648" w:val="left"/>
        </w:tabs>
        <w:numPr>
          <w:ilvl w:val="1"/>
          <w:numId w:val="15"/>
        </w:numPr>
        <w:rPr>
          <w:rFonts w:ascii="Arial" w:cs="Arial" w:eastAsia="Arial" w:hAnsi="Arial"/>
          <w:sz w:val="15"/>
          <w:szCs w:val="15"/>
          <w:color w:val="auto"/>
        </w:rPr>
      </w:pPr>
      <w:r>
        <w:rPr>
          <w:rFonts w:ascii="Arial" w:cs="Arial" w:eastAsia="Arial" w:hAnsi="Arial"/>
          <w:sz w:val="15"/>
          <w:szCs w:val="15"/>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3" w:lineRule="exact"/>
        <w:rPr>
          <w:rFonts w:ascii="Arial" w:cs="Arial" w:eastAsia="Arial" w:hAnsi="Arial"/>
          <w:sz w:val="15"/>
          <w:szCs w:val="15"/>
          <w:color w:val="auto"/>
        </w:rPr>
      </w:pPr>
    </w:p>
    <w:p>
      <w:pPr>
        <w:jc w:val="both"/>
        <w:ind w:left="968" w:right="320" w:hanging="320"/>
        <w:spacing w:after="0" w:line="241" w:lineRule="auto"/>
        <w:tabs>
          <w:tab w:leader="none" w:pos="968" w:val="left"/>
        </w:tabs>
        <w:numPr>
          <w:ilvl w:val="2"/>
          <w:numId w:val="15"/>
        </w:numPr>
        <w:rPr>
          <w:rFonts w:ascii="Arial" w:cs="Arial" w:eastAsia="Arial" w:hAnsi="Arial"/>
          <w:sz w:val="15"/>
          <w:szCs w:val="15"/>
          <w:color w:val="auto"/>
        </w:rPr>
      </w:pPr>
      <w:r>
        <w:rPr>
          <w:rFonts w:ascii="Arial" w:cs="Arial" w:eastAsia="Arial" w:hAnsi="Arial"/>
          <w:sz w:val="15"/>
          <w:szCs w:val="15"/>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7" w:lineRule="exact"/>
        <w:rPr>
          <w:rFonts w:ascii="Arial" w:cs="Arial" w:eastAsia="Arial" w:hAnsi="Arial"/>
          <w:sz w:val="15"/>
          <w:szCs w:val="15"/>
          <w:color w:val="auto"/>
        </w:rPr>
      </w:pPr>
    </w:p>
    <w:p>
      <w:pPr>
        <w:ind w:left="968" w:right="320" w:hanging="320"/>
        <w:spacing w:after="0"/>
        <w:tabs>
          <w:tab w:leader="none" w:pos="968"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Company may, in its discretion, withhold any amount necessary to pay the Tax-Related Items from the Participant’s salary or other amounts payable to the Participant; or</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08"/>
          </w:cols>
          <w:pgMar w:left="652" w:top="101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68" w:right="320" w:hanging="320"/>
        <w:spacing w:after="0"/>
        <w:tabs>
          <w:tab w:leader="none" w:pos="968" w:val="left"/>
        </w:tabs>
        <w:numPr>
          <w:ilvl w:val="2"/>
          <w:numId w:val="16"/>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8" w:lineRule="exact"/>
        <w:rPr>
          <w:rFonts w:ascii="Arial" w:cs="Arial" w:eastAsia="Arial" w:hAnsi="Arial"/>
          <w:sz w:val="16"/>
          <w:szCs w:val="16"/>
          <w:color w:val="auto"/>
        </w:rPr>
      </w:pPr>
    </w:p>
    <w:p>
      <w:pPr>
        <w:jc w:val="both"/>
        <w:ind w:left="968" w:right="320"/>
        <w:spacing w:after="0" w:line="225" w:lineRule="auto"/>
        <w:rPr>
          <w:rFonts w:ascii="Arial" w:cs="Arial" w:eastAsia="Arial" w:hAnsi="Arial"/>
          <w:sz w:val="16"/>
          <w:szCs w:val="16"/>
          <w:color w:val="auto"/>
        </w:rPr>
      </w:pPr>
      <w:r>
        <w:rPr>
          <w:rFonts w:ascii="Arial" w:cs="Arial" w:eastAsia="Arial" w:hAnsi="Arial"/>
          <w:sz w:val="16"/>
          <w:szCs w:val="16"/>
          <w:color w:val="auto"/>
        </w:rPr>
        <w:t>provided, however, that if the Participant is an officer of the Company subject to Section 16 of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20" w:lineRule="exact"/>
        <w:rPr>
          <w:rFonts w:ascii="Arial" w:cs="Arial" w:eastAsia="Arial" w:hAnsi="Arial"/>
          <w:sz w:val="16"/>
          <w:szCs w:val="16"/>
          <w:color w:val="auto"/>
        </w:rPr>
      </w:pPr>
    </w:p>
    <w:p>
      <w:pPr>
        <w:ind w:left="968" w:hanging="320"/>
        <w:spacing w:after="0"/>
        <w:tabs>
          <w:tab w:leader="none" w:pos="968" w:val="left"/>
        </w:tabs>
        <w:numPr>
          <w:ilvl w:val="2"/>
          <w:numId w:val="16"/>
        </w:numPr>
        <w:rPr>
          <w:rFonts w:ascii="Arial" w:cs="Arial" w:eastAsia="Arial" w:hAnsi="Arial"/>
          <w:sz w:val="16"/>
          <w:szCs w:val="16"/>
          <w:color w:val="auto"/>
        </w:rPr>
      </w:pPr>
      <w:r>
        <w:rPr>
          <w:rFonts w:ascii="Arial" w:cs="Arial" w:eastAsia="Arial" w:hAnsi="Arial"/>
          <w:sz w:val="16"/>
          <w:szCs w:val="16"/>
          <w:color w:val="auto"/>
        </w:rPr>
        <w:t>any other method determined by the Company, to the extent permitted under the Plan and applicable laws.</w:t>
      </w:r>
    </w:p>
    <w:p>
      <w:pPr>
        <w:spacing w:after="0" w:line="140" w:lineRule="exact"/>
        <w:rPr>
          <w:rFonts w:ascii="Arial" w:cs="Arial" w:eastAsia="Arial" w:hAnsi="Arial"/>
          <w:sz w:val="16"/>
          <w:szCs w:val="16"/>
          <w:color w:val="auto"/>
        </w:rPr>
      </w:pPr>
    </w:p>
    <w:p>
      <w:pPr>
        <w:jc w:val="both"/>
        <w:ind w:left="968" w:right="320"/>
        <w:spacing w:after="0" w:line="217" w:lineRule="auto"/>
        <w:rPr>
          <w:rFonts w:ascii="Arial" w:cs="Arial" w:eastAsia="Arial" w:hAnsi="Arial"/>
          <w:sz w:val="16"/>
          <w:szCs w:val="16"/>
          <w:color w:val="auto"/>
        </w:rPr>
      </w:pPr>
      <w:r>
        <w:rPr>
          <w:rFonts w:ascii="Arial" w:cs="Arial" w:eastAsia="Arial" w:hAnsi="Arial"/>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22" w:lineRule="exact"/>
        <w:rPr>
          <w:rFonts w:ascii="Arial" w:cs="Arial" w:eastAsia="Arial" w:hAnsi="Arial"/>
          <w:sz w:val="16"/>
          <w:szCs w:val="16"/>
          <w:color w:val="auto"/>
        </w:rPr>
      </w:pPr>
    </w:p>
    <w:p>
      <w:pPr>
        <w:jc w:val="both"/>
        <w:ind w:left="968" w:right="320"/>
        <w:spacing w:after="0" w:line="252" w:lineRule="auto"/>
        <w:rPr>
          <w:rFonts w:ascii="Arial" w:cs="Arial" w:eastAsia="Arial" w:hAnsi="Arial"/>
          <w:sz w:val="16"/>
          <w:szCs w:val="16"/>
          <w:color w:val="auto"/>
        </w:rPr>
      </w:pPr>
      <w:r>
        <w:rPr>
          <w:rFonts w:ascii="Arial" w:cs="Arial" w:eastAsia="Arial" w:hAnsi="Arial"/>
          <w:sz w:val="14"/>
          <w:szCs w:val="14"/>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2" w:lineRule="exact"/>
        <w:rPr>
          <w:rFonts w:ascii="Arial" w:cs="Arial" w:eastAsia="Arial" w:hAnsi="Arial"/>
          <w:sz w:val="16"/>
          <w:szCs w:val="16"/>
          <w:color w:val="auto"/>
        </w:rPr>
      </w:pPr>
    </w:p>
    <w:p>
      <w:pPr>
        <w:jc w:val="both"/>
        <w:ind w:left="328" w:right="320" w:hanging="328"/>
        <w:spacing w:after="0" w:line="235" w:lineRule="auto"/>
        <w:tabs>
          <w:tab w:leader="none" w:pos="328"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Option of Company to Deliver Cash</w:t>
      </w:r>
      <w:r>
        <w:rPr>
          <w:rFonts w:ascii="Arial" w:cs="Arial" w:eastAsia="Arial" w:hAnsi="Arial"/>
          <w:sz w:val="15"/>
          <w:szCs w:val="15"/>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20" w:lineRule="exact"/>
        <w:rPr>
          <w:rFonts w:ascii="Arial" w:cs="Arial" w:eastAsia="Arial" w:hAnsi="Arial"/>
          <w:sz w:val="15"/>
          <w:szCs w:val="15"/>
          <w:color w:val="auto"/>
        </w:rPr>
      </w:pPr>
    </w:p>
    <w:p>
      <w:pPr>
        <w:jc w:val="both"/>
        <w:ind w:left="328" w:right="320" w:hanging="328"/>
        <w:spacing w:after="0" w:line="219" w:lineRule="auto"/>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Repatriation and Other Legal Requirements</w:t>
      </w:r>
      <w:r>
        <w:rPr>
          <w:rFonts w:ascii="Arial" w:cs="Arial" w:eastAsia="Arial" w:hAnsi="Arial"/>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20" w:lineRule="exact"/>
        <w:rPr>
          <w:rFonts w:ascii="Arial" w:cs="Arial" w:eastAsia="Arial" w:hAnsi="Arial"/>
          <w:sz w:val="16"/>
          <w:szCs w:val="16"/>
          <w:color w:val="auto"/>
        </w:rPr>
      </w:pPr>
    </w:p>
    <w:p>
      <w:pPr>
        <w:ind w:left="328" w:hanging="328"/>
        <w:spacing w:after="0"/>
        <w:tabs>
          <w:tab w:leader="none" w:pos="328"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jc w:val="both"/>
        <w:ind w:left="648" w:right="320" w:hanging="324"/>
        <w:spacing w:after="0" w:line="258" w:lineRule="auto"/>
        <w:tabs>
          <w:tab w:leader="none" w:pos="648" w:val="left"/>
        </w:tabs>
        <w:numPr>
          <w:ilvl w:val="1"/>
          <w:numId w:val="17"/>
        </w:numPr>
        <w:rPr>
          <w:rFonts w:ascii="Arial" w:cs="Arial" w:eastAsia="Arial" w:hAnsi="Arial"/>
          <w:sz w:val="14"/>
          <w:szCs w:val="14"/>
          <w:color w:val="auto"/>
        </w:rPr>
      </w:pPr>
      <w:r>
        <w:rPr>
          <w:rFonts w:ascii="Arial" w:cs="Arial" w:eastAsia="Arial" w:hAnsi="Arial"/>
          <w:sz w:val="14"/>
          <w:szCs w:val="14"/>
          <w:u w:val="single" w:color="auto"/>
          <w:color w:val="auto"/>
        </w:rPr>
        <w:t>No Rights to Employment</w:t>
      </w:r>
      <w:r>
        <w:rPr>
          <w:rFonts w:ascii="Arial" w:cs="Arial" w:eastAsia="Arial" w:hAnsi="Arial"/>
          <w:sz w:val="14"/>
          <w:szCs w:val="14"/>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Disability or a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06" w:lineRule="exact"/>
        <w:rPr>
          <w:rFonts w:ascii="Arial" w:cs="Arial" w:eastAsia="Arial" w:hAnsi="Arial"/>
          <w:sz w:val="14"/>
          <w:szCs w:val="14"/>
          <w:color w:val="auto"/>
        </w:rPr>
      </w:pPr>
    </w:p>
    <w:p>
      <w:pPr>
        <w:jc w:val="both"/>
        <w:ind w:left="648" w:right="320" w:hanging="324"/>
        <w:spacing w:after="0" w:line="249" w:lineRule="auto"/>
        <w:tabs>
          <w:tab w:leader="none" w:pos="648" w:val="left"/>
        </w:tabs>
        <w:numPr>
          <w:ilvl w:val="1"/>
          <w:numId w:val="17"/>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08"/>
          </w:cols>
          <w:pgMar w:left="652" w:top="101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24" w:right="320" w:hanging="324"/>
        <w:spacing w:after="0" w:line="237" w:lineRule="auto"/>
        <w:tabs>
          <w:tab w:leader="none" w:pos="324"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Exclusion from Termination Indemnities and Other Benefits</w:t>
      </w:r>
      <w:r>
        <w:rPr>
          <w:rFonts w:ascii="Arial" w:cs="Arial" w:eastAsia="Arial" w:hAnsi="Arial"/>
          <w:sz w:val="15"/>
          <w:szCs w:val="15"/>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20" w:lineRule="exact"/>
        <w:rPr>
          <w:rFonts w:ascii="Arial" w:cs="Arial" w:eastAsia="Arial" w:hAnsi="Arial"/>
          <w:sz w:val="15"/>
          <w:szCs w:val="15"/>
          <w:color w:val="auto"/>
        </w:rPr>
      </w:pPr>
    </w:p>
    <w:p>
      <w:pPr>
        <w:jc w:val="both"/>
        <w:ind w:left="324" w:right="320" w:hanging="324"/>
        <w:spacing w:after="0" w:line="219" w:lineRule="auto"/>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applicable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20" w:lineRule="exact"/>
        <w:rPr>
          <w:rFonts w:ascii="Arial" w:cs="Arial" w:eastAsia="Arial" w:hAnsi="Arial"/>
          <w:sz w:val="16"/>
          <w:szCs w:val="16"/>
          <w:color w:val="auto"/>
        </w:rPr>
      </w:pPr>
    </w:p>
    <w:p>
      <w:pPr>
        <w:jc w:val="both"/>
        <w:ind w:left="324" w:right="320" w:hanging="324"/>
        <w:spacing w:after="0" w:line="225" w:lineRule="auto"/>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Exchange Rates</w:t>
      </w:r>
      <w:r>
        <w:rPr>
          <w:rFonts w:ascii="Arial" w:cs="Arial" w:eastAsia="Arial" w:hAnsi="Arial"/>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20" w:lineRule="exact"/>
        <w:rPr>
          <w:rFonts w:ascii="Arial" w:cs="Arial" w:eastAsia="Arial" w:hAnsi="Arial"/>
          <w:sz w:val="16"/>
          <w:szCs w:val="16"/>
          <w:color w:val="auto"/>
        </w:rPr>
      </w:pPr>
    </w:p>
    <w:p>
      <w:pPr>
        <w:ind w:left="324"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Future Value of Shares</w:t>
      </w:r>
      <w:r>
        <w:rPr>
          <w:rFonts w:ascii="Arial" w:cs="Arial" w:eastAsia="Arial" w:hAnsi="Arial"/>
          <w:sz w:val="16"/>
          <w:szCs w:val="16"/>
          <w:color w:val="auto"/>
        </w:rPr>
        <w:t>. The future value of the underlying Shares is unknown, indeterminable, and cannot be predicted with certainty.</w:t>
      </w:r>
    </w:p>
    <w:p>
      <w:pPr>
        <w:spacing w:after="0" w:line="140" w:lineRule="exact"/>
        <w:rPr>
          <w:rFonts w:ascii="Arial" w:cs="Arial" w:eastAsia="Arial" w:hAnsi="Arial"/>
          <w:sz w:val="16"/>
          <w:szCs w:val="16"/>
          <w:color w:val="auto"/>
        </w:rPr>
      </w:pPr>
    </w:p>
    <w:p>
      <w:pPr>
        <w:ind w:left="324" w:right="320"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8" w:lineRule="exact"/>
        <w:rPr>
          <w:rFonts w:ascii="Arial" w:cs="Arial" w:eastAsia="Arial" w:hAnsi="Arial"/>
          <w:sz w:val="16"/>
          <w:szCs w:val="16"/>
          <w:color w:val="auto"/>
        </w:rPr>
      </w:pPr>
    </w:p>
    <w:p>
      <w:pPr>
        <w:ind w:left="324" w:right="320" w:hanging="324"/>
        <w:spacing w:after="0" w:line="309" w:lineRule="auto"/>
        <w:tabs>
          <w:tab w:leader="none" w:pos="324" w:val="left"/>
        </w:tabs>
        <w:numPr>
          <w:ilvl w:val="0"/>
          <w:numId w:val="18"/>
        </w:numPr>
        <w:rPr>
          <w:rFonts w:ascii="Arial" w:cs="Arial" w:eastAsia="Arial" w:hAnsi="Arial"/>
          <w:sz w:val="14"/>
          <w:szCs w:val="14"/>
          <w:color w:val="auto"/>
        </w:rPr>
      </w:pPr>
      <w:r>
        <w:rPr>
          <w:rFonts w:ascii="Arial" w:cs="Arial" w:eastAsia="Arial" w:hAnsi="Arial"/>
          <w:sz w:val="14"/>
          <w:szCs w:val="14"/>
          <w:u w:val="single" w:color="auto"/>
          <w:color w:val="auto"/>
        </w:rPr>
        <w:t>Binding Effect</w:t>
      </w:r>
      <w:r>
        <w:rPr>
          <w:rFonts w:ascii="Arial" w:cs="Arial" w:eastAsia="Arial" w:hAnsi="Arial"/>
          <w:sz w:val="14"/>
          <w:szCs w:val="14"/>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71" w:lineRule="exact"/>
        <w:rPr>
          <w:rFonts w:ascii="Arial" w:cs="Arial" w:eastAsia="Arial" w:hAnsi="Arial"/>
          <w:sz w:val="14"/>
          <w:szCs w:val="14"/>
          <w:color w:val="auto"/>
        </w:rPr>
      </w:pPr>
    </w:p>
    <w:p>
      <w:pPr>
        <w:jc w:val="both"/>
        <w:ind w:left="324" w:right="320" w:hanging="324"/>
        <w:spacing w:after="0" w:line="222" w:lineRule="auto"/>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21" w:lineRule="exact"/>
        <w:rPr>
          <w:rFonts w:ascii="Arial" w:cs="Arial" w:eastAsia="Arial" w:hAnsi="Arial"/>
          <w:sz w:val="16"/>
          <w:szCs w:val="16"/>
          <w:color w:val="auto"/>
        </w:rPr>
      </w:pPr>
    </w:p>
    <w:p>
      <w:pPr>
        <w:ind w:left="324" w:right="320"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24" w:right="320"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24" w:right="320"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24" w:right="320" w:hanging="324"/>
        <w:spacing w:after="0" w:line="230" w:lineRule="auto"/>
        <w:tabs>
          <w:tab w:leader="none" w:pos="324"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22" w:lineRule="exact"/>
        <w:rPr>
          <w:rFonts w:ascii="Arial" w:cs="Arial" w:eastAsia="Arial" w:hAnsi="Arial"/>
          <w:sz w:val="15"/>
          <w:szCs w:val="15"/>
          <w:color w:val="auto"/>
        </w:rPr>
      </w:pPr>
    </w:p>
    <w:p>
      <w:pPr>
        <w:ind w:left="324" w:right="320" w:hanging="324"/>
        <w:spacing w:after="0"/>
        <w:tabs>
          <w:tab w:leader="none" w:pos="32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8" w:lineRule="exact"/>
        <w:rPr>
          <w:rFonts w:ascii="Arial" w:cs="Arial" w:eastAsia="Arial" w:hAnsi="Arial"/>
          <w:sz w:val="16"/>
          <w:szCs w:val="16"/>
          <w:color w:val="auto"/>
        </w:rPr>
      </w:pPr>
    </w:p>
    <w:p>
      <w:pPr>
        <w:jc w:val="both"/>
        <w:ind w:left="324" w:right="320" w:hanging="324"/>
        <w:spacing w:after="0" w:line="248" w:lineRule="auto"/>
        <w:tabs>
          <w:tab w:leader="none" w:pos="324"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Participant’s Acceptance</w:t>
      </w:r>
      <w:r>
        <w:rPr>
          <w:rFonts w:ascii="Arial" w:cs="Arial" w:eastAsia="Arial" w:hAnsi="Arial"/>
          <w:sz w:val="15"/>
          <w:szCs w:val="15"/>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2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584"/>
          </w:cols>
          <w:pgMar w:left="976" w:top="101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24" w:right="320" w:hanging="324"/>
        <w:spacing w:after="0" w:line="275" w:lineRule="auto"/>
        <w:tabs>
          <w:tab w:leader="none" w:pos="324"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Electronic Delivery</w:t>
      </w:r>
      <w:r>
        <w:rPr>
          <w:rFonts w:ascii="Arial" w:cs="Arial" w:eastAsia="Arial" w:hAnsi="Arial"/>
          <w:sz w:val="14"/>
          <w:szCs w:val="14"/>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94" w:lineRule="exact"/>
        <w:rPr>
          <w:rFonts w:ascii="Arial" w:cs="Arial" w:eastAsia="Arial" w:hAnsi="Arial"/>
          <w:sz w:val="14"/>
          <w:szCs w:val="14"/>
          <w:color w:val="auto"/>
        </w:rPr>
      </w:pPr>
    </w:p>
    <w:p>
      <w:pPr>
        <w:jc w:val="both"/>
        <w:ind w:left="324" w:right="320" w:hanging="324"/>
        <w:spacing w:after="0" w:line="225"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20" w:lineRule="exact"/>
        <w:rPr>
          <w:rFonts w:ascii="Arial" w:cs="Arial" w:eastAsia="Arial" w:hAnsi="Arial"/>
          <w:sz w:val="16"/>
          <w:szCs w:val="16"/>
          <w:color w:val="auto"/>
        </w:rPr>
      </w:pPr>
    </w:p>
    <w:p>
      <w:pPr>
        <w:jc w:val="both"/>
        <w:ind w:left="324" w:right="320" w:hanging="324"/>
        <w:spacing w:after="0" w:line="237" w:lineRule="auto"/>
        <w:tabs>
          <w:tab w:leader="none" w:pos="324"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Appendix B</w:t>
      </w:r>
      <w:r>
        <w:rPr>
          <w:rFonts w:ascii="Arial" w:cs="Arial" w:eastAsia="Arial" w:hAnsi="Arial"/>
          <w:sz w:val="15"/>
          <w:szCs w:val="15"/>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20" w:lineRule="exact"/>
        <w:rPr>
          <w:rFonts w:ascii="Arial" w:cs="Arial" w:eastAsia="Arial" w:hAnsi="Arial"/>
          <w:sz w:val="15"/>
          <w:szCs w:val="15"/>
          <w:color w:val="auto"/>
        </w:rPr>
      </w:pPr>
    </w:p>
    <w:p>
      <w:pPr>
        <w:jc w:val="both"/>
        <w:ind w:left="324" w:right="320" w:hanging="324"/>
        <w:spacing w:after="0" w:line="225"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20" w:lineRule="exact"/>
        <w:rPr>
          <w:rFonts w:ascii="Arial" w:cs="Arial" w:eastAsia="Arial" w:hAnsi="Arial"/>
          <w:sz w:val="16"/>
          <w:szCs w:val="16"/>
          <w:color w:val="auto"/>
        </w:rPr>
      </w:pPr>
    </w:p>
    <w:p>
      <w:pPr>
        <w:jc w:val="both"/>
        <w:ind w:left="324" w:right="320" w:hanging="324"/>
        <w:spacing w:after="0" w:line="275" w:lineRule="auto"/>
        <w:tabs>
          <w:tab w:leader="none" w:pos="324"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t>Private Placement</w:t>
      </w:r>
      <w:r>
        <w:rPr>
          <w:rFonts w:ascii="Arial" w:cs="Arial" w:eastAsia="Arial" w:hAnsi="Arial"/>
          <w:sz w:val="14"/>
          <w:szCs w:val="14"/>
          <w:color w:val="auto"/>
        </w:rPr>
        <w:t>. The Company has submitted filings in the United States in connection with the Plan.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94" w:lineRule="exact"/>
        <w:rPr>
          <w:rFonts w:ascii="Arial" w:cs="Arial" w:eastAsia="Arial" w:hAnsi="Arial"/>
          <w:sz w:val="14"/>
          <w:szCs w:val="14"/>
          <w:color w:val="auto"/>
        </w:rPr>
      </w:pPr>
    </w:p>
    <w:p>
      <w:pPr>
        <w:jc w:val="both"/>
        <w:ind w:left="324" w:right="320" w:hanging="324"/>
        <w:spacing w:after="0" w:line="225"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20" w:lineRule="exact"/>
        <w:rPr>
          <w:rFonts w:ascii="Arial" w:cs="Arial" w:eastAsia="Arial" w:hAnsi="Arial"/>
          <w:sz w:val="16"/>
          <w:szCs w:val="16"/>
          <w:color w:val="auto"/>
        </w:rPr>
      </w:pPr>
    </w:p>
    <w:p>
      <w:pPr>
        <w:jc w:val="both"/>
        <w:ind w:left="324" w:right="320" w:hanging="324"/>
        <w:spacing w:after="0" w:line="248" w:lineRule="auto"/>
        <w:tabs>
          <w:tab w:leader="none" w:pos="324"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3" w:lineRule="exact"/>
        <w:rPr>
          <w:rFonts w:ascii="Arial" w:cs="Arial" w:eastAsia="Arial" w:hAnsi="Arial"/>
          <w:sz w:val="15"/>
          <w:szCs w:val="15"/>
          <w:color w:val="auto"/>
        </w:rPr>
      </w:pPr>
    </w:p>
    <w:p>
      <w:pPr>
        <w:jc w:val="both"/>
        <w:ind w:left="324" w:right="320" w:hanging="324"/>
        <w:spacing w:after="0" w:line="217"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Insider Trading Restrictions/Market Abuse Laws</w:t>
      </w:r>
      <w:r>
        <w:rPr>
          <w:rFonts w:ascii="Arial" w:cs="Arial" w:eastAsia="Arial" w:hAnsi="Arial"/>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Arial" w:cs="Arial" w:eastAsia="Arial" w:hAnsi="Arial"/>
          <w:sz w:val="16"/>
          <w:szCs w:val="16"/>
          <w:i w:val="1"/>
          <w:iCs w:val="1"/>
          <w:color w:val="auto"/>
        </w:rPr>
        <w:t>e.g.</w:t>
      </w:r>
      <w:r>
        <w:rPr>
          <w:rFonts w:ascii="Arial" w:cs="Arial" w:eastAsia="Arial" w:hAnsi="Arial"/>
          <w:sz w:val="16"/>
          <w:szCs w:val="16"/>
          <w:color w:val="auto"/>
        </w:rPr>
        <w:t>, Performance RSUs), or rights linked to the value of Common Stock (</w:t>
      </w:r>
      <w:r>
        <w:rPr>
          <w:rFonts w:ascii="Arial" w:cs="Arial" w:eastAsia="Arial" w:hAnsi="Arial"/>
          <w:sz w:val="16"/>
          <w:szCs w:val="16"/>
          <w:i w:val="1"/>
          <w:iCs w:val="1"/>
          <w:color w:val="auto"/>
        </w:rPr>
        <w:t>e.g.</w:t>
      </w:r>
      <w:r>
        <w:rPr>
          <w:rFonts w:ascii="Arial" w:cs="Arial" w:eastAsia="Arial" w:hAnsi="Arial"/>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Arial" w:cs="Arial" w:eastAsia="Arial" w:hAnsi="Arial"/>
          <w:sz w:val="16"/>
          <w:szCs w:val="16"/>
          <w:color w:val="auto"/>
        </w:rPr>
      </w:pPr>
    </w:p>
    <w:p>
      <w:pPr>
        <w:jc w:val="both"/>
        <w:ind w:left="324" w:right="320" w:hanging="324"/>
        <w:spacing w:after="0" w:line="233" w:lineRule="auto"/>
        <w:tabs>
          <w:tab w:leader="none" w:pos="324"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Foreign Asset/Account, Exchange Control, and Tax Reporting</w:t>
      </w:r>
      <w:r>
        <w:rPr>
          <w:rFonts w:ascii="Arial" w:cs="Arial" w:eastAsia="Arial" w:hAnsi="Arial"/>
          <w:sz w:val="15"/>
          <w:szCs w:val="15"/>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8" w:lineRule="exact"/>
        <w:rPr>
          <w:rFonts w:ascii="Arial" w:cs="Arial" w:eastAsia="Arial" w:hAnsi="Arial"/>
          <w:sz w:val="15"/>
          <w:szCs w:val="15"/>
          <w:color w:val="auto"/>
        </w:rPr>
      </w:pPr>
    </w:p>
    <w:p>
      <w:pPr>
        <w:ind w:left="324" w:right="320" w:hanging="324"/>
        <w:spacing w:after="0"/>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8" w:lineRule="exact"/>
        <w:rPr>
          <w:rFonts w:ascii="Arial" w:cs="Arial" w:eastAsia="Arial" w:hAnsi="Arial"/>
          <w:sz w:val="16"/>
          <w:szCs w:val="16"/>
          <w:color w:val="auto"/>
        </w:rPr>
      </w:pPr>
    </w:p>
    <w:p>
      <w:pPr>
        <w:jc w:val="both"/>
        <w:ind w:left="324" w:right="320" w:hanging="324"/>
        <w:spacing w:after="0" w:line="225" w:lineRule="auto"/>
        <w:tabs>
          <w:tab w:leader="none" w:pos="32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parties intend that this Agreement and the benefits provided hereunder be exempt from the requirements of Section 409A to the maximum extent possible, whether pursuant to the short-term deferral exception described in Treasury Regulation Section 1.409A-1(b)(4) or otherwise. However, to the extent that the Performance RSUs (or any portion thereof) may be subject to Section 409A, the parties intend that this Agreement and such benefits comply with the deferral, payout, and other</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92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584"/>
          </w:cols>
          <w:pgMar w:left="976" w:top="101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0" w:right="320"/>
        <w:spacing w:after="0"/>
        <w:rPr>
          <w:sz w:val="20"/>
          <w:szCs w:val="20"/>
          <w:color w:val="auto"/>
        </w:rPr>
      </w:pPr>
      <w:r>
        <w:rPr>
          <w:rFonts w:ascii="Arial" w:cs="Arial" w:eastAsia="Arial" w:hAnsi="Arial"/>
          <w:sz w:val="16"/>
          <w:szCs w:val="16"/>
          <w:color w:val="auto"/>
        </w:rPr>
        <w:t>limitations and restrictions imposed under Section 409A and this Agreement shall be interpreted, operated and administered in a manner consistent with such intent.</w:t>
      </w:r>
    </w:p>
    <w:p>
      <w:pPr>
        <w:spacing w:after="0" w:line="200" w:lineRule="exact"/>
        <w:rPr>
          <w:sz w:val="20"/>
          <w:szCs w:val="20"/>
          <w:color w:val="auto"/>
        </w:rPr>
      </w:pPr>
    </w:p>
    <w:p>
      <w:pPr>
        <w:spacing w:after="0" w:line="377"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17780</wp:posOffset>
            </wp:positionV>
            <wp:extent cx="2339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Vincent Roche</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560"/>
          </w:cols>
          <w:pgMar w:left="1000" w:top="1017" w:right="339" w:bottom="1440" w:gutter="0" w:footer="0" w:header="0"/>
        </w:sectPr>
      </w:pPr>
    </w:p>
    <w:bookmarkStart w:id="34" w:name="page35"/>
    <w:bookmarkEnd w:id="34"/>
    <w:p>
      <w:pPr>
        <w:ind w:left="466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8" w:hanging="328"/>
        <w:spacing w:after="0"/>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Performance Period</w:t>
      </w:r>
      <w:r>
        <w:rPr>
          <w:rFonts w:ascii="Arial" w:cs="Arial" w:eastAsia="Arial" w:hAnsi="Arial"/>
          <w:sz w:val="16"/>
          <w:szCs w:val="16"/>
          <w:color w:val="auto"/>
        </w:rPr>
        <w:t>. The three-year period beginning on March 15, 2023 and ending on Grant Custom 1 (the “Performance Period”).</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Vesting Date</w:t>
      </w:r>
      <w:r>
        <w:rPr>
          <w:rFonts w:ascii="Arial" w:cs="Arial" w:eastAsia="Arial" w:hAnsi="Arial"/>
          <w:sz w:val="16"/>
          <w:szCs w:val="16"/>
          <w:color w:val="auto"/>
        </w:rPr>
        <w:t>. Cliff Vesting Date.</w:t>
      </w:r>
    </w:p>
    <w:p>
      <w:pPr>
        <w:spacing w:after="0" w:line="140" w:lineRule="exact"/>
        <w:rPr>
          <w:rFonts w:ascii="Arial" w:cs="Arial" w:eastAsia="Arial" w:hAnsi="Arial"/>
          <w:sz w:val="16"/>
          <w:szCs w:val="16"/>
          <w:color w:val="auto"/>
        </w:rPr>
      </w:pPr>
    </w:p>
    <w:p>
      <w:pPr>
        <w:ind w:left="328" w:hanging="328"/>
        <w:spacing w:after="0"/>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Determination Date</w:t>
      </w:r>
      <w:r>
        <w:rPr>
          <w:rFonts w:ascii="Arial" w:cs="Arial" w:eastAsia="Arial" w:hAnsi="Arial"/>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8" w:lineRule="exact"/>
        <w:rPr>
          <w:rFonts w:ascii="Arial" w:cs="Arial" w:eastAsia="Arial" w:hAnsi="Arial"/>
          <w:sz w:val="16"/>
          <w:szCs w:val="16"/>
          <w:color w:val="auto"/>
        </w:rPr>
      </w:pPr>
    </w:p>
    <w:p>
      <w:pPr>
        <w:jc w:val="both"/>
        <w:ind w:left="328" w:hanging="328"/>
        <w:spacing w:after="0" w:line="225" w:lineRule="auto"/>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Performance-Based Vesting Terms</w:t>
      </w:r>
      <w:r>
        <w:rPr>
          <w:rFonts w:ascii="Arial" w:cs="Arial" w:eastAsia="Arial" w:hAnsi="Arial"/>
          <w:sz w:val="16"/>
          <w:szCs w:val="16"/>
          <w:color w:val="auto"/>
        </w:rPr>
        <w:t>. Subject to Section 2(a) through 2(d)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20" w:lineRule="exact"/>
        <w:rPr>
          <w:rFonts w:ascii="Arial" w:cs="Arial" w:eastAsia="Arial" w:hAnsi="Arial"/>
          <w:sz w:val="16"/>
          <w:szCs w:val="16"/>
          <w:color w:val="auto"/>
        </w:rPr>
      </w:pPr>
    </w:p>
    <w:p>
      <w:pPr>
        <w:jc w:val="both"/>
        <w:ind w:left="328" w:hanging="328"/>
        <w:spacing w:after="0" w:line="222" w:lineRule="auto"/>
        <w:tabs>
          <w:tab w:leader="none" w:pos="32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Performance Parameters</w:t>
      </w:r>
      <w:r>
        <w:rPr>
          <w:rFonts w:ascii="Arial" w:cs="Arial" w:eastAsia="Arial" w:hAnsi="Arial"/>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 Attainment among percentiles of TSR attainment is subject to interpolation on a linear basis</w:t>
      </w:r>
    </w:p>
    <w:p>
      <w:pPr>
        <w:spacing w:after="0" w:line="171" w:lineRule="exact"/>
        <w:rPr>
          <w:sz w:val="20"/>
          <w:szCs w:val="20"/>
          <w:color w:val="auto"/>
        </w:rPr>
      </w:pPr>
    </w:p>
    <w:tbl>
      <w:tblPr>
        <w:tblLayout w:type="fixed"/>
        <w:tblInd w:w="2438" w:type="dxa"/>
        <w:tblCellMar>
          <w:top w:w="0" w:type="dxa"/>
          <w:left w:w="0" w:type="dxa"/>
          <w:bottom w:w="0" w:type="dxa"/>
          <w:right w:w="0" w:type="dxa"/>
        </w:tblCellMar>
      </w:tblPr>
      <w:tr>
        <w:trPr>
          <w:trHeight w:val="243"/>
        </w:trPr>
        <w:tc>
          <w:tcPr>
            <w:tcW w:w="1800" w:type="dxa"/>
            <w:vAlign w:val="bottom"/>
            <w:tcBorders>
              <w:left w:val="single" w:sz="8" w:color="4F81BD"/>
              <w:right w:val="single" w:sz="8" w:color="4F81BD"/>
            </w:tcBorders>
            <w:shd w:val="clear" w:color="auto" w:fill="4F81BD"/>
          </w:tcPr>
          <w:p>
            <w:pPr>
              <w:jc w:val="center"/>
              <w:spacing w:after="0"/>
              <w:rPr>
                <w:sz w:val="20"/>
                <w:szCs w:val="20"/>
                <w:color w:val="auto"/>
              </w:rPr>
            </w:pPr>
            <w:r>
              <w:rPr>
                <w:rFonts w:ascii="Arial" w:cs="Arial" w:eastAsia="Arial" w:hAnsi="Arial"/>
                <w:sz w:val="16"/>
                <w:szCs w:val="16"/>
                <w:b w:val="1"/>
                <w:bCs w:val="1"/>
                <w:color w:val="FFFFFF"/>
                <w:w w:val="92"/>
              </w:rPr>
              <w:t>Percentile Attainment</w:t>
            </w:r>
          </w:p>
        </w:tc>
        <w:tc>
          <w:tcPr>
            <w:tcW w:w="1780" w:type="dxa"/>
            <w:vAlign w:val="bottom"/>
            <w:tcBorders>
              <w:right w:val="single" w:sz="8" w:color="4F81BD"/>
            </w:tcBorders>
            <w:shd w:val="clear" w:color="auto" w:fill="4F81BD"/>
          </w:tcPr>
          <w:p>
            <w:pPr>
              <w:ind w:left="300"/>
              <w:spacing w:after="0"/>
              <w:rPr>
                <w:sz w:val="20"/>
                <w:szCs w:val="20"/>
                <w:color w:val="auto"/>
              </w:rPr>
            </w:pPr>
            <w:r>
              <w:rPr>
                <w:rFonts w:ascii="Arial" w:cs="Arial" w:eastAsia="Arial" w:hAnsi="Arial"/>
                <w:sz w:val="16"/>
                <w:szCs w:val="16"/>
                <w:b w:val="1"/>
                <w:bCs w:val="1"/>
                <w:color w:val="FFFFFF"/>
              </w:rPr>
              <w:t>PRSU Payout %</w:t>
            </w:r>
          </w:p>
        </w:tc>
      </w:tr>
      <w:tr>
        <w:trPr>
          <w:trHeight w:val="216"/>
        </w:trPr>
        <w:tc>
          <w:tcPr>
            <w:tcW w:w="1800" w:type="dxa"/>
            <w:vAlign w:val="bottom"/>
            <w:tcBorders>
              <w:left w:val="single" w:sz="8" w:color="95B3D7"/>
              <w:bottom w:val="single" w:sz="8" w:color="95B3D7"/>
              <w:right w:val="single" w:sz="8" w:color="95B3D7"/>
            </w:tcBorders>
            <w:shd w:val="clear" w:color="auto" w:fill="DBE5F1"/>
          </w:tcPr>
          <w:p>
            <w:pPr>
              <w:jc w:val="center"/>
              <w:spacing w:after="0" w:line="216" w:lineRule="exact"/>
              <w:rPr>
                <w:sz w:val="20"/>
                <w:szCs w:val="20"/>
                <w:color w:val="auto"/>
              </w:rPr>
            </w:pPr>
            <w:r>
              <w:rPr>
                <w:rFonts w:ascii="Arial" w:cs="Arial" w:eastAsia="Arial" w:hAnsi="Arial"/>
                <w:sz w:val="16"/>
                <w:szCs w:val="16"/>
                <w:color w:val="auto"/>
                <w:w w:val="90"/>
              </w:rPr>
              <w:t>&lt; 25</w:t>
            </w:r>
            <w:r>
              <w:rPr>
                <w:rFonts w:ascii="Arial" w:cs="Arial" w:eastAsia="Arial" w:hAnsi="Arial"/>
                <w:sz w:val="21"/>
                <w:szCs w:val="21"/>
                <w:color w:val="auto"/>
                <w:w w:val="90"/>
                <w:vertAlign w:val="superscript"/>
              </w:rPr>
              <w:t>th</w:t>
            </w:r>
            <w:r>
              <w:rPr>
                <w:rFonts w:ascii="Arial" w:cs="Arial" w:eastAsia="Arial" w:hAnsi="Arial"/>
                <w:sz w:val="16"/>
                <w:szCs w:val="16"/>
                <w:color w:val="auto"/>
                <w:w w:val="90"/>
              </w:rPr>
              <w:t xml:space="preserve"> percentile</w:t>
            </w:r>
          </w:p>
        </w:tc>
        <w:tc>
          <w:tcPr>
            <w:tcW w:w="17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86"/>
              </w:rPr>
              <w:t>0%</w:t>
            </w:r>
          </w:p>
        </w:tc>
      </w:tr>
      <w:tr>
        <w:trPr>
          <w:trHeight w:val="210"/>
        </w:trPr>
        <w:tc>
          <w:tcPr>
            <w:tcW w:w="1800" w:type="dxa"/>
            <w:vAlign w:val="bottom"/>
            <w:tcBorders>
              <w:left w:val="single" w:sz="8" w:color="95B3D7"/>
              <w:bottom w:val="single" w:sz="8" w:color="95B3D7"/>
              <w:right w:val="single" w:sz="8" w:color="95B3D7"/>
            </w:tcBorders>
          </w:tcPr>
          <w:p>
            <w:pPr>
              <w:jc w:val="center"/>
              <w:spacing w:after="0" w:line="210" w:lineRule="exact"/>
              <w:rPr>
                <w:sz w:val="20"/>
                <w:szCs w:val="20"/>
                <w:color w:val="auto"/>
              </w:rPr>
            </w:pPr>
            <w:r>
              <w:rPr>
                <w:rFonts w:ascii="Arial" w:cs="Arial" w:eastAsia="Arial" w:hAnsi="Arial"/>
                <w:sz w:val="16"/>
                <w:szCs w:val="16"/>
                <w:color w:val="auto"/>
                <w:w w:val="89"/>
              </w:rPr>
              <w:t>25</w:t>
            </w:r>
            <w:r>
              <w:rPr>
                <w:rFonts w:ascii="Arial" w:cs="Arial" w:eastAsia="Arial" w:hAnsi="Arial"/>
                <w:sz w:val="21"/>
                <w:szCs w:val="21"/>
                <w:color w:val="auto"/>
                <w:w w:val="89"/>
                <w:vertAlign w:val="superscript"/>
              </w:rPr>
              <w:t>th</w:t>
            </w:r>
            <w:r>
              <w:rPr>
                <w:rFonts w:ascii="Arial" w:cs="Arial" w:eastAsia="Arial" w:hAnsi="Arial"/>
                <w:sz w:val="16"/>
                <w:szCs w:val="16"/>
                <w:color w:val="auto"/>
                <w:w w:val="89"/>
              </w:rPr>
              <w:t xml:space="preserve"> percentile</w:t>
            </w:r>
          </w:p>
        </w:tc>
        <w:tc>
          <w:tcPr>
            <w:tcW w:w="178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w w:val="93"/>
              </w:rPr>
              <w:t>50%</w:t>
            </w:r>
          </w:p>
        </w:tc>
      </w:tr>
      <w:tr>
        <w:trPr>
          <w:trHeight w:val="209"/>
        </w:trPr>
        <w:tc>
          <w:tcPr>
            <w:tcW w:w="1800" w:type="dxa"/>
            <w:vAlign w:val="bottom"/>
            <w:tcBorders>
              <w:left w:val="single" w:sz="8" w:color="95B3D7"/>
              <w:bottom w:val="single" w:sz="8" w:color="95B3D7"/>
              <w:right w:val="single" w:sz="8" w:color="95B3D7"/>
            </w:tcBorders>
            <w:shd w:val="clear" w:color="auto" w:fill="DBE5F1"/>
          </w:tcPr>
          <w:p>
            <w:pPr>
              <w:jc w:val="center"/>
              <w:spacing w:after="0" w:line="210" w:lineRule="exact"/>
              <w:rPr>
                <w:sz w:val="20"/>
                <w:szCs w:val="20"/>
                <w:color w:val="auto"/>
              </w:rPr>
            </w:pPr>
            <w:r>
              <w:rPr>
                <w:rFonts w:ascii="Arial" w:cs="Arial" w:eastAsia="Arial" w:hAnsi="Arial"/>
                <w:sz w:val="16"/>
                <w:szCs w:val="16"/>
                <w:color w:val="auto"/>
                <w:w w:val="89"/>
              </w:rPr>
              <w:t>55</w:t>
            </w:r>
            <w:r>
              <w:rPr>
                <w:rFonts w:ascii="Arial" w:cs="Arial" w:eastAsia="Arial" w:hAnsi="Arial"/>
                <w:sz w:val="21"/>
                <w:szCs w:val="21"/>
                <w:color w:val="auto"/>
                <w:w w:val="89"/>
                <w:vertAlign w:val="superscript"/>
              </w:rPr>
              <w:t>th</w:t>
            </w:r>
            <w:r>
              <w:rPr>
                <w:rFonts w:ascii="Arial" w:cs="Arial" w:eastAsia="Arial" w:hAnsi="Arial"/>
                <w:sz w:val="16"/>
                <w:szCs w:val="16"/>
                <w:color w:val="auto"/>
                <w:w w:val="89"/>
              </w:rPr>
              <w:t xml:space="preserve"> percentile</w:t>
            </w:r>
          </w:p>
        </w:tc>
        <w:tc>
          <w:tcPr>
            <w:tcW w:w="178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2"/>
              </w:rPr>
              <w:t>100%</w:t>
            </w:r>
          </w:p>
        </w:tc>
      </w:tr>
      <w:tr>
        <w:trPr>
          <w:trHeight w:val="210"/>
        </w:trPr>
        <w:tc>
          <w:tcPr>
            <w:tcW w:w="1800" w:type="dxa"/>
            <w:vAlign w:val="bottom"/>
            <w:tcBorders>
              <w:left w:val="single" w:sz="8" w:color="95B3D7"/>
              <w:bottom w:val="single" w:sz="8" w:color="95B3D7"/>
              <w:right w:val="single" w:sz="8" w:color="95B3D7"/>
            </w:tcBorders>
          </w:tcPr>
          <w:p>
            <w:pPr>
              <w:jc w:val="center"/>
              <w:spacing w:after="0" w:line="210" w:lineRule="exact"/>
              <w:rPr>
                <w:sz w:val="20"/>
                <w:szCs w:val="20"/>
                <w:color w:val="auto"/>
              </w:rPr>
            </w:pPr>
            <w:r>
              <w:rPr>
                <w:rFonts w:ascii="Arial" w:cs="Arial" w:eastAsia="Arial" w:hAnsi="Arial"/>
                <w:sz w:val="16"/>
                <w:szCs w:val="16"/>
                <w:color w:val="auto"/>
                <w:w w:val="89"/>
              </w:rPr>
              <w:t>75</w:t>
            </w:r>
            <w:r>
              <w:rPr>
                <w:rFonts w:ascii="Arial" w:cs="Arial" w:eastAsia="Arial" w:hAnsi="Arial"/>
                <w:sz w:val="21"/>
                <w:szCs w:val="21"/>
                <w:color w:val="auto"/>
                <w:w w:val="89"/>
                <w:vertAlign w:val="superscript"/>
              </w:rPr>
              <w:t>th</w:t>
            </w:r>
            <w:r>
              <w:rPr>
                <w:rFonts w:ascii="Arial" w:cs="Arial" w:eastAsia="Arial" w:hAnsi="Arial"/>
                <w:sz w:val="16"/>
                <w:szCs w:val="16"/>
                <w:color w:val="auto"/>
                <w:w w:val="89"/>
              </w:rPr>
              <w:t xml:space="preserve"> percentile</w:t>
            </w:r>
          </w:p>
        </w:tc>
        <w:tc>
          <w:tcPr>
            <w:tcW w:w="178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w w:val="92"/>
              </w:rPr>
              <w:t>200%</w:t>
            </w:r>
          </w:p>
        </w:tc>
      </w:tr>
    </w:tbl>
    <w:p>
      <w:pPr>
        <w:spacing w:after="0" w:line="314" w:lineRule="exact"/>
        <w:rPr>
          <w:sz w:val="20"/>
          <w:szCs w:val="20"/>
          <w:color w:val="auto"/>
        </w:rPr>
      </w:pPr>
    </w:p>
    <w:p>
      <w:pPr>
        <w:ind w:left="328"/>
        <w:spacing w:after="0" w:line="310" w:lineRule="auto"/>
        <w:rPr>
          <w:sz w:val="20"/>
          <w:szCs w:val="20"/>
          <w:color w:val="auto"/>
        </w:rPr>
      </w:pPr>
      <w:r>
        <w:rPr>
          <w:rFonts w:ascii="Arial" w:cs="Arial" w:eastAsia="Arial" w:hAnsi="Arial"/>
          <w:sz w:val="16"/>
          <w:szCs w:val="16"/>
          <w:color w:val="auto"/>
        </w:rPr>
        <w:t>“Beginning Stock Price” shall mean the average of the closing prices of the applicable stock for the 90 calendar days starting and including the first day of the Performance Period.</w:t>
      </w:r>
    </w:p>
    <w:p>
      <w:pPr>
        <w:spacing w:after="0" w:line="146" w:lineRule="exact"/>
        <w:rPr>
          <w:sz w:val="20"/>
          <w:szCs w:val="20"/>
          <w:color w:val="auto"/>
        </w:rPr>
      </w:pPr>
    </w:p>
    <w:p>
      <w:pPr>
        <w:ind w:left="328"/>
        <w:spacing w:after="0"/>
        <w:rPr>
          <w:sz w:val="20"/>
          <w:szCs w:val="20"/>
          <w:color w:val="auto"/>
        </w:rPr>
      </w:pPr>
      <w:r>
        <w:rPr>
          <w:rFonts w:ascii="Arial" w:cs="Arial" w:eastAsia="Arial" w:hAnsi="Arial"/>
          <w:sz w:val="15"/>
          <w:szCs w:val="15"/>
          <w:color w:val="auto"/>
        </w:rPr>
        <w:t>“Cumulative Cash Dividend Payments” shall mean the sum of all cash dividends declared during the Performance Period, based on their ex-dividend date.</w:t>
      </w:r>
    </w:p>
    <w:p>
      <w:pPr>
        <w:spacing w:after="0" w:line="219" w:lineRule="exact"/>
        <w:rPr>
          <w:sz w:val="20"/>
          <w:szCs w:val="20"/>
          <w:color w:val="auto"/>
        </w:rPr>
      </w:pPr>
    </w:p>
    <w:p>
      <w:pPr>
        <w:ind w:left="328"/>
        <w:spacing w:after="0" w:line="310" w:lineRule="auto"/>
        <w:rPr>
          <w:sz w:val="20"/>
          <w:szCs w:val="20"/>
          <w:color w:val="auto"/>
        </w:rPr>
      </w:pPr>
      <w:r>
        <w:rPr>
          <w:rFonts w:ascii="Arial" w:cs="Arial" w:eastAsia="Arial" w:hAnsi="Arial"/>
          <w:sz w:val="16"/>
          <w:szCs w:val="16"/>
          <w:color w:val="auto"/>
        </w:rPr>
        <w:t>“Ending Stock Price” shall mean the average of the closing price of the applicable stock for the 90 calendar days up to and including the last day of the Performance Period.</w:t>
      </w:r>
    </w:p>
    <w:p>
      <w:pPr>
        <w:spacing w:after="0" w:line="119" w:lineRule="exact"/>
        <w:rPr>
          <w:sz w:val="20"/>
          <w:szCs w:val="20"/>
          <w:color w:val="auto"/>
        </w:rPr>
      </w:pPr>
    </w:p>
    <w:p>
      <w:pPr>
        <w:ind w:left="328"/>
        <w:spacing w:after="0" w:line="272" w:lineRule="auto"/>
        <w:rPr>
          <w:sz w:val="20"/>
          <w:szCs w:val="20"/>
          <w:color w:val="auto"/>
        </w:rPr>
      </w:pPr>
      <w:r>
        <w:rPr>
          <w:rFonts w:ascii="Arial" w:cs="Arial" w:eastAsia="Arial" w:hAnsi="Arial"/>
          <w:sz w:val="15"/>
          <w:szCs w:val="15"/>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95"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Total Shareholder Return (“TSR”) shall be computed according to the following formula:</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 xml:space="preserve">TSR = </w:t>
      </w:r>
      <w:r>
        <w:rPr>
          <w:rFonts w:ascii="Arial" w:cs="Arial" w:eastAsia="Arial" w:hAnsi="Arial"/>
          <w:sz w:val="16"/>
          <w:szCs w:val="16"/>
          <w:u w:val="single" w:color="auto"/>
          <w:color w:val="auto"/>
        </w:rPr>
        <w:t>(Ending Stock Price – Beginning Stock Price + Cumulative Cash Dividend Payments)</w:t>
      </w:r>
    </w:p>
    <w:p>
      <w:pPr>
        <w:jc w:val="center"/>
        <w:ind w:right="-7"/>
        <w:spacing w:after="0"/>
        <w:rPr>
          <w:sz w:val="20"/>
          <w:szCs w:val="20"/>
          <w:color w:val="auto"/>
        </w:rPr>
      </w:pPr>
      <w:r>
        <w:rPr>
          <w:rFonts w:ascii="Arial" w:cs="Arial" w:eastAsia="Arial" w:hAnsi="Arial"/>
          <w:sz w:val="16"/>
          <w:szCs w:val="16"/>
          <w:color w:val="auto"/>
        </w:rPr>
        <w:t>(Beginning Stock Price)</w:t>
      </w:r>
    </w:p>
    <w:p>
      <w:pPr>
        <w:spacing w:after="0" w:line="383"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8" w:lineRule="exact"/>
        <w:rPr>
          <w:sz w:val="20"/>
          <w:szCs w:val="20"/>
          <w:color w:val="auto"/>
        </w:rPr>
      </w:pPr>
    </w:p>
    <w:p>
      <w:pPr>
        <w:ind w:left="328"/>
        <w:spacing w:after="0"/>
        <w:rPr>
          <w:sz w:val="20"/>
          <w:szCs w:val="20"/>
          <w:color w:val="auto"/>
        </w:rPr>
      </w:pPr>
      <w:r>
        <w:rPr>
          <w:rFonts w:ascii="Arial" w:cs="Arial" w:eastAsia="Arial" w:hAnsi="Arial"/>
          <w:sz w:val="16"/>
          <w:szCs w:val="16"/>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7"/>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0588"/>
          </w:cols>
          <w:pgMar w:left="652" w:top="1017" w:right="659" w:bottom="1440" w:gutter="0" w:footer="0" w:header="0"/>
        </w:sectPr>
      </w:pPr>
    </w:p>
    <w:bookmarkStart w:id="35" w:name="page36"/>
    <w:bookmarkEnd w:id="35"/>
    <w:p>
      <w:pPr>
        <w:jc w:val="center"/>
        <w:ind w:right="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0" w:right="320"/>
        <w:spacing w:after="0" w:line="248" w:lineRule="auto"/>
        <w:rPr>
          <w:sz w:val="20"/>
          <w:szCs w:val="20"/>
          <w:color w:val="auto"/>
        </w:rPr>
      </w:pPr>
      <w:r>
        <w:rPr>
          <w:rFonts w:ascii="Arial" w:cs="Arial" w:eastAsia="Arial" w:hAnsi="Arial"/>
          <w:sz w:val="15"/>
          <w:szCs w:val="15"/>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208" w:lineRule="exact"/>
        <w:rPr>
          <w:sz w:val="20"/>
          <w:szCs w:val="20"/>
          <w:color w:val="auto"/>
        </w:rPr>
      </w:pPr>
    </w:p>
    <w:p>
      <w:pPr>
        <w:jc w:val="both"/>
        <w:ind w:left="160" w:right="320"/>
        <w:spacing w:after="0" w:line="222" w:lineRule="auto"/>
        <w:rPr>
          <w:sz w:val="20"/>
          <w:szCs w:val="20"/>
          <w:color w:val="auto"/>
        </w:rPr>
      </w:pPr>
      <w:r>
        <w:rPr>
          <w:rFonts w:ascii="Arial" w:cs="Arial" w:eastAsia="Arial" w:hAnsi="Arial"/>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October 2022.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6" w:lineRule="exact"/>
        <w:rPr>
          <w:sz w:val="20"/>
          <w:szCs w:val="20"/>
          <w:color w:val="auto"/>
        </w:rPr>
      </w:pPr>
    </w:p>
    <w:p>
      <w:pPr>
        <w:jc w:val="both"/>
        <w:ind w:left="160" w:right="320"/>
        <w:spacing w:after="0" w:line="230"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0" w:lineRule="exact"/>
        <w:rPr>
          <w:sz w:val="20"/>
          <w:szCs w:val="20"/>
          <w:color w:val="auto"/>
        </w:rPr>
      </w:pPr>
    </w:p>
    <w:p>
      <w:pPr>
        <w:jc w:val="both"/>
        <w:ind w:left="160" w:right="320"/>
        <w:spacing w:after="0" w:line="248" w:lineRule="auto"/>
        <w:rPr>
          <w:sz w:val="20"/>
          <w:szCs w:val="20"/>
          <w:color w:val="auto"/>
        </w:rPr>
      </w:pPr>
      <w:r>
        <w:rPr>
          <w:rFonts w:ascii="Arial" w:cs="Arial" w:eastAsia="Arial" w:hAnsi="Arial"/>
          <w:sz w:val="15"/>
          <w:szCs w:val="15"/>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8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TERMS AND CONDITIONS APPLICABLE TO PARTICIPANTS OUTSIDE THE U.S.</w:t>
      </w:r>
    </w:p>
    <w:p>
      <w:pPr>
        <w:spacing w:after="0" w:line="225" w:lineRule="exact"/>
        <w:rPr>
          <w:sz w:val="20"/>
          <w:szCs w:val="20"/>
          <w:color w:val="auto"/>
        </w:rPr>
      </w:pPr>
    </w:p>
    <w:p>
      <w:pPr>
        <w:jc w:val="both"/>
        <w:ind w:left="160"/>
        <w:spacing w:after="0" w:line="248" w:lineRule="auto"/>
        <w:rPr>
          <w:sz w:val="20"/>
          <w:szCs w:val="20"/>
          <w:color w:val="auto"/>
        </w:rPr>
      </w:pPr>
      <w:r>
        <w:rPr>
          <w:rFonts w:ascii="Arial" w:cs="Arial" w:eastAsia="Arial" w:hAnsi="Arial"/>
          <w:sz w:val="15"/>
          <w:szCs w:val="15"/>
          <w:b w:val="1"/>
          <w:bCs w:val="1"/>
          <w:i w:val="1"/>
          <w:iCs w:val="1"/>
          <w:u w:val="single" w:color="auto"/>
          <w:color w:val="auto"/>
        </w:rPr>
        <w:t>Data Privacy Information and Consent</w:t>
      </w:r>
      <w:r>
        <w:rPr>
          <w:rFonts w:ascii="Arial" w:cs="Arial" w:eastAsia="Arial" w:hAnsi="Arial"/>
          <w:sz w:val="15"/>
          <w:szCs w:val="15"/>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3" w:lineRule="exact"/>
        <w:rPr>
          <w:sz w:val="20"/>
          <w:szCs w:val="20"/>
          <w:color w:val="auto"/>
        </w:rPr>
      </w:pPr>
    </w:p>
    <w:p>
      <w:pPr>
        <w:jc w:val="both"/>
        <w:ind w:left="480" w:hanging="328"/>
        <w:spacing w:after="0" w:line="235" w:lineRule="auto"/>
        <w:tabs>
          <w:tab w:leader="none" w:pos="480" w:val="left"/>
        </w:tabs>
        <w:numPr>
          <w:ilvl w:val="0"/>
          <w:numId w:val="21"/>
        </w:numPr>
        <w:rPr>
          <w:rFonts w:ascii="Arial" w:cs="Arial" w:eastAsia="Arial" w:hAnsi="Arial"/>
          <w:sz w:val="15"/>
          <w:szCs w:val="15"/>
          <w:color w:val="auto"/>
        </w:rPr>
      </w:pPr>
      <w:r>
        <w:rPr>
          <w:rFonts w:ascii="Arial" w:cs="Arial" w:eastAsia="Arial" w:hAnsi="Arial"/>
          <w:sz w:val="15"/>
          <w:szCs w:val="15"/>
          <w:b w:val="1"/>
          <w:bCs w:val="1"/>
          <w:i w:val="1"/>
          <w:iCs w:val="1"/>
          <w:u w:val="single" w:color="auto"/>
          <w:color w:val="auto"/>
        </w:rPr>
        <w:t>Data Collection and Usage</w:t>
      </w:r>
      <w:r>
        <w:rPr>
          <w:rFonts w:ascii="Arial" w:cs="Arial" w:eastAsia="Arial" w:hAnsi="Arial"/>
          <w:sz w:val="15"/>
          <w:szCs w:val="15"/>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20" w:lineRule="exact"/>
        <w:rPr>
          <w:rFonts w:ascii="Arial" w:cs="Arial" w:eastAsia="Arial" w:hAnsi="Arial"/>
          <w:sz w:val="15"/>
          <w:szCs w:val="15"/>
          <w:color w:val="auto"/>
        </w:rPr>
      </w:pPr>
    </w:p>
    <w:p>
      <w:pPr>
        <w:jc w:val="both"/>
        <w:ind w:left="480" w:hanging="328"/>
        <w:spacing w:after="0" w:line="258"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Stock Plan Administration Service Providers</w:t>
      </w:r>
      <w:r>
        <w:rPr>
          <w:rFonts w:ascii="Arial" w:cs="Arial" w:eastAsia="Arial" w:hAnsi="Arial"/>
          <w:sz w:val="14"/>
          <w:szCs w:val="14"/>
          <w:b w:val="1"/>
          <w:bCs w:val="1"/>
          <w:i w:val="1"/>
          <w:iCs w:val="1"/>
          <w:color w:val="auto"/>
        </w:rPr>
        <w:t>. The Company transfers participant data to Fidelity and certain of its affiliates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06" w:lineRule="exact"/>
        <w:rPr>
          <w:rFonts w:ascii="Arial" w:cs="Arial" w:eastAsia="Arial" w:hAnsi="Arial"/>
          <w:sz w:val="14"/>
          <w:szCs w:val="14"/>
          <w:color w:val="auto"/>
        </w:rPr>
      </w:pPr>
    </w:p>
    <w:p>
      <w:pPr>
        <w:jc w:val="both"/>
        <w:ind w:left="480" w:hanging="328"/>
        <w:spacing w:after="0" w:line="251" w:lineRule="auto"/>
        <w:tabs>
          <w:tab w:leader="none" w:pos="480" w:val="left"/>
        </w:tabs>
        <w:numPr>
          <w:ilvl w:val="0"/>
          <w:numId w:val="21"/>
        </w:numPr>
        <w:rPr>
          <w:rFonts w:ascii="Arial" w:cs="Arial" w:eastAsia="Arial" w:hAnsi="Arial"/>
          <w:sz w:val="14"/>
          <w:szCs w:val="14"/>
          <w:color w:val="auto"/>
        </w:rPr>
      </w:pPr>
      <w:r>
        <w:rPr>
          <w:rFonts w:ascii="Arial" w:cs="Arial" w:eastAsia="Arial" w:hAnsi="Arial"/>
          <w:sz w:val="14"/>
          <w:szCs w:val="14"/>
          <w:b w:val="1"/>
          <w:bCs w:val="1"/>
          <w:i w:val="1"/>
          <w:iCs w:val="1"/>
          <w:u w:val="single" w:color="auto"/>
          <w:color w:val="auto"/>
        </w:rPr>
        <w:t>International Data Transfers</w:t>
      </w:r>
      <w:r>
        <w:rPr>
          <w:rFonts w:ascii="Arial" w:cs="Arial" w:eastAsia="Arial" w:hAnsi="Arial"/>
          <w:sz w:val="14"/>
          <w:szCs w:val="14"/>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1" w:lineRule="exact"/>
        <w:rPr>
          <w:rFonts w:ascii="Arial" w:cs="Arial" w:eastAsia="Arial" w:hAnsi="Arial"/>
          <w:sz w:val="14"/>
          <w:szCs w:val="14"/>
          <w:color w:val="auto"/>
        </w:rPr>
      </w:pPr>
    </w:p>
    <w:p>
      <w:pPr>
        <w:jc w:val="both"/>
        <w:ind w:left="480" w:hanging="328"/>
        <w:spacing w:after="0" w:line="222"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Retention</w:t>
      </w:r>
      <w:r>
        <w:rPr>
          <w:rFonts w:ascii="Arial" w:cs="Arial" w:eastAsia="Arial" w:hAnsi="Arial"/>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21" w:lineRule="exact"/>
        <w:rPr>
          <w:rFonts w:ascii="Arial" w:cs="Arial" w:eastAsia="Arial" w:hAnsi="Arial"/>
          <w:sz w:val="16"/>
          <w:szCs w:val="16"/>
          <w:color w:val="auto"/>
        </w:rPr>
      </w:pPr>
    </w:p>
    <w:p>
      <w:pPr>
        <w:jc w:val="both"/>
        <w:ind w:left="480" w:hanging="328"/>
        <w:spacing w:after="0" w:line="225" w:lineRule="auto"/>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Voluntariness and Consequences of Consent Denial or Withdrawal</w:t>
      </w:r>
      <w:r>
        <w:rPr>
          <w:rFonts w:ascii="Arial" w:cs="Arial" w:eastAsia="Arial" w:hAnsi="Arial"/>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20" w:lineRule="exact"/>
        <w:rPr>
          <w:rFonts w:ascii="Arial" w:cs="Arial" w:eastAsia="Arial" w:hAnsi="Arial"/>
          <w:sz w:val="16"/>
          <w:szCs w:val="16"/>
          <w:color w:val="auto"/>
        </w:rPr>
      </w:pPr>
    </w:p>
    <w:p>
      <w:pPr>
        <w:ind w:left="480" w:hanging="328"/>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Subject Rights</w:t>
      </w:r>
      <w:r>
        <w:rPr>
          <w:rFonts w:ascii="Arial" w:cs="Arial" w:eastAsia="Arial" w:hAnsi="Arial"/>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w:t>
      </w:r>
    </w:p>
    <w:p>
      <w:pPr>
        <w:sectPr>
          <w:pgSz w:w="11900" w:h="16838" w:orient="portrait"/>
          <w:cols w:equalWidth="0" w:num="1">
            <w:col w:w="11060"/>
          </w:cols>
          <w:pgMar w:left="500" w:top="1017"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APPENDIX B - 1</w:t>
      </w:r>
    </w:p>
    <w:p>
      <w:pPr>
        <w:sectPr>
          <w:pgSz w:w="11900" w:h="16838" w:orient="portrait"/>
          <w:cols w:equalWidth="0" w:num="1">
            <w:col w:w="11060"/>
          </w:cols>
          <w:pgMar w:left="500" w:top="1017" w:right="339" w:bottom="1440" w:gutter="0" w:footer="0" w:header="0"/>
          <w:type w:val="continuous"/>
        </w:sectPr>
      </w:pPr>
    </w:p>
    <w:bookmarkStart w:id="36" w:name="page37"/>
    <w:bookmarkEnd w:id="36"/>
    <w:p>
      <w:pPr>
        <w:jc w:val="center"/>
        <w:ind w:right="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480"/>
        <w:spacing w:after="0" w:line="241" w:lineRule="auto"/>
        <w:rPr>
          <w:sz w:val="20"/>
          <w:szCs w:val="20"/>
          <w:color w:val="auto"/>
        </w:rPr>
      </w:pPr>
      <w:r>
        <w:rPr>
          <w:rFonts w:ascii="Arial" w:cs="Arial" w:eastAsia="Arial" w:hAnsi="Arial"/>
          <w:sz w:val="15"/>
          <w:szCs w:val="15"/>
          <w:b w:val="1"/>
          <w:bCs w:val="1"/>
          <w:i w:val="1"/>
          <w:iCs w:val="1"/>
          <w:color w:val="auto"/>
        </w:rPr>
        <w:t>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7" w:lineRule="exact"/>
        <w:rPr>
          <w:sz w:val="20"/>
          <w:szCs w:val="20"/>
          <w:color w:val="auto"/>
        </w:rPr>
      </w:pPr>
    </w:p>
    <w:p>
      <w:pPr>
        <w:jc w:val="both"/>
        <w:ind w:left="160" w:right="320"/>
        <w:spacing w:after="0" w:line="230" w:lineRule="auto"/>
        <w:rPr>
          <w:sz w:val="20"/>
          <w:szCs w:val="20"/>
          <w:color w:val="auto"/>
        </w:rPr>
      </w:pPr>
      <w:r>
        <w:rPr>
          <w:rFonts w:ascii="Arial" w:cs="Arial" w:eastAsia="Arial" w:hAnsi="Arial"/>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14" w:lineRule="exact"/>
        <w:rPr>
          <w:sz w:val="20"/>
          <w:szCs w:val="20"/>
          <w:color w:val="auto"/>
        </w:rPr>
      </w:pPr>
    </w:p>
    <w:p>
      <w:pPr>
        <w:jc w:val="both"/>
        <w:ind w:left="160" w:right="320"/>
        <w:spacing w:after="0"/>
        <w:rPr>
          <w:sz w:val="20"/>
          <w:szCs w:val="20"/>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AUSTRALIA</w:t>
      </w:r>
    </w:p>
    <w:p>
      <w:pPr>
        <w:spacing w:after="0" w:line="239" w:lineRule="exact"/>
        <w:rPr>
          <w:sz w:val="20"/>
          <w:szCs w:val="20"/>
          <w:color w:val="auto"/>
        </w:rPr>
      </w:pPr>
    </w:p>
    <w:p>
      <w:pPr>
        <w:jc w:val="both"/>
        <w:ind w:left="160" w:right="320"/>
        <w:spacing w:after="0" w:line="230"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This offer of Performance RSUs is being made under Division 1A Part 7.12 of the Australian Corporations Act 2001 (Cth). If the Participant offers Shares acquired under the Plan for sale to a person or entity resident in Australia, the Participant’s offer may be subject to disclosure requirements under Australian law. The Participant should obtain legal advice on any disclosure obligations prior to making any such offer.</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Tax Information</w:t>
      </w:r>
      <w:r>
        <w:rPr>
          <w:rFonts w:ascii="Arial" w:cs="Arial" w:eastAsia="Arial" w:hAnsi="Arial"/>
          <w:sz w:val="16"/>
          <w:szCs w:val="16"/>
          <w:color w:val="auto"/>
        </w:rPr>
        <w:t>. The Plan is a plan to which Subdivision 83A-C of the Income Tax Assessment Act (Cth) applies (subject to the conditions in the Act).</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AUSTRIA</w:t>
      </w:r>
    </w:p>
    <w:p>
      <w:pPr>
        <w:spacing w:after="0" w:line="239" w:lineRule="exact"/>
        <w:rPr>
          <w:sz w:val="20"/>
          <w:szCs w:val="20"/>
          <w:color w:val="auto"/>
        </w:rPr>
      </w:pPr>
    </w:p>
    <w:p>
      <w:pPr>
        <w:jc w:val="both"/>
        <w:ind w:left="160" w:right="320"/>
        <w:spacing w:after="0" w:line="220"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holds securities (including Shares acquired under the Plan ) or cash (including proceeds from the sale of Shares) outside Austria, he or she may be subject to reporting obligations to the Austrian National Bank. If the value of the Shares meets or exceeds a certain threshold, the Participant must report the securities held on a quarterly basis to the Austrian National Bank as of the last day of the quarter, on or before the 15th day of the month following the end of the calendar quarter. In all other cases, an annual reporting obligation applies and the report has to be filed as of December 31 on or before January 31 of the following year using the form P2. Where the cash amounts held outside Austria meet or exceed a certain threshold, monthly reporting obligations apply as explained in the next paragraph.</w:t>
      </w:r>
    </w:p>
    <w:p>
      <w:pPr>
        <w:spacing w:after="0" w:line="217" w:lineRule="exact"/>
        <w:rPr>
          <w:sz w:val="20"/>
          <w:szCs w:val="20"/>
          <w:color w:val="auto"/>
        </w:rPr>
      </w:pPr>
    </w:p>
    <w:p>
      <w:pPr>
        <w:jc w:val="both"/>
        <w:ind w:left="160" w:right="320"/>
        <w:spacing w:after="0" w:line="225" w:lineRule="auto"/>
        <w:rPr>
          <w:sz w:val="20"/>
          <w:szCs w:val="20"/>
          <w:color w:val="auto"/>
        </w:rPr>
      </w:pPr>
      <w:r>
        <w:rPr>
          <w:rFonts w:ascii="Arial" w:cs="Arial" w:eastAsia="Arial" w:hAnsi="Arial"/>
          <w:sz w:val="16"/>
          <w:szCs w:val="16"/>
          <w:color w:val="auto"/>
        </w:rPr>
        <w:t>If the Participant sells Shares, or receives any cash dividends, the Participant may have exchange control obligations if he or she holds the cash proceeds outside Austria. If the transaction volume of all the Participant’s accounts abroad meets or exceeds a certain threshold, the Participant must report to the Austrian National Bank the movements and balances of all accounts on a monthly basis, as of the last day of the month, on or before the 15th day of the following month, using the form “</w:t>
      </w:r>
      <w:r>
        <w:rPr>
          <w:rFonts w:ascii="Arial" w:cs="Arial" w:eastAsia="Arial" w:hAnsi="Arial"/>
          <w:sz w:val="16"/>
          <w:szCs w:val="16"/>
          <w:i w:val="1"/>
          <w:iCs w:val="1"/>
          <w:color w:val="auto"/>
        </w:rPr>
        <w:t>Meldungen SI-Forderungen und/oder SI-Verpflichtungen</w:t>
      </w:r>
      <w:r>
        <w:rPr>
          <w:rFonts w:ascii="Arial" w:cs="Arial" w:eastAsia="Arial" w:hAnsi="Arial"/>
          <w:sz w:val="16"/>
          <w:szCs w:val="16"/>
          <w:color w:val="auto"/>
        </w:rPr>
        <w:t>.”</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BELGIUM</w:t>
      </w:r>
    </w:p>
    <w:p>
      <w:pPr>
        <w:spacing w:after="0" w:line="239" w:lineRule="exact"/>
        <w:rPr>
          <w:sz w:val="20"/>
          <w:szCs w:val="20"/>
          <w:color w:val="auto"/>
        </w:rPr>
      </w:pPr>
    </w:p>
    <w:p>
      <w:pPr>
        <w:jc w:val="both"/>
        <w:ind w:left="160" w:right="320"/>
        <w:spacing w:after="0" w:line="22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15" w:lineRule="exact"/>
        <w:rPr>
          <w:sz w:val="20"/>
          <w:szCs w:val="20"/>
          <w:color w:val="auto"/>
        </w:rPr>
      </w:pPr>
    </w:p>
    <w:p>
      <w:pPr>
        <w:jc w:val="both"/>
        <w:ind w:left="160" w:right="320"/>
        <w:spacing w:after="0" w:line="222" w:lineRule="auto"/>
        <w:rPr>
          <w:sz w:val="20"/>
          <w:szCs w:val="20"/>
          <w:color w:val="auto"/>
        </w:rPr>
      </w:pPr>
      <w:r>
        <w:rPr>
          <w:rFonts w:ascii="Arial" w:cs="Arial" w:eastAsia="Arial" w:hAnsi="Arial"/>
          <w:sz w:val="16"/>
          <w:szCs w:val="16"/>
          <w:u w:val="single" w:color="auto"/>
          <w:color w:val="auto"/>
        </w:rPr>
        <w:t>Stock Exchange Tax</w:t>
      </w:r>
      <w:r>
        <w:rPr>
          <w:rFonts w:ascii="Arial" w:cs="Arial" w:eastAsia="Arial" w:hAnsi="Arial"/>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6" w:lineRule="exact"/>
        <w:rPr>
          <w:sz w:val="20"/>
          <w:szCs w:val="20"/>
          <w:color w:val="auto"/>
        </w:rPr>
      </w:pPr>
    </w:p>
    <w:p>
      <w:pPr>
        <w:jc w:val="both"/>
        <w:ind w:left="160" w:right="320"/>
        <w:spacing w:after="0" w:line="225" w:lineRule="auto"/>
        <w:rPr>
          <w:sz w:val="20"/>
          <w:szCs w:val="20"/>
          <w:color w:val="auto"/>
        </w:rPr>
      </w:pPr>
      <w:r>
        <w:rPr>
          <w:rFonts w:ascii="Arial" w:cs="Arial" w:eastAsia="Arial" w:hAnsi="Arial"/>
          <w:sz w:val="16"/>
          <w:szCs w:val="16"/>
          <w:u w:val="single" w:color="auto"/>
          <w:color w:val="auto"/>
        </w:rPr>
        <w:t>Annual Securities Accounts Tax</w:t>
      </w:r>
      <w:r>
        <w:rPr>
          <w:rFonts w:ascii="Arial" w:cs="Arial" w:eastAsia="Arial" w:hAnsi="Arial"/>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CANADA</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This provision supplements Section 2 of the Agreement:</w:t>
      </w:r>
    </w:p>
    <w:p>
      <w:pPr>
        <w:spacing w:after="0" w:line="235" w:lineRule="exact"/>
        <w:rPr>
          <w:sz w:val="20"/>
          <w:szCs w:val="20"/>
          <w:color w:val="auto"/>
        </w:rPr>
      </w:pPr>
    </w:p>
    <w:p>
      <w:pPr>
        <w:jc w:val="both"/>
        <w:ind w:left="160" w:right="320"/>
        <w:spacing w:after="0"/>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13" w:lineRule="exact"/>
        <w:rPr>
          <w:sz w:val="20"/>
          <w:szCs w:val="20"/>
          <w:color w:val="auto"/>
        </w:rPr>
      </w:pPr>
    </w:p>
    <w:p>
      <w:pPr>
        <w:jc w:val="both"/>
        <w:ind w:left="160" w:right="320"/>
        <w:spacing w:after="0" w:line="230"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APPENDIX B - 2</w:t>
      </w:r>
    </w:p>
    <w:p>
      <w:pPr>
        <w:sectPr>
          <w:pgSz w:w="11900" w:h="16838" w:orient="portrait"/>
          <w:cols w:equalWidth="0" w:num="1">
            <w:col w:w="11060"/>
          </w:cols>
          <w:pgMar w:left="500" w:top="1017" w:right="339" w:bottom="1440" w:gutter="0" w:footer="0" w:header="0"/>
        </w:sectPr>
      </w:pPr>
    </w:p>
    <w:bookmarkStart w:id="37" w:name="page38"/>
    <w:bookmarkEnd w:id="37"/>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The following supplements Section 2 of the Agreement (except Section 2(d) regarding disability) as well as any other section required to give effect to the same:</w:t>
      </w:r>
    </w:p>
    <w:p>
      <w:pPr>
        <w:spacing w:after="0" w:line="213" w:lineRule="exact"/>
        <w:rPr>
          <w:sz w:val="20"/>
          <w:szCs w:val="20"/>
          <w:color w:val="auto"/>
        </w:rPr>
      </w:pPr>
    </w:p>
    <w:p>
      <w:pPr>
        <w:jc w:val="both"/>
        <w:ind w:left="160"/>
        <w:spacing w:after="0" w:line="237" w:lineRule="auto"/>
        <w:rPr>
          <w:sz w:val="20"/>
          <w:szCs w:val="20"/>
          <w:color w:val="auto"/>
        </w:rPr>
      </w:pPr>
      <w:r>
        <w:rPr>
          <w:rFonts w:ascii="Arial" w:cs="Arial" w:eastAsia="Arial" w:hAnsi="Arial"/>
          <w:sz w:val="15"/>
          <w:szCs w:val="15"/>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1" w:lineRule="exact"/>
        <w:rPr>
          <w:sz w:val="20"/>
          <w:szCs w:val="20"/>
          <w:color w:val="auto"/>
        </w:rPr>
      </w:pPr>
    </w:p>
    <w:p>
      <w:pPr>
        <w:jc w:val="both"/>
        <w:ind w:left="160"/>
        <w:spacing w:after="0" w:line="234"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The following terms and conditions apply if the Participant is in Quebec:</w:t>
      </w:r>
    </w:p>
    <w:p>
      <w:pPr>
        <w:spacing w:after="0" w:line="235"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the Data Privacy Information and Consent provision in the Terms and Conditions for Participants Outside the U.S. set forth above:</w:t>
      </w:r>
    </w:p>
    <w:p>
      <w:pPr>
        <w:spacing w:after="0" w:line="213"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acknowledges and agrees that the Participant’s personal information, may be transferred or disclosed outside the Province of Quebec, including to the United States. The Participant further authorizes the Company and any parent, subsidiary or affiliate of the Company to record such information and to keep such information in the Participant’s employee file. The Participant also acknowledges that the Company, Fidelity, and the Employer use technology of profiling purposes and to make automated decisions that may have an impact on the Participant or the administration of the Plan.</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CHINA</w:t>
      </w:r>
    </w:p>
    <w:p>
      <w:pPr>
        <w:spacing w:after="0" w:line="239" w:lineRule="exact"/>
        <w:rPr>
          <w:sz w:val="20"/>
          <w:szCs w:val="20"/>
          <w:color w:val="auto"/>
        </w:rPr>
      </w:pPr>
    </w:p>
    <w:p>
      <w:pPr>
        <w:jc w:val="both"/>
        <w:ind w:left="160"/>
        <w:spacing w:after="0" w:line="309" w:lineRule="auto"/>
        <w:rPr>
          <w:sz w:val="20"/>
          <w:szCs w:val="20"/>
          <w:color w:val="auto"/>
        </w:rPr>
      </w:pPr>
      <w:r>
        <w:rPr>
          <w:rFonts w:ascii="Arial" w:cs="Arial" w:eastAsia="Arial" w:hAnsi="Arial"/>
          <w:sz w:val="14"/>
          <w:szCs w:val="14"/>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166"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 obtained prior to any date(s) on which the Performance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15" w:lineRule="exact"/>
        <w:rPr>
          <w:sz w:val="20"/>
          <w:szCs w:val="20"/>
          <w:color w:val="auto"/>
        </w:rPr>
      </w:pPr>
    </w:p>
    <w:p>
      <w:pPr>
        <w:jc w:val="both"/>
        <w:ind w:left="160"/>
        <w:spacing w:after="0" w:line="251" w:lineRule="auto"/>
        <w:rPr>
          <w:sz w:val="20"/>
          <w:szCs w:val="20"/>
          <w:color w:val="auto"/>
        </w:rPr>
      </w:pPr>
      <w:r>
        <w:rPr>
          <w:rFonts w:ascii="Arial" w:cs="Arial" w:eastAsia="Arial" w:hAnsi="Arial"/>
          <w:sz w:val="14"/>
          <w:szCs w:val="14"/>
          <w:u w:val="single" w:color="auto"/>
          <w:color w:val="auto"/>
        </w:rPr>
        <w:t>Exchange Control Requirements</w:t>
      </w:r>
      <w:r>
        <w:rPr>
          <w:rFonts w:ascii="Arial" w:cs="Arial" w:eastAsia="Arial" w:hAnsi="Arial"/>
          <w:sz w:val="14"/>
          <w:szCs w:val="14"/>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6"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APPENDIX B - 3</w:t>
      </w:r>
    </w:p>
    <w:p>
      <w:pPr>
        <w:sectPr>
          <w:pgSz w:w="11900" w:h="16838" w:orient="portrait"/>
          <w:cols w:equalWidth="0" w:num="1">
            <w:col w:w="10740"/>
          </w:cols>
          <w:pgMar w:left="500" w:top="1017" w:right="659" w:bottom="1440" w:gutter="0" w:footer="0" w:header="0"/>
        </w:sectPr>
      </w:pPr>
    </w:p>
    <w:bookmarkStart w:id="38" w:name="page39"/>
    <w:bookmarkEnd w:id="38"/>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subsidiaries in the PRC. The Participant hereby agrees that any cash proceeds from the Participant’s participation in the Plan may be transferred to such special account prior to being delivered to the Participant.</w:t>
      </w:r>
    </w:p>
    <w:p>
      <w:pPr>
        <w:spacing w:after="0" w:line="199"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DENMARK</w:t>
      </w:r>
    </w:p>
    <w:p>
      <w:pPr>
        <w:spacing w:after="0" w:line="239"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u w:val="single" w:color="auto"/>
          <w:color w:val="auto"/>
        </w:rPr>
        <w:t>Danish Stock Option Act</w:t>
      </w:r>
      <w:r>
        <w:rPr>
          <w:rFonts w:ascii="Arial" w:cs="Arial" w:eastAsia="Arial" w:hAnsi="Arial"/>
          <w:sz w:val="15"/>
          <w:szCs w:val="15"/>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C.</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9(c) in the Agreement:</w:t>
      </w:r>
    </w:p>
    <w:p>
      <w:pPr>
        <w:spacing w:after="0" w:line="235"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9"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EGYPT</w:t>
      </w:r>
    </w:p>
    <w:p>
      <w:pPr>
        <w:spacing w:after="0" w:line="239"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xml:space="preserve"> If the Participant transfers funds into Egypt in connection with the sale of Shares, the Participant is required to transfer the funds through a registered bank in Egypt.</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ESTONIA</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235" w:lineRule="exact"/>
        <w:rPr>
          <w:sz w:val="20"/>
          <w:szCs w:val="20"/>
          <w:color w:val="auto"/>
        </w:rPr>
      </w:pPr>
    </w:p>
    <w:p>
      <w:pPr>
        <w:jc w:val="both"/>
        <w:ind w:left="160"/>
        <w:spacing w:after="0" w:line="232" w:lineRule="auto"/>
        <w:rPr>
          <w:sz w:val="20"/>
          <w:szCs w:val="20"/>
          <w:color w:val="auto"/>
        </w:rPr>
      </w:pPr>
      <w:r>
        <w:rPr>
          <w:rFonts w:ascii="Arial" w:cs="Arial" w:eastAsia="Arial" w:hAnsi="Arial"/>
          <w:sz w:val="15"/>
          <w:szCs w:val="15"/>
          <w:color w:val="auto"/>
        </w:rPr>
        <w:t>The Participant understands that he or she would generally not be subject to taxation in Estonia when Performance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214"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xml:space="preserve">. </w:t>
      </w:r>
      <w:r>
        <w:rPr>
          <w:rFonts w:ascii="Arial" w:cs="Arial" w:eastAsia="Arial" w:hAnsi="Arial"/>
          <w:sz w:val="16"/>
          <w:szCs w:val="16"/>
          <w:i w:val="1"/>
          <w:iCs w:val="1"/>
          <w:color w:val="auto"/>
        </w:rPr>
        <w:t>Võttes vastu piiratud aktsiaühikute (Performance RSUs) pakkumise, kinnitab Osaleja, et ta on ingliskeelsena esitatud pakkumisega seotud</w:t>
      </w:r>
      <w:r>
        <w:rPr>
          <w:rFonts w:ascii="Arial" w:cs="Arial" w:eastAsia="Arial" w:hAnsi="Arial"/>
          <w:sz w:val="16"/>
          <w:szCs w:val="16"/>
          <w:color w:val="auto"/>
        </w:rPr>
        <w:t xml:space="preserve"> </w:t>
      </w:r>
      <w:r>
        <w:rPr>
          <w:rFonts w:ascii="Arial" w:cs="Arial" w:eastAsia="Arial" w:hAnsi="Arial"/>
          <w:sz w:val="16"/>
          <w:szCs w:val="16"/>
          <w:i w:val="1"/>
          <w:iCs w:val="1"/>
          <w:color w:val="auto"/>
        </w:rPr>
        <w:t>dokumendid (Optsioonilepingu ja Plaani) läbi lugenud ja nendest aru saanud ning et ta ei vaja nende tõlkimist eesti keelde. Sellest tulenevalt Osaleja nõustub viidatud dokumentide tingimustega.</w:t>
      </w:r>
    </w:p>
    <w:p>
      <w:pPr>
        <w:spacing w:after="0" w:line="119"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color w:val="auto"/>
        </w:rPr>
        <w:t>By accepting the grant of the Performance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FINLAND</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FRANCE</w:t>
      </w:r>
    </w:p>
    <w:p>
      <w:pPr>
        <w:spacing w:after="0" w:line="239" w:lineRule="exact"/>
        <w:rPr>
          <w:sz w:val="20"/>
          <w:szCs w:val="20"/>
          <w:color w:val="auto"/>
        </w:rPr>
      </w:pPr>
    </w:p>
    <w:p>
      <w:pPr>
        <w:jc w:val="both"/>
        <w:ind w:left="160"/>
        <w:spacing w:after="0" w:line="235" w:lineRule="auto"/>
        <w:rPr>
          <w:sz w:val="20"/>
          <w:szCs w:val="20"/>
          <w:color w:val="auto"/>
        </w:rPr>
      </w:pPr>
      <w:r>
        <w:rPr>
          <w:rFonts w:ascii="Arial" w:cs="Arial" w:eastAsia="Arial" w:hAnsi="Arial"/>
          <w:sz w:val="15"/>
          <w:szCs w:val="15"/>
          <w:u w:val="single" w:color="auto"/>
          <w:color w:val="auto"/>
        </w:rPr>
        <w:t>French-Qualified Performance RSUs</w:t>
      </w:r>
      <w:r>
        <w:rPr>
          <w:rFonts w:ascii="Arial" w:cs="Arial" w:eastAsia="Arial" w:hAnsi="Arial"/>
          <w:sz w:val="15"/>
          <w:szCs w:val="15"/>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ectPr>
          <w:pgSz w:w="11900" w:h="16838" w:orient="portrait"/>
          <w:cols w:equalWidth="0" w:num="1">
            <w:col w:w="10740"/>
          </w:cols>
          <w:pgMar w:left="500" w:top="1017" w:right="65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APPENDIX B - 4</w:t>
      </w:r>
    </w:p>
    <w:p>
      <w:pPr>
        <w:sectPr>
          <w:pgSz w:w="11900" w:h="16838" w:orient="portrait"/>
          <w:cols w:equalWidth="0" w:num="1">
            <w:col w:w="10740"/>
          </w:cols>
          <w:pgMar w:left="500" w:top="1017" w:right="659" w:bottom="1440" w:gutter="0" w:footer="0" w:header="0"/>
          <w:type w:val="continuous"/>
        </w:sectPr>
      </w:pPr>
    </w:p>
    <w:bookmarkStart w:id="39" w:name="page40"/>
    <w:bookmarkEnd w:id="39"/>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23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235"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2(d) of the Agreement.</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235" w:lineRule="exact"/>
        <w:rPr>
          <w:sz w:val="20"/>
          <w:szCs w:val="20"/>
          <w:color w:val="auto"/>
        </w:rPr>
      </w:pPr>
    </w:p>
    <w:p>
      <w:pPr>
        <w:jc w:val="both"/>
        <w:ind w:left="160"/>
        <w:spacing w:after="0" w:line="233" w:lineRule="auto"/>
        <w:rPr>
          <w:sz w:val="20"/>
          <w:szCs w:val="20"/>
          <w:color w:val="auto"/>
        </w:rPr>
      </w:pPr>
      <w:r>
        <w:rPr>
          <w:rFonts w:ascii="Arial" w:cs="Arial" w:eastAsia="Arial" w:hAnsi="Arial"/>
          <w:sz w:val="15"/>
          <w:szCs w:val="15"/>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13" w:lineRule="exact"/>
        <w:rPr>
          <w:sz w:val="20"/>
          <w:szCs w:val="20"/>
          <w:color w:val="auto"/>
        </w:rPr>
      </w:pPr>
    </w:p>
    <w:p>
      <w:pPr>
        <w:jc w:val="both"/>
        <w:ind w:left="160"/>
        <w:spacing w:after="0" w:line="237" w:lineRule="auto"/>
        <w:rPr>
          <w:sz w:val="20"/>
          <w:szCs w:val="20"/>
          <w:color w:val="auto"/>
        </w:rPr>
      </w:pPr>
      <w:r>
        <w:rPr>
          <w:rFonts w:ascii="Arial" w:cs="Arial" w:eastAsia="Arial" w:hAnsi="Arial"/>
          <w:sz w:val="15"/>
          <w:szCs w:val="15"/>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9(u) in the Agreement:</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Certain adjustments may disqualify the Performance RSUs, in which case they may no longer benefit from favorable tax and social security treatment in France.</w:t>
      </w:r>
    </w:p>
    <w:p>
      <w:pPr>
        <w:spacing w:after="0" w:line="258"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13"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213"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i w:val="1"/>
          <w:iCs w:val="1"/>
          <w:u w:val="single" w:color="auto"/>
          <w:color w:val="auto"/>
        </w:rPr>
        <w:t>Consentement a la Langue</w:t>
      </w:r>
      <w:r>
        <w:rPr>
          <w:rFonts w:ascii="Arial" w:cs="Arial" w:eastAsia="Arial" w:hAnsi="Arial"/>
          <w:sz w:val="15"/>
          <w:szCs w:val="15"/>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90"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Foreign Asset/Account Reporting Information</w:t>
      </w:r>
      <w:r>
        <w:rPr>
          <w:rFonts w:ascii="Arial" w:cs="Arial" w:eastAsia="Arial" w:hAnsi="Arial"/>
          <w:sz w:val="16"/>
          <w:szCs w:val="16"/>
          <w:color w:val="auto"/>
        </w:rPr>
        <w:t>. French residents holding Shares outside France or maintaining a foreign bank account are required to report such to French tax authorities when filing his or her annual tax return. Failure to comply may trigger significant penalties.</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GERMANY</w:t>
      </w:r>
    </w:p>
    <w:p>
      <w:pPr>
        <w:spacing w:after="0" w:line="239" w:lineRule="exact"/>
        <w:rPr>
          <w:sz w:val="20"/>
          <w:szCs w:val="20"/>
          <w:color w:val="auto"/>
        </w:rPr>
      </w:pPr>
    </w:p>
    <w:p>
      <w:pPr>
        <w:jc w:val="both"/>
        <w:ind w:left="160"/>
        <w:spacing w:after="0" w:line="22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Cross-border payments in excess of €12,500 must be reported monthly to the German Federal Bank (</w:t>
      </w:r>
      <w:r>
        <w:rPr>
          <w:rFonts w:ascii="Arial" w:cs="Arial" w:eastAsia="Arial" w:hAnsi="Arial"/>
          <w:sz w:val="16"/>
          <w:szCs w:val="16"/>
          <w:i w:val="1"/>
          <w:iCs w:val="1"/>
          <w:color w:val="auto"/>
        </w:rPr>
        <w:t>Bundesbank</w:t>
      </w:r>
      <w:r>
        <w:rPr>
          <w:rFonts w:ascii="Arial" w:cs="Arial" w:eastAsia="Arial" w:hAnsi="Arial"/>
          <w:sz w:val="16"/>
          <w:szCs w:val="16"/>
          <w:color w:val="auto"/>
        </w:rPr>
        <w:t>) by accessing the electronic General Statistics Reporting Portal (“</w:t>
      </w:r>
      <w:r>
        <w:rPr>
          <w:rFonts w:ascii="Arial" w:cs="Arial" w:eastAsia="Arial" w:hAnsi="Arial"/>
          <w:sz w:val="16"/>
          <w:szCs w:val="16"/>
          <w:i w:val="1"/>
          <w:iCs w:val="1"/>
          <w:color w:val="auto"/>
        </w:rPr>
        <w:t>Allgemeine Meldeportal Statistik</w:t>
      </w:r>
      <w:r>
        <w:rPr>
          <w:rFonts w:ascii="Arial" w:cs="Arial" w:eastAsia="Arial" w:hAnsi="Arial"/>
          <w:sz w:val="16"/>
          <w:szCs w:val="16"/>
          <w:color w:val="auto"/>
        </w:rPr>
        <w:t>”) via the Bundesbank’s website (</w:t>
      </w:r>
      <w:r>
        <w:rPr>
          <w:rFonts w:ascii="Arial" w:cs="Arial" w:eastAsia="Arial" w:hAnsi="Arial"/>
          <w:sz w:val="16"/>
          <w:szCs w:val="16"/>
          <w:u w:val="single" w:color="auto"/>
          <w:color w:val="0563C1"/>
        </w:rPr>
        <w:t>www.bundesbank.de</w:t>
      </w:r>
      <w:r>
        <w:rPr>
          <w:rFonts w:ascii="Arial" w:cs="Arial" w:eastAsia="Arial" w:hAnsi="Arial"/>
          <w:sz w:val="16"/>
          <w:szCs w:val="16"/>
          <w:color w:val="auto"/>
        </w:rPr>
        <w:t>), or by such other method and within such other timing as permitted or required by Bundesbank. In addition, the Participant may be required to report the acquisition or sale of Shares to the Bundesbank if the value of the Shares acquired or sold exceeds €12,500. It is the Participant’s responsibility to comply with this reporting obligation and the Participant should consult with his or her personal legal advisor in this regard.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HONG KONG</w:t>
      </w:r>
    </w:p>
    <w:p>
      <w:pPr>
        <w:sectPr>
          <w:pgSz w:w="11900" w:h="16838" w:orient="portrait"/>
          <w:cols w:equalWidth="0" w:num="1">
            <w:col w:w="10740"/>
          </w:cols>
          <w:pgMar w:left="500" w:top="1017" w:right="6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color w:val="auto"/>
        </w:rPr>
        <w:t>APPENDIX B - 5</w:t>
      </w:r>
    </w:p>
    <w:p>
      <w:pPr>
        <w:sectPr>
          <w:pgSz w:w="11900" w:h="16838" w:orient="portrait"/>
          <w:cols w:equalWidth="0" w:num="1">
            <w:col w:w="10740"/>
          </w:cols>
          <w:pgMar w:left="500" w:top="1017" w:right="659" w:bottom="1440" w:gutter="0" w:footer="0" w:header="0"/>
          <w:type w:val="continuous"/>
        </w:sectPr>
      </w:pPr>
    </w:p>
    <w:bookmarkStart w:id="40" w:name="page41"/>
    <w:bookmarkEnd w:id="40"/>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Sale of Shares</w:t>
      </w:r>
      <w:r>
        <w:rPr>
          <w:rFonts w:ascii="Arial" w:cs="Arial" w:eastAsia="Arial" w:hAnsi="Arial"/>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59"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u w:val="single" w:color="auto"/>
          <w:color w:val="auto"/>
        </w:rPr>
        <w:t>Securities Law Notice</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WARNING</w:t>
      </w:r>
      <w:r>
        <w:rPr>
          <w:rFonts w:ascii="Arial" w:cs="Arial" w:eastAsia="Arial" w:hAnsi="Arial"/>
          <w:sz w:val="16"/>
          <w:szCs w:val="16"/>
          <w:color w:val="auto"/>
        </w:rPr>
        <w:t xml:space="preserve"> </w:t>
      </w:r>
      <w:r>
        <w:rPr>
          <w:rFonts w:ascii="Arial" w:cs="Arial" w:eastAsia="Arial" w:hAnsi="Arial"/>
          <w:sz w:val="16"/>
          <w:szCs w:val="16"/>
          <w:i w:val="1"/>
          <w:iCs w:val="1"/>
          <w:color w:val="auto"/>
        </w:rPr>
        <w:t>: The contents of this document have not been reviewed by any regulatory authority in Hong Kong. The Participant should</w:t>
      </w:r>
      <w:r>
        <w:rPr>
          <w:rFonts w:ascii="Arial" w:cs="Arial" w:eastAsia="Arial" w:hAnsi="Arial"/>
          <w:sz w:val="16"/>
          <w:szCs w:val="16"/>
          <w:color w:val="auto"/>
        </w:rPr>
        <w:t xml:space="preserve"> </w:t>
      </w:r>
      <w:r>
        <w:rPr>
          <w:rFonts w:ascii="Arial" w:cs="Arial" w:eastAsia="Arial" w:hAnsi="Arial"/>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HUNGARY</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INDIA</w:t>
      </w:r>
    </w:p>
    <w:p>
      <w:pPr>
        <w:spacing w:after="0" w:line="239" w:lineRule="exact"/>
        <w:rPr>
          <w:sz w:val="20"/>
          <w:szCs w:val="20"/>
          <w:color w:val="auto"/>
        </w:rPr>
      </w:pPr>
    </w:p>
    <w:p>
      <w:pPr>
        <w:jc w:val="both"/>
        <w:ind w:left="160"/>
        <w:spacing w:after="0" w:line="222"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216"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IRELAND</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9(b) of the Agreement:</w:t>
      </w:r>
    </w:p>
    <w:p>
      <w:pPr>
        <w:spacing w:after="0" w:line="140"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ISRAEL</w:t>
      </w:r>
    </w:p>
    <w:p>
      <w:pPr>
        <w:spacing w:after="0" w:line="225" w:lineRule="exact"/>
        <w:rPr>
          <w:sz w:val="20"/>
          <w:szCs w:val="20"/>
          <w:color w:val="auto"/>
        </w:rPr>
      </w:pPr>
    </w:p>
    <w:p>
      <w:pPr>
        <w:jc w:val="both"/>
        <w:ind w:left="160"/>
        <w:spacing w:after="0" w:line="241" w:lineRule="auto"/>
        <w:rPr>
          <w:sz w:val="20"/>
          <w:szCs w:val="20"/>
          <w:color w:val="auto"/>
        </w:rPr>
      </w:pPr>
      <w:r>
        <w:rPr>
          <w:rFonts w:ascii="Arial" w:cs="Arial" w:eastAsia="Arial" w:hAnsi="Arial"/>
          <w:sz w:val="15"/>
          <w:szCs w:val="15"/>
          <w:u w:val="single" w:color="auto"/>
          <w:color w:val="auto"/>
        </w:rPr>
        <w:t>Trust Arrangement</w:t>
      </w:r>
      <w:r>
        <w:rPr>
          <w:rFonts w:ascii="Arial" w:cs="Arial" w:eastAsia="Arial" w:hAnsi="Arial"/>
          <w:sz w:val="15"/>
          <w:szCs w:val="15"/>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23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235"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35"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This grant does not constitute a public offering under the Securities Law, 1968.</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ITALY</w:t>
      </w:r>
    </w:p>
    <w:p>
      <w:pPr>
        <w:sectPr>
          <w:pgSz w:w="11900" w:h="16838" w:orient="portrait"/>
          <w:cols w:equalWidth="0" w:num="1">
            <w:col w:w="10740"/>
          </w:cols>
          <w:pgMar w:left="500" w:top="1017" w:right="6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APPENDIX B - 6</w:t>
      </w:r>
    </w:p>
    <w:p>
      <w:pPr>
        <w:sectPr>
          <w:pgSz w:w="11900" w:h="16838" w:orient="portrait"/>
          <w:cols w:equalWidth="0" w:num="1">
            <w:col w:w="10740"/>
          </w:cols>
          <w:pgMar w:left="500" w:top="1017" w:right="659" w:bottom="1440" w:gutter="0" w:footer="0" w:header="0"/>
          <w:type w:val="continuous"/>
        </w:sectPr>
      </w:pPr>
    </w:p>
    <w:bookmarkStart w:id="41" w:name="page42"/>
    <w:bookmarkEnd w:id="41"/>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73"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13"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u w:val="single" w:color="auto"/>
          <w:color w:val="auto"/>
        </w:rPr>
        <w:t>Foreign Asset Tax</w:t>
      </w:r>
      <w:r>
        <w:rPr>
          <w:rFonts w:ascii="Arial" w:cs="Arial" w:eastAsia="Arial" w:hAnsi="Arial"/>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21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JAPAN</w:t>
      </w:r>
    </w:p>
    <w:p>
      <w:pPr>
        <w:spacing w:after="0" w:line="22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u w:val="single" w:color="auto"/>
          <w:color w:val="auto"/>
        </w:rPr>
        <w:t>Foreign Asset / Account Reporting Information</w:t>
      </w:r>
      <w:r>
        <w:rPr>
          <w:rFonts w:ascii="Arial" w:cs="Arial" w:eastAsia="Arial" w:hAnsi="Arial"/>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KOREA</w:t>
      </w:r>
    </w:p>
    <w:p>
      <w:pPr>
        <w:spacing w:after="0" w:line="239" w:lineRule="exact"/>
        <w:rPr>
          <w:sz w:val="20"/>
          <w:szCs w:val="20"/>
          <w:color w:val="auto"/>
        </w:rPr>
      </w:pPr>
    </w:p>
    <w:p>
      <w:pPr>
        <w:jc w:val="both"/>
        <w:ind w:left="160"/>
        <w:spacing w:after="0" w:line="248"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MALAYSIA</w:t>
      </w:r>
    </w:p>
    <w:p>
      <w:pPr>
        <w:spacing w:after="0" w:line="198" w:lineRule="exact"/>
        <w:rPr>
          <w:sz w:val="20"/>
          <w:szCs w:val="20"/>
          <w:color w:val="auto"/>
        </w:rPr>
      </w:pPr>
    </w:p>
    <w:p>
      <w:pPr>
        <w:jc w:val="both"/>
        <w:ind w:left="160"/>
        <w:spacing w:after="0" w:line="237"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APPENDIX B - 7</w:t>
      </w:r>
    </w:p>
    <w:p>
      <w:pPr>
        <w:sectPr>
          <w:pgSz w:w="11900" w:h="16838" w:orient="portrait"/>
          <w:cols w:equalWidth="0" w:num="1">
            <w:col w:w="10740"/>
          </w:cols>
          <w:pgMar w:left="500" w:top="1017" w:right="659" w:bottom="1440" w:gutter="0" w:footer="0" w:header="0"/>
        </w:sectPr>
      </w:pPr>
    </w:p>
    <w:bookmarkStart w:id="42" w:name="page43"/>
    <w:bookmarkEnd w:id="42"/>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72390</wp:posOffset>
            </wp:positionV>
            <wp:extent cx="657479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74790" cy="25400"/>
                    </a:xfrm>
                    <a:prstGeom prst="rect">
                      <a:avLst/>
                    </a:prstGeom>
                    <a:noFill/>
                  </pic:spPr>
                </pic:pic>
              </a:graphicData>
            </a:graphic>
          </wp:anchor>
        </w:drawing>
      </w:r>
    </w:p>
    <w:p>
      <w:pPr>
        <w:spacing w:after="0" w:line="90" w:lineRule="exact"/>
        <w:rPr>
          <w:sz w:val="20"/>
          <w:szCs w:val="20"/>
          <w:color w:val="auto"/>
        </w:rPr>
      </w:pPr>
    </w:p>
    <w:tbl>
      <w:tblPr>
        <w:tblLayout w:type="fixed"/>
        <w:tblInd w:w="240" w:type="dxa"/>
        <w:tblCellMar>
          <w:top w:w="0" w:type="dxa"/>
          <w:left w:w="0" w:type="dxa"/>
          <w:bottom w:w="0" w:type="dxa"/>
          <w:right w:w="0" w:type="dxa"/>
        </w:tblCellMar>
      </w:tblPr>
      <w:tr>
        <w:trPr>
          <w:trHeight w:val="184"/>
        </w:trPr>
        <w:tc>
          <w:tcPr>
            <w:tcW w:w="4660" w:type="dxa"/>
            <w:vAlign w:val="bottom"/>
            <w:gridSpan w:val="5"/>
          </w:tcPr>
          <w:p>
            <w:pPr>
              <w:spacing w:after="0"/>
              <w:rPr>
                <w:sz w:val="20"/>
                <w:szCs w:val="20"/>
                <w:color w:val="auto"/>
              </w:rPr>
            </w:pPr>
            <w:r>
              <w:rPr>
                <w:rFonts w:ascii="Arial" w:cs="Arial" w:eastAsia="Arial" w:hAnsi="Arial"/>
                <w:sz w:val="16"/>
                <w:szCs w:val="16"/>
                <w:b w:val="1"/>
                <w:bCs w:val="1"/>
                <w:i w:val="1"/>
                <w:iCs w:val="1"/>
                <w:color w:val="auto"/>
                <w:w w:val="93"/>
              </w:rPr>
              <w:t>The Participant hereby explicitly and unambiguously consents to</w:t>
            </w:r>
          </w:p>
        </w:tc>
        <w:tc>
          <w:tcPr>
            <w:tcW w:w="5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the collection, use and transfer, in electronic or other form, of his or</w:t>
            </w:r>
          </w:p>
        </w:tc>
        <w:tc>
          <w:tcPr>
            <w:tcW w:w="5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her personal data as described in this document by and among, as</w:t>
            </w:r>
          </w:p>
        </w:tc>
        <w:tc>
          <w:tcPr>
            <w:tcW w:w="5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60" w:type="dxa"/>
            <w:vAlign w:val="bottom"/>
            <w:gridSpan w:val="5"/>
          </w:tcPr>
          <w:p>
            <w:pPr>
              <w:spacing w:after="0"/>
              <w:rPr>
                <w:sz w:val="20"/>
                <w:szCs w:val="20"/>
                <w:color w:val="auto"/>
              </w:rPr>
            </w:pPr>
            <w:r>
              <w:rPr>
                <w:rFonts w:ascii="Arial" w:cs="Arial" w:eastAsia="Arial" w:hAnsi="Arial"/>
                <w:sz w:val="16"/>
                <w:szCs w:val="16"/>
                <w:b w:val="1"/>
                <w:bCs w:val="1"/>
                <w:i w:val="1"/>
                <w:iCs w:val="1"/>
                <w:color w:val="auto"/>
                <w:w w:val="90"/>
              </w:rPr>
              <w:t>applicable, the Employer, and the Company and its subsidiaries for</w:t>
            </w:r>
          </w:p>
        </w:tc>
        <w:tc>
          <w:tcPr>
            <w:tcW w:w="554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2"/>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8"/>
              </w:rPr>
              <w:t>the  exclusive  purpose  of  implementing,  administering  and</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5"/>
              </w:rPr>
              <w:t>keraguan mengizinkan pengumpulan, penggunaan dan pemindahan, dalam</w:t>
            </w:r>
          </w:p>
        </w:tc>
        <w:tc>
          <w:tcPr>
            <w:tcW w:w="0" w:type="dxa"/>
            <w:vAlign w:val="bottom"/>
          </w:tcPr>
          <w:p>
            <w:pPr>
              <w:spacing w:after="0"/>
              <w:rPr>
                <w:sz w:val="1"/>
                <w:szCs w:val="1"/>
                <w:color w:val="auto"/>
              </w:rPr>
            </w:pPr>
          </w:p>
        </w:tc>
      </w:tr>
      <w:tr>
        <w:trPr>
          <w:trHeight w:val="166"/>
        </w:trPr>
        <w:tc>
          <w:tcPr>
            <w:tcW w:w="4160" w:type="dxa"/>
            <w:vAlign w:val="bottom"/>
            <w:gridSpan w:val="4"/>
          </w:tcPr>
          <w:p>
            <w:pPr>
              <w:spacing w:after="0" w:line="166" w:lineRule="exact"/>
              <w:rPr>
                <w:sz w:val="20"/>
                <w:szCs w:val="20"/>
                <w:color w:val="auto"/>
              </w:rPr>
            </w:pPr>
            <w:r>
              <w:rPr>
                <w:rFonts w:ascii="Arial" w:cs="Arial" w:eastAsia="Arial" w:hAnsi="Arial"/>
                <w:sz w:val="16"/>
                <w:szCs w:val="16"/>
                <w:b w:val="1"/>
                <w:bCs w:val="1"/>
                <w:i w:val="1"/>
                <w:iCs w:val="1"/>
                <w:color w:val="auto"/>
              </w:rPr>
              <w:t>managing the Participant’s participation in the Plan.</w:t>
            </w:r>
          </w:p>
        </w:tc>
        <w:tc>
          <w:tcPr>
            <w:tcW w:w="500" w:type="dxa"/>
            <w:vAlign w:val="bottom"/>
          </w:tcPr>
          <w:p>
            <w:pPr>
              <w:spacing w:after="0"/>
              <w:rPr>
                <w:sz w:val="14"/>
                <w:szCs w:val="14"/>
                <w:color w:val="auto"/>
              </w:rPr>
            </w:pPr>
          </w:p>
        </w:tc>
        <w:tc>
          <w:tcPr>
            <w:tcW w:w="5540" w:type="dxa"/>
            <w:vAlign w:val="bottom"/>
          </w:tcPr>
          <w:p>
            <w:pPr>
              <w:ind w:left="60"/>
              <w:spacing w:after="0" w:line="166" w:lineRule="exact"/>
              <w:rPr>
                <w:sz w:val="20"/>
                <w:szCs w:val="20"/>
                <w:color w:val="auto"/>
              </w:rPr>
            </w:pPr>
            <w:r>
              <w:rPr>
                <w:rFonts w:ascii="Arial" w:cs="Arial" w:eastAsia="Arial" w:hAnsi="Arial"/>
                <w:sz w:val="16"/>
                <w:szCs w:val="16"/>
                <w:b w:val="1"/>
                <w:bCs w:val="1"/>
                <w:i w:val="1"/>
                <w:iCs w:val="1"/>
                <w:color w:val="auto"/>
                <w:w w:val="89"/>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9"/>
              </w:rPr>
              <w:t>dokumen ini, oleh dan di antara, sebagaimana yang berkenaan, Majikan,</w:t>
            </w:r>
          </w:p>
        </w:tc>
        <w:tc>
          <w:tcPr>
            <w:tcW w:w="0" w:type="dxa"/>
            <w:vAlign w:val="bottom"/>
          </w:tcPr>
          <w:p>
            <w:pPr>
              <w:spacing w:after="0"/>
              <w:rPr>
                <w:sz w:val="1"/>
                <w:szCs w:val="1"/>
                <w:color w:val="auto"/>
              </w:rPr>
            </w:pPr>
          </w:p>
        </w:tc>
      </w:tr>
      <w:tr>
        <w:trPr>
          <w:trHeight w:val="212"/>
        </w:trPr>
        <w:tc>
          <w:tcPr>
            <w:tcW w:w="4660" w:type="dxa"/>
            <w:vAlign w:val="bottom"/>
            <w:gridSpan w:val="5"/>
          </w:tcPr>
          <w:p>
            <w:pPr>
              <w:spacing w:after="0"/>
              <w:rPr>
                <w:sz w:val="20"/>
                <w:szCs w:val="20"/>
                <w:color w:val="auto"/>
              </w:rPr>
            </w:pPr>
            <w:r>
              <w:rPr>
                <w:rFonts w:ascii="Arial" w:cs="Arial" w:eastAsia="Arial" w:hAnsi="Arial"/>
                <w:sz w:val="16"/>
                <w:szCs w:val="16"/>
                <w:b w:val="1"/>
                <w:bCs w:val="1"/>
                <w:i w:val="1"/>
                <w:iCs w:val="1"/>
                <w:color w:val="auto"/>
                <w:w w:val="93"/>
              </w:rPr>
              <w:t>The Participant understands that the Company and the Employer</w:t>
            </w:r>
          </w:p>
        </w:tc>
        <w:tc>
          <w:tcPr>
            <w:tcW w:w="5540" w:type="dxa"/>
            <w:vAlign w:val="bottom"/>
          </w:tcPr>
          <w:p>
            <w:pPr>
              <w:ind w:left="60"/>
              <w:spacing w:after="0"/>
              <w:rPr>
                <w:sz w:val="20"/>
                <w:szCs w:val="20"/>
                <w:color w:val="auto"/>
              </w:rPr>
            </w:pPr>
            <w:r>
              <w:rPr>
                <w:rFonts w:ascii="Arial" w:cs="Arial" w:eastAsia="Arial" w:hAnsi="Arial"/>
                <w:sz w:val="16"/>
                <w:szCs w:val="16"/>
                <w:b w:val="1"/>
                <w:bCs w:val="1"/>
                <w:i w:val="1"/>
                <w:iCs w:val="1"/>
                <w:color w:val="auto"/>
                <w:w w:val="96"/>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4"/>
              </w:rPr>
              <w:t>may  hold  certain  personal  information  about  the  Participant,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88"/>
              </w:rPr>
              <w:t>membantu dalam pelaksanaan, pentadbiran dan pengurusan penyertaan Peserta</w:t>
            </w:r>
          </w:p>
        </w:tc>
        <w:tc>
          <w:tcPr>
            <w:tcW w:w="0" w:type="dxa"/>
            <w:vAlign w:val="bottom"/>
          </w:tcPr>
          <w:p>
            <w:pPr>
              <w:spacing w:after="0"/>
              <w:rPr>
                <w:sz w:val="1"/>
                <w:szCs w:val="1"/>
                <w:color w:val="auto"/>
              </w:rPr>
            </w:pPr>
          </w:p>
        </w:tc>
      </w:tr>
      <w:tr>
        <w:trPr>
          <w:trHeight w:val="166"/>
        </w:trPr>
        <w:tc>
          <w:tcPr>
            <w:tcW w:w="4660" w:type="dxa"/>
            <w:vAlign w:val="bottom"/>
            <w:gridSpan w:val="5"/>
          </w:tcPr>
          <w:p>
            <w:pPr>
              <w:spacing w:after="0" w:line="166" w:lineRule="exact"/>
              <w:rPr>
                <w:sz w:val="20"/>
                <w:szCs w:val="20"/>
                <w:color w:val="auto"/>
              </w:rPr>
            </w:pPr>
            <w:r>
              <w:rPr>
                <w:rFonts w:ascii="Arial" w:cs="Arial" w:eastAsia="Arial" w:hAnsi="Arial"/>
                <w:sz w:val="16"/>
                <w:szCs w:val="16"/>
                <w:b w:val="1"/>
                <w:bCs w:val="1"/>
                <w:i w:val="1"/>
                <w:iCs w:val="1"/>
                <w:color w:val="auto"/>
                <w:w w:val="95"/>
              </w:rPr>
              <w:t>including, but not limited to, his or her name, home address and</w:t>
            </w:r>
          </w:p>
        </w:tc>
        <w:tc>
          <w:tcPr>
            <w:tcW w:w="5540" w:type="dxa"/>
            <w:vAlign w:val="bottom"/>
          </w:tcPr>
          <w:p>
            <w:pPr>
              <w:ind w:left="60"/>
              <w:spacing w:after="0" w:line="166" w:lineRule="exact"/>
              <w:rPr>
                <w:sz w:val="20"/>
                <w:szCs w:val="20"/>
                <w:color w:val="auto"/>
              </w:rPr>
            </w:pPr>
            <w:r>
              <w:rPr>
                <w:rFonts w:ascii="Arial" w:cs="Arial" w:eastAsia="Arial" w:hAnsi="Arial"/>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telephone number, date of birth, social insurance number or other</w:t>
            </w:r>
          </w:p>
        </w:tc>
        <w:tc>
          <w:tcPr>
            <w:tcW w:w="554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w w:val="96"/>
              </w:rPr>
              <w:t>Peserta  memahami  bahawa  Syarikat  dan  Majikan  mungkin  memegang</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5"/>
              </w:rPr>
              <w:t>identification number, salary, nationality, job title, any shares of</w:t>
            </w:r>
          </w:p>
        </w:tc>
        <w:tc>
          <w:tcPr>
            <w:tcW w:w="5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8"/>
              </w:rPr>
              <w:t>stock  or  directorships  held  in  the  Company,  details  of  all</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87"/>
              </w:rPr>
              <w:t>maklumat peribadi tertentu tentang Peserta, termasuk, tetapi tidak terhad kepada,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8"/>
              </w:rPr>
              <w:t>Performance RSUs or any other entitlement to shares of stock</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6"/>
              </w:rPr>
              <w:t>namanya, alamat rumah dan nombor telefon, tarikh lahir, nombor insurans</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7"/>
              </w:rPr>
              <w:t>awarded, canceled, exercised, vested, unvested or outstanding in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2"/>
              </w:rPr>
              <w:t>sosial atau nombor pengenalan lain, gaji, kewarganegaraan, jawatan, apa-apa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Participant’s favor, for the purpose of implementing, administering</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0"/>
              </w:rPr>
              <w:t>syer dalam saham atau jawatan pengarah yang dipegang dalam Syarikat, butir-</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9"/>
              </w:rPr>
              <w:t>and managing the Plan (“Data”). The source of the Data is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1"/>
              </w:rPr>
              <w:t>butir semua Performance RSUs atau apa-apa hak lain untuk syer dalam saham</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Employer as well as information the Participant is providing to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3"/>
              </w:rPr>
              <w:t>yang dianugerahkan, dibatalkan, dilaksanakan, terletak hak, tidak diletak hak</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5"/>
              </w:rPr>
              <w:t>Company and the Employer in connection with the Performance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89"/>
              </w:rPr>
              <w:t>ataupun yang belum dijelaskan bagi faedah Peserta, untuk tujuan eksklusif bagi</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RSUs. The Participant understands that Data may be transferred to</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7"/>
              </w:rPr>
              <w:t>melaksanakan, mentadbir dan menguruskan Pelan (“Data”). Sumber Data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rPr>
              <w:t>Fidelity or any other third parties as may be selected by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5"/>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Company in the future, which are assisting in the implementation,</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4"/>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3"/>
              </w:rPr>
              <w:t>administration and management of the Plan, that these recipients</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89"/>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3"/>
              </w:rPr>
              <w:t>may be located in the Participant’s country or elsewhere and that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1"/>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the recipients’ country (e.g., the United States) may have different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0"/>
              </w:rPr>
              <w:t xml:space="preserve">masa depan, </w:t>
            </w:r>
            <w:r>
              <w:rPr>
                <w:rFonts w:ascii="Arial" w:cs="Arial" w:eastAsia="Arial" w:hAnsi="Arial"/>
                <w:sz w:val="16"/>
                <w:szCs w:val="16"/>
                <w:b w:val="1"/>
                <w:bCs w:val="1"/>
                <w:i w:val="1"/>
                <w:iCs w:val="1"/>
                <w:color w:val="222222"/>
                <w:w w:val="90"/>
              </w:rPr>
              <w:t>yang membantu dalam pelaksanaan, pentadbiran dan pengurusan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4"/>
              </w:rPr>
              <w:t>data privacy laws and protections than the Participant’s country.</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89"/>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The Participant understands that he or she may request a list with</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3"/>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the names and addresses of any potential recipients of the Data by</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5"/>
              </w:rPr>
              <w:t>contacting his or her local human resources representative.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88"/>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Participant authorizes the Company, Fidelity and any other possible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5"/>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recipients which may assist the Company (presently or in the future)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2"/>
              </w:rPr>
              <w:t xml:space="preserve">wakil sumber manusia tempatannya. </w:t>
            </w:r>
            <w:r>
              <w:rPr>
                <w:rFonts w:ascii="Arial" w:cs="Arial" w:eastAsia="Arial" w:hAnsi="Arial"/>
                <w:sz w:val="16"/>
                <w:szCs w:val="16"/>
                <w:b w:val="1"/>
                <w:bCs w:val="1"/>
                <w:i w:val="1"/>
                <w:iCs w:val="1"/>
                <w:color w:val="000000"/>
                <w:w w:val="92"/>
              </w:rPr>
              <w:t>Peserta memberi kuasa kepada Syarikat,</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5"/>
              </w:rPr>
              <w:t>with  implementing,  administering  and  managing  the  Plan  to</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89"/>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receive, possess, use, retain and transfer the Data, in electronic or</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6"/>
              </w:rPr>
              <w:t>sekarang  atau  pada  masa  depan)  untuk  melaksanakan,  mentadbir  dan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other form, for the sole purpose of implementing, administering and</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2"/>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rPr>
              <w:t>managing his or her participation in the Plan, including any</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1"/>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4"/>
              </w:rPr>
              <w:t>requisite transfer of such Data as may be required to a broker or</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1"/>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other third party with whom the Participant may elect to deposit any</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1"/>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6"/>
              </w:rPr>
              <w:t>Shares acquired upon settlement of the Award. The Participant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4"/>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2"/>
              </w:rPr>
              <w:t>understands that Data will be held only as long as is necessary to</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5"/>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3"/>
              </w:rPr>
              <w:t>implement, administer and manage the Participant’s participation</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0"/>
              </w:rPr>
              <w:t xml:space="preserve">penyelesaian Anugerah. </w:t>
            </w:r>
            <w:r>
              <w:rPr>
                <w:rFonts w:ascii="Arial" w:cs="Arial" w:eastAsia="Arial" w:hAnsi="Arial"/>
                <w:sz w:val="16"/>
                <w:szCs w:val="16"/>
                <w:b w:val="1"/>
                <w:bCs w:val="1"/>
                <w:i w:val="1"/>
                <w:iCs w:val="1"/>
                <w:color w:val="222222"/>
                <w:w w:val="90"/>
              </w:rPr>
              <w:t>Peserta memahami bahawa Data akan dipegang hanya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1"/>
              </w:rPr>
              <w:t>in the Plan. The Participant understands that he or she may, at any</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4"/>
              </w:rPr>
              <w:t>time, view Data, request additional information about the storage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0"/>
              </w:rPr>
              <w:t xml:space="preserve">menguruskan penyertaannya dalam </w:t>
            </w:r>
            <w:r>
              <w:rPr>
                <w:rFonts w:ascii="Arial" w:cs="Arial" w:eastAsia="Arial" w:hAnsi="Arial"/>
                <w:sz w:val="16"/>
                <w:szCs w:val="16"/>
                <w:b w:val="1"/>
                <w:bCs w:val="1"/>
                <w:i w:val="1"/>
                <w:iCs w:val="1"/>
                <w:color w:val="000000"/>
                <w:w w:val="90"/>
              </w:rPr>
              <w:t>Pelan tersebut</w:t>
            </w:r>
            <w:r>
              <w:rPr>
                <w:rFonts w:ascii="Arial" w:cs="Arial" w:eastAsia="Arial" w:hAnsi="Arial"/>
                <w:sz w:val="16"/>
                <w:szCs w:val="16"/>
                <w:b w:val="1"/>
                <w:bCs w:val="1"/>
                <w:i w:val="1"/>
                <w:iCs w:val="1"/>
                <w:color w:val="222222"/>
                <w:w w:val="90"/>
              </w:rPr>
              <w:t xml:space="preserve">. </w:t>
            </w:r>
            <w:r>
              <w:rPr>
                <w:rFonts w:ascii="Arial" w:cs="Arial" w:eastAsia="Arial" w:hAnsi="Arial"/>
                <w:sz w:val="16"/>
                <w:szCs w:val="16"/>
                <w:b w:val="1"/>
                <w:bCs w:val="1"/>
                <w:i w:val="1"/>
                <w:iCs w:val="1"/>
                <w:color w:val="000000"/>
                <w:w w:val="90"/>
              </w:rPr>
              <w:t>Peserta memahami bahawa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and processing of Data, require any necessary amendments to Data</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auto"/>
                <w:w w:val="96"/>
              </w:rPr>
              <w:t xml:space="preserve">dia boleh, pada bila-bila masa, </w:t>
            </w:r>
            <w:r>
              <w:rPr>
                <w:rFonts w:ascii="Arial" w:cs="Arial" w:eastAsia="Arial" w:hAnsi="Arial"/>
                <w:sz w:val="16"/>
                <w:szCs w:val="16"/>
                <w:b w:val="1"/>
                <w:bCs w:val="1"/>
                <w:i w:val="1"/>
                <w:iCs w:val="1"/>
                <w:color w:val="222222"/>
                <w:w w:val="96"/>
              </w:rPr>
              <w:t>melihat data, meminta maklumat tambahan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89"/>
              </w:rPr>
              <w:t>or refuse or withdraw the consents herein, in any case without cost,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5"/>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7"/>
              </w:rPr>
              <w:t>by  contacting  in  writing  his  or  her  local  human  resources</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89"/>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0"/>
              </w:rPr>
              <w:t>representative. The Participant understands, however, that refusing</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6"/>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8"/>
              </w:rPr>
              <w:t>or withdrawing his or her consent may affect the Participant’s</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3"/>
              </w:rPr>
              <w:t xml:space="preserve">bertulis  wakil  sumber  manusia  tempatannya.  Peserta  </w:t>
            </w:r>
            <w:r>
              <w:rPr>
                <w:rFonts w:ascii="Arial" w:cs="Arial" w:eastAsia="Arial" w:hAnsi="Arial"/>
                <w:sz w:val="16"/>
                <w:szCs w:val="16"/>
                <w:b w:val="1"/>
                <w:bCs w:val="1"/>
                <w:i w:val="1"/>
                <w:iCs w:val="1"/>
                <w:color w:val="000000"/>
                <w:w w:val="93"/>
              </w:rPr>
              <w:t>memahami</w:t>
            </w:r>
            <w:r>
              <w:rPr>
                <w:rFonts w:ascii="Arial" w:cs="Arial" w:eastAsia="Arial" w:hAnsi="Arial"/>
                <w:sz w:val="16"/>
                <w:szCs w:val="16"/>
                <w:b w:val="1"/>
                <w:bCs w:val="1"/>
                <w:i w:val="1"/>
                <w:iCs w:val="1"/>
                <w:color w:val="222222"/>
                <w:w w:val="93"/>
              </w:rPr>
              <w:t xml:space="preserve">  bahawa</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rPr>
              <w:t>ability to participate in the Plan. For more information on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9"/>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0"/>
              </w:rPr>
              <w:t>consequences of a refusal to consent or withdrawal of consent, the</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0"/>
              </w:rPr>
              <w:t xml:space="preserve">keupayaannya untuk mengambil bahagian dalam </w:t>
            </w:r>
            <w:r>
              <w:rPr>
                <w:rFonts w:ascii="Arial" w:cs="Arial" w:eastAsia="Arial" w:hAnsi="Arial"/>
                <w:sz w:val="16"/>
                <w:szCs w:val="16"/>
                <w:b w:val="1"/>
                <w:bCs w:val="1"/>
                <w:i w:val="1"/>
                <w:iCs w:val="1"/>
                <w:color w:val="000000"/>
                <w:w w:val="90"/>
              </w:rPr>
              <w:t>Pelan</w:t>
            </w:r>
            <w:r>
              <w:rPr>
                <w:rFonts w:ascii="Arial" w:cs="Arial" w:eastAsia="Arial" w:hAnsi="Arial"/>
                <w:sz w:val="16"/>
                <w:szCs w:val="16"/>
                <w:b w:val="1"/>
                <w:bCs w:val="1"/>
                <w:i w:val="1"/>
                <w:iCs w:val="1"/>
                <w:color w:val="222222"/>
                <w:w w:val="90"/>
              </w:rPr>
              <w:t>. Untuk maklumat lanjut</w:t>
            </w:r>
          </w:p>
        </w:tc>
        <w:tc>
          <w:tcPr>
            <w:tcW w:w="0" w:type="dxa"/>
            <w:vAlign w:val="bottom"/>
          </w:tcPr>
          <w:p>
            <w:pPr>
              <w:spacing w:after="0"/>
              <w:rPr>
                <w:sz w:val="1"/>
                <w:szCs w:val="1"/>
                <w:color w:val="auto"/>
              </w:rPr>
            </w:pPr>
          </w:p>
        </w:tc>
      </w:tr>
      <w:tr>
        <w:trPr>
          <w:trHeight w:val="162"/>
        </w:trPr>
        <w:tc>
          <w:tcPr>
            <w:tcW w:w="4660" w:type="dxa"/>
            <w:vAlign w:val="bottom"/>
            <w:gridSpan w:val="5"/>
          </w:tcPr>
          <w:p>
            <w:pPr>
              <w:spacing w:after="0" w:line="162" w:lineRule="exact"/>
              <w:rPr>
                <w:sz w:val="20"/>
                <w:szCs w:val="20"/>
                <w:color w:val="auto"/>
              </w:rPr>
            </w:pPr>
            <w:r>
              <w:rPr>
                <w:rFonts w:ascii="Arial" w:cs="Arial" w:eastAsia="Arial" w:hAnsi="Arial"/>
                <w:sz w:val="16"/>
                <w:szCs w:val="16"/>
                <w:b w:val="1"/>
                <w:bCs w:val="1"/>
                <w:i w:val="1"/>
                <w:iCs w:val="1"/>
                <w:color w:val="auto"/>
                <w:w w:val="99"/>
              </w:rPr>
              <w:t>Participant understands that he or she may contact his or her</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3"/>
              </w:rPr>
              <w:t>mengenai akibat keengganan</w:t>
            </w:r>
            <w:r>
              <w:rPr>
                <w:rFonts w:ascii="Arial" w:cs="Arial" w:eastAsia="Arial" w:hAnsi="Arial"/>
                <w:sz w:val="16"/>
                <w:szCs w:val="16"/>
                <w:b w:val="1"/>
                <w:bCs w:val="1"/>
                <w:i w:val="1"/>
                <w:iCs w:val="1"/>
                <w:color w:val="000000"/>
                <w:w w:val="93"/>
              </w:rPr>
              <w:t>nya</w:t>
            </w:r>
            <w:r>
              <w:rPr>
                <w:rFonts w:ascii="Arial" w:cs="Arial" w:eastAsia="Arial" w:hAnsi="Arial"/>
                <w:sz w:val="16"/>
                <w:szCs w:val="16"/>
                <w:b w:val="1"/>
                <w:bCs w:val="1"/>
                <w:i w:val="1"/>
                <w:iCs w:val="1"/>
                <w:color w:val="222222"/>
                <w:w w:val="93"/>
              </w:rPr>
              <w:t xml:space="preserve"> untuk memberikan keizinan atau penarikan</w:t>
            </w:r>
          </w:p>
        </w:tc>
        <w:tc>
          <w:tcPr>
            <w:tcW w:w="0" w:type="dxa"/>
            <w:vAlign w:val="bottom"/>
          </w:tcPr>
          <w:p>
            <w:pPr>
              <w:spacing w:after="0"/>
              <w:rPr>
                <w:sz w:val="1"/>
                <w:szCs w:val="1"/>
                <w:color w:val="auto"/>
              </w:rPr>
            </w:pPr>
          </w:p>
        </w:tc>
      </w:tr>
      <w:tr>
        <w:trPr>
          <w:trHeight w:val="162"/>
        </w:trPr>
        <w:tc>
          <w:tcPr>
            <w:tcW w:w="860" w:type="dxa"/>
            <w:vAlign w:val="bottom"/>
          </w:tcPr>
          <w:p>
            <w:pPr>
              <w:spacing w:after="0" w:line="162" w:lineRule="exact"/>
              <w:rPr>
                <w:sz w:val="20"/>
                <w:szCs w:val="20"/>
                <w:color w:val="auto"/>
              </w:rPr>
            </w:pPr>
            <w:r>
              <w:rPr>
                <w:rFonts w:ascii="Arial" w:cs="Arial" w:eastAsia="Arial" w:hAnsi="Arial"/>
                <w:sz w:val="16"/>
                <w:szCs w:val="16"/>
                <w:b w:val="1"/>
                <w:bCs w:val="1"/>
                <w:i w:val="1"/>
                <w:iCs w:val="1"/>
                <w:color w:val="auto"/>
              </w:rPr>
              <w:t>regional</w:t>
            </w:r>
          </w:p>
        </w:tc>
        <w:tc>
          <w:tcPr>
            <w:tcW w:w="920" w:type="dxa"/>
            <w:vAlign w:val="bottom"/>
          </w:tcPr>
          <w:p>
            <w:pPr>
              <w:ind w:left="300"/>
              <w:spacing w:after="0" w:line="162" w:lineRule="exact"/>
              <w:rPr>
                <w:sz w:val="20"/>
                <w:szCs w:val="20"/>
                <w:color w:val="auto"/>
              </w:rPr>
            </w:pPr>
            <w:r>
              <w:rPr>
                <w:rFonts w:ascii="Arial" w:cs="Arial" w:eastAsia="Arial" w:hAnsi="Arial"/>
                <w:sz w:val="16"/>
                <w:szCs w:val="16"/>
                <w:b w:val="1"/>
                <w:bCs w:val="1"/>
                <w:i w:val="1"/>
                <w:iCs w:val="1"/>
                <w:color w:val="auto"/>
              </w:rPr>
              <w:t>stock</w:t>
            </w:r>
          </w:p>
        </w:tc>
        <w:tc>
          <w:tcPr>
            <w:tcW w:w="880" w:type="dxa"/>
            <w:vAlign w:val="bottom"/>
          </w:tcPr>
          <w:p>
            <w:pPr>
              <w:ind w:left="300"/>
              <w:spacing w:after="0" w:line="162" w:lineRule="exact"/>
              <w:rPr>
                <w:sz w:val="20"/>
                <w:szCs w:val="20"/>
                <w:color w:val="auto"/>
              </w:rPr>
            </w:pPr>
            <w:r>
              <w:rPr>
                <w:rFonts w:ascii="Arial" w:cs="Arial" w:eastAsia="Arial" w:hAnsi="Arial"/>
                <w:sz w:val="16"/>
                <w:szCs w:val="16"/>
                <w:b w:val="1"/>
                <w:bCs w:val="1"/>
                <w:i w:val="1"/>
                <w:iCs w:val="1"/>
                <w:color w:val="auto"/>
              </w:rPr>
              <w:t>plan</w:t>
            </w:r>
          </w:p>
        </w:tc>
        <w:tc>
          <w:tcPr>
            <w:tcW w:w="1500" w:type="dxa"/>
            <w:vAlign w:val="bottom"/>
          </w:tcPr>
          <w:p>
            <w:pPr>
              <w:ind w:left="300"/>
              <w:spacing w:after="0" w:line="162" w:lineRule="exact"/>
              <w:rPr>
                <w:sz w:val="20"/>
                <w:szCs w:val="20"/>
                <w:color w:val="auto"/>
              </w:rPr>
            </w:pPr>
            <w:r>
              <w:rPr>
                <w:rFonts w:ascii="Arial" w:cs="Arial" w:eastAsia="Arial" w:hAnsi="Arial"/>
                <w:sz w:val="16"/>
                <w:szCs w:val="16"/>
                <w:b w:val="1"/>
                <w:bCs w:val="1"/>
                <w:i w:val="1"/>
                <w:iCs w:val="1"/>
                <w:color w:val="auto"/>
              </w:rPr>
              <w:t>administrator</w:t>
            </w:r>
          </w:p>
        </w:tc>
        <w:tc>
          <w:tcPr>
            <w:tcW w:w="500" w:type="dxa"/>
            <w:vAlign w:val="bottom"/>
          </w:tcPr>
          <w:p>
            <w:pPr>
              <w:ind w:left="300"/>
              <w:spacing w:after="0" w:line="162" w:lineRule="exact"/>
              <w:rPr>
                <w:sz w:val="20"/>
                <w:szCs w:val="20"/>
                <w:color w:val="auto"/>
              </w:rPr>
            </w:pPr>
            <w:r>
              <w:rPr>
                <w:rFonts w:ascii="Arial" w:cs="Arial" w:eastAsia="Arial" w:hAnsi="Arial"/>
                <w:sz w:val="16"/>
                <w:szCs w:val="16"/>
                <w:b w:val="1"/>
                <w:bCs w:val="1"/>
                <w:i w:val="1"/>
                <w:iCs w:val="1"/>
                <w:color w:val="auto"/>
              </w:rPr>
              <w:t>at</w:t>
            </w:r>
          </w:p>
        </w:tc>
        <w:tc>
          <w:tcPr>
            <w:tcW w:w="5540" w:type="dxa"/>
            <w:vAlign w:val="bottom"/>
          </w:tcPr>
          <w:p>
            <w:pPr>
              <w:ind w:left="60"/>
              <w:spacing w:after="0" w:line="162" w:lineRule="exact"/>
              <w:rPr>
                <w:sz w:val="20"/>
                <w:szCs w:val="20"/>
                <w:color w:val="auto"/>
              </w:rPr>
            </w:pPr>
            <w:r>
              <w:rPr>
                <w:rFonts w:ascii="Arial" w:cs="Arial" w:eastAsia="Arial" w:hAnsi="Arial"/>
                <w:sz w:val="16"/>
                <w:szCs w:val="16"/>
                <w:b w:val="1"/>
                <w:bCs w:val="1"/>
                <w:i w:val="1"/>
                <w:iCs w:val="1"/>
                <w:color w:val="222222"/>
                <w:w w:val="91"/>
              </w:rPr>
              <w:t>balik keizinan, Peserta fahami bahawa dia boleh menghubungi pentadbir pelan</w:t>
            </w:r>
          </w:p>
        </w:tc>
        <w:tc>
          <w:tcPr>
            <w:tcW w:w="0" w:type="dxa"/>
            <w:vAlign w:val="bottom"/>
          </w:tcPr>
          <w:p>
            <w:pPr>
              <w:spacing w:after="0"/>
              <w:rPr>
                <w:sz w:val="1"/>
                <w:szCs w:val="1"/>
                <w:color w:val="auto"/>
              </w:rPr>
            </w:pPr>
          </w:p>
        </w:tc>
      </w:tr>
      <w:tr>
        <w:trPr>
          <w:trHeight w:val="206"/>
        </w:trPr>
        <w:tc>
          <w:tcPr>
            <w:tcW w:w="2660" w:type="dxa"/>
            <w:vAlign w:val="bottom"/>
            <w:gridSpan w:val="3"/>
          </w:tcPr>
          <w:p>
            <w:pPr>
              <w:spacing w:after="0"/>
              <w:rPr>
                <w:sz w:val="20"/>
                <w:szCs w:val="20"/>
                <w:color w:val="auto"/>
              </w:rPr>
            </w:pPr>
            <w:r>
              <w:rPr>
                <w:rFonts w:ascii="Arial" w:cs="Arial" w:eastAsia="Arial" w:hAnsi="Arial"/>
                <w:sz w:val="16"/>
                <w:szCs w:val="16"/>
                <w:b w:val="1"/>
                <w:bCs w:val="1"/>
                <w:i w:val="1"/>
                <w:iCs w:val="1"/>
                <w:u w:val="single" w:color="auto"/>
                <w:color w:val="auto"/>
              </w:rPr>
              <w:t>S</w:t>
            </w:r>
            <w:r>
              <w:rPr>
                <w:rFonts w:ascii="Arial" w:cs="Arial" w:eastAsia="Arial" w:hAnsi="Arial"/>
                <w:sz w:val="16"/>
                <w:szCs w:val="16"/>
                <w:b w:val="1"/>
                <w:bCs w:val="1"/>
                <w:i w:val="1"/>
                <w:iCs w:val="1"/>
                <w:color w:val="auto"/>
              </w:rPr>
              <w:t>tock_Plan_Admin@Analog.com.</w:t>
            </w: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540" w:type="dxa"/>
            <w:vAlign w:val="bottom"/>
          </w:tcPr>
          <w:p>
            <w:pPr>
              <w:ind w:left="60"/>
              <w:spacing w:after="0"/>
              <w:rPr>
                <w:sz w:val="20"/>
                <w:szCs w:val="20"/>
                <w:color w:val="auto"/>
              </w:rPr>
            </w:pPr>
            <w:r>
              <w:rPr>
                <w:rFonts w:ascii="Arial" w:cs="Arial" w:eastAsia="Arial" w:hAnsi="Arial"/>
                <w:sz w:val="16"/>
                <w:szCs w:val="16"/>
                <w:b w:val="1"/>
                <w:bCs w:val="1"/>
                <w:i w:val="1"/>
                <w:iCs w:val="1"/>
                <w:color w:val="222222"/>
              </w:rPr>
              <w:t xml:space="preserve">saham serantau di </w:t>
            </w:r>
            <w:r>
              <w:rPr>
                <w:rFonts w:ascii="Arial" w:cs="Arial" w:eastAsia="Arial" w:hAnsi="Arial"/>
                <w:sz w:val="16"/>
                <w:szCs w:val="16"/>
                <w:b w:val="1"/>
                <w:bCs w:val="1"/>
                <w:i w:val="1"/>
                <w:iCs w:val="1"/>
                <w:color w:val="000000"/>
              </w:rPr>
              <w:t>Stock_Plan_Admin@Analog.com</w:t>
            </w:r>
            <w:r>
              <w:rPr>
                <w:rFonts w:ascii="Arial" w:cs="Arial" w:eastAsia="Arial" w:hAnsi="Arial"/>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-5413375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-5396230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-5379085</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-5361940</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-5344795</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-5327650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-5310505</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-5293360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-5276215</wp:posOffset>
            </wp:positionV>
            <wp:extent cx="8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-5259070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-5241925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-5224780</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-5207635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-5190490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-5173345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-5156200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-5139055</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-5121910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-5104765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-5087620</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-5070475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-5053330</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-5036185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-5019040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-5001895</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-4984750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-4967605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-4950460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-4933315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-4916170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-4899025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-4881880</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-4864735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-4847590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-4830445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-4813300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-4796155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-4779010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-4761865</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-4744720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-4727575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-4710430</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-4693285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-4676140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-4658995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-4641850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-4624705</wp:posOffset>
            </wp:positionV>
            <wp:extent cx="82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-4607560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-4590415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-4573270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-4556125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-4538980</wp:posOffset>
            </wp:positionV>
            <wp:extent cx="82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-4521835</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-4504690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-4487545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-4470400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-4453255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-4436110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-4418965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-4401820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-4384675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-4367530</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-4350385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-4333240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-4316095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-4298950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-4281805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-4264660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-4247515</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-4230370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-4213225</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-4196080</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-4178935</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-4161790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-4144645</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-4127500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-4110355</wp:posOffset>
            </wp:positionV>
            <wp:extent cx="825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-4093210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-4076065</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-4058920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-4041775</wp:posOffset>
            </wp:positionV>
            <wp:extent cx="8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-4024630</wp:posOffset>
            </wp:positionV>
            <wp:extent cx="825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-4007485</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-3990340</wp:posOffset>
            </wp:positionV>
            <wp:extent cx="8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-3973195</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-3956050</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-3938905</wp:posOffset>
            </wp:positionV>
            <wp:extent cx="825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-3921760</wp:posOffset>
            </wp:positionV>
            <wp:extent cx="8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-3904615</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-3887470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-3870325</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-3853180</wp:posOffset>
            </wp:positionV>
            <wp:extent cx="82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-3836035</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-3818890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-3801745</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-3784600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-3767455</wp:posOffset>
            </wp:positionV>
            <wp:extent cx="825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-3750310</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-3733165</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-3716020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-3698875</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-3681730</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-3664585</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-3647440</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-3630295</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-3613150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-3596005</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-3578860</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-3561715</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-3544570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-3527425</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-3510280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-3493135</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-3475990</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-3458845</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-3441700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-3424555</wp:posOffset>
            </wp:positionV>
            <wp:extent cx="825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-3407410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-3390265</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-3373120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-3355975</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-3338830</wp:posOffset>
            </wp:positionV>
            <wp:extent cx="82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-3321685</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-3304540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-3287395</wp:posOffset>
            </wp:positionV>
            <wp:extent cx="8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-3270250</wp:posOffset>
            </wp:positionV>
            <wp:extent cx="8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-3253105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-3235960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-3218815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-3201670</wp:posOffset>
            </wp:positionV>
            <wp:extent cx="82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-3184525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-3167380</wp:posOffset>
            </wp:positionV>
            <wp:extent cx="8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-3150235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-3133090</wp:posOffset>
            </wp:positionV>
            <wp:extent cx="8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-3115945</wp:posOffset>
            </wp:positionV>
            <wp:extent cx="8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-3098800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-3081655</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-3064510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-3047365</wp:posOffset>
            </wp:positionV>
            <wp:extent cx="8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-3030220</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-3013075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-2995930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-2978785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-2961640</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-2944495</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-2927350</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-2910205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-2893060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-2875915</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-2858770</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-2841625</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-2824480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-2807335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-2790190</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-2773045</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-2755900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-2738755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-2721610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-2704465</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-2687320</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-2670175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-2653030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-2635885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-2618740</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-2601595</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-2584450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-2567305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-2550160</wp:posOffset>
            </wp:positionV>
            <wp:extent cx="8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-2533015</wp:posOffset>
            </wp:positionV>
            <wp:extent cx="825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-2515870</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-2498725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-2481580</wp:posOffset>
            </wp:positionV>
            <wp:extent cx="8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-2464435</wp:posOffset>
            </wp:positionV>
            <wp:extent cx="825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-2447290</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-2430145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-2413000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-2395855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-2378710</wp:posOffset>
            </wp:positionV>
            <wp:extent cx="825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-2361565</wp:posOffset>
            </wp:positionV>
            <wp:extent cx="82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-2344420</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-2327275</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-2310130</wp:posOffset>
            </wp:positionV>
            <wp:extent cx="8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-2292985</wp:posOffset>
            </wp:positionV>
            <wp:extent cx="825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-2275840</wp:posOffset>
            </wp:positionV>
            <wp:extent cx="82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-2258695</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-2241550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-2224405</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-2207260</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-2190115</wp:posOffset>
            </wp:positionV>
            <wp:extent cx="825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-2172970</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-2155825</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-2138680</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-2121535</wp:posOffset>
            </wp:positionV>
            <wp:extent cx="825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-2104390</wp:posOffset>
            </wp:positionV>
            <wp:extent cx="825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-2087245</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-2070100</wp:posOffset>
            </wp:positionV>
            <wp:extent cx="8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-2052955</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-2035810</wp:posOffset>
            </wp:positionV>
            <wp:extent cx="82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-2018665</wp:posOffset>
            </wp:positionV>
            <wp:extent cx="825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-2001520</wp:posOffset>
            </wp:positionV>
            <wp:extent cx="8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-1984375</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-1967230</wp:posOffset>
            </wp:positionV>
            <wp:extent cx="82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-1950085</wp:posOffset>
            </wp:positionV>
            <wp:extent cx="825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-1932940</wp:posOffset>
            </wp:positionV>
            <wp:extent cx="825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-1915795</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-1898650</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-1881505</wp:posOffset>
            </wp:positionV>
            <wp:extent cx="8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-1864360</wp:posOffset>
            </wp:positionV>
            <wp:extent cx="82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-1847215</wp:posOffset>
            </wp:positionV>
            <wp:extent cx="82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-1830070</wp:posOffset>
            </wp:positionV>
            <wp:extent cx="8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-1812925</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-1795780</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-1778635</wp:posOffset>
            </wp:positionV>
            <wp:extent cx="82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-1761490</wp:posOffset>
            </wp:positionV>
            <wp:extent cx="825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-1744345</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-1727200</wp:posOffset>
            </wp:positionV>
            <wp:extent cx="825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-1710055</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-1692910</wp:posOffset>
            </wp:positionV>
            <wp:extent cx="825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-1675765</wp:posOffset>
            </wp:positionV>
            <wp:extent cx="825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-1658620</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-1641475</wp:posOffset>
            </wp:positionV>
            <wp:extent cx="8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-1624330</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-1607185</wp:posOffset>
            </wp:positionV>
            <wp:extent cx="82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-1590040</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-1572895</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-1555750</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-1538605</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-1521460</wp:posOffset>
            </wp:positionV>
            <wp:extent cx="825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-1504315</wp:posOffset>
            </wp:positionV>
            <wp:extent cx="82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-1487170</wp:posOffset>
            </wp:positionV>
            <wp:extent cx="8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-1470025</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-1452880</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-1435735</wp:posOffset>
            </wp:positionV>
            <wp:extent cx="825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-1418590</wp:posOffset>
            </wp:positionV>
            <wp:extent cx="825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-1401445</wp:posOffset>
            </wp:positionV>
            <wp:extent cx="825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-1384300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-1367155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-1350010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-1332865</wp:posOffset>
            </wp:positionV>
            <wp:extent cx="825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-1315720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-1298575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-1281430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-1264285</wp:posOffset>
            </wp:positionV>
            <wp:extent cx="825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-1247140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-1229995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-1212850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-1195705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-1178560</wp:posOffset>
            </wp:positionV>
            <wp:extent cx="825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-1161415</wp:posOffset>
            </wp:positionV>
            <wp:extent cx="825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-1144270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-1127125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-1109980</wp:posOffset>
            </wp:positionV>
            <wp:extent cx="8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-1092835</wp:posOffset>
            </wp:positionV>
            <wp:extent cx="825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-1075690</wp:posOffset>
            </wp:positionV>
            <wp:extent cx="825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-1058545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-1041400</wp:posOffset>
            </wp:positionV>
            <wp:extent cx="8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-1024255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-1007110</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-989965</wp:posOffset>
            </wp:positionV>
            <wp:extent cx="825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-972820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-955675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-938530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-921385</wp:posOffset>
            </wp:positionV>
            <wp:extent cx="825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-904240</wp:posOffset>
            </wp:positionV>
            <wp:extent cx="825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-887095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-869950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-852805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-835660</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-818515</wp:posOffset>
            </wp:positionV>
            <wp:extent cx="825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-801370</wp:posOffset>
            </wp:positionV>
            <wp:extent cx="8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-784225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-767080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-749935</wp:posOffset>
            </wp:positionV>
            <wp:extent cx="825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-732790</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-715645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-698500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-681355</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-664210</wp:posOffset>
            </wp:positionV>
            <wp:extent cx="825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-647065</wp:posOffset>
            </wp:positionV>
            <wp:extent cx="82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-629920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-612775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-595630</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-578485</wp:posOffset>
            </wp:positionV>
            <wp:extent cx="825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-561340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-544195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-527050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-509905</wp:posOffset>
            </wp:positionV>
            <wp:extent cx="82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-492760</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-475615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-458470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-441325</wp:posOffset>
            </wp:positionV>
            <wp:extent cx="8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-424180</wp:posOffset>
            </wp:positionV>
            <wp:extent cx="825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-407035</wp:posOffset>
            </wp:positionV>
            <wp:extent cx="82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-389890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-372745</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-355600</wp:posOffset>
            </wp:positionV>
            <wp:extent cx="8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-338455</wp:posOffset>
            </wp:positionV>
            <wp:extent cx="82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-321310</wp:posOffset>
            </wp:positionV>
            <wp:extent cx="825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-304165</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-287020</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-269875</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-252730</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-235585</wp:posOffset>
            </wp:positionV>
            <wp:extent cx="825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-218440</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-201295</wp:posOffset>
            </wp:positionV>
            <wp:extent cx="8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-184150</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-167005</wp:posOffset>
            </wp:positionV>
            <wp:extent cx="825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-149860</wp:posOffset>
            </wp:positionV>
            <wp:extent cx="825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-132715</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-115570</wp:posOffset>
            </wp:positionV>
            <wp:extent cx="8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-98425</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-81280</wp:posOffset>
            </wp:positionV>
            <wp:extent cx="825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-64135</wp:posOffset>
            </wp:positionV>
            <wp:extent cx="825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-46990</wp:posOffset>
            </wp:positionV>
            <wp:extent cx="82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-29845</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-12700</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-5405120</wp:posOffset>
            </wp:positionV>
            <wp:extent cx="82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-5387340</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-5370195</wp:posOffset>
            </wp:positionV>
            <wp:extent cx="8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-5353050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-5335905</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-5319395</wp:posOffset>
            </wp:positionV>
            <wp:extent cx="82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-5301615</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-5284470</wp:posOffset>
            </wp:positionV>
            <wp:extent cx="8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-5267325</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-5250180</wp:posOffset>
            </wp:positionV>
            <wp:extent cx="8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-5233670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-5215890</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-5198745</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-5182235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-5164455</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-5147945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-5130165</wp:posOffset>
            </wp:positionV>
            <wp:extent cx="8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-5113020</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-5096510</wp:posOffset>
            </wp:positionV>
            <wp:extent cx="825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-5078730</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-5062220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-5044440</wp:posOffset>
            </wp:positionV>
            <wp:extent cx="8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-5027295</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-5010785</wp:posOffset>
            </wp:positionV>
            <wp:extent cx="825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-4993005</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-4976495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-4958715</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-4941570</wp:posOffset>
            </wp:positionV>
            <wp:extent cx="8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-4925060</wp:posOffset>
            </wp:positionV>
            <wp:extent cx="825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-4907280</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-4890770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-4872990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-4855845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-4839335</wp:posOffset>
            </wp:positionV>
            <wp:extent cx="825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-4821555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-4805045</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-4787265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-4770120</wp:posOffset>
            </wp:positionV>
            <wp:extent cx="8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-4753610</wp:posOffset>
            </wp:positionV>
            <wp:extent cx="825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-4735830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-4719320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-4701540</wp:posOffset>
            </wp:positionV>
            <wp:extent cx="8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-4684395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-4667885</wp:posOffset>
            </wp:positionV>
            <wp:extent cx="825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-4650105</wp:posOffset>
            </wp:positionV>
            <wp:extent cx="8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-4633595</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-4615815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-4598670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-4582160</wp:posOffset>
            </wp:positionV>
            <wp:extent cx="82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-4564380</wp:posOffset>
            </wp:positionV>
            <wp:extent cx="8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-4547870</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-4530090</wp:posOffset>
            </wp:positionV>
            <wp:extent cx="8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-4512945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-4496435</wp:posOffset>
            </wp:positionV>
            <wp:extent cx="825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-4478655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-4462145</wp:posOffset>
            </wp:positionV>
            <wp:extent cx="8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-4444365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-4427220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-4410710</wp:posOffset>
            </wp:positionV>
            <wp:extent cx="825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-4392930</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-4376420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-4358640</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-4341495</wp:posOffset>
            </wp:positionV>
            <wp:extent cx="8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-4324985</wp:posOffset>
            </wp:positionV>
            <wp:extent cx="82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-4307205</wp:posOffset>
            </wp:positionV>
            <wp:extent cx="8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-4290695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-4272915</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-4255770</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-4239260</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-4221480</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-4204970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-4187190</wp:posOffset>
            </wp:positionV>
            <wp:extent cx="8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-4170045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-4153535</wp:posOffset>
            </wp:positionV>
            <wp:extent cx="825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-4135755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-4119245</wp:posOffset>
            </wp:positionV>
            <wp:extent cx="8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-4101465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-4084320</wp:posOffset>
            </wp:positionV>
            <wp:extent cx="8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-4067810</wp:posOffset>
            </wp:positionV>
            <wp:extent cx="82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-4050030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-4033520</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-4015740</wp:posOffset>
            </wp:positionV>
            <wp:extent cx="8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-3998595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-3982085</wp:posOffset>
            </wp:positionV>
            <wp:extent cx="825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-3964305</wp:posOffset>
            </wp:positionV>
            <wp:extent cx="8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-3947795</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-3930015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-3912870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-3896360</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-3878580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-3862070</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-3844290</wp:posOffset>
            </wp:positionV>
            <wp:extent cx="8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-3827145</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-3810635</wp:posOffset>
            </wp:positionV>
            <wp:extent cx="82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-3792855</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-3776345</wp:posOffset>
            </wp:positionV>
            <wp:extent cx="8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-3758565</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-3741420</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-3724910</wp:posOffset>
            </wp:positionV>
            <wp:extent cx="825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-3707130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-3690620</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-3672840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-3655695</wp:posOffset>
            </wp:positionV>
            <wp:extent cx="8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-3639185</wp:posOffset>
            </wp:positionV>
            <wp:extent cx="825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-3621405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-3604895</wp:posOffset>
            </wp:positionV>
            <wp:extent cx="8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-3587115</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-3569970</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-3553460</wp:posOffset>
            </wp:positionV>
            <wp:extent cx="825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-3535680</wp:posOffset>
            </wp:positionV>
            <wp:extent cx="8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-3519170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-3501390</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-3484245</wp:posOffset>
            </wp:positionV>
            <wp:extent cx="8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-3467735</wp:posOffset>
            </wp:positionV>
            <wp:extent cx="825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-3449955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-3433445</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-3415665</wp:posOffset>
            </wp:positionV>
            <wp:extent cx="8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-3398520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-3382010</wp:posOffset>
            </wp:positionV>
            <wp:extent cx="825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-3364230</wp:posOffset>
            </wp:positionV>
            <wp:extent cx="825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-3347720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-3329940</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-3312795</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-3296285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-3278505</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-3261995</wp:posOffset>
            </wp:positionV>
            <wp:extent cx="825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-3244215</wp:posOffset>
            </wp:positionV>
            <wp:extent cx="825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-3227070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-3209925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-3192780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-3176270</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-3158490</wp:posOffset>
            </wp:positionV>
            <wp:extent cx="82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-3141345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-3124200</wp:posOffset>
            </wp:positionV>
            <wp:extent cx="8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-3107055</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-3090545</wp:posOffset>
            </wp:positionV>
            <wp:extent cx="825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-3072765</wp:posOffset>
            </wp:positionV>
            <wp:extent cx="825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-3055620</wp:posOffset>
            </wp:positionV>
            <wp:extent cx="8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-3038475</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-3021330</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-3004820</wp:posOffset>
            </wp:positionV>
            <wp:extent cx="825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-2987040</wp:posOffset>
            </wp:positionV>
            <wp:extent cx="825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-2969895</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-2952750</wp:posOffset>
            </wp:positionV>
            <wp:extent cx="8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-2935605</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-2919095</wp:posOffset>
            </wp:positionV>
            <wp:extent cx="825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-2901315</wp:posOffset>
            </wp:positionV>
            <wp:extent cx="82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-2884170</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-2867025</wp:posOffset>
            </wp:positionV>
            <wp:extent cx="8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-2849880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-2833370</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-2815590</wp:posOffset>
            </wp:positionV>
            <wp:extent cx="825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-2798445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-2781300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-2764155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-2747645</wp:posOffset>
            </wp:positionV>
            <wp:extent cx="825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-2729865</wp:posOffset>
            </wp:positionV>
            <wp:extent cx="825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-2712720</wp:posOffset>
            </wp:positionV>
            <wp:extent cx="825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-2695575</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-2678430</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-2661920</wp:posOffset>
            </wp:positionV>
            <wp:extent cx="82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-2644140</wp:posOffset>
            </wp:positionV>
            <wp:extent cx="82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-2626995</wp:posOffset>
            </wp:positionV>
            <wp:extent cx="8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-2609850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-2592705</wp:posOffset>
            </wp:positionV>
            <wp:extent cx="8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-2576195</wp:posOffset>
            </wp:positionV>
            <wp:extent cx="825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-2558415</wp:posOffset>
            </wp:positionV>
            <wp:extent cx="825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-2541270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-2524125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-2506980</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-2490470</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-2472690</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-2455545</wp:posOffset>
            </wp:positionV>
            <wp:extent cx="8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-2438400</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-2421890</wp:posOffset>
            </wp:positionV>
            <wp:extent cx="825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-2404745</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-2386965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-2369820</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-2352675</wp:posOffset>
            </wp:positionV>
            <wp:extent cx="8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-2336165</wp:posOffset>
            </wp:positionV>
            <wp:extent cx="825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-2319020</wp:posOffset>
            </wp:positionV>
            <wp:extent cx="825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-2301240</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-2284095</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-2266950</wp:posOffset>
            </wp:positionV>
            <wp:extent cx="8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-2250440</wp:posOffset>
            </wp:positionV>
            <wp:extent cx="825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-2233295</wp:posOffset>
            </wp:positionV>
            <wp:extent cx="825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-2215515</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-2198370</wp:posOffset>
            </wp:positionV>
            <wp:extent cx="8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-2181225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-2164715</wp:posOffset>
            </wp:positionV>
            <wp:extent cx="8255"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-2147570</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-2129790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-2112645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-2095500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-2078990</wp:posOffset>
            </wp:positionV>
            <wp:extent cx="825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-2061845</wp:posOffset>
            </wp:positionV>
            <wp:extent cx="82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-2044065</wp:posOffset>
            </wp:positionV>
            <wp:extent cx="8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-2026920</wp:posOffset>
            </wp:positionV>
            <wp:extent cx="8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-2009775</wp:posOffset>
            </wp:positionV>
            <wp:extent cx="8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-1993265</wp:posOffset>
            </wp:positionV>
            <wp:extent cx="825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-1976120</wp:posOffset>
            </wp:positionV>
            <wp:extent cx="825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-1958340</wp:posOffset>
            </wp:positionV>
            <wp:extent cx="8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-1941195</wp:posOffset>
            </wp:positionV>
            <wp:extent cx="8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-1924050</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-1907540</wp:posOffset>
            </wp:positionV>
            <wp:extent cx="825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-1890395</wp:posOffset>
            </wp:positionV>
            <wp:extent cx="825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-1872615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-1855470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-1838325</wp:posOffset>
            </wp:positionV>
            <wp:extent cx="8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-1821815</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-1804670</wp:posOffset>
            </wp:positionV>
            <wp:extent cx="825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-1786890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-1769745</wp:posOffset>
            </wp:positionV>
            <wp:extent cx="8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-1752600</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-1736090</wp:posOffset>
            </wp:positionV>
            <wp:extent cx="825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-1718945</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-1701165</wp:posOffset>
            </wp:positionV>
            <wp:extent cx="8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-1684020</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-1666875</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-1650365</wp:posOffset>
            </wp:positionV>
            <wp:extent cx="825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-1633220</wp:posOffset>
            </wp:positionV>
            <wp:extent cx="825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-1615440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-1598295</wp:posOffset>
            </wp:positionV>
            <wp:extent cx="8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-1581150</wp:posOffset>
            </wp:positionV>
            <wp:extent cx="8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-1564640</wp:posOffset>
            </wp:positionV>
            <wp:extent cx="825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-1547495</wp:posOffset>
            </wp:positionV>
            <wp:extent cx="825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-1529715</wp:posOffset>
            </wp:positionV>
            <wp:extent cx="8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-1512570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-1495425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-1478915</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-1461770</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-1443990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-1426845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-1409700</wp:posOffset>
            </wp:positionV>
            <wp:extent cx="8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-1393190</wp:posOffset>
            </wp:positionV>
            <wp:extent cx="82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-1376045</wp:posOffset>
            </wp:positionV>
            <wp:extent cx="825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-1358265</wp:posOffset>
            </wp:positionV>
            <wp:extent cx="825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-1341120</wp:posOffset>
            </wp:positionV>
            <wp:extent cx="825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-1323975</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-1307465</wp:posOffset>
            </wp:positionV>
            <wp:extent cx="825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-1290320</wp:posOffset>
            </wp:positionV>
            <wp:extent cx="825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-1272540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-1255395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-1238250</wp:posOffset>
            </wp:positionV>
            <wp:extent cx="82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-1221740</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-1204595</wp:posOffset>
            </wp:positionV>
            <wp:extent cx="825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-1186815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-1169670</wp:posOffset>
            </wp:positionV>
            <wp:extent cx="82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-1152525</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-1136015</wp:posOffset>
            </wp:positionV>
            <wp:extent cx="825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-1118870</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-1101090</wp:posOffset>
            </wp:positionV>
            <wp:extent cx="825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-1083945</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-1066800</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-1050290</wp:posOffset>
            </wp:positionV>
            <wp:extent cx="825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-1033145</wp:posOffset>
            </wp:positionV>
            <wp:extent cx="825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-1015365</wp:posOffset>
            </wp:positionV>
            <wp:extent cx="825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-998220</wp:posOffset>
            </wp:positionV>
            <wp:extent cx="825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-981075</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-964565</wp:posOffset>
            </wp:positionV>
            <wp:extent cx="825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-947420</wp:posOffset>
            </wp:positionV>
            <wp:extent cx="825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-929640</wp:posOffset>
            </wp:positionV>
            <wp:extent cx="825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-912495</wp:posOffset>
            </wp:positionV>
            <wp:extent cx="825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-895350</wp:posOffset>
            </wp:positionV>
            <wp:extent cx="825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-878840</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-861695</wp:posOffset>
            </wp:positionV>
            <wp:extent cx="825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-843915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-826770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-809625</wp:posOffset>
            </wp:positionV>
            <wp:extent cx="825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-793115</wp:posOffset>
            </wp:positionV>
            <wp:extent cx="825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-775970</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-758190</wp:posOffset>
            </wp:positionV>
            <wp:extent cx="825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-741045</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-723900</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-707390</wp:posOffset>
            </wp:positionV>
            <wp:extent cx="825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-690245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-672465</wp:posOffset>
            </wp:positionV>
            <wp:extent cx="825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-655320</wp:posOffset>
            </wp:positionV>
            <wp:extent cx="82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-638175</wp:posOffset>
            </wp:positionV>
            <wp:extent cx="82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-621665</wp:posOffset>
            </wp:positionV>
            <wp:extent cx="825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-604520</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-586740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-569595</wp:posOffset>
            </wp:positionV>
            <wp:extent cx="825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-553085</wp:posOffset>
            </wp:positionV>
            <wp:extent cx="825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-535940</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-518795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-501015</wp:posOffset>
            </wp:positionV>
            <wp:extent cx="825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-483870</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-467360</wp:posOffset>
            </wp:positionV>
            <wp:extent cx="8255"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-450215</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-433070</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-415290</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-398145</wp:posOffset>
            </wp:positionV>
            <wp:extent cx="825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-381635</wp:posOffset>
            </wp:positionV>
            <wp:extent cx="825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-364490</wp:posOffset>
            </wp:positionV>
            <wp:extent cx="825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-347345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-329565</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-312420</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-295910</wp:posOffset>
            </wp:positionV>
            <wp:extent cx="825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-278765</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-261620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-243840</wp:posOffset>
            </wp:positionV>
            <wp:extent cx="8255"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-226695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-210185</wp:posOffset>
            </wp:positionV>
            <wp:extent cx="825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-193040</wp:posOffset>
            </wp:positionV>
            <wp:extent cx="825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-175895</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-158115</wp:posOffset>
            </wp:positionV>
            <wp:extent cx="825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-140970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-124460</wp:posOffset>
            </wp:positionV>
            <wp:extent cx="825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-107315</wp:posOffset>
            </wp:positionV>
            <wp:extent cx="825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-90170</wp:posOffset>
            </wp:positionV>
            <wp:extent cx="825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-72390</wp:posOffset>
            </wp:positionV>
            <wp:extent cx="825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-55245</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-38100</wp:posOffset>
            </wp:positionV>
            <wp:extent cx="825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-21590</wp:posOffset>
            </wp:positionV>
            <wp:extent cx="82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-5413375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-5396230</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-5379085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-5361940</wp:posOffset>
            </wp:positionV>
            <wp:extent cx="889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-5344795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-5327650</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-5310505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-5293360</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-5276215</wp:posOffset>
            </wp:positionV>
            <wp:extent cx="889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-5259070</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-5241925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-5224780</wp:posOffset>
            </wp:positionV>
            <wp:extent cx="889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-5207635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-5190490</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-5173345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-5156200</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-5139055</wp:posOffset>
            </wp:positionV>
            <wp:extent cx="889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-5121910</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-5104765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-5087620</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-5070475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-5053330</wp:posOffset>
            </wp:positionV>
            <wp:extent cx="889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-5036185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-5019040</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-5001895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-4984750</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-4967605</wp:posOffset>
            </wp:positionV>
            <wp:extent cx="889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-4950460</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-4933315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-4916170</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-4899025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-4881880</wp:posOffset>
            </wp:positionV>
            <wp:extent cx="88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-4864735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-4847590</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-4830445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-4813300</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-4796155</wp:posOffset>
            </wp:positionV>
            <wp:extent cx="88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-4779010</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-4761865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-4744720</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-4727575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-4710430</wp:posOffset>
            </wp:positionV>
            <wp:extent cx="889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-4693285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-4676140</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-4658995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-4641850</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-4624705</wp:posOffset>
            </wp:positionV>
            <wp:extent cx="889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-4607560</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-4590415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-4573270</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-4556125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-4538980</wp:posOffset>
            </wp:positionV>
            <wp:extent cx="889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-4521835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-4504690</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-4487545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-4470400</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-4453255</wp:posOffset>
            </wp:positionV>
            <wp:extent cx="88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-4436110</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-4418965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-4401820</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-4384675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-4367530</wp:posOffset>
            </wp:positionV>
            <wp:extent cx="88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-4350385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-4333240</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-4316095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-4298950</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-4281805</wp:posOffset>
            </wp:positionV>
            <wp:extent cx="889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-4264660</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-4247515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-4230370</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-4213225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-4196080</wp:posOffset>
            </wp:positionV>
            <wp:extent cx="889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-4178935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-4161790</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-4144645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-4127500</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-4110355</wp:posOffset>
            </wp:positionV>
            <wp:extent cx="889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-4093210</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-4076065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-4058920</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-4041775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-4024630</wp:posOffset>
            </wp:positionV>
            <wp:extent cx="889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-4007485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-3990340</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-3973195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-3956050</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-3938905</wp:posOffset>
            </wp:positionV>
            <wp:extent cx="889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-3921760</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-3904615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-3887470</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-3870325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-3853180</wp:posOffset>
            </wp:positionV>
            <wp:extent cx="889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-3836035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-3818890</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-3801745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-3784600</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-3767455</wp:posOffset>
            </wp:positionV>
            <wp:extent cx="889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-3750310</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-3733165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-3716020</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-3698875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-3681730</wp:posOffset>
            </wp:positionV>
            <wp:extent cx="889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-3664585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-3647440</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-3630295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-3613150</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-3596005</wp:posOffset>
            </wp:positionV>
            <wp:extent cx="889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-3578860</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-3561715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-3544570</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-3527425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-3510280</wp:posOffset>
            </wp:positionV>
            <wp:extent cx="889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-3493135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-3475990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-3458845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-3441700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-3424555</wp:posOffset>
            </wp:positionV>
            <wp:extent cx="889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-3407410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-3390265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-3373120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-3355975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-3338830</wp:posOffset>
            </wp:positionV>
            <wp:extent cx="889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-3321685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-3304540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-3287395</wp:posOffset>
            </wp:positionV>
            <wp:extent cx="889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-3270250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-3253105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-3235960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-3218815</wp:posOffset>
            </wp:positionV>
            <wp:extent cx="88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-3201670</wp:posOffset>
            </wp:positionV>
            <wp:extent cx="88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-3184525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-3167380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-3150235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-3133090</wp:posOffset>
            </wp:positionV>
            <wp:extent cx="889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-3115945</wp:posOffset>
            </wp:positionV>
            <wp:extent cx="889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-3098800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-3081655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-3064510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-3047365</wp:posOffset>
            </wp:positionV>
            <wp:extent cx="889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-3030220</wp:posOffset>
            </wp:positionV>
            <wp:extent cx="889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-3013075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-2995930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-2978785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-2961640</wp:posOffset>
            </wp:positionV>
            <wp:extent cx="889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-2944495</wp:posOffset>
            </wp:positionV>
            <wp:extent cx="889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-2927350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-2910205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-2893060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-2875915</wp:posOffset>
            </wp:positionV>
            <wp:extent cx="889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-2858770</wp:posOffset>
            </wp:positionV>
            <wp:extent cx="889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-2841625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-2824480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-2807335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-2790190</wp:posOffset>
            </wp:positionV>
            <wp:extent cx="889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-2773045</wp:posOffset>
            </wp:positionV>
            <wp:extent cx="889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-2755900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-2738755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-2721610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-2704465</wp:posOffset>
            </wp:positionV>
            <wp:extent cx="889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-2687320</wp:posOffset>
            </wp:positionV>
            <wp:extent cx="889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-2670175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-2653030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-2635885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-2618740</wp:posOffset>
            </wp:positionV>
            <wp:extent cx="889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-2601595</wp:posOffset>
            </wp:positionV>
            <wp:extent cx="889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-2584450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-2567305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-2550160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-2533015</wp:posOffset>
            </wp:positionV>
            <wp:extent cx="889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-2515870</wp:posOffset>
            </wp:positionV>
            <wp:extent cx="889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-2498725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-2481580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-2464435</wp:posOffset>
            </wp:positionV>
            <wp:extent cx="889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-2447290</wp:posOffset>
            </wp:positionV>
            <wp:extent cx="889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-2430145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-2413000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-2395855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-2378710</wp:posOffset>
            </wp:positionV>
            <wp:extent cx="889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-2361565</wp:posOffset>
            </wp:positionV>
            <wp:extent cx="889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-2344420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-2327275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-2310130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-2292985</wp:posOffset>
            </wp:positionV>
            <wp:extent cx="889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-2275840</wp:posOffset>
            </wp:positionV>
            <wp:extent cx="88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-2258695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-2241550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-2224405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-2207260</wp:posOffset>
            </wp:positionV>
            <wp:extent cx="889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-2190115</wp:posOffset>
            </wp:positionV>
            <wp:extent cx="889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-2172970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-2155825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-2138680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-2121535</wp:posOffset>
            </wp:positionV>
            <wp:extent cx="889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-2104390</wp:posOffset>
            </wp:positionV>
            <wp:extent cx="889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-2087245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-2070100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-2052955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-2035810</wp:posOffset>
            </wp:positionV>
            <wp:extent cx="889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-2018665</wp:posOffset>
            </wp:positionV>
            <wp:extent cx="889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-2001520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-1984375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-1967230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-1950085</wp:posOffset>
            </wp:positionV>
            <wp:extent cx="889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-1932940</wp:posOffset>
            </wp:positionV>
            <wp:extent cx="889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-1915795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-1898650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-1881505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-1864360</wp:posOffset>
            </wp:positionV>
            <wp:extent cx="889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-1847215</wp:posOffset>
            </wp:positionV>
            <wp:extent cx="889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-1830070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-1812925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-1795780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-1778635</wp:posOffset>
            </wp:positionV>
            <wp:extent cx="889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-1761490</wp:posOffset>
            </wp:positionV>
            <wp:extent cx="889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-1744345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-1727200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-1710055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-1692910</wp:posOffset>
            </wp:positionV>
            <wp:extent cx="889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-1675765</wp:posOffset>
            </wp:positionV>
            <wp:extent cx="889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-1658620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-1641475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-1624330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-1607185</wp:posOffset>
            </wp:positionV>
            <wp:extent cx="889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-1590040</wp:posOffset>
            </wp:positionV>
            <wp:extent cx="889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-1572895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-1555750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-1538605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-1521460</wp:posOffset>
            </wp:positionV>
            <wp:extent cx="889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-1504315</wp:posOffset>
            </wp:positionV>
            <wp:extent cx="889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-1487170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-1470025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-1452880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-1435735</wp:posOffset>
            </wp:positionV>
            <wp:extent cx="889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-1418590</wp:posOffset>
            </wp:positionV>
            <wp:extent cx="889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-1401445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-1384300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-1367155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-1350010</wp:posOffset>
            </wp:positionV>
            <wp:extent cx="889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-1332865</wp:posOffset>
            </wp:positionV>
            <wp:extent cx="889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-1315720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-1298575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-1281430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-1264285</wp:posOffset>
            </wp:positionV>
            <wp:extent cx="889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-1247140</wp:posOffset>
            </wp:positionV>
            <wp:extent cx="889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-1229995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-1212850</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-1195705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-1178560</wp:posOffset>
            </wp:positionV>
            <wp:extent cx="889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-1161415</wp:posOffset>
            </wp:positionV>
            <wp:extent cx="889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-1144270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-1127125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-1109980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-1092835</wp:posOffset>
            </wp:positionV>
            <wp:extent cx="889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-1075690</wp:posOffset>
            </wp:positionV>
            <wp:extent cx="889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-1058545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-1041400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-1024255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-1007110</wp:posOffset>
            </wp:positionV>
            <wp:extent cx="889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-989965</wp:posOffset>
            </wp:positionV>
            <wp:extent cx="889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-972820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-955675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-938530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-921385</wp:posOffset>
            </wp:positionV>
            <wp:extent cx="889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-904240</wp:posOffset>
            </wp:positionV>
            <wp:extent cx="889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-887095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-869950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-852805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-835660</wp:posOffset>
            </wp:positionV>
            <wp:extent cx="889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-818515</wp:posOffset>
            </wp:positionV>
            <wp:extent cx="889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-801370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-784225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-767080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-749935</wp:posOffset>
            </wp:positionV>
            <wp:extent cx="889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-732790</wp:posOffset>
            </wp:positionV>
            <wp:extent cx="889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-715645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-698500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-681355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-664210</wp:posOffset>
            </wp:positionV>
            <wp:extent cx="889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-647065</wp:posOffset>
            </wp:positionV>
            <wp:extent cx="889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-629920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-612775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-595630</wp:posOffset>
            </wp:positionV>
            <wp:extent cx="889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-578485</wp:posOffset>
            </wp:positionV>
            <wp:extent cx="889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-561340</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-544195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-527050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-509905</wp:posOffset>
            </wp:positionV>
            <wp:extent cx="889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-492760</wp:posOffset>
            </wp:positionV>
            <wp:extent cx="889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-475615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-458470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-441325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-424180</wp:posOffset>
            </wp:positionV>
            <wp:extent cx="889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-407035</wp:posOffset>
            </wp:positionV>
            <wp:extent cx="889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-389890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-372745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-355600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-338455</wp:posOffset>
            </wp:positionV>
            <wp:extent cx="889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-321310</wp:posOffset>
            </wp:positionV>
            <wp:extent cx="889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-304165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-287020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-269875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-252730</wp:posOffset>
            </wp:positionV>
            <wp:extent cx="889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-235585</wp:posOffset>
            </wp:positionV>
            <wp:extent cx="889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-218440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-201295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-184150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-167005</wp:posOffset>
            </wp:positionV>
            <wp:extent cx="889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-149860</wp:posOffset>
            </wp:positionV>
            <wp:extent cx="889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-132715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-115570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-98425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-81280</wp:posOffset>
            </wp:positionV>
            <wp:extent cx="889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-64135</wp:posOffset>
            </wp:positionV>
            <wp:extent cx="889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-46990</wp:posOffset>
            </wp:positionV>
            <wp:extent cx="889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-29845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6671310</wp:posOffset>
            </wp:positionH>
            <wp:positionV relativeFrom="paragraph">
              <wp:posOffset>-12700</wp:posOffset>
            </wp:positionV>
            <wp:extent cx="889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104775</wp:posOffset>
            </wp:positionH>
            <wp:positionV relativeFrom="paragraph">
              <wp:posOffset>3810</wp:posOffset>
            </wp:positionV>
            <wp:extent cx="51435"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199390</wp:posOffset>
            </wp:positionH>
            <wp:positionV relativeFrom="paragraph">
              <wp:posOffset>3810</wp:posOffset>
            </wp:positionV>
            <wp:extent cx="8255"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3810</wp:posOffset>
            </wp:positionV>
            <wp:extent cx="8255"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3810</wp:posOffset>
            </wp:positionV>
            <wp:extent cx="8255"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3810</wp:posOffset>
            </wp:positionV>
            <wp:extent cx="889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wp:posOffset>
            </wp:positionH>
            <wp:positionV relativeFrom="paragraph">
              <wp:posOffset>3810</wp:posOffset>
            </wp:positionV>
            <wp:extent cx="8255"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3810</wp:posOffset>
            </wp:positionV>
            <wp:extent cx="8255"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3810</wp:posOffset>
            </wp:positionV>
            <wp:extent cx="825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319405</wp:posOffset>
            </wp:positionH>
            <wp:positionV relativeFrom="paragraph">
              <wp:posOffset>3810</wp:posOffset>
            </wp:positionV>
            <wp:extent cx="8255"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3810</wp:posOffset>
            </wp:positionV>
            <wp:extent cx="889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wp:posOffset>
            </wp:positionH>
            <wp:positionV relativeFrom="paragraph">
              <wp:posOffset>3810</wp:posOffset>
            </wp:positionV>
            <wp:extent cx="8255"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wp:posOffset>
            </wp:positionH>
            <wp:positionV relativeFrom="paragraph">
              <wp:posOffset>3810</wp:posOffset>
            </wp:positionV>
            <wp:extent cx="8255"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3810</wp:posOffset>
            </wp:positionV>
            <wp:extent cx="8255"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3810</wp:posOffset>
            </wp:positionV>
            <wp:extent cx="8255"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wp:posOffset>
            </wp:positionH>
            <wp:positionV relativeFrom="paragraph">
              <wp:posOffset>3810</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3810</wp:posOffset>
            </wp:positionV>
            <wp:extent cx="8255"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3810</wp:posOffset>
            </wp:positionV>
            <wp:extent cx="8255"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wp:posOffset>
            </wp:positionH>
            <wp:positionV relativeFrom="paragraph">
              <wp:posOffset>3810</wp:posOffset>
            </wp:positionV>
            <wp:extent cx="889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wp:posOffset>
            </wp:positionH>
            <wp:positionV relativeFrom="paragraph">
              <wp:posOffset>3810</wp:posOffset>
            </wp:positionV>
            <wp:extent cx="8255"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wp:posOffset>
            </wp:positionH>
            <wp:positionV relativeFrom="paragraph">
              <wp:posOffset>3810</wp:posOffset>
            </wp:positionV>
            <wp:extent cx="8255"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3810</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3810</wp:posOffset>
            </wp:positionV>
            <wp:extent cx="889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wp:posOffset>
            </wp:positionH>
            <wp:positionV relativeFrom="paragraph">
              <wp:posOffset>3810</wp:posOffset>
            </wp:positionV>
            <wp:extent cx="889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wp:posOffset>
            </wp:positionH>
            <wp:positionV relativeFrom="paragraph">
              <wp:posOffset>3810</wp:posOffset>
            </wp:positionV>
            <wp:extent cx="889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wp:posOffset>
            </wp:positionH>
            <wp:positionV relativeFrom="paragraph">
              <wp:posOffset>3810</wp:posOffset>
            </wp:positionV>
            <wp:extent cx="8255"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610870</wp:posOffset>
            </wp:positionH>
            <wp:positionV relativeFrom="paragraph">
              <wp:posOffset>3810</wp:posOffset>
            </wp:positionV>
            <wp:extent cx="8255"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3810</wp:posOffset>
            </wp:positionV>
            <wp:extent cx="889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wp:posOffset>
            </wp:positionH>
            <wp:positionV relativeFrom="paragraph">
              <wp:posOffset>3810</wp:posOffset>
            </wp:positionV>
            <wp:extent cx="889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662305</wp:posOffset>
            </wp:positionH>
            <wp:positionV relativeFrom="paragraph">
              <wp:posOffset>3810</wp:posOffset>
            </wp:positionV>
            <wp:extent cx="889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wp:posOffset>
            </wp:positionH>
            <wp:positionV relativeFrom="paragraph">
              <wp:posOffset>3810</wp:posOffset>
            </wp:positionV>
            <wp:extent cx="8255"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wp:posOffset>
            </wp:positionH>
            <wp:positionV relativeFrom="paragraph">
              <wp:posOffset>3810</wp:posOffset>
            </wp:positionV>
            <wp:extent cx="8255"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3810</wp:posOffset>
            </wp:positionV>
            <wp:extent cx="889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730885</wp:posOffset>
            </wp:positionH>
            <wp:positionV relativeFrom="paragraph">
              <wp:posOffset>3810</wp:posOffset>
            </wp:positionV>
            <wp:extent cx="889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748030</wp:posOffset>
            </wp:positionH>
            <wp:positionV relativeFrom="paragraph">
              <wp:posOffset>3810</wp:posOffset>
            </wp:positionV>
            <wp:extent cx="889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3810</wp:posOffset>
            </wp:positionV>
            <wp:extent cx="889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3810</wp:posOffset>
            </wp:positionV>
            <wp:extent cx="8255"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799465</wp:posOffset>
            </wp:positionH>
            <wp:positionV relativeFrom="paragraph">
              <wp:posOffset>3810</wp:posOffset>
            </wp:positionV>
            <wp:extent cx="8255"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816610</wp:posOffset>
            </wp:positionH>
            <wp:positionV relativeFrom="paragraph">
              <wp:posOffset>3810</wp:posOffset>
            </wp:positionV>
            <wp:extent cx="889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3810</wp:posOffset>
            </wp:positionV>
            <wp:extent cx="889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850900</wp:posOffset>
            </wp:positionH>
            <wp:positionV relativeFrom="paragraph">
              <wp:posOffset>3810</wp:posOffset>
            </wp:positionV>
            <wp:extent cx="889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868045</wp:posOffset>
            </wp:positionH>
            <wp:positionV relativeFrom="paragraph">
              <wp:posOffset>3810</wp:posOffset>
            </wp:positionV>
            <wp:extent cx="8255"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885190</wp:posOffset>
            </wp:positionH>
            <wp:positionV relativeFrom="paragraph">
              <wp:posOffset>3810</wp:posOffset>
            </wp:positionV>
            <wp:extent cx="8255"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902335</wp:posOffset>
            </wp:positionH>
            <wp:positionV relativeFrom="paragraph">
              <wp:posOffset>3810</wp:posOffset>
            </wp:positionV>
            <wp:extent cx="889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3810</wp:posOffset>
            </wp:positionV>
            <wp:extent cx="889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936625</wp:posOffset>
            </wp:positionH>
            <wp:positionV relativeFrom="paragraph">
              <wp:posOffset>3810</wp:posOffset>
            </wp:positionV>
            <wp:extent cx="889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3810</wp:posOffset>
            </wp:positionV>
            <wp:extent cx="825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3810</wp:posOffset>
            </wp:positionV>
            <wp:extent cx="8255"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988060</wp:posOffset>
            </wp:positionH>
            <wp:positionV relativeFrom="paragraph">
              <wp:posOffset>3810</wp:posOffset>
            </wp:positionV>
            <wp:extent cx="889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1005205</wp:posOffset>
            </wp:positionH>
            <wp:positionV relativeFrom="paragraph">
              <wp:posOffset>3810</wp:posOffset>
            </wp:positionV>
            <wp:extent cx="889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3810</wp:posOffset>
            </wp:positionV>
            <wp:extent cx="889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1039495</wp:posOffset>
            </wp:positionH>
            <wp:positionV relativeFrom="paragraph">
              <wp:posOffset>3810</wp:posOffset>
            </wp:positionV>
            <wp:extent cx="8255"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3810</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3810</wp:posOffset>
            </wp:positionV>
            <wp:extent cx="889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1090930</wp:posOffset>
            </wp:positionH>
            <wp:positionV relativeFrom="paragraph">
              <wp:posOffset>3810</wp:posOffset>
            </wp:positionV>
            <wp:extent cx="889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1108075</wp:posOffset>
            </wp:positionH>
            <wp:positionV relativeFrom="paragraph">
              <wp:posOffset>3810</wp:posOffset>
            </wp:positionV>
            <wp:extent cx="889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3810</wp:posOffset>
            </wp:positionV>
            <wp:extent cx="8255"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1142365</wp:posOffset>
            </wp:positionH>
            <wp:positionV relativeFrom="paragraph">
              <wp:posOffset>3810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1159510</wp:posOffset>
            </wp:positionH>
            <wp:positionV relativeFrom="paragraph">
              <wp:posOffset>3810</wp:posOffset>
            </wp:positionV>
            <wp:extent cx="889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1176655</wp:posOffset>
            </wp:positionH>
            <wp:positionV relativeFrom="paragraph">
              <wp:posOffset>3810</wp:posOffset>
            </wp:positionV>
            <wp:extent cx="889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1193800</wp:posOffset>
            </wp:positionH>
            <wp:positionV relativeFrom="paragraph">
              <wp:posOffset>3810</wp:posOffset>
            </wp:positionV>
            <wp:extent cx="889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1210945</wp:posOffset>
            </wp:positionH>
            <wp:positionV relativeFrom="paragraph">
              <wp:posOffset>3810</wp:posOffset>
            </wp:positionV>
            <wp:extent cx="8255"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3810</wp:posOffset>
            </wp:positionV>
            <wp:extent cx="8255"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1245235</wp:posOffset>
            </wp:positionH>
            <wp:positionV relativeFrom="paragraph">
              <wp:posOffset>3810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1262380</wp:posOffset>
            </wp:positionH>
            <wp:positionV relativeFrom="paragraph">
              <wp:posOffset>3810</wp:posOffset>
            </wp:positionV>
            <wp:extent cx="889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1279525</wp:posOffset>
            </wp:positionH>
            <wp:positionV relativeFrom="paragraph">
              <wp:posOffset>3810</wp:posOffset>
            </wp:positionV>
            <wp:extent cx="889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1296670</wp:posOffset>
            </wp:positionH>
            <wp:positionV relativeFrom="paragraph">
              <wp:posOffset>3810</wp:posOffset>
            </wp:positionV>
            <wp:extent cx="889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3810</wp:posOffset>
            </wp:positionV>
            <wp:extent cx="889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1330960</wp:posOffset>
            </wp:positionH>
            <wp:positionV relativeFrom="paragraph">
              <wp:posOffset>3810</wp:posOffset>
            </wp:positionV>
            <wp:extent cx="889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1348105</wp:posOffset>
            </wp:positionH>
            <wp:positionV relativeFrom="paragraph">
              <wp:posOffset>3810</wp:posOffset>
            </wp:positionV>
            <wp:extent cx="889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1365250</wp:posOffset>
            </wp:positionH>
            <wp:positionV relativeFrom="paragraph">
              <wp:posOffset>3810</wp:posOffset>
            </wp:positionV>
            <wp:extent cx="8255"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3810</wp:posOffset>
            </wp:positionV>
            <wp:extent cx="889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1399540</wp:posOffset>
            </wp:positionH>
            <wp:positionV relativeFrom="paragraph">
              <wp:posOffset>3810</wp:posOffset>
            </wp:positionV>
            <wp:extent cx="889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3810</wp:posOffset>
            </wp:positionV>
            <wp:extent cx="889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3810</wp:posOffset>
            </wp:positionV>
            <wp:extent cx="889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1450975</wp:posOffset>
            </wp:positionH>
            <wp:positionV relativeFrom="paragraph">
              <wp:posOffset>3810</wp:posOffset>
            </wp:positionV>
            <wp:extent cx="8255"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3810</wp:posOffset>
            </wp:positionV>
            <wp:extent cx="889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1485265</wp:posOffset>
            </wp:positionH>
            <wp:positionV relativeFrom="paragraph">
              <wp:posOffset>3810</wp:posOffset>
            </wp:positionV>
            <wp:extent cx="889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1502410</wp:posOffset>
            </wp:positionH>
            <wp:positionV relativeFrom="paragraph">
              <wp:posOffset>3810</wp:posOffset>
            </wp:positionV>
            <wp:extent cx="889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1519555</wp:posOffset>
            </wp:positionH>
            <wp:positionV relativeFrom="paragraph">
              <wp:posOffset>3810</wp:posOffset>
            </wp:positionV>
            <wp:extent cx="889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1536700</wp:posOffset>
            </wp:positionH>
            <wp:positionV relativeFrom="paragraph">
              <wp:posOffset>3810</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1553845</wp:posOffset>
            </wp:positionH>
            <wp:positionV relativeFrom="paragraph">
              <wp:posOffset>3810</wp:posOffset>
            </wp:positionV>
            <wp:extent cx="889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1570990</wp:posOffset>
            </wp:positionH>
            <wp:positionV relativeFrom="paragraph">
              <wp:posOffset>3810</wp:posOffset>
            </wp:positionV>
            <wp:extent cx="889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3810</wp:posOffset>
            </wp:positionV>
            <wp:extent cx="889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3810</wp:posOffset>
            </wp:positionV>
            <wp:extent cx="889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1622425</wp:posOffset>
            </wp:positionH>
            <wp:positionV relativeFrom="paragraph">
              <wp:posOffset>3810</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1639570</wp:posOffset>
            </wp:positionH>
            <wp:positionV relativeFrom="paragraph">
              <wp:posOffset>3810</wp:posOffset>
            </wp:positionV>
            <wp:extent cx="889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1656715</wp:posOffset>
            </wp:positionH>
            <wp:positionV relativeFrom="paragraph">
              <wp:posOffset>3810</wp:posOffset>
            </wp:positionV>
            <wp:extent cx="889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1673860</wp:posOffset>
            </wp:positionH>
            <wp:positionV relativeFrom="paragraph">
              <wp:posOffset>3810</wp:posOffset>
            </wp:positionV>
            <wp:extent cx="889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3810</wp:posOffset>
            </wp:positionV>
            <wp:extent cx="889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1708150</wp:posOffset>
            </wp:positionH>
            <wp:positionV relativeFrom="paragraph">
              <wp:posOffset>3810</wp:posOffset>
            </wp:positionV>
            <wp:extent cx="8255"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3810</wp:posOffset>
            </wp:positionV>
            <wp:extent cx="889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1742440</wp:posOffset>
            </wp:positionH>
            <wp:positionV relativeFrom="paragraph">
              <wp:posOffset>3810</wp:posOffset>
            </wp:positionV>
            <wp:extent cx="889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3810</wp:posOffset>
            </wp:positionV>
            <wp:extent cx="889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1776730</wp:posOffset>
            </wp:positionH>
            <wp:positionV relativeFrom="paragraph">
              <wp:posOffset>3810</wp:posOffset>
            </wp:positionV>
            <wp:extent cx="889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3810</wp:posOffset>
            </wp:positionV>
            <wp:extent cx="8255"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1811020</wp:posOffset>
            </wp:positionH>
            <wp:positionV relativeFrom="paragraph">
              <wp:posOffset>3810</wp:posOffset>
            </wp:positionV>
            <wp:extent cx="889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1828165</wp:posOffset>
            </wp:positionH>
            <wp:positionV relativeFrom="paragraph">
              <wp:posOffset>3810</wp:posOffset>
            </wp:positionV>
            <wp:extent cx="889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1845310</wp:posOffset>
            </wp:positionH>
            <wp:positionV relativeFrom="paragraph">
              <wp:posOffset>3810</wp:posOffset>
            </wp:positionV>
            <wp:extent cx="889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1862455</wp:posOffset>
            </wp:positionH>
            <wp:positionV relativeFrom="paragraph">
              <wp:posOffset>3810</wp:posOffset>
            </wp:positionV>
            <wp:extent cx="889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1879600</wp:posOffset>
            </wp:positionH>
            <wp:positionV relativeFrom="paragraph">
              <wp:posOffset>3810</wp:posOffset>
            </wp:positionV>
            <wp:extent cx="8255"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1896745</wp:posOffset>
            </wp:positionH>
            <wp:positionV relativeFrom="paragraph">
              <wp:posOffset>3810</wp:posOffset>
            </wp:positionV>
            <wp:extent cx="889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1913890</wp:posOffset>
            </wp:positionH>
            <wp:positionV relativeFrom="paragraph">
              <wp:posOffset>3810</wp:posOffset>
            </wp:positionV>
            <wp:extent cx="8255"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1931035</wp:posOffset>
            </wp:positionH>
            <wp:positionV relativeFrom="paragraph">
              <wp:posOffset>3810</wp:posOffset>
            </wp:positionV>
            <wp:extent cx="889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1948180</wp:posOffset>
            </wp:positionH>
            <wp:positionV relativeFrom="paragraph">
              <wp:posOffset>3810</wp:posOffset>
            </wp:positionV>
            <wp:extent cx="889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3810</wp:posOffset>
            </wp:positionV>
            <wp:extent cx="889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3810</wp:posOffset>
            </wp:positionV>
            <wp:extent cx="889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1999615</wp:posOffset>
            </wp:positionH>
            <wp:positionV relativeFrom="paragraph">
              <wp:posOffset>3810</wp:posOffset>
            </wp:positionV>
            <wp:extent cx="8255"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2016760</wp:posOffset>
            </wp:positionH>
            <wp:positionV relativeFrom="paragraph">
              <wp:posOffset>3810</wp:posOffset>
            </wp:positionV>
            <wp:extent cx="889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2033905</wp:posOffset>
            </wp:positionH>
            <wp:positionV relativeFrom="paragraph">
              <wp:posOffset>3810</wp:posOffset>
            </wp:positionV>
            <wp:extent cx="889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3810</wp:posOffset>
            </wp:positionV>
            <wp:extent cx="88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2068195</wp:posOffset>
            </wp:positionH>
            <wp:positionV relativeFrom="paragraph">
              <wp:posOffset>3810</wp:posOffset>
            </wp:positionV>
            <wp:extent cx="889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3810</wp:posOffset>
            </wp:positionV>
            <wp:extent cx="8255"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2102485</wp:posOffset>
            </wp:positionH>
            <wp:positionV relativeFrom="paragraph">
              <wp:posOffset>3810</wp:posOffset>
            </wp:positionV>
            <wp:extent cx="889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2119630</wp:posOffset>
            </wp:positionH>
            <wp:positionV relativeFrom="paragraph">
              <wp:posOffset>3810</wp:posOffset>
            </wp:positionV>
            <wp:extent cx="889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2136775</wp:posOffset>
            </wp:positionH>
            <wp:positionV relativeFrom="paragraph">
              <wp:posOffset>3810</wp:posOffset>
            </wp:positionV>
            <wp:extent cx="889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2153920</wp:posOffset>
            </wp:positionH>
            <wp:positionV relativeFrom="paragraph">
              <wp:posOffset>3810</wp:posOffset>
            </wp:positionV>
            <wp:extent cx="889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2171065</wp:posOffset>
            </wp:positionH>
            <wp:positionV relativeFrom="paragraph">
              <wp:posOffset>3810</wp:posOffset>
            </wp:positionV>
            <wp:extent cx="8255"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3810</wp:posOffset>
            </wp:positionV>
            <wp:extent cx="889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3810</wp:posOffset>
            </wp:positionV>
            <wp:extent cx="889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2222500</wp:posOffset>
            </wp:positionH>
            <wp:positionV relativeFrom="paragraph">
              <wp:posOffset>3810</wp:posOffset>
            </wp:positionV>
            <wp:extent cx="889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2239645</wp:posOffset>
            </wp:positionH>
            <wp:positionV relativeFrom="paragraph">
              <wp:posOffset>3810</wp:posOffset>
            </wp:positionV>
            <wp:extent cx="889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2256790</wp:posOffset>
            </wp:positionH>
            <wp:positionV relativeFrom="paragraph">
              <wp:posOffset>3810</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2273935</wp:posOffset>
            </wp:positionH>
            <wp:positionV relativeFrom="paragraph">
              <wp:posOffset>3810</wp:posOffset>
            </wp:positionV>
            <wp:extent cx="889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2291080</wp:posOffset>
            </wp:positionH>
            <wp:positionV relativeFrom="paragraph">
              <wp:posOffset>3810</wp:posOffset>
            </wp:positionV>
            <wp:extent cx="889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2308225</wp:posOffset>
            </wp:positionH>
            <wp:positionV relativeFrom="paragraph">
              <wp:posOffset>3810</wp:posOffset>
            </wp:positionV>
            <wp:extent cx="889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3810</wp:posOffset>
            </wp:positionV>
            <wp:extent cx="889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2342515</wp:posOffset>
            </wp:positionH>
            <wp:positionV relativeFrom="paragraph">
              <wp:posOffset>3810</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2359660</wp:posOffset>
            </wp:positionH>
            <wp:positionV relativeFrom="paragraph">
              <wp:posOffset>3810</wp:posOffset>
            </wp:positionV>
            <wp:extent cx="889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3810</wp:posOffset>
            </wp:positionV>
            <wp:extent cx="889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2393950</wp:posOffset>
            </wp:positionH>
            <wp:positionV relativeFrom="paragraph">
              <wp:posOffset>3810</wp:posOffset>
            </wp:positionV>
            <wp:extent cx="889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2411095</wp:posOffset>
            </wp:positionH>
            <wp:positionV relativeFrom="paragraph">
              <wp:posOffset>3810</wp:posOffset>
            </wp:positionV>
            <wp:extent cx="889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2428240</wp:posOffset>
            </wp:positionH>
            <wp:positionV relativeFrom="paragraph">
              <wp:posOffset>3810</wp:posOffset>
            </wp:positionV>
            <wp:extent cx="8255"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3810</wp:posOffset>
            </wp:positionV>
            <wp:extent cx="889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2462530</wp:posOffset>
            </wp:positionH>
            <wp:positionV relativeFrom="paragraph">
              <wp:posOffset>3810</wp:posOffset>
            </wp:positionV>
            <wp:extent cx="889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3810</wp:posOffset>
            </wp:positionV>
            <wp:extent cx="889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2496820</wp:posOffset>
            </wp:positionH>
            <wp:positionV relativeFrom="paragraph">
              <wp:posOffset>3810</wp:posOffset>
            </wp:positionV>
            <wp:extent cx="889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2513965</wp:posOffset>
            </wp:positionH>
            <wp:positionV relativeFrom="paragraph">
              <wp:posOffset>3810</wp:posOffset>
            </wp:positionV>
            <wp:extent cx="8255"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2531110</wp:posOffset>
            </wp:positionH>
            <wp:positionV relativeFrom="paragraph">
              <wp:posOffset>3810</wp:posOffset>
            </wp:positionV>
            <wp:extent cx="889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2548255</wp:posOffset>
            </wp:positionH>
            <wp:positionV relativeFrom="paragraph">
              <wp:posOffset>3810</wp:posOffset>
            </wp:positionV>
            <wp:extent cx="889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2565400</wp:posOffset>
            </wp:positionH>
            <wp:positionV relativeFrom="paragraph">
              <wp:posOffset>3810</wp:posOffset>
            </wp:positionV>
            <wp:extent cx="889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3810</wp:posOffset>
            </wp:positionV>
            <wp:extent cx="889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2599690</wp:posOffset>
            </wp:positionH>
            <wp:positionV relativeFrom="paragraph">
              <wp:posOffset>3810</wp:posOffset>
            </wp:positionV>
            <wp:extent cx="8255"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2616835</wp:posOffset>
            </wp:positionH>
            <wp:positionV relativeFrom="paragraph">
              <wp:posOffset>3810</wp:posOffset>
            </wp:positionV>
            <wp:extent cx="889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3810</wp:posOffset>
            </wp:positionV>
            <wp:extent cx="889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3810</wp:posOffset>
            </wp:positionV>
            <wp:extent cx="889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2668270</wp:posOffset>
            </wp:positionH>
            <wp:positionV relativeFrom="paragraph">
              <wp:posOffset>3810</wp:posOffset>
            </wp:positionV>
            <wp:extent cx="889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2685415</wp:posOffset>
            </wp:positionH>
            <wp:positionV relativeFrom="paragraph">
              <wp:posOffset>3810</wp:posOffset>
            </wp:positionV>
            <wp:extent cx="8255"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2702560</wp:posOffset>
            </wp:positionH>
            <wp:positionV relativeFrom="paragraph">
              <wp:posOffset>3810</wp:posOffset>
            </wp:positionV>
            <wp:extent cx="889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2719705</wp:posOffset>
            </wp:positionH>
            <wp:positionV relativeFrom="paragraph">
              <wp:posOffset>3810</wp:posOffset>
            </wp:positionV>
            <wp:extent cx="889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2736850</wp:posOffset>
            </wp:positionH>
            <wp:positionV relativeFrom="paragraph">
              <wp:posOffset>3810</wp:posOffset>
            </wp:positionV>
            <wp:extent cx="889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2753995</wp:posOffset>
            </wp:positionH>
            <wp:positionV relativeFrom="paragraph">
              <wp:posOffset>3810</wp:posOffset>
            </wp:positionV>
            <wp:extent cx="889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3810</wp:posOffset>
            </wp:positionV>
            <wp:extent cx="8255"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3810</wp:posOffset>
            </wp:positionV>
            <wp:extent cx="889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2805430</wp:posOffset>
            </wp:positionH>
            <wp:positionV relativeFrom="paragraph">
              <wp:posOffset>3810</wp:posOffset>
            </wp:positionV>
            <wp:extent cx="889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2822575</wp:posOffset>
            </wp:positionH>
            <wp:positionV relativeFrom="paragraph">
              <wp:posOffset>3810</wp:posOffset>
            </wp:positionV>
            <wp:extent cx="889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2839720</wp:posOffset>
            </wp:positionH>
            <wp:positionV relativeFrom="paragraph">
              <wp:posOffset>3810</wp:posOffset>
            </wp:positionV>
            <wp:extent cx="889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3810</wp:posOffset>
            </wp:positionV>
            <wp:extent cx="889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2874010</wp:posOffset>
            </wp:positionH>
            <wp:positionV relativeFrom="paragraph">
              <wp:posOffset>3810</wp:posOffset>
            </wp:positionV>
            <wp:extent cx="889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2891155</wp:posOffset>
            </wp:positionH>
            <wp:positionV relativeFrom="paragraph">
              <wp:posOffset>3810</wp:posOffset>
            </wp:positionV>
            <wp:extent cx="8255"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2908300</wp:posOffset>
            </wp:positionH>
            <wp:positionV relativeFrom="paragraph">
              <wp:posOffset>3810</wp:posOffset>
            </wp:positionV>
            <wp:extent cx="889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2925445</wp:posOffset>
            </wp:positionH>
            <wp:positionV relativeFrom="paragraph">
              <wp:posOffset>3810</wp:posOffset>
            </wp:positionV>
            <wp:extent cx="889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2942590</wp:posOffset>
            </wp:positionH>
            <wp:positionV relativeFrom="paragraph">
              <wp:posOffset>3810</wp:posOffset>
            </wp:positionV>
            <wp:extent cx="889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2959735</wp:posOffset>
            </wp:positionH>
            <wp:positionV relativeFrom="paragraph">
              <wp:posOffset>3810</wp:posOffset>
            </wp:positionV>
            <wp:extent cx="8255"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3810</wp:posOffset>
            </wp:positionV>
            <wp:extent cx="8255"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2994025</wp:posOffset>
            </wp:positionH>
            <wp:positionV relativeFrom="paragraph">
              <wp:posOffset>3810</wp:posOffset>
            </wp:positionV>
            <wp:extent cx="8255"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3011170</wp:posOffset>
            </wp:positionH>
            <wp:positionV relativeFrom="paragraph">
              <wp:posOffset>3810</wp:posOffset>
            </wp:positionV>
            <wp:extent cx="889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3810</wp:posOffset>
            </wp:positionV>
            <wp:extent cx="889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3045460</wp:posOffset>
            </wp:positionH>
            <wp:positionV relativeFrom="paragraph">
              <wp:posOffset>3810</wp:posOffset>
            </wp:positionV>
            <wp:extent cx="8255"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3062605</wp:posOffset>
            </wp:positionH>
            <wp:positionV relativeFrom="paragraph">
              <wp:posOffset>-4445</wp:posOffset>
            </wp:positionV>
            <wp:extent cx="3617595" cy="171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3617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APPENDIX B - 8</w:t>
      </w:r>
    </w:p>
    <w:p>
      <w:pPr>
        <w:sectPr>
          <w:pgSz w:w="11900" w:h="16838" w:orient="portrait"/>
          <w:cols w:equalWidth="0" w:num="1">
            <w:col w:w="10740"/>
          </w:cols>
          <w:pgMar w:left="500" w:top="1017" w:right="659" w:bottom="1440" w:gutter="0" w:footer="0" w:header="0"/>
        </w:sectPr>
      </w:pPr>
    </w:p>
    <w:bookmarkStart w:id="43" w:name="page44"/>
    <w:bookmarkEnd w:id="43"/>
    <w:p>
      <w:pPr>
        <w:jc w:val="center"/>
        <w:ind w:right="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MEXICO</w:t>
      </w:r>
    </w:p>
    <w:p>
      <w:pPr>
        <w:spacing w:after="0" w:line="225" w:lineRule="exact"/>
        <w:rPr>
          <w:sz w:val="20"/>
          <w:szCs w:val="20"/>
          <w:color w:val="auto"/>
        </w:rPr>
      </w:pPr>
    </w:p>
    <w:p>
      <w:pPr>
        <w:jc w:val="both"/>
        <w:ind w:left="160"/>
        <w:spacing w:after="0" w:line="220" w:lineRule="auto"/>
        <w:rPr>
          <w:sz w:val="20"/>
          <w:szCs w:val="20"/>
          <w:color w:val="auto"/>
        </w:rPr>
      </w:pPr>
      <w:r>
        <w:rPr>
          <w:rFonts w:ascii="Arial" w:cs="Arial" w:eastAsia="Arial" w:hAnsi="Arial"/>
          <w:sz w:val="16"/>
          <w:szCs w:val="16"/>
          <w:u w:val="single" w:color="auto"/>
          <w:color w:val="auto"/>
        </w:rPr>
        <w:t>Acknowledgment of the Agreement</w:t>
      </w:r>
      <w:r>
        <w:rPr>
          <w:rFonts w:ascii="Arial" w:cs="Arial" w:eastAsia="Arial" w:hAnsi="Arial"/>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63" w:lineRule="exact"/>
        <w:rPr>
          <w:sz w:val="20"/>
          <w:szCs w:val="20"/>
          <w:color w:val="auto"/>
        </w:rPr>
      </w:pPr>
    </w:p>
    <w:p>
      <w:pPr>
        <w:jc w:val="both"/>
        <w:ind w:left="160"/>
        <w:spacing w:after="0" w:line="255" w:lineRule="auto"/>
        <w:rPr>
          <w:sz w:val="20"/>
          <w:szCs w:val="20"/>
          <w:color w:val="auto"/>
        </w:rPr>
      </w:pPr>
      <w:r>
        <w:rPr>
          <w:rFonts w:ascii="Arial" w:cs="Arial" w:eastAsia="Arial" w:hAnsi="Arial"/>
          <w:sz w:val="14"/>
          <w:szCs w:val="14"/>
          <w:u w:val="single" w:color="auto"/>
          <w:color w:val="auto"/>
        </w:rPr>
        <w:t>Labor Law Policy and Acknowledgment</w:t>
      </w:r>
      <w:r>
        <w:rPr>
          <w:rFonts w:ascii="Arial" w:cs="Arial" w:eastAsia="Arial" w:hAnsi="Arial"/>
          <w:sz w:val="14"/>
          <w:szCs w:val="14"/>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35"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36" w:lineRule="exact"/>
        <w:rPr>
          <w:sz w:val="20"/>
          <w:szCs w:val="20"/>
          <w:color w:val="auto"/>
        </w:rPr>
      </w:pPr>
    </w:p>
    <w:p>
      <w:pPr>
        <w:jc w:val="both"/>
        <w:ind w:left="160"/>
        <w:spacing w:after="0" w:line="248" w:lineRule="auto"/>
        <w:rPr>
          <w:sz w:val="20"/>
          <w:szCs w:val="20"/>
          <w:color w:val="auto"/>
        </w:rPr>
      </w:pPr>
      <w:r>
        <w:rPr>
          <w:rFonts w:ascii="Arial" w:cs="Arial" w:eastAsia="Arial" w:hAnsi="Arial"/>
          <w:sz w:val="15"/>
          <w:szCs w:val="15"/>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4" w:lineRule="exact"/>
        <w:rPr>
          <w:sz w:val="20"/>
          <w:szCs w:val="20"/>
          <w:color w:val="auto"/>
        </w:rPr>
      </w:pPr>
    </w:p>
    <w:p>
      <w:pPr>
        <w:jc w:val="both"/>
        <w:ind w:left="160"/>
        <w:spacing w:after="0" w:line="258" w:lineRule="auto"/>
        <w:rPr>
          <w:sz w:val="20"/>
          <w:szCs w:val="20"/>
          <w:color w:val="auto"/>
        </w:rPr>
      </w:pPr>
      <w:r>
        <w:rPr>
          <w:rFonts w:ascii="Arial" w:cs="Arial" w:eastAsia="Arial" w:hAnsi="Arial"/>
          <w:sz w:val="14"/>
          <w:szCs w:val="14"/>
          <w:i w:val="1"/>
          <w:iCs w:val="1"/>
          <w:u w:val="single" w:color="auto"/>
          <w:color w:val="auto"/>
        </w:rPr>
        <w:t>Reconocimiento del Contrato</w:t>
      </w:r>
      <w:r>
        <w:rPr>
          <w:rFonts w:ascii="Arial" w:cs="Arial" w:eastAsia="Arial" w:hAnsi="Arial"/>
          <w:sz w:val="14"/>
          <w:szCs w:val="14"/>
          <w:i w:val="1"/>
          <w:iCs w:val="1"/>
          <w:color w:val="auto"/>
        </w:rPr>
        <w:t xml:space="preserve"> .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34" w:lineRule="exact"/>
        <w:rPr>
          <w:sz w:val="20"/>
          <w:szCs w:val="20"/>
          <w:color w:val="auto"/>
        </w:rPr>
      </w:pPr>
    </w:p>
    <w:p>
      <w:pPr>
        <w:jc w:val="both"/>
        <w:ind w:left="160"/>
        <w:spacing w:after="0" w:line="235" w:lineRule="auto"/>
        <w:rPr>
          <w:sz w:val="20"/>
          <w:szCs w:val="20"/>
          <w:color w:val="auto"/>
        </w:rPr>
      </w:pPr>
      <w:r>
        <w:rPr>
          <w:rFonts w:ascii="Arial" w:cs="Arial" w:eastAsia="Arial" w:hAnsi="Arial"/>
          <w:sz w:val="15"/>
          <w:szCs w:val="15"/>
          <w:i w:val="1"/>
          <w:iCs w:val="1"/>
          <w:u w:val="single" w:color="auto"/>
          <w:color w:val="auto"/>
        </w:rPr>
        <w:t>Política de Legislación Laboral y Reconocimiento</w:t>
      </w:r>
      <w:r>
        <w:rPr>
          <w:rFonts w:ascii="Arial" w:cs="Arial" w:eastAsia="Arial" w:hAnsi="Arial"/>
          <w:sz w:val="15"/>
          <w:szCs w:val="15"/>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61" w:lineRule="exact"/>
        <w:rPr>
          <w:sz w:val="20"/>
          <w:szCs w:val="20"/>
          <w:color w:val="auto"/>
        </w:rPr>
      </w:pPr>
    </w:p>
    <w:p>
      <w:pPr>
        <w:jc w:val="both"/>
        <w:ind w:left="160"/>
        <w:spacing w:after="0" w:line="272" w:lineRule="auto"/>
        <w:rPr>
          <w:sz w:val="20"/>
          <w:szCs w:val="20"/>
          <w:color w:val="auto"/>
        </w:rPr>
      </w:pPr>
      <w:r>
        <w:rPr>
          <w:rFonts w:ascii="Arial" w:cs="Arial" w:eastAsia="Arial" w:hAnsi="Arial"/>
          <w:sz w:val="15"/>
          <w:szCs w:val="15"/>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6" w:lineRule="exact"/>
        <w:rPr>
          <w:sz w:val="20"/>
          <w:szCs w:val="20"/>
          <w:color w:val="auto"/>
        </w:rPr>
      </w:pPr>
    </w:p>
    <w:p>
      <w:pPr>
        <w:jc w:val="both"/>
        <w:ind w:left="160" w:right="320"/>
        <w:spacing w:after="0" w:line="225" w:lineRule="auto"/>
        <w:rPr>
          <w:sz w:val="20"/>
          <w:szCs w:val="20"/>
          <w:color w:val="auto"/>
        </w:rPr>
      </w:pPr>
      <w:r>
        <w:rPr>
          <w:rFonts w:ascii="Arial" w:cs="Arial" w:eastAsia="Arial" w:hAnsi="Arial"/>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01" w:lineRule="exact"/>
        <w:rPr>
          <w:sz w:val="20"/>
          <w:szCs w:val="20"/>
          <w:color w:val="auto"/>
        </w:rPr>
      </w:pPr>
    </w:p>
    <w:p>
      <w:pPr>
        <w:jc w:val="both"/>
        <w:ind w:left="160" w:right="320"/>
        <w:spacing w:after="0" w:line="219"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Performance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APPENDIX B - 9</w:t>
      </w:r>
    </w:p>
    <w:p>
      <w:pPr>
        <w:sectPr>
          <w:pgSz w:w="11900" w:h="16838" w:orient="portrait"/>
          <w:cols w:equalWidth="0" w:num="1">
            <w:col w:w="11060"/>
          </w:cols>
          <w:pgMar w:left="500" w:top="1017" w:right="339" w:bottom="1440" w:gutter="0" w:footer="0" w:header="0"/>
        </w:sectPr>
      </w:pPr>
    </w:p>
    <w:bookmarkStart w:id="44" w:name="page45"/>
    <w:bookmarkEnd w:id="44"/>
    <w:p>
      <w:pPr>
        <w:jc w:val="center"/>
        <w:ind w:right="1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NORWAY</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There are no country-specific provisions.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39" w:lineRule="exact"/>
        <w:rPr>
          <w:sz w:val="20"/>
          <w:szCs w:val="20"/>
          <w:color w:val="auto"/>
        </w:rPr>
      </w:pPr>
    </w:p>
    <w:p>
      <w:pPr>
        <w:jc w:val="both"/>
        <w:ind w:left="160" w:right="32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securities being offered or sold herein have not been registered with the Philippines Securities and Exchange Commission (“PSEC”) under its Securities Regulation Code (the “SRC”).</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5"/>
          <w:szCs w:val="15"/>
          <w:color w:val="auto"/>
        </w:rPr>
        <w:t>The grant of Performance RSUs is being made pursuant to an exemption from registration under Section 10.2 of the SRC that has been approved by the PSEC.</w:t>
      </w:r>
    </w:p>
    <w:p>
      <w:pPr>
        <w:spacing w:after="0" w:line="246" w:lineRule="exact"/>
        <w:rPr>
          <w:sz w:val="20"/>
          <w:szCs w:val="20"/>
          <w:color w:val="auto"/>
        </w:rPr>
      </w:pPr>
    </w:p>
    <w:p>
      <w:pPr>
        <w:jc w:val="both"/>
        <w:ind w:left="160" w:right="320"/>
        <w:spacing w:after="0" w:line="220" w:lineRule="auto"/>
        <w:rPr>
          <w:sz w:val="20"/>
          <w:szCs w:val="20"/>
          <w:color w:val="auto"/>
        </w:rPr>
      </w:pPr>
      <w:r>
        <w:rPr>
          <w:rFonts w:ascii="Arial" w:cs="Arial" w:eastAsia="Arial" w:hAnsi="Arial"/>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217" w:lineRule="exact"/>
        <w:rPr>
          <w:sz w:val="20"/>
          <w:szCs w:val="20"/>
          <w:color w:val="auto"/>
        </w:rPr>
      </w:pPr>
    </w:p>
    <w:p>
      <w:pPr>
        <w:jc w:val="both"/>
        <w:ind w:left="160" w:right="320"/>
        <w:spacing w:after="0" w:line="230" w:lineRule="auto"/>
        <w:rPr>
          <w:sz w:val="20"/>
          <w:szCs w:val="20"/>
          <w:color w:val="auto"/>
        </w:rPr>
      </w:pPr>
      <w:r>
        <w:rPr>
          <w:rFonts w:ascii="Arial" w:cs="Arial" w:eastAsia="Arial" w:hAnsi="Arial"/>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14" w:lineRule="exact"/>
        <w:rPr>
          <w:sz w:val="20"/>
          <w:szCs w:val="20"/>
          <w:color w:val="auto"/>
        </w:rPr>
      </w:pPr>
    </w:p>
    <w:p>
      <w:pPr>
        <w:jc w:val="both"/>
        <w:ind w:left="160" w:right="320"/>
        <w:spacing w:after="0" w:line="222" w:lineRule="auto"/>
        <w:rPr>
          <w:sz w:val="20"/>
          <w:szCs w:val="20"/>
          <w:color w:val="auto"/>
        </w:rPr>
      </w:pPr>
      <w:r>
        <w:rPr>
          <w:rFonts w:ascii="Arial" w:cs="Arial" w:eastAsia="Arial" w:hAnsi="Arial"/>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Arial" w:cs="Arial" w:eastAsia="Arial" w:hAnsi="Arial"/>
          <w:sz w:val="16"/>
          <w:szCs w:val="16"/>
          <w:i w:val="1"/>
          <w:iCs w:val="1"/>
          <w:color w:val="auto"/>
        </w:rPr>
        <w:t>If the Participant has questions with regard to the application of Philippines securities laws to the disposal or sale of Shares acquired under the Plan the</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Participant should consult with his or her legal advisor.</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POLAND</w:t>
      </w:r>
    </w:p>
    <w:p>
      <w:pPr>
        <w:spacing w:after="0" w:line="239" w:lineRule="exact"/>
        <w:rPr>
          <w:sz w:val="20"/>
          <w:szCs w:val="20"/>
          <w:color w:val="auto"/>
        </w:rPr>
      </w:pPr>
    </w:p>
    <w:p>
      <w:pPr>
        <w:jc w:val="both"/>
        <w:ind w:left="160"/>
        <w:spacing w:after="0" w:line="275" w:lineRule="auto"/>
        <w:rPr>
          <w:sz w:val="20"/>
          <w:szCs w:val="20"/>
          <w:color w:val="auto"/>
        </w:rPr>
      </w:pPr>
      <w:r>
        <w:rPr>
          <w:rFonts w:ascii="Arial" w:cs="Arial" w:eastAsia="Arial" w:hAnsi="Arial"/>
          <w:sz w:val="14"/>
          <w:szCs w:val="14"/>
          <w:u w:val="single" w:color="auto"/>
          <w:color w:val="auto"/>
        </w:rPr>
        <w:t>Foreign Asset/Account Reporting Information</w:t>
      </w:r>
      <w:r>
        <w:rPr>
          <w:rFonts w:ascii="Arial" w:cs="Arial" w:eastAsia="Arial" w:hAnsi="Arial"/>
          <w:sz w:val="14"/>
          <w:szCs w:val="14"/>
          <w:color w:val="auto"/>
        </w:rPr>
        <w:t>. If the Participant maintains bank or brokerage accounts holding cash and foreign securities (including Shares) outside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95" w:lineRule="exact"/>
        <w:rPr>
          <w:sz w:val="20"/>
          <w:szCs w:val="20"/>
          <w:color w:val="auto"/>
        </w:rPr>
      </w:pPr>
    </w:p>
    <w:p>
      <w:pPr>
        <w:jc w:val="both"/>
        <w:ind w:left="160" w:right="320"/>
        <w:spacing w:after="0" w:line="222"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ROMANIA</w:t>
      </w:r>
    </w:p>
    <w:p>
      <w:pPr>
        <w:spacing w:after="0" w:line="225" w:lineRule="exact"/>
        <w:rPr>
          <w:sz w:val="20"/>
          <w:szCs w:val="20"/>
          <w:color w:val="auto"/>
        </w:rPr>
      </w:pPr>
    </w:p>
    <w:p>
      <w:pPr>
        <w:jc w:val="both"/>
        <w:ind w:left="160" w:right="320"/>
        <w:spacing w:after="0" w:line="248" w:lineRule="auto"/>
        <w:rPr>
          <w:sz w:val="20"/>
          <w:szCs w:val="20"/>
          <w:color w:val="auto"/>
        </w:rPr>
      </w:pPr>
      <w:r>
        <w:rPr>
          <w:rFonts w:ascii="Arial" w:cs="Arial" w:eastAsia="Arial" w:hAnsi="Arial"/>
          <w:sz w:val="15"/>
          <w:szCs w:val="15"/>
          <w:u w:val="single" w:color="auto"/>
          <w:color w:val="auto"/>
        </w:rPr>
        <w:t>Exchange Control Information</w:t>
      </w:r>
      <w:r>
        <w:rPr>
          <w:rFonts w:ascii="Arial" w:cs="Arial" w:eastAsia="Arial" w:hAnsi="Arial"/>
          <w:sz w:val="15"/>
          <w:szCs w:val="15"/>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SERBIA</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subject to the regulations concerning public offers and private placements under the Law on Capital Markets.</w:t>
      </w:r>
    </w:p>
    <w:p>
      <w:pPr>
        <w:spacing w:after="0" w:line="145" w:lineRule="exact"/>
        <w:rPr>
          <w:sz w:val="20"/>
          <w:szCs w:val="20"/>
          <w:color w:val="auto"/>
        </w:rPr>
      </w:pPr>
    </w:p>
    <w:p>
      <w:pPr>
        <w:jc w:val="both"/>
        <w:ind w:left="160" w:right="320"/>
        <w:spacing w:after="0" w:line="225"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ectPr>
          <w:pgSz w:w="11900" w:h="16838" w:orient="portrait"/>
          <w:cols w:equalWidth="0" w:num="1">
            <w:col w:w="11060"/>
          </w:cols>
          <w:pgMar w:left="500" w:top="1017"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APPENDIX B - 10</w:t>
      </w:r>
    </w:p>
    <w:p>
      <w:pPr>
        <w:sectPr>
          <w:pgSz w:w="11900" w:h="16838" w:orient="portrait"/>
          <w:cols w:equalWidth="0" w:num="1">
            <w:col w:w="11060"/>
          </w:cols>
          <w:pgMar w:left="500" w:top="1017" w:right="339" w:bottom="1440" w:gutter="0" w:footer="0" w:header="0"/>
          <w:type w:val="continuous"/>
        </w:sectPr>
      </w:pPr>
    </w:p>
    <w:bookmarkStart w:id="45" w:name="page46"/>
    <w:bookmarkEnd w:id="45"/>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SINGAPORE</w:t>
      </w:r>
    </w:p>
    <w:p>
      <w:pPr>
        <w:spacing w:after="0" w:line="225" w:lineRule="exact"/>
        <w:rPr>
          <w:sz w:val="20"/>
          <w:szCs w:val="20"/>
          <w:color w:val="auto"/>
        </w:rPr>
      </w:pPr>
    </w:p>
    <w:p>
      <w:pPr>
        <w:jc w:val="both"/>
        <w:ind w:left="160"/>
        <w:spacing w:after="0" w:line="220"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17" w:lineRule="exact"/>
        <w:rPr>
          <w:sz w:val="20"/>
          <w:szCs w:val="20"/>
          <w:color w:val="auto"/>
        </w:rPr>
      </w:pPr>
    </w:p>
    <w:p>
      <w:pPr>
        <w:jc w:val="both"/>
        <w:ind w:left="160"/>
        <w:spacing w:after="0" w:line="232"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Arial" w:cs="Arial" w:eastAsia="Arial" w:hAnsi="Arial"/>
          <w:sz w:val="15"/>
          <w:szCs w:val="15"/>
          <w:i w:val="1"/>
          <w:iCs w:val="1"/>
          <w:color w:val="auto"/>
        </w:rPr>
        <w:t>e.g.</w:t>
      </w:r>
      <w:r>
        <w:rPr>
          <w:rFonts w:ascii="Arial" w:cs="Arial" w:eastAsia="Arial" w:hAnsi="Arial"/>
          <w:sz w:val="15"/>
          <w:szCs w:val="15"/>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SPAIN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9(d) of the Agreement:</w:t>
      </w:r>
    </w:p>
    <w:p>
      <w:pPr>
        <w:spacing w:after="0" w:line="140" w:lineRule="exact"/>
        <w:rPr>
          <w:sz w:val="20"/>
          <w:szCs w:val="20"/>
          <w:color w:val="auto"/>
        </w:rPr>
      </w:pPr>
    </w:p>
    <w:p>
      <w:pPr>
        <w:jc w:val="both"/>
        <w:ind w:left="160"/>
        <w:spacing w:after="0" w:line="217" w:lineRule="auto"/>
        <w:rPr>
          <w:sz w:val="20"/>
          <w:szCs w:val="20"/>
          <w:color w:val="auto"/>
        </w:rPr>
      </w:pPr>
      <w:r>
        <w:rPr>
          <w:rFonts w:ascii="Arial" w:cs="Arial" w:eastAsia="Arial" w:hAnsi="Arial"/>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13" w:lineRule="exact"/>
        <w:rPr>
          <w:sz w:val="20"/>
          <w:szCs w:val="20"/>
          <w:color w:val="auto"/>
        </w:rPr>
      </w:pPr>
    </w:p>
    <w:p>
      <w:pPr>
        <w:jc w:val="both"/>
        <w:ind w:left="160"/>
        <w:spacing w:after="0" w:line="245" w:lineRule="auto"/>
        <w:rPr>
          <w:sz w:val="20"/>
          <w:szCs w:val="20"/>
          <w:color w:val="auto"/>
        </w:rPr>
      </w:pPr>
      <w:r>
        <w:rPr>
          <w:rFonts w:ascii="Arial" w:cs="Arial" w:eastAsia="Arial" w:hAnsi="Arial"/>
          <w:sz w:val="14"/>
          <w:szCs w:val="14"/>
          <w:color w:val="auto"/>
        </w:rPr>
        <w:t>Further, and except as provided in Section 2(d)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Arial" w:cs="Arial" w:eastAsia="Arial" w:hAnsi="Arial"/>
          <w:sz w:val="14"/>
          <w:szCs w:val="14"/>
          <w:i w:val="1"/>
          <w:iCs w:val="1"/>
          <w:color w:val="auto"/>
        </w:rPr>
        <w:t>despido improcedente</w:t>
      </w:r>
      <w:r>
        <w:rPr>
          <w:rFonts w:ascii="Arial" w:cs="Arial" w:eastAsia="Arial" w:hAnsi="Arial"/>
          <w:sz w:val="14"/>
          <w:szCs w:val="14"/>
          <w:color w:val="auto"/>
        </w:rPr>
        <w:t>”); (2) the Participant is dismissed for disciplinary or objective reasons or due to a collective dismissal;</w:t>
      </w:r>
    </w:p>
    <w:p>
      <w:pPr>
        <w:spacing w:after="0" w:line="2" w:lineRule="exact"/>
        <w:rPr>
          <w:sz w:val="20"/>
          <w:szCs w:val="20"/>
          <w:color w:val="auto"/>
        </w:rPr>
      </w:pPr>
    </w:p>
    <w:p>
      <w:pPr>
        <w:jc w:val="both"/>
        <w:ind w:left="160" w:hanging="8"/>
        <w:spacing w:after="0" w:line="250" w:lineRule="auto"/>
        <w:tabs>
          <w:tab w:leader="none" w:pos="404"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Arial" w:cs="Arial" w:eastAsia="Arial" w:hAnsi="Arial"/>
          <w:sz w:val="16"/>
          <w:szCs w:val="16"/>
          <w:i w:val="1"/>
          <w:iCs w:val="1"/>
          <w:color w:val="auto"/>
        </w:rPr>
        <w:t>Comisión Nacional del Mercado de Valores</w:t>
      </w:r>
      <w:r>
        <w:rPr>
          <w:rFonts w:ascii="Arial" w:cs="Arial" w:eastAsia="Arial" w:hAnsi="Arial"/>
          <w:sz w:val="16"/>
          <w:szCs w:val="16"/>
          <w:color w:val="auto"/>
        </w:rPr>
        <w:t>, and does not constitute a public offering prospectus.</w:t>
      </w:r>
    </w:p>
    <w:p>
      <w:pPr>
        <w:spacing w:after="0" w:line="201" w:lineRule="exact"/>
        <w:rPr>
          <w:sz w:val="20"/>
          <w:szCs w:val="20"/>
          <w:color w:val="auto"/>
        </w:rPr>
      </w:pPr>
    </w:p>
    <w:p>
      <w:pPr>
        <w:jc w:val="both"/>
        <w:ind w:left="160"/>
        <w:spacing w:after="0" w:line="234" w:lineRule="auto"/>
        <w:rPr>
          <w:sz w:val="20"/>
          <w:szCs w:val="20"/>
          <w:color w:val="auto"/>
        </w:rPr>
      </w:pPr>
      <w:r>
        <w:rPr>
          <w:rFonts w:ascii="Arial" w:cs="Arial" w:eastAsia="Arial" w:hAnsi="Arial"/>
          <w:sz w:val="15"/>
          <w:szCs w:val="15"/>
          <w:u w:val="single" w:color="auto"/>
          <w:color w:val="auto"/>
        </w:rPr>
        <w:t>Exchange Control Notification</w:t>
      </w:r>
      <w:r>
        <w:rPr>
          <w:rFonts w:ascii="Arial" w:cs="Arial" w:eastAsia="Arial" w:hAnsi="Arial"/>
          <w:sz w:val="15"/>
          <w:szCs w:val="15"/>
          <w:color w:val="auto"/>
        </w:rPr>
        <w:t xml:space="preserve">.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a certain threshold. Different thresholds and deadlines to file this declaration apply. However, if neither such transactions during the immediately preceding year nor the balances / positions as of December 31 exceed a certain threshold, no such declaration must be filed unless expressly required by the Bank of Spain. If any of such thresholds were exceeded during the current year, the Participant may be required to file the relevant declaration corresponding to the prior year, however, a summarized form of declaration may be available. </w:t>
      </w:r>
      <w:r>
        <w:rPr>
          <w:rFonts w:ascii="Arial" w:cs="Arial" w:eastAsia="Arial" w:hAnsi="Arial"/>
          <w:sz w:val="15"/>
          <w:szCs w:val="15"/>
          <w:i w:val="1"/>
          <w:iCs w:val="1"/>
          <w:color w:val="auto"/>
        </w:rPr>
        <w:t>The Participant should consult a personal tax or legal</w:t>
      </w:r>
      <w:r>
        <w:rPr>
          <w:rFonts w:ascii="Arial" w:cs="Arial" w:eastAsia="Arial" w:hAnsi="Arial"/>
          <w:sz w:val="15"/>
          <w:szCs w:val="15"/>
          <w:color w:val="auto"/>
        </w:rPr>
        <w:t xml:space="preserve"> </w:t>
      </w:r>
      <w:r>
        <w:rPr>
          <w:rFonts w:ascii="Arial" w:cs="Arial" w:eastAsia="Arial" w:hAnsi="Arial"/>
          <w:sz w:val="15"/>
          <w:szCs w:val="15"/>
          <w:i w:val="1"/>
          <w:iCs w:val="1"/>
          <w:color w:val="auto"/>
        </w:rPr>
        <w:t>advisor for further information regarding these exchange control reporting obligations.</w:t>
      </w:r>
    </w:p>
    <w:p>
      <w:pPr>
        <w:sectPr>
          <w:pgSz w:w="11900" w:h="16838" w:orient="portrait"/>
          <w:cols w:equalWidth="0" w:num="1">
            <w:col w:w="10740"/>
          </w:cols>
          <w:pgMar w:left="500" w:top="1017" w:right="6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APPENDIX B - 11</w:t>
      </w:r>
    </w:p>
    <w:p>
      <w:pPr>
        <w:sectPr>
          <w:pgSz w:w="11900" w:h="16838" w:orient="portrait"/>
          <w:cols w:equalWidth="0" w:num="1">
            <w:col w:w="10740"/>
          </w:cols>
          <w:pgMar w:left="500" w:top="1017" w:right="659" w:bottom="1440" w:gutter="0" w:footer="0" w:header="0"/>
          <w:type w:val="continuous"/>
        </w:sectPr>
      </w:pPr>
    </w:p>
    <w:bookmarkStart w:id="46" w:name="page47"/>
    <w:bookmarkEnd w:id="46"/>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60"/>
        <w:spacing w:after="0" w:line="235" w:lineRule="auto"/>
        <w:rPr>
          <w:sz w:val="20"/>
          <w:szCs w:val="20"/>
          <w:color w:val="auto"/>
        </w:rPr>
      </w:pPr>
      <w:r>
        <w:rPr>
          <w:rFonts w:ascii="Arial" w:cs="Arial" w:eastAsia="Arial" w:hAnsi="Arial"/>
          <w:sz w:val="15"/>
          <w:szCs w:val="15"/>
          <w:u w:val="single" w:color="auto"/>
          <w:color w:val="auto"/>
        </w:rPr>
        <w:t>Foreign Asset / Account Reporting Information</w:t>
      </w:r>
      <w:r>
        <w:rPr>
          <w:rFonts w:ascii="Arial" w:cs="Arial" w:eastAsia="Arial" w:hAnsi="Arial"/>
          <w:sz w:val="15"/>
          <w:szCs w:val="15"/>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SWEDEN</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Authorization to Withhold</w:t>
      </w:r>
      <w:r>
        <w:rPr>
          <w:rFonts w:ascii="Arial" w:cs="Arial" w:eastAsia="Arial" w:hAnsi="Arial"/>
          <w:sz w:val="16"/>
          <w:szCs w:val="16"/>
          <w:color w:val="auto"/>
        </w:rPr>
        <w:t>. This provision supplements Section 6 of the Agreement:</w:t>
      </w:r>
    </w:p>
    <w:p>
      <w:pPr>
        <w:spacing w:after="0" w:line="235" w:lineRule="exact"/>
        <w:rPr>
          <w:sz w:val="20"/>
          <w:szCs w:val="20"/>
          <w:color w:val="auto"/>
        </w:rPr>
      </w:pPr>
    </w:p>
    <w:p>
      <w:pPr>
        <w:jc w:val="both"/>
        <w:ind w:left="160"/>
        <w:spacing w:after="0" w:line="225" w:lineRule="auto"/>
        <w:rPr>
          <w:sz w:val="20"/>
          <w:szCs w:val="20"/>
          <w:color w:val="auto"/>
        </w:rPr>
      </w:pPr>
      <w:r>
        <w:rPr>
          <w:rFonts w:ascii="Arial" w:cs="Arial" w:eastAsia="Arial" w:hAnsi="Arial"/>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SWITZERLAND</w:t>
      </w:r>
    </w:p>
    <w:p>
      <w:pPr>
        <w:spacing w:after="0" w:line="239" w:lineRule="exact"/>
        <w:rPr>
          <w:sz w:val="20"/>
          <w:szCs w:val="20"/>
          <w:color w:val="auto"/>
        </w:rPr>
      </w:pPr>
    </w:p>
    <w:p>
      <w:pPr>
        <w:jc w:val="both"/>
        <w:ind w:left="160"/>
        <w:spacing w:after="0" w:line="222"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TAIWAN</w:t>
      </w:r>
    </w:p>
    <w:p>
      <w:pPr>
        <w:spacing w:after="0" w:line="239" w:lineRule="exact"/>
        <w:rPr>
          <w:sz w:val="20"/>
          <w:szCs w:val="20"/>
          <w:color w:val="auto"/>
        </w:rPr>
      </w:pPr>
    </w:p>
    <w:p>
      <w:pPr>
        <w:jc w:val="both"/>
        <w:ind w:left="160"/>
        <w:spacing w:after="0" w:line="220" w:lineRule="auto"/>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7"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13"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Individuals may acquire foreign currency (including proceeds from the sale of Shares) into Taiwan up to US$5,000,000 per year without justification.</w:t>
      </w:r>
    </w:p>
    <w:p>
      <w:pPr>
        <w:spacing w:after="0" w:line="199" w:lineRule="exact"/>
        <w:rPr>
          <w:sz w:val="20"/>
          <w:szCs w:val="20"/>
          <w:color w:val="auto"/>
        </w:rPr>
      </w:pPr>
    </w:p>
    <w:p>
      <w:pPr>
        <w:jc w:val="both"/>
        <w:ind w:left="160"/>
        <w:spacing w:after="0" w:line="309" w:lineRule="auto"/>
        <w:rPr>
          <w:sz w:val="20"/>
          <w:szCs w:val="20"/>
          <w:color w:val="auto"/>
        </w:rPr>
      </w:pPr>
      <w:r>
        <w:rPr>
          <w:rFonts w:ascii="Arial" w:cs="Arial" w:eastAsia="Arial" w:hAnsi="Arial"/>
          <w:sz w:val="14"/>
          <w:szCs w:val="14"/>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THAILAND</w:t>
      </w:r>
    </w:p>
    <w:p>
      <w:pPr>
        <w:spacing w:after="0" w:line="239" w:lineRule="exact"/>
        <w:rPr>
          <w:sz w:val="20"/>
          <w:szCs w:val="20"/>
          <w:color w:val="auto"/>
        </w:rPr>
      </w:pPr>
    </w:p>
    <w:p>
      <w:pPr>
        <w:jc w:val="both"/>
        <w:ind w:left="160"/>
        <w:spacing w:after="0" w:line="218"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If the Participant is a Thai resident and the Participant realizes sale proceeds equal to or in excess of a specified threshold (currently US $1,000,000) in a single transaction, the Participant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unless the Participant can rely on any applicable exemptions (</w:t>
      </w:r>
      <w:r>
        <w:rPr>
          <w:rFonts w:ascii="Arial" w:cs="Arial" w:eastAsia="Arial" w:hAnsi="Arial"/>
          <w:sz w:val="16"/>
          <w:szCs w:val="16"/>
          <w:i w:val="1"/>
          <w:iCs w:val="1"/>
          <w:color w:val="auto"/>
        </w:rPr>
        <w:t>e.g.</w:t>
      </w:r>
      <w:r>
        <w:rPr>
          <w:rFonts w:ascii="Arial" w:cs="Arial" w:eastAsia="Arial" w:hAnsi="Arial"/>
          <w:sz w:val="16"/>
          <w:szCs w:val="16"/>
          <w:color w:val="auto"/>
        </w:rPr>
        <w:t>, where the funds will be used offshore for any permissible purposes under exchange control regulations and the relevant form and supporting documents have been submitted to a commercial bank in Thailand). Further, for repatriated amounts equal to or in excess of the specified threshold, the Participant understands he or she must specifically report the inward remittance to the Bank of Thailand on a Foreign Exchange Transaction Form. The Participant is responsible for ensuring compliance with all exchange control laws in Thailand.</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TURKEY</w:t>
      </w:r>
    </w:p>
    <w:p>
      <w:pPr>
        <w:spacing w:after="0" w:line="239" w:lineRule="exact"/>
        <w:rPr>
          <w:sz w:val="20"/>
          <w:szCs w:val="20"/>
          <w:color w:val="auto"/>
        </w:rPr>
      </w:pPr>
    </w:p>
    <w:p>
      <w:pPr>
        <w:jc w:val="both"/>
        <w:ind w:left="160"/>
        <w:spacing w:after="0"/>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9"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u w:val="single" w:color="auto"/>
          <w:color w:val="auto"/>
        </w:rPr>
        <w:t>Exchange Control Information</w:t>
      </w:r>
      <w:r>
        <w:rPr>
          <w:rFonts w:ascii="Arial" w:cs="Arial" w:eastAsia="Arial" w:hAnsi="Arial"/>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APPENDIX B - 12</w:t>
      </w:r>
    </w:p>
    <w:p>
      <w:pPr>
        <w:sectPr>
          <w:pgSz w:w="11900" w:h="16838" w:orient="portrait"/>
          <w:cols w:equalWidth="0" w:num="1">
            <w:col w:w="10740"/>
          </w:cols>
          <w:pgMar w:left="500" w:top="1017" w:right="659" w:bottom="1440" w:gutter="0" w:footer="0" w:header="0"/>
        </w:sectPr>
      </w:pPr>
    </w:p>
    <w:bookmarkStart w:id="47" w:name="page48"/>
    <w:bookmarkEnd w:id="47"/>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2020 EQUITY INCENTIVE PLAN</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Responsibility for Taxes</w:t>
      </w:r>
      <w:r>
        <w:rPr>
          <w:rFonts w:ascii="Arial" w:cs="Arial" w:eastAsia="Arial" w:hAnsi="Arial"/>
          <w:sz w:val="16"/>
          <w:szCs w:val="16"/>
          <w:color w:val="auto"/>
        </w:rPr>
        <w:t>. This provision supplements Section 6 of the Agreement:</w:t>
      </w:r>
    </w:p>
    <w:p>
      <w:pPr>
        <w:spacing w:after="0" w:line="181" w:lineRule="exact"/>
        <w:rPr>
          <w:sz w:val="20"/>
          <w:szCs w:val="20"/>
          <w:color w:val="auto"/>
        </w:rPr>
      </w:pPr>
    </w:p>
    <w:p>
      <w:pPr>
        <w:jc w:val="both"/>
        <w:ind w:left="160"/>
        <w:spacing w:after="0" w:line="241" w:lineRule="auto"/>
        <w:rPr>
          <w:sz w:val="20"/>
          <w:szCs w:val="20"/>
          <w:color w:val="auto"/>
        </w:rPr>
      </w:pPr>
      <w:r>
        <w:rPr>
          <w:rFonts w:ascii="Arial" w:cs="Arial" w:eastAsia="Arial" w:hAnsi="Arial"/>
          <w:sz w:val="15"/>
          <w:szCs w:val="15"/>
          <w:color w:val="auto"/>
        </w:rPr>
        <w:t>Without limitation to Section 6 of the Agreement, the Participant agrees that the Participant is liable for all Tax-Related Items and hereby covenants to pay all such Tax-Related Items, as and when requested by the Company or the Employer or by HM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8" w:lineRule="exact"/>
        <w:rPr>
          <w:sz w:val="20"/>
          <w:szCs w:val="20"/>
          <w:color w:val="auto"/>
        </w:rPr>
      </w:pPr>
    </w:p>
    <w:p>
      <w:pPr>
        <w:jc w:val="both"/>
        <w:ind w:left="160"/>
        <w:spacing w:after="0" w:line="219" w:lineRule="auto"/>
        <w:rPr>
          <w:sz w:val="20"/>
          <w:szCs w:val="20"/>
          <w:color w:val="auto"/>
        </w:rPr>
      </w:pPr>
      <w:r>
        <w:rPr>
          <w:rFonts w:ascii="Arial" w:cs="Arial" w:eastAsia="Arial" w:hAnsi="Arial"/>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5" w:lineRule="exact"/>
        <w:rPr>
          <w:sz w:val="20"/>
          <w:szCs w:val="20"/>
          <w:color w:val="auto"/>
        </w:rPr>
      </w:pPr>
    </w:p>
    <w:p>
      <w:pPr>
        <w:ind w:left="160"/>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221" w:lineRule="exact"/>
        <w:rPr>
          <w:sz w:val="20"/>
          <w:szCs w:val="20"/>
          <w:color w:val="auto"/>
        </w:rPr>
      </w:pPr>
    </w:p>
    <w:p>
      <w:pPr>
        <w:jc w:val="both"/>
        <w:ind w:left="160"/>
        <w:spacing w:after="0"/>
        <w:rPr>
          <w:sz w:val="20"/>
          <w:szCs w:val="20"/>
          <w:color w:val="auto"/>
        </w:rPr>
      </w:pPr>
      <w:r>
        <w:rPr>
          <w:rFonts w:ascii="Arial" w:cs="Arial" w:eastAsia="Arial" w:hAnsi="Arial"/>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13" w:lineRule="exact"/>
        <w:rPr>
          <w:sz w:val="20"/>
          <w:szCs w:val="20"/>
          <w:color w:val="auto"/>
        </w:rPr>
      </w:pPr>
    </w:p>
    <w:p>
      <w:pPr>
        <w:jc w:val="both"/>
        <w:ind w:left="160"/>
        <w:spacing w:after="0" w:line="309" w:lineRule="auto"/>
        <w:rPr>
          <w:sz w:val="20"/>
          <w:szCs w:val="20"/>
          <w:color w:val="auto"/>
        </w:rPr>
      </w:pPr>
      <w:r>
        <w:rPr>
          <w:rFonts w:ascii="Arial" w:cs="Arial" w:eastAsia="Arial" w:hAnsi="Arial"/>
          <w:sz w:val="14"/>
          <w:szCs w:val="14"/>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166"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14" w:lineRule="exact"/>
        <w:rPr>
          <w:sz w:val="20"/>
          <w:szCs w:val="20"/>
          <w:color w:val="auto"/>
        </w:rPr>
      </w:pPr>
    </w:p>
    <w:p>
      <w:pPr>
        <w:jc w:val="both"/>
        <w:ind w:left="160"/>
        <w:spacing w:after="0" w:line="220"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03" w:lineRule="exact"/>
        <w:rPr>
          <w:sz w:val="20"/>
          <w:szCs w:val="20"/>
          <w:color w:val="auto"/>
        </w:rPr>
      </w:pPr>
    </w:p>
    <w:p>
      <w:pPr>
        <w:jc w:val="both"/>
        <w:ind w:left="160"/>
        <w:spacing w:after="0" w:line="230" w:lineRule="auto"/>
        <w:rPr>
          <w:sz w:val="20"/>
          <w:szCs w:val="20"/>
          <w:color w:val="auto"/>
        </w:rPr>
      </w:pPr>
      <w:r>
        <w:rPr>
          <w:rFonts w:ascii="Arial" w:cs="Arial" w:eastAsia="Arial" w:hAnsi="Arial"/>
          <w:sz w:val="16"/>
          <w:szCs w:val="16"/>
          <w:i w:val="1"/>
          <w:iCs w:val="1"/>
          <w:color w:val="auto"/>
        </w:rPr>
        <w:t>The Joint Election is attached hereto as Appendix D.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APPENDIX B - 13</w:t>
      </w:r>
    </w:p>
    <w:p>
      <w:pPr>
        <w:sectPr>
          <w:pgSz w:w="11900" w:h="16838" w:orient="portrait"/>
          <w:cols w:equalWidth="0" w:num="1">
            <w:col w:w="10740"/>
          </w:cols>
          <w:pgMar w:left="500" w:top="1017" w:right="65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0"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EMPLOYER INFORMATION STATEMENT – DENMARK</w:t>
      </w:r>
    </w:p>
    <w:p>
      <w:pPr>
        <w:ind w:left="356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22" w:lineRule="auto"/>
        <w:rPr>
          <w:sz w:val="20"/>
          <w:szCs w:val="20"/>
          <w:color w:val="auto"/>
        </w:rPr>
      </w:pPr>
      <w:r>
        <w:rPr>
          <w:rFonts w:ascii="Arial" w:cs="Arial" w:eastAsia="Arial" w:hAnsi="Arial"/>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7"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Date of Grant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approved the grant of Performance RSUs under the Plan on Grant Date. On this basis, the Date of Grant for your Performance RSUs is Grant Date.</w:t>
      </w:r>
    </w:p>
    <w:p>
      <w:pPr>
        <w:spacing w:after="0" w:line="159" w:lineRule="exact"/>
        <w:rPr>
          <w:sz w:val="20"/>
          <w:szCs w:val="20"/>
          <w:color w:val="auto"/>
        </w:rPr>
      </w:pPr>
    </w:p>
    <w:p>
      <w:pPr>
        <w:ind w:left="300" w:hanging="292"/>
        <w:spacing w:after="0"/>
        <w:tabs>
          <w:tab w:leader="none" w:pos="30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Conditions of the Performance RSU Grant</w:t>
      </w:r>
    </w:p>
    <w:p>
      <w:pPr>
        <w:spacing w:after="0" w:line="144" w:lineRule="exact"/>
        <w:rPr>
          <w:sz w:val="20"/>
          <w:szCs w:val="20"/>
          <w:color w:val="auto"/>
        </w:rPr>
      </w:pPr>
    </w:p>
    <w:p>
      <w:pPr>
        <w:jc w:val="both"/>
        <w:ind w:left="660"/>
        <w:spacing w:after="0" w:line="235" w:lineRule="auto"/>
        <w:rPr>
          <w:sz w:val="20"/>
          <w:szCs w:val="20"/>
          <w:color w:val="auto"/>
        </w:rPr>
      </w:pPr>
      <w:r>
        <w:rPr>
          <w:rFonts w:ascii="Arial" w:cs="Arial" w:eastAsia="Arial" w:hAnsi="Arial"/>
          <w:sz w:val="15"/>
          <w:szCs w:val="15"/>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7" w:lineRule="exact"/>
        <w:rPr>
          <w:sz w:val="20"/>
          <w:szCs w:val="20"/>
          <w:color w:val="auto"/>
        </w:rPr>
      </w:pPr>
    </w:p>
    <w:p>
      <w:pPr>
        <w:ind w:left="300" w:hanging="292"/>
        <w:spacing w:after="0"/>
        <w:tabs>
          <w:tab w:leader="none" w:pos="30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Vesting Date of Performance RSUs</w:t>
      </w:r>
    </w:p>
    <w:p>
      <w:pPr>
        <w:spacing w:after="0" w:line="144" w:lineRule="exact"/>
        <w:rPr>
          <w:sz w:val="20"/>
          <w:szCs w:val="20"/>
          <w:color w:val="auto"/>
        </w:rPr>
      </w:pPr>
    </w:p>
    <w:p>
      <w:pPr>
        <w:jc w:val="both"/>
        <w:ind w:left="660"/>
        <w:spacing w:after="0" w:line="248" w:lineRule="auto"/>
        <w:rPr>
          <w:sz w:val="20"/>
          <w:szCs w:val="20"/>
          <w:color w:val="auto"/>
        </w:rPr>
      </w:pPr>
      <w:r>
        <w:rPr>
          <w:rFonts w:ascii="Arial" w:cs="Arial" w:eastAsia="Arial" w:hAnsi="Arial"/>
          <w:sz w:val="15"/>
          <w:szCs w:val="15"/>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5"/>
          <w:szCs w:val="15"/>
          <w:color w:val="auto"/>
        </w:rPr>
        <w:t>When your Performance RSUs vest, the Company will issue one share of the Company’s common stock to you in settlement of each vested Performance RSU.</w:t>
      </w:r>
    </w:p>
    <w:p>
      <w:pPr>
        <w:spacing w:after="0" w:line="148" w:lineRule="exact"/>
        <w:rPr>
          <w:sz w:val="20"/>
          <w:szCs w:val="20"/>
          <w:color w:val="auto"/>
        </w:rPr>
      </w:pPr>
    </w:p>
    <w:p>
      <w:pPr>
        <w:ind w:left="300" w:hanging="292"/>
        <w:spacing w:after="0"/>
        <w:tabs>
          <w:tab w:leader="none" w:pos="30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Exercise Price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14" w:lineRule="exact"/>
        <w:rPr>
          <w:sz w:val="20"/>
          <w:szCs w:val="20"/>
          <w:color w:val="auto"/>
        </w:rPr>
      </w:pPr>
    </w:p>
    <w:p>
      <w:pPr>
        <w:ind w:left="300" w:hanging="292"/>
        <w:spacing w:after="0"/>
        <w:tabs>
          <w:tab w:leader="none" w:pos="30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Your Rights upon Termination of Service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14"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Aspects of Participating in the Plan</w:t>
      </w:r>
    </w:p>
    <w:p>
      <w:pPr>
        <w:spacing w:after="0" w:line="144" w:lineRule="exact"/>
        <w:rPr>
          <w:sz w:val="20"/>
          <w:szCs w:val="20"/>
          <w:color w:val="auto"/>
        </w:rPr>
      </w:pPr>
    </w:p>
    <w:p>
      <w:pPr>
        <w:jc w:val="both"/>
        <w:ind w:left="660"/>
        <w:spacing w:after="0" w:line="230" w:lineRule="auto"/>
        <w:rPr>
          <w:sz w:val="20"/>
          <w:szCs w:val="20"/>
          <w:color w:val="auto"/>
        </w:rPr>
      </w:pPr>
      <w:r>
        <w:rPr>
          <w:rFonts w:ascii="Arial" w:cs="Arial" w:eastAsia="Arial" w:hAnsi="Arial"/>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9" w:lineRule="exact"/>
        <w:rPr>
          <w:sz w:val="20"/>
          <w:szCs w:val="20"/>
          <w:color w:val="auto"/>
        </w:rPr>
      </w:pPr>
    </w:p>
    <w:p>
      <w:pPr>
        <w:jc w:val="both"/>
        <w:ind w:left="660"/>
        <w:spacing w:after="0" w:line="248" w:lineRule="auto"/>
        <w:rPr>
          <w:sz w:val="20"/>
          <w:szCs w:val="20"/>
          <w:color w:val="auto"/>
        </w:rPr>
      </w:pPr>
      <w:r>
        <w:rPr>
          <w:rFonts w:ascii="Arial" w:cs="Arial" w:eastAsia="Arial" w:hAnsi="Arial"/>
          <w:sz w:val="15"/>
          <w:szCs w:val="15"/>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09" w:lineRule="exact"/>
        <w:rPr>
          <w:sz w:val="20"/>
          <w:szCs w:val="20"/>
          <w:color w:val="auto"/>
        </w:rPr>
      </w:pPr>
    </w:p>
    <w:p>
      <w:pPr>
        <w:ind w:left="300" w:hanging="292"/>
        <w:spacing w:after="0"/>
        <w:tabs>
          <w:tab w:leader="none" w:pos="3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Other Issues</w:t>
      </w:r>
    </w:p>
    <w:p>
      <w:pPr>
        <w:spacing w:after="0" w:line="144" w:lineRule="exact"/>
        <w:rPr>
          <w:sz w:val="20"/>
          <w:szCs w:val="20"/>
          <w:color w:val="auto"/>
        </w:rPr>
      </w:pPr>
    </w:p>
    <w:p>
      <w:pPr>
        <w:ind w:left="660"/>
        <w:spacing w:after="0" w:line="272" w:lineRule="auto"/>
        <w:rPr>
          <w:sz w:val="20"/>
          <w:szCs w:val="20"/>
          <w:color w:val="auto"/>
        </w:rPr>
      </w:pPr>
      <w:r>
        <w:rPr>
          <w:rFonts w:ascii="Arial" w:cs="Arial" w:eastAsia="Arial" w:hAnsi="Arial"/>
          <w:sz w:val="15"/>
          <w:szCs w:val="15"/>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APPENDIX C - 1</w:t>
      </w:r>
    </w:p>
    <w:p>
      <w:pPr>
        <w:sectPr>
          <w:pgSz w:w="11900" w:h="16838" w:orient="portrait"/>
          <w:cols w:equalWidth="0" w:num="1">
            <w:col w:w="11240"/>
          </w:cols>
          <w:pgMar w:left="320" w:top="1017" w:right="339" w:bottom="1440" w:gutter="0" w:footer="0" w:header="0"/>
        </w:sectPr>
      </w:pPr>
    </w:p>
    <w:bookmarkStart w:id="49" w:name="page50"/>
    <w:bookmarkEnd w:id="49"/>
    <w:p>
      <w:pPr>
        <w:jc w:val="center"/>
        <w:ind w:right="-112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90" w:lineRule="exact"/>
        <w:rPr>
          <w:sz w:val="20"/>
          <w:szCs w:val="20"/>
          <w:color w:val="auto"/>
        </w:rPr>
      </w:pPr>
    </w:p>
    <w:p>
      <w:pPr>
        <w:jc w:val="right"/>
        <w:ind w:right="2399"/>
        <w:spacing w:after="0"/>
        <w:rPr>
          <w:sz w:val="20"/>
          <w:szCs w:val="20"/>
          <w:color w:val="auto"/>
        </w:rPr>
      </w:pPr>
      <w:r>
        <w:rPr>
          <w:rFonts w:ascii="Arial" w:cs="Arial" w:eastAsia="Arial" w:hAnsi="Arial"/>
          <w:sz w:val="16"/>
          <w:szCs w:val="16"/>
          <w:b w:val="1"/>
          <w:bCs w:val="1"/>
          <w:color w:val="auto"/>
        </w:rPr>
        <w:t>EMPLOYER INFORMATION STATEMENT – DENMARK</w:t>
      </w:r>
    </w:p>
    <w:p>
      <w:pPr>
        <w:ind w:left="3560"/>
        <w:spacing w:after="0"/>
        <w:rPr>
          <w:sz w:val="20"/>
          <w:szCs w:val="20"/>
          <w:color w:val="auto"/>
        </w:rPr>
      </w:pPr>
      <w:r>
        <w:rPr>
          <w:rFonts w:ascii="Arial" w:cs="Arial" w:eastAsia="Arial" w:hAnsi="Arial"/>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Notice Provided By: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APPENDIX C - 2</w:t>
      </w:r>
    </w:p>
    <w:p>
      <w:pPr>
        <w:sectPr>
          <w:pgSz w:w="11900" w:h="16838" w:orient="portrait"/>
          <w:cols w:equalWidth="0" w:num="1">
            <w:col w:w="10139"/>
          </w:cols>
          <w:pgMar w:left="320" w:top="1017" w:right="1440" w:bottom="1440" w:gutter="0" w:footer="0" w:header="0"/>
        </w:sectPr>
      </w:pPr>
    </w:p>
    <w:bookmarkStart w:id="50" w:name="page51"/>
    <w:bookmarkEnd w:id="50"/>
    <w:p>
      <w:pPr>
        <w:jc w:val="center"/>
        <w:ind w:right="-15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5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160"/>
        <w:spacing w:after="0" w:line="337" w:lineRule="auto"/>
        <w:rPr>
          <w:sz w:val="20"/>
          <w:szCs w:val="20"/>
          <w:color w:val="auto"/>
        </w:rPr>
      </w:pPr>
      <w:r>
        <w:rPr>
          <w:rFonts w:ascii="Arial" w:cs="Arial" w:eastAsia="Arial" w:hAnsi="Arial"/>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Arial" w:cs="Arial" w:eastAsia="Arial" w:hAnsi="Arial"/>
          <w:sz w:val="16"/>
          <w:szCs w:val="16"/>
          <w:i w:val="1"/>
          <w:iCs w:val="1"/>
          <w:color w:val="auto"/>
        </w:rPr>
        <w:t>Global Performance Restricted Stock Unit Agreement</w:t>
      </w:r>
      <w:r>
        <w:rPr>
          <w:rFonts w:ascii="Arial" w:cs="Arial" w:eastAsia="Arial" w:hAnsi="Arial"/>
          <w:sz w:val="16"/>
          <w:szCs w:val="16"/>
          <w:color w:val="auto"/>
        </w:rPr>
        <w:t xml:space="preserve"> (“Aftalen”), i tillægget til Aftalen og i Ordningen.</w:t>
      </w:r>
    </w:p>
    <w:p>
      <w:pPr>
        <w:spacing w:after="0" w:line="95"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4"/>
          <w:szCs w:val="14"/>
          <w:b w:val="1"/>
          <w:bCs w:val="1"/>
          <w:color w:val="auto"/>
        </w:rPr>
        <w:t>Tildelingsdato</w:t>
      </w:r>
    </w:p>
    <w:p>
      <w:pPr>
        <w:spacing w:after="0" w:line="15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Selskabets godkendte den Grant Date tildelingen af RSU’er i henhold til Ordningen. Tildelingsdatoen for dine RSU’er er således den Grant Date.</w:t>
      </w:r>
    </w:p>
    <w:p>
      <w:pPr>
        <w:spacing w:after="0" w:line="20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4"/>
          <w:szCs w:val="14"/>
          <w:b w:val="1"/>
          <w:bCs w:val="1"/>
          <w:color w:val="auto"/>
        </w:rPr>
        <w:t>Vilkår og betingelser for RSU-tildelingen</w:t>
      </w:r>
    </w:p>
    <w:p>
      <w:pPr>
        <w:spacing w:after="0" w:line="158" w:lineRule="exact"/>
        <w:rPr>
          <w:sz w:val="20"/>
          <w:szCs w:val="20"/>
          <w:color w:val="auto"/>
        </w:rPr>
      </w:pPr>
    </w:p>
    <w:p>
      <w:pPr>
        <w:jc w:val="both"/>
        <w:ind w:left="160"/>
        <w:spacing w:after="0" w:line="359" w:lineRule="auto"/>
        <w:rPr>
          <w:sz w:val="20"/>
          <w:szCs w:val="20"/>
          <w:color w:val="auto"/>
        </w:rPr>
      </w:pPr>
      <w:r>
        <w:rPr>
          <w:rFonts w:ascii="Arial" w:cs="Arial" w:eastAsia="Arial" w:hAnsi="Arial"/>
          <w:sz w:val="15"/>
          <w:szCs w:val="15"/>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96"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3.</w:t>
      </w:r>
      <w:r>
        <w:rPr>
          <w:sz w:val="20"/>
          <w:szCs w:val="20"/>
          <w:color w:val="auto"/>
        </w:rPr>
        <w:tab/>
      </w:r>
      <w:r>
        <w:rPr>
          <w:rFonts w:ascii="Arial" w:cs="Arial" w:eastAsia="Arial" w:hAnsi="Arial"/>
          <w:sz w:val="14"/>
          <w:szCs w:val="14"/>
          <w:b w:val="1"/>
          <w:bCs w:val="1"/>
          <w:color w:val="auto"/>
        </w:rPr>
        <w:t>Modningsdato for RSU’er</w:t>
      </w:r>
    </w:p>
    <w:p>
      <w:pPr>
        <w:spacing w:after="0" w:line="158" w:lineRule="exact"/>
        <w:rPr>
          <w:sz w:val="20"/>
          <w:szCs w:val="20"/>
          <w:color w:val="auto"/>
        </w:rPr>
      </w:pPr>
    </w:p>
    <w:p>
      <w:pPr>
        <w:jc w:val="both"/>
        <w:ind w:left="160"/>
        <w:spacing w:after="0" w:line="340" w:lineRule="auto"/>
        <w:rPr>
          <w:sz w:val="20"/>
          <w:szCs w:val="20"/>
          <w:color w:val="auto"/>
        </w:rPr>
      </w:pPr>
      <w:r>
        <w:rPr>
          <w:rFonts w:ascii="Arial" w:cs="Arial" w:eastAsia="Arial" w:hAnsi="Arial"/>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Når RSU’erne modnes, udsteder Selskabet én ordinær aktie i Selskabet til dig for hver RSU, der er modnet.</w:t>
      </w:r>
    </w:p>
    <w:p>
      <w:pPr>
        <w:spacing w:after="0" w:line="20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4"/>
          <w:szCs w:val="14"/>
          <w:b w:val="1"/>
          <w:bCs w:val="1"/>
          <w:color w:val="auto"/>
        </w:rPr>
        <w:t>Udnyttelseskurs</w:t>
      </w:r>
    </w:p>
    <w:p>
      <w:pPr>
        <w:spacing w:after="0" w:line="158" w:lineRule="exact"/>
        <w:rPr>
          <w:sz w:val="20"/>
          <w:szCs w:val="20"/>
          <w:color w:val="auto"/>
        </w:rPr>
      </w:pPr>
    </w:p>
    <w:p>
      <w:pPr>
        <w:jc w:val="both"/>
        <w:ind w:left="160"/>
        <w:spacing w:after="0" w:line="363" w:lineRule="auto"/>
        <w:rPr>
          <w:sz w:val="20"/>
          <w:szCs w:val="20"/>
          <w:color w:val="auto"/>
        </w:rPr>
      </w:pPr>
      <w:r>
        <w:rPr>
          <w:rFonts w:ascii="Arial" w:cs="Arial" w:eastAsia="Arial" w:hAnsi="Arial"/>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7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Din retsstilling i forbindelse med fratræden</w:t>
      </w:r>
    </w:p>
    <w:p>
      <w:pPr>
        <w:spacing w:after="0" w:line="158" w:lineRule="exact"/>
        <w:rPr>
          <w:sz w:val="20"/>
          <w:szCs w:val="20"/>
          <w:color w:val="auto"/>
        </w:rPr>
      </w:pPr>
    </w:p>
    <w:p>
      <w:pPr>
        <w:jc w:val="both"/>
        <w:ind w:left="160"/>
        <w:spacing w:after="0" w:line="363" w:lineRule="auto"/>
        <w:rPr>
          <w:sz w:val="20"/>
          <w:szCs w:val="20"/>
          <w:color w:val="auto"/>
        </w:rPr>
      </w:pPr>
      <w:r>
        <w:rPr>
          <w:rFonts w:ascii="Arial" w:cs="Arial" w:eastAsia="Arial" w:hAnsi="Arial"/>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74" w:lineRule="exact"/>
        <w:rPr>
          <w:sz w:val="20"/>
          <w:szCs w:val="20"/>
          <w:color w:val="auto"/>
        </w:rPr>
      </w:pPr>
    </w:p>
    <w:p>
      <w:pPr>
        <w:ind w:left="160"/>
        <w:spacing w:after="0"/>
        <w:tabs>
          <w:tab w:leader="none" w:pos="42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4"/>
          <w:szCs w:val="14"/>
          <w:b w:val="1"/>
          <w:bCs w:val="1"/>
          <w:color w:val="auto"/>
        </w:rPr>
        <w:t>Økonomiske aspekter ved at deltage i Ordningen</w:t>
      </w:r>
    </w:p>
    <w:p>
      <w:pPr>
        <w:spacing w:after="0" w:line="171" w:lineRule="exact"/>
        <w:rPr>
          <w:sz w:val="20"/>
          <w:szCs w:val="20"/>
          <w:color w:val="auto"/>
        </w:rPr>
      </w:pPr>
    </w:p>
    <w:p>
      <w:pPr>
        <w:jc w:val="both"/>
        <w:ind w:left="160"/>
        <w:spacing w:after="0" w:line="340" w:lineRule="auto"/>
        <w:rPr>
          <w:sz w:val="20"/>
          <w:szCs w:val="20"/>
          <w:color w:val="auto"/>
        </w:rPr>
      </w:pPr>
      <w:r>
        <w:rPr>
          <w:rFonts w:ascii="Arial" w:cs="Arial" w:eastAsia="Arial" w:hAnsi="Arial"/>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6" w:lineRule="exact"/>
        <w:rPr>
          <w:sz w:val="20"/>
          <w:szCs w:val="20"/>
          <w:color w:val="auto"/>
        </w:rPr>
      </w:pPr>
    </w:p>
    <w:p>
      <w:pPr>
        <w:jc w:val="both"/>
        <w:ind w:left="160"/>
        <w:spacing w:after="0" w:line="371" w:lineRule="auto"/>
        <w:rPr>
          <w:sz w:val="20"/>
          <w:szCs w:val="20"/>
          <w:color w:val="auto"/>
        </w:rPr>
      </w:pPr>
      <w:r>
        <w:rPr>
          <w:rFonts w:ascii="Arial" w:cs="Arial" w:eastAsia="Arial" w:hAnsi="Arial"/>
          <w:sz w:val="15"/>
          <w:szCs w:val="15"/>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APPENDIX C - 3</w:t>
      </w:r>
    </w:p>
    <w:p>
      <w:pPr>
        <w:sectPr>
          <w:pgSz w:w="11900" w:h="16838" w:orient="portrait"/>
          <w:cols w:equalWidth="0" w:num="1">
            <w:col w:w="10740"/>
          </w:cols>
          <w:pgMar w:left="500" w:top="1013" w:right="659" w:bottom="1440" w:gutter="0" w:footer="0" w:header="0"/>
        </w:sectPr>
      </w:pPr>
    </w:p>
    <w:bookmarkStart w:id="51" w:name="page52"/>
    <w:bookmarkEnd w:id="51"/>
    <w:p>
      <w:pPr>
        <w:jc w:val="center"/>
        <w:ind w:right="-3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339"/>
        <w:spacing w:after="0"/>
        <w:rPr>
          <w:sz w:val="20"/>
          <w:szCs w:val="20"/>
          <w:color w:val="auto"/>
        </w:rPr>
      </w:pPr>
      <w:r>
        <w:rPr>
          <w:rFonts w:ascii="Arial" w:cs="Arial" w:eastAsia="Arial" w:hAnsi="Arial"/>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40"/>
        <w:spacing w:after="0"/>
        <w:tabs>
          <w:tab w:leader="none" w:pos="600"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4"/>
          <w:szCs w:val="14"/>
          <w:b w:val="1"/>
          <w:bCs w:val="1"/>
          <w:color w:val="auto"/>
        </w:rPr>
        <w:t>Diverse</w:t>
      </w:r>
    </w:p>
    <w:p>
      <w:pPr>
        <w:spacing w:after="0" w:line="171" w:lineRule="exact"/>
        <w:rPr>
          <w:sz w:val="20"/>
          <w:szCs w:val="20"/>
          <w:color w:val="auto"/>
        </w:rPr>
      </w:pPr>
    </w:p>
    <w:p>
      <w:pPr>
        <w:jc w:val="both"/>
        <w:ind w:left="340"/>
        <w:spacing w:after="0" w:line="340" w:lineRule="auto"/>
        <w:rPr>
          <w:sz w:val="20"/>
          <w:szCs w:val="20"/>
          <w:color w:val="auto"/>
        </w:rPr>
      </w:pPr>
      <w:r>
        <w:rPr>
          <w:rFonts w:ascii="Arial" w:cs="Arial" w:eastAsia="Arial" w:hAnsi="Arial"/>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Meddelelse afgivet af:</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APPENDIX C - 4</w:t>
      </w:r>
    </w:p>
    <w:p>
      <w:pPr>
        <w:sectPr>
          <w:pgSz w:w="11900" w:h="16838" w:orient="portrait"/>
          <w:cols w:equalWidth="0" w:num="1">
            <w:col w:w="10920"/>
          </w:cols>
          <w:pgMar w:left="320" w:top="1013" w:right="659" w:bottom="1440" w:gutter="0" w:footer="0" w:header="0"/>
        </w:sectPr>
      </w:pPr>
    </w:p>
    <w:bookmarkStart w:id="52" w:name="page53"/>
    <w:bookmarkEnd w:id="52"/>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EQUITY INCENTIVE PLAN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Onscreen disclaimer</w:t>
      </w:r>
    </w:p>
    <w:p>
      <w:pPr>
        <w:spacing w:after="0" w:line="86"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Clicking on the “ACCEPT” box indicates your acceptance of the Election. You should read the “Important Note on the Election to Transfer Employer NICs” before accepting the Election.</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Note on the Election to Transfer Employer NICs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By entering into the Election:</w:t>
      </w:r>
    </w:p>
    <w:p>
      <w:pPr>
        <w:spacing w:after="0" w:line="7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 agree that any employer’s NICs liability that may arise in connection with your Awards will be transferred to you;</w:t>
      </w:r>
    </w:p>
    <w:p>
      <w:pPr>
        <w:ind w:left="660" w:hanging="328"/>
        <w:spacing w:after="0" w:line="21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328"/>
        <w:spacing w:after="0" w:line="23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APPENDIX D - 1</w:t>
      </w:r>
    </w:p>
    <w:p>
      <w:pPr>
        <w:sectPr>
          <w:pgSz w:w="11900" w:h="16838" w:orient="portrait"/>
          <w:cols w:equalWidth="0" w:num="1">
            <w:col w:w="10920"/>
          </w:cols>
          <w:pgMar w:left="320" w:top="1017" w:right="659" w:bottom="1440" w:gutter="0" w:footer="0" w:header="0"/>
        </w:sectPr>
      </w:pPr>
    </w:p>
    <w:bookmarkStart w:id="53" w:name="page54"/>
    <w:bookmarkEnd w:id="53"/>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EQUITY INCENTIVE PLAN</w:t>
      </w:r>
    </w:p>
    <w:p>
      <w:pPr>
        <w:spacing w:after="0" w:line="10"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This Election is between:</w:t>
      </w:r>
    </w:p>
    <w:p>
      <w:pPr>
        <w:spacing w:after="0" w:line="136" w:lineRule="exact"/>
        <w:rPr>
          <w:sz w:val="20"/>
          <w:szCs w:val="20"/>
          <w:color w:val="auto"/>
        </w:rPr>
      </w:pPr>
    </w:p>
    <w:p>
      <w:pPr>
        <w:ind w:left="660" w:hanging="652"/>
        <w:spacing w:after="0" w:line="232" w:lineRule="auto"/>
        <w:tabs>
          <w:tab w:leader="none" w:pos="35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individual who has obtained authorized access to this Election (the “</w:t>
      </w:r>
      <w:r>
        <w:rPr>
          <w:rFonts w:ascii="Arial" w:cs="Arial" w:eastAsia="Arial" w:hAnsi="Arial"/>
          <w:sz w:val="16"/>
          <w:szCs w:val="16"/>
          <w:b w:val="1"/>
          <w:bCs w:val="1"/>
          <w:color w:val="auto"/>
        </w:rPr>
        <w:t>Employee</w:t>
      </w:r>
      <w:r>
        <w:rPr>
          <w:rFonts w:ascii="Arial" w:cs="Arial" w:eastAsia="Arial" w:hAnsi="Arial"/>
          <w:sz w:val="16"/>
          <w:szCs w:val="16"/>
          <w:color w:val="auto"/>
        </w:rPr>
        <w:t>”), who is employed by one of the employing companies listed in the attached schedule (the “</w:t>
      </w:r>
      <w:r>
        <w:rPr>
          <w:rFonts w:ascii="Arial" w:cs="Arial" w:eastAsia="Arial" w:hAnsi="Arial"/>
          <w:sz w:val="16"/>
          <w:szCs w:val="16"/>
          <w:b w:val="1"/>
          <w:bCs w:val="1"/>
          <w:color w:val="auto"/>
        </w:rPr>
        <w:t>Employer</w:t>
      </w:r>
      <w:r>
        <w:rPr>
          <w:rFonts w:ascii="Arial" w:cs="Arial" w:eastAsia="Arial" w:hAnsi="Arial"/>
          <w:sz w:val="16"/>
          <w:szCs w:val="16"/>
          <w:color w:val="auto"/>
        </w:rPr>
        <w:t>”) and who is eligible to receive restricted stock units and/or stock options (“</w:t>
      </w:r>
      <w:r>
        <w:rPr>
          <w:rFonts w:ascii="Arial" w:cs="Arial" w:eastAsia="Arial" w:hAnsi="Arial"/>
          <w:sz w:val="16"/>
          <w:szCs w:val="16"/>
          <w:b w:val="1"/>
          <w:bCs w:val="1"/>
          <w:color w:val="auto"/>
        </w:rPr>
        <w:t>Awards</w:t>
      </w:r>
      <w:r>
        <w:rPr>
          <w:rFonts w:ascii="Arial" w:cs="Arial" w:eastAsia="Arial" w:hAnsi="Arial"/>
          <w:sz w:val="16"/>
          <w:szCs w:val="16"/>
          <w:color w:val="auto"/>
        </w:rPr>
        <w:t>”) pursuant to the Analog Devices, Inc. 2020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w:t>
      </w:r>
    </w:p>
    <w:p>
      <w:pPr>
        <w:spacing w:after="0" w:line="114" w:lineRule="exact"/>
        <w:rPr>
          <w:rFonts w:ascii="Arial" w:cs="Arial" w:eastAsia="Arial" w:hAnsi="Arial"/>
          <w:sz w:val="16"/>
          <w:szCs w:val="16"/>
          <w:color w:val="auto"/>
        </w:rPr>
      </w:pPr>
    </w:p>
    <w:p>
      <w:pPr>
        <w:ind w:left="660" w:hanging="652"/>
        <w:spacing w:after="0" w:line="245" w:lineRule="auto"/>
        <w:tabs>
          <w:tab w:leader="none" w:pos="344"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 Devices, Inc. of One Analog Way, Wilmington, Massachusetts 01887, U.S.A. (the “</w:t>
      </w:r>
      <w:r>
        <w:rPr>
          <w:rFonts w:ascii="Arial" w:cs="Arial" w:eastAsia="Arial" w:hAnsi="Arial"/>
          <w:sz w:val="16"/>
          <w:szCs w:val="16"/>
          <w:b w:val="1"/>
          <w:bCs w:val="1"/>
          <w:color w:val="auto"/>
        </w:rPr>
        <w:t>Company</w:t>
      </w:r>
      <w:r>
        <w:rPr>
          <w:rFonts w:ascii="Arial" w:cs="Arial" w:eastAsia="Arial" w:hAnsi="Arial"/>
          <w:sz w:val="16"/>
          <w:szCs w:val="16"/>
          <w:color w:val="auto"/>
        </w:rPr>
        <w:t>”), which may grant Awards under the Plans and is entering into this Election on behalf of the Employer.</w:t>
      </w:r>
    </w:p>
    <w:p>
      <w:pPr>
        <w:spacing w:after="0" w:line="11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Introduction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In this Election the following words and phrases have the following meanings:</w:t>
      </w:r>
    </w:p>
    <w:p>
      <w:pPr>
        <w:spacing w:after="0" w:line="217"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Chargeable Event</w:t>
      </w:r>
      <w:r>
        <w:rPr>
          <w:rFonts w:ascii="Arial" w:cs="Arial" w:eastAsia="Arial" w:hAnsi="Arial"/>
          <w:sz w:val="16"/>
          <w:szCs w:val="16"/>
          <w:color w:val="auto"/>
        </w:rPr>
        <w:t>” means any event giving rise to Relevant Employment Income.</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Relevant Employment Income</w:t>
      </w:r>
      <w:r>
        <w:rPr>
          <w:rFonts w:ascii="Arial" w:cs="Arial" w:eastAsia="Arial" w:hAnsi="Arial"/>
          <w:sz w:val="16"/>
          <w:szCs w:val="16"/>
          <w:color w:val="auto"/>
        </w:rPr>
        <w:t>" from Awards on which employer's National Insurance Contributions becomes due is defined as:</w:t>
      </w:r>
    </w:p>
    <w:p>
      <w:pPr>
        <w:spacing w:after="0" w:line="225" w:lineRule="exact"/>
        <w:rPr>
          <w:rFonts w:ascii="Arial" w:cs="Arial" w:eastAsia="Arial" w:hAnsi="Arial"/>
          <w:sz w:val="16"/>
          <w:szCs w:val="16"/>
          <w:color w:val="auto"/>
        </w:rPr>
      </w:pPr>
    </w:p>
    <w:p>
      <w:pPr>
        <w:ind w:left="1960" w:hanging="656"/>
        <w:spacing w:after="0"/>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426 ITEPA (restricted securities: charge on certain post-acquisition events);</w:t>
      </w:r>
    </w:p>
    <w:p>
      <w:pPr>
        <w:spacing w:after="0" w:line="199" w:lineRule="exact"/>
        <w:rPr>
          <w:rFonts w:ascii="Arial" w:cs="Arial" w:eastAsia="Arial" w:hAnsi="Arial"/>
          <w:sz w:val="16"/>
          <w:szCs w:val="16"/>
          <w:color w:val="auto"/>
        </w:rPr>
      </w:pPr>
    </w:p>
    <w:p>
      <w:pPr>
        <w:ind w:left="1960" w:hanging="656"/>
        <w:spacing w:after="0"/>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 amount that counts as employment income of the earner under section 438 of ITEPA (convertible securities: charge on certain post-acquisition events); or</w:t>
      </w:r>
    </w:p>
    <w:p>
      <w:pPr>
        <w:spacing w:after="0" w:line="199" w:lineRule="exact"/>
        <w:rPr>
          <w:rFonts w:ascii="Arial" w:cs="Arial" w:eastAsia="Arial" w:hAnsi="Arial"/>
          <w:sz w:val="16"/>
          <w:szCs w:val="16"/>
          <w:color w:val="auto"/>
        </w:rPr>
      </w:pPr>
    </w:p>
    <w:p>
      <w:pPr>
        <w:ind w:left="1960" w:hanging="656"/>
        <w:spacing w:after="0"/>
        <w:tabs>
          <w:tab w:leader="none" w:pos="19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gain that is treated as remuneration derived from the earner's employment by virtue of section 4(4)(a) SSCBA, including without limitation:</w:t>
      </w:r>
    </w:p>
    <w:p>
      <w:pPr>
        <w:spacing w:after="0" w:line="199" w:lineRule="exact"/>
        <w:rPr>
          <w:rFonts w:ascii="Arial" w:cs="Arial" w:eastAsia="Arial" w:hAnsi="Arial"/>
          <w:sz w:val="16"/>
          <w:szCs w:val="16"/>
          <w:color w:val="auto"/>
        </w:rPr>
      </w:pPr>
    </w:p>
    <w:p>
      <w:pPr>
        <w:ind w:left="2600" w:hanging="648"/>
        <w:spacing w:after="0"/>
        <w:tabs>
          <w:tab w:leader="none" w:pos="260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acquisition of securities pursuant to the Awards (within the meaning of section 477(3)(a) of ITEPA);</w:t>
      </w:r>
    </w:p>
    <w:p>
      <w:pPr>
        <w:spacing w:after="0" w:line="221" w:lineRule="exact"/>
        <w:rPr>
          <w:rFonts w:ascii="Arial" w:cs="Arial" w:eastAsia="Arial" w:hAnsi="Arial"/>
          <w:sz w:val="16"/>
          <w:szCs w:val="16"/>
          <w:color w:val="auto"/>
        </w:rPr>
      </w:pPr>
    </w:p>
    <w:p>
      <w:pPr>
        <w:ind w:left="2600" w:hanging="648"/>
        <w:spacing w:after="0"/>
        <w:tabs>
          <w:tab w:leader="none" w:pos="260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assignment (if applicable) or release of the Awards in return for consideration (within the meaning of section 477(3)(b) of ITEPA);</w:t>
      </w:r>
    </w:p>
    <w:p>
      <w:pPr>
        <w:spacing w:after="0" w:line="199" w:lineRule="exact"/>
        <w:rPr>
          <w:rFonts w:ascii="Arial" w:cs="Arial" w:eastAsia="Arial" w:hAnsi="Arial"/>
          <w:sz w:val="16"/>
          <w:szCs w:val="16"/>
          <w:color w:val="auto"/>
        </w:rPr>
      </w:pPr>
    </w:p>
    <w:p>
      <w:pPr>
        <w:ind w:left="2600" w:hanging="648"/>
        <w:spacing w:after="0"/>
        <w:tabs>
          <w:tab w:leader="none" w:pos="2600" w:val="left"/>
        </w:tabs>
        <w:numPr>
          <w:ilvl w:val="2"/>
          <w:numId w:val="33"/>
        </w:numPr>
        <w:rPr>
          <w:rFonts w:ascii="Arial" w:cs="Arial" w:eastAsia="Arial" w:hAnsi="Arial"/>
          <w:sz w:val="16"/>
          <w:szCs w:val="16"/>
          <w:color w:val="auto"/>
        </w:rPr>
      </w:pPr>
      <w:r>
        <w:rPr>
          <w:rFonts w:ascii="Arial" w:cs="Arial" w:eastAsia="Arial" w:hAnsi="Arial"/>
          <w:sz w:val="16"/>
          <w:szCs w:val="16"/>
          <w:color w:val="auto"/>
        </w:rPr>
        <w:t>the receipt of a benefit in connection with the Awards, other than a benefit within (i) or (ii) above (within the meaning of section 477(3)(c) of ITEPA);</w:t>
      </w:r>
    </w:p>
    <w:p>
      <w:pPr>
        <w:spacing w:after="0" w:line="195" w:lineRule="exact"/>
        <w:rPr>
          <w:rFonts w:ascii="Arial" w:cs="Arial" w:eastAsia="Arial" w:hAnsi="Arial"/>
          <w:sz w:val="16"/>
          <w:szCs w:val="16"/>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ITEPA</w:t>
      </w:r>
      <w:r>
        <w:rPr>
          <w:rFonts w:ascii="Arial" w:cs="Arial" w:eastAsia="Arial" w:hAnsi="Arial"/>
          <w:sz w:val="16"/>
          <w:szCs w:val="16"/>
          <w:color w:val="auto"/>
        </w:rPr>
        <w:t>” means the Income Tax (Earnings and Pensions) Act 2003.</w:t>
      </w:r>
    </w:p>
    <w:p>
      <w:pPr>
        <w:spacing w:after="0" w:line="221" w:lineRule="exact"/>
        <w:rPr>
          <w:rFonts w:ascii="Arial" w:cs="Arial" w:eastAsia="Arial" w:hAnsi="Arial"/>
          <w:sz w:val="16"/>
          <w:szCs w:val="16"/>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SSCBA</w:t>
      </w:r>
      <w:r>
        <w:rPr>
          <w:rFonts w:ascii="Arial" w:cs="Arial" w:eastAsia="Arial" w:hAnsi="Arial"/>
          <w:sz w:val="16"/>
          <w:szCs w:val="16"/>
          <w:color w:val="auto"/>
        </w:rPr>
        <w:t>” means the Social Security Contributions and Benefits Act 1992.</w:t>
      </w:r>
    </w:p>
    <w:p>
      <w:pPr>
        <w:spacing w:after="0" w:line="225" w:lineRule="exact"/>
        <w:rPr>
          <w:sz w:val="20"/>
          <w:szCs w:val="20"/>
          <w:color w:val="auto"/>
        </w:rPr>
      </w:pPr>
    </w:p>
    <w:p>
      <w:pPr>
        <w:ind w:left="660" w:hanging="647"/>
        <w:spacing w:after="0"/>
        <w:tabs>
          <w:tab w:leader="none" w:pos="6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9" w:lineRule="exact"/>
        <w:rPr>
          <w:sz w:val="20"/>
          <w:szCs w:val="20"/>
          <w:color w:val="auto"/>
        </w:rPr>
      </w:pPr>
    </w:p>
    <w:p>
      <w:pPr>
        <w:ind w:left="660" w:hanging="647"/>
        <w:spacing w:after="0"/>
        <w:tabs>
          <w:tab w:leader="none" w:pos="6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9" w:lineRule="exact"/>
        <w:rPr>
          <w:sz w:val="20"/>
          <w:szCs w:val="20"/>
          <w:color w:val="auto"/>
        </w:rPr>
      </w:pPr>
    </w:p>
    <w:p>
      <w:pPr>
        <w:ind w:left="660" w:hanging="647"/>
        <w:spacing w:after="0"/>
        <w:tabs>
          <w:tab w:leader="none" w:pos="64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95"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The Election</w:t>
      </w:r>
    </w:p>
    <w:p>
      <w:pPr>
        <w:spacing w:after="0" w:line="225" w:lineRule="exact"/>
        <w:rPr>
          <w:rFonts w:ascii="Arial" w:cs="Arial" w:eastAsia="Arial" w:hAnsi="Arial"/>
          <w:sz w:val="16"/>
          <w:szCs w:val="16"/>
          <w:b w:val="1"/>
          <w:bCs w:val="1"/>
          <w:color w:val="auto"/>
        </w:rPr>
      </w:pPr>
    </w:p>
    <w:p>
      <w:pPr>
        <w:jc w:val="both"/>
        <w:ind w:left="660"/>
        <w:spacing w:after="0" w:line="248" w:lineRule="auto"/>
        <w:rPr>
          <w:rFonts w:ascii="Arial" w:cs="Arial" w:eastAsia="Arial" w:hAnsi="Arial"/>
          <w:sz w:val="16"/>
          <w:szCs w:val="16"/>
          <w:b w:val="1"/>
          <w:bCs w:val="1"/>
          <w:color w:val="auto"/>
        </w:rPr>
      </w:pPr>
      <w:r>
        <w:rPr>
          <w:rFonts w:ascii="Arial" w:cs="Arial" w:eastAsia="Arial" w:hAnsi="Arial"/>
          <w:sz w:val="15"/>
          <w:szCs w:val="15"/>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7"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39"/>
        <w:spacing w:after="0"/>
        <w:rPr>
          <w:sz w:val="20"/>
          <w:szCs w:val="20"/>
          <w:color w:val="auto"/>
        </w:rPr>
      </w:pPr>
      <w:r>
        <w:rPr>
          <w:rFonts w:ascii="Arial" w:cs="Arial" w:eastAsia="Arial" w:hAnsi="Arial"/>
          <w:sz w:val="15"/>
          <w:szCs w:val="15"/>
          <w:color w:val="auto"/>
        </w:rPr>
        <w:t>APPENDIX D - 2</w:t>
      </w:r>
    </w:p>
    <w:p>
      <w:pPr>
        <w:sectPr>
          <w:pgSz w:w="11900" w:h="16838" w:orient="portrait"/>
          <w:cols w:equalWidth="0" w:num="1">
            <w:col w:w="10920"/>
          </w:cols>
          <w:pgMar w:left="320" w:top="1017" w:right="659" w:bottom="1440" w:gutter="0" w:footer="0" w:header="0"/>
          <w:type w:val="continuous"/>
        </w:sectPr>
      </w:pPr>
    </w:p>
    <w:bookmarkStart w:id="54" w:name="page55"/>
    <w:bookmarkEnd w:id="54"/>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EQUITY INCENTIVE PLAN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color w:val="auto"/>
        </w:rPr>
        <w:t>Payment of the Employer’s Liability</w:t>
      </w:r>
    </w:p>
    <w:p>
      <w:pPr>
        <w:spacing w:after="0" w:line="225" w:lineRule="exact"/>
        <w:rPr>
          <w:sz w:val="20"/>
          <w:szCs w:val="20"/>
          <w:color w:val="auto"/>
        </w:rPr>
      </w:pPr>
    </w:p>
    <w:p>
      <w:pPr>
        <w:ind w:left="660" w:right="320" w:hanging="647"/>
        <w:spacing w:after="0"/>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9"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deduction from salary or any other payment payable to the Employee at any time on or after the date of the Chargeable Event; and/or</w:t>
      </w:r>
    </w:p>
    <w:p>
      <w:pPr>
        <w:spacing w:after="0" w:line="86" w:lineRule="exact"/>
        <w:rPr>
          <w:rFonts w:ascii="Arial" w:cs="Arial" w:eastAsia="Arial" w:hAnsi="Arial"/>
          <w:sz w:val="16"/>
          <w:szCs w:val="16"/>
          <w:color w:val="auto"/>
        </w:rPr>
      </w:pPr>
    </w:p>
    <w:p>
      <w:pPr>
        <w:ind w:left="1020" w:hanging="364"/>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directly from the Employee by payment in cash or cleared funds; and/or</w:t>
      </w:r>
    </w:p>
    <w:p>
      <w:pPr>
        <w:spacing w:after="0" w:line="86" w:lineRule="exact"/>
        <w:rPr>
          <w:rFonts w:ascii="Arial" w:cs="Arial" w:eastAsia="Arial" w:hAnsi="Arial"/>
          <w:sz w:val="16"/>
          <w:szCs w:val="16"/>
          <w:color w:val="auto"/>
        </w:rPr>
      </w:pPr>
    </w:p>
    <w:p>
      <w:pPr>
        <w:ind w:left="1300" w:right="320" w:hanging="644"/>
        <w:spacing w:after="0"/>
        <w:tabs>
          <w:tab w:leader="none" w:pos="1116"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arranging, on behalf of the Employee, for the sale of some of the securities which the Employee is entitled to receive in respect of the Awards; and/or</w:t>
      </w:r>
    </w:p>
    <w:p>
      <w:pPr>
        <w:spacing w:after="0" w:line="64" w:lineRule="exact"/>
        <w:rPr>
          <w:rFonts w:ascii="Arial" w:cs="Arial" w:eastAsia="Arial" w:hAnsi="Arial"/>
          <w:sz w:val="16"/>
          <w:szCs w:val="16"/>
          <w:color w:val="auto"/>
        </w:rPr>
      </w:pPr>
    </w:p>
    <w:p>
      <w:pPr>
        <w:ind w:left="1060" w:hanging="404"/>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tabs>
          <w:tab w:leader="none" w:pos="6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9" w:lineRule="exact"/>
        <w:rPr>
          <w:sz w:val="20"/>
          <w:szCs w:val="20"/>
          <w:color w:val="auto"/>
        </w:rPr>
      </w:pPr>
    </w:p>
    <w:p>
      <w:pPr>
        <w:jc w:val="both"/>
        <w:ind w:left="660" w:right="320" w:hanging="647"/>
        <w:spacing w:after="0" w:line="230" w:lineRule="auto"/>
        <w:tabs>
          <w:tab w:leader="none" w:pos="6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5"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Duration of Election</w:t>
      </w:r>
    </w:p>
    <w:p>
      <w:pPr>
        <w:spacing w:after="0" w:line="225" w:lineRule="exact"/>
        <w:rPr>
          <w:sz w:val="20"/>
          <w:szCs w:val="20"/>
          <w:color w:val="auto"/>
        </w:rPr>
      </w:pPr>
    </w:p>
    <w:p>
      <w:pPr>
        <w:ind w:left="660" w:right="320" w:hanging="647"/>
        <w:spacing w:after="0"/>
        <w:tabs>
          <w:tab w:leader="none" w:pos="6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5"/>
          <w:szCs w:val="15"/>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Employee and the Company agree in writing that it should cease to have effect;</w:t>
      </w:r>
    </w:p>
    <w:p>
      <w:pPr>
        <w:spacing w:after="0" w:line="140" w:lineRule="exact"/>
        <w:rPr>
          <w:rFonts w:ascii="Arial" w:cs="Arial" w:eastAsia="Arial" w:hAnsi="Arial"/>
          <w:sz w:val="16"/>
          <w:szCs w:val="16"/>
          <w:color w:val="auto"/>
        </w:rPr>
      </w:pPr>
    </w:p>
    <w:p>
      <w:pPr>
        <w:ind w:left="1060" w:hanging="404"/>
        <w:spacing w:after="0"/>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the date the Company serves written notice on the Employee terminating its effect;</w:t>
      </w:r>
    </w:p>
    <w:p>
      <w:pPr>
        <w:spacing w:after="0" w:line="140" w:lineRule="exact"/>
        <w:rPr>
          <w:rFonts w:ascii="Arial" w:cs="Arial" w:eastAsia="Arial" w:hAnsi="Arial"/>
          <w:sz w:val="16"/>
          <w:szCs w:val="16"/>
          <w:color w:val="auto"/>
        </w:rPr>
      </w:pPr>
    </w:p>
    <w:p>
      <w:pPr>
        <w:ind w:left="1100" w:hanging="444"/>
        <w:spacing w:after="0"/>
        <w:tabs>
          <w:tab w:leader="none" w:pos="11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the date HM Revenue &amp; Customs withdraws approval of this Election; or</w:t>
      </w:r>
    </w:p>
    <w:p>
      <w:pPr>
        <w:spacing w:after="0" w:line="140" w:lineRule="exact"/>
        <w:rPr>
          <w:rFonts w:ascii="Arial" w:cs="Arial" w:eastAsia="Arial" w:hAnsi="Arial"/>
          <w:sz w:val="16"/>
          <w:szCs w:val="16"/>
          <w:color w:val="auto"/>
        </w:rPr>
      </w:pPr>
    </w:p>
    <w:p>
      <w:pPr>
        <w:ind w:left="1300" w:hanging="644"/>
        <w:spacing w:after="0"/>
        <w:tabs>
          <w:tab w:leader="none" w:pos="1128" w:val="left"/>
        </w:tabs>
        <w:numPr>
          <w:ilvl w:val="0"/>
          <w:numId w:val="38"/>
        </w:numPr>
        <w:rPr>
          <w:rFonts w:ascii="Arial" w:cs="Arial" w:eastAsia="Arial" w:hAnsi="Arial"/>
          <w:sz w:val="16"/>
          <w:szCs w:val="16"/>
          <w:color w:val="auto"/>
        </w:rPr>
      </w:pPr>
      <w:r>
        <w:rPr>
          <w:rFonts w:ascii="Arial" w:cs="Arial" w:eastAsia="Arial" w:hAnsi="Arial"/>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8"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0" w:lineRule="auto"/>
        <w:tabs>
          <w:tab w:leader="none" w:pos="64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the Employee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Acceptance by Analog Devices, Inc.</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ectPr>
          <w:pgSz w:w="11900" w:h="16838" w:orient="portrait"/>
          <w:cols w:equalWidth="0" w:num="1">
            <w:col w:w="11240"/>
          </w:cols>
          <w:pgMar w:left="320" w:top="10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APPENDIX D - 3</w:t>
      </w:r>
    </w:p>
    <w:p>
      <w:pPr>
        <w:sectPr>
          <w:pgSz w:w="11900" w:h="16838" w:orient="portrait"/>
          <w:cols w:equalWidth="0" w:num="1">
            <w:col w:w="11240"/>
          </w:cols>
          <w:pgMar w:left="320" w:top="1017" w:right="339" w:bottom="1440" w:gutter="0" w:footer="0" w:header="0"/>
          <w:type w:val="continuous"/>
        </w:sectPr>
      </w:pPr>
    </w:p>
    <w:bookmarkStart w:id="55" w:name="page56"/>
    <w:bookmarkEnd w:id="55"/>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EQUITY INCENTIVE PLAN</w:t>
      </w:r>
    </w:p>
    <w:p>
      <w:pPr>
        <w:spacing w:after="0" w:line="10" w:lineRule="exact"/>
        <w:rPr>
          <w:sz w:val="20"/>
          <w:szCs w:val="20"/>
          <w:color w:val="auto"/>
        </w:rPr>
      </w:pPr>
    </w:p>
    <w:p>
      <w:pPr>
        <w:jc w:val="right"/>
        <w:ind w:right="2259"/>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Signature for and on behalf of Analog Devices, Inc.</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06070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Vice President, HR Business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APPENDIX D - 4</w:t>
      </w:r>
    </w:p>
    <w:p>
      <w:pPr>
        <w:sectPr>
          <w:pgSz w:w="11900" w:h="16838" w:orient="portrait"/>
          <w:cols w:equalWidth="0" w:num="1">
            <w:col w:w="10139"/>
          </w:cols>
          <w:pgMar w:left="320" w:top="1017" w:right="1440" w:bottom="1440" w:gutter="0" w:footer="0" w:header="0"/>
        </w:sectPr>
      </w:pPr>
    </w:p>
    <w:bookmarkStart w:id="56" w:name="page57"/>
    <w:bookmarkEnd w:id="56"/>
    <w:p>
      <w:pPr>
        <w:ind w:left="50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 TO</w:t>
      </w:r>
    </w:p>
    <w:p>
      <w:pPr>
        <w:spacing w:after="0" w:line="154"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2020 EQUITY INCENTIVE PLAN</w:t>
      </w:r>
    </w:p>
    <w:p>
      <w:pPr>
        <w:spacing w:after="0" w:line="10" w:lineRule="exact"/>
        <w:rPr>
          <w:sz w:val="20"/>
          <w:szCs w:val="20"/>
          <w:color w:val="auto"/>
        </w:rPr>
      </w:pPr>
    </w:p>
    <w:p>
      <w:pPr>
        <w:jc w:val="right"/>
        <w:ind w:right="2680"/>
        <w:spacing w:after="0"/>
        <w:rPr>
          <w:sz w:val="20"/>
          <w:szCs w:val="20"/>
          <w:color w:val="auto"/>
        </w:rPr>
      </w:pPr>
      <w:r>
        <w:rPr>
          <w:rFonts w:ascii="Arial" w:cs="Arial" w:eastAsia="Arial" w:hAnsi="Arial"/>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460"/>
        <w:spacing w:after="0"/>
        <w:rPr>
          <w:sz w:val="20"/>
          <w:szCs w:val="20"/>
          <w:color w:val="auto"/>
        </w:rPr>
      </w:pPr>
      <w:r>
        <w:rPr>
          <w:rFonts w:ascii="Arial" w:cs="Arial" w:eastAsia="Arial" w:hAnsi="Arial"/>
          <w:sz w:val="16"/>
          <w:szCs w:val="16"/>
          <w:b w:val="1"/>
          <w:bCs w:val="1"/>
          <w:u w:val="single" w:color="auto"/>
          <w:color w:val="auto"/>
        </w:rPr>
        <w:t>Schedule of Employer Companies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employer companies to which this Election may apply:</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 each company, provide the following details: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Analog Devices Limited</w:t>
      </w:r>
    </w:p>
    <w:p>
      <w:pPr>
        <w:spacing w:after="0" w:line="224" w:lineRule="exact"/>
        <w:rPr>
          <w:sz w:val="20"/>
          <w:szCs w:val="20"/>
          <w:color w:val="auto"/>
        </w:rPr>
      </w:pPr>
    </w:p>
    <w:tbl>
      <w:tblPr>
        <w:tblLayout w:type="fixed"/>
        <w:tblInd w:w="110" w:type="dxa"/>
        <w:tblCellMar>
          <w:top w:w="0" w:type="dxa"/>
          <w:left w:w="0" w:type="dxa"/>
          <w:bottom w:w="0" w:type="dxa"/>
          <w:right w:w="0" w:type="dxa"/>
        </w:tblCellMar>
      </w:tblPr>
      <w:tr>
        <w:trPr>
          <w:trHeight w:val="227"/>
        </w:trPr>
        <w:tc>
          <w:tcPr>
            <w:tcW w:w="52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15 Pressing Lane, Blyth Road, Hayes, England, UB3 1EP</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00895439</w:t>
            </w:r>
          </w:p>
        </w:tc>
      </w:tr>
      <w:tr>
        <w:trPr>
          <w:trHeight w:val="209"/>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6873689030216A</w:t>
            </w:r>
          </w:p>
        </w:tc>
      </w:tr>
      <w:tr>
        <w:trPr>
          <w:trHeight w:val="210"/>
        </w:trPr>
        <w:tc>
          <w:tcPr>
            <w:tcW w:w="5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120/A4055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40"/>
        <w:spacing w:after="0"/>
        <w:rPr>
          <w:sz w:val="20"/>
          <w:szCs w:val="20"/>
          <w:color w:val="auto"/>
        </w:rPr>
      </w:pPr>
      <w:r>
        <w:rPr>
          <w:rFonts w:ascii="Arial" w:cs="Arial" w:eastAsia="Arial" w:hAnsi="Arial"/>
          <w:sz w:val="16"/>
          <w:szCs w:val="16"/>
          <w:color w:val="auto"/>
        </w:rPr>
        <w:t>APPENDIX D - 5</w:t>
      </w:r>
    </w:p>
    <w:p>
      <w:pPr>
        <w:sectPr>
          <w:pgSz w:w="11900" w:h="16838" w:orient="portrait"/>
          <w:cols w:equalWidth="0" w:num="1">
            <w:col w:w="10560"/>
          </w:cols>
          <w:pgMar w:left="320" w:top="1017" w:right="10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4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24, 2023</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14605</wp:posOffset>
            </wp:positionV>
            <wp:extent cx="324866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 and Chair of the Board of Directors</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22"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4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
        <w:spacing w:after="0"/>
        <w:tabs>
          <w:tab w:leader="none" w:pos="6100" w:val="left"/>
        </w:tabs>
        <w:rPr>
          <w:sz w:val="20"/>
          <w:szCs w:val="20"/>
          <w:color w:val="auto"/>
        </w:rPr>
      </w:pPr>
      <w:r>
        <w:rPr>
          <w:rFonts w:ascii="Arial" w:cs="Arial" w:eastAsia="Arial" w:hAnsi="Arial"/>
          <w:sz w:val="18"/>
          <w:szCs w:val="18"/>
          <w:color w:val="auto"/>
        </w:rPr>
        <w:t>Date: May 24, 2023</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23495</wp:posOffset>
            </wp:positionV>
            <wp:extent cx="324866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Executive Vice President, Finance</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22"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29, 2023 as filed with the Securities and Exchange Commission on the date hereof (the “Report”), the undersigned, Vincent Roche, Chief Executive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73"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May 24, 2023</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06070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Vincent Roche</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April 29, 2023 as filed with the Securities and Exchange Commission on the date hereof (the “Report”), the undersigned, Prashanth Mahendra-Rajah, Chief Financial Officer of the Company, hereby certifies, pursuant to 18 U.S.C. Section 1350, that:</w:t>
      </w:r>
    </w:p>
    <w:p>
      <w:pPr>
        <w:spacing w:after="0" w:line="2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73" w:lineRule="exact"/>
        <w:rPr>
          <w:sz w:val="20"/>
          <w:szCs w:val="20"/>
          <w:color w:val="auto"/>
        </w:rPr>
      </w:pPr>
    </w:p>
    <w:p>
      <w:pPr>
        <w:ind w:left="360"/>
        <w:spacing w:after="0"/>
        <w:tabs>
          <w:tab w:leader="none" w:pos="6080" w:val="left"/>
        </w:tabs>
        <w:rPr>
          <w:sz w:val="20"/>
          <w:szCs w:val="20"/>
          <w:color w:val="auto"/>
        </w:rPr>
      </w:pPr>
      <w:r>
        <w:rPr>
          <w:rFonts w:ascii="Arial" w:cs="Arial" w:eastAsia="Arial" w:hAnsi="Arial"/>
          <w:sz w:val="18"/>
          <w:szCs w:val="18"/>
          <w:color w:val="auto"/>
        </w:rPr>
        <w:t>Date: May 24, 2023</w:t>
      </w:r>
      <w:r>
        <w:rPr>
          <w:sz w:val="20"/>
          <w:szCs w:val="20"/>
          <w:color w:val="auto"/>
        </w:rPr>
        <w:tab/>
      </w:r>
      <w:r>
        <w:rPr>
          <w:rFonts w:ascii="Arial" w:cs="Arial" w:eastAsia="Arial" w:hAnsi="Arial"/>
          <w:sz w:val="16"/>
          <w:szCs w:val="16"/>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23495</wp:posOffset>
            </wp:positionV>
            <wp:extent cx="306070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3060700" cy="8255"/>
                    </a:xfrm>
                    <a:prstGeom prst="rect">
                      <a:avLst/>
                    </a:prstGeom>
                    <a:noFill/>
                  </pic:spPr>
                </pic:pic>
              </a:graphicData>
            </a:graphic>
          </wp:anchor>
        </w:drawing>
      </w:r>
    </w:p>
    <w:p>
      <w:pPr>
        <w:spacing w:after="0" w:line="3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9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decimal"/>
      <w:start w:val="104"/>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lowerRoman"/>
      <w:start w:val="5"/>
    </w:lvl>
  </w:abstractNum>
  <w:abstractNum w:abstractNumId="12">
    <w:nsid w:val="71F32454"/>
    <w:multiLevelType w:val="hybridMultilevel"/>
    <w:lvl w:ilvl="0">
      <w:lvlJc w:val="left"/>
      <w:lvlText w:val="%1."/>
      <w:numFmt w:val="decimal"/>
      <w:start w:val="1"/>
    </w:lvl>
    <w:lvl w:ilvl="1">
      <w:lvlJc w:val="left"/>
      <w:lvlText w:val="(%2)"/>
      <w:numFmt w:val="lowerLetter"/>
      <w:start w:val="1"/>
    </w:lvl>
  </w:abstractNum>
  <w:abstractNum w:abstractNumId="13">
    <w:nsid w:val="2CA8861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
    <w:nsid w:val="836C40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6">
    <w:nsid w:val="3A95F87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7">
    <w:nsid w:val="8138641"/>
    <w:multiLevelType w:val="hybridMultilevel"/>
    <w:lvl w:ilvl="0">
      <w:lvlJc w:val="left"/>
      <w:lvlText w:val="(%1)"/>
      <w:numFmt w:val="lowerLetter"/>
      <w:start w:val="3"/>
    </w:lvl>
  </w:abstractNum>
  <w:abstractNum w:abstractNumId="18">
    <w:nsid w:val="1E7FF521"/>
    <w:multiLevelType w:val="hybridMultilevel"/>
    <w:lvl w:ilvl="0">
      <w:lvlJc w:val="left"/>
      <w:lvlText w:val="(%1)"/>
      <w:numFmt w:val="lowerLetter"/>
      <w:start w:val="16"/>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3"/>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2"/>
    </w:lvl>
  </w:abstractNum>
  <w:abstractNum w:abstractNumId="24">
    <w:nsid w:val="3006C83E"/>
    <w:multiLevelType w:val="hybridMultilevel"/>
    <w:lvl w:ilvl="0">
      <w:lvlJc w:val="left"/>
      <w:lvlText w:val="%1."/>
      <w:numFmt w:val="decimal"/>
      <w:start w:val="3"/>
    </w:lvl>
  </w:abstractNum>
  <w:abstractNum w:abstractNumId="25">
    <w:nsid w:val="614FD4A1"/>
    <w:multiLevelType w:val="hybridMultilevel"/>
    <w:lvl w:ilvl="0">
      <w:lvlJc w:val="left"/>
      <w:lvlText w:val="%1."/>
      <w:numFmt w:val="decimal"/>
      <w:start w:val="4"/>
    </w:lvl>
  </w:abstractNum>
  <w:abstractNum w:abstractNumId="26">
    <w:nsid w:val="419AC241"/>
    <w:multiLevelType w:val="hybridMultilevel"/>
    <w:lvl w:ilvl="0">
      <w:lvlJc w:val="left"/>
      <w:lvlText w:val="%1."/>
      <w:numFmt w:val="decimal"/>
      <w:start w:val="5"/>
    </w:lvl>
  </w:abstractNum>
  <w:abstractNum w:abstractNumId="27">
    <w:nsid w:val="5577F8E1"/>
    <w:multiLevelType w:val="hybridMultilevel"/>
    <w:lvl w:ilvl="0">
      <w:lvlJc w:val="left"/>
      <w:lvlText w:val="%1."/>
      <w:numFmt w:val="decimal"/>
      <w:start w:val="6"/>
    </w:lvl>
  </w:abstractNum>
  <w:abstractNum w:abstractNumId="28">
    <w:nsid w:val="440BADFC"/>
    <w:multiLevelType w:val="hybridMultilevel"/>
    <w:lvl w:ilvl="0">
      <w:lvlJc w:val="left"/>
      <w:lvlText w:val="%1."/>
      <w:numFmt w:val="decimal"/>
      <w:start w:val="7"/>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upperLetter"/>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5C482A97"/>
    <w:multiLevelType w:val="hybridMultilevel"/>
    <w:lvl w:ilvl="0">
      <w:lvlJc w:val="left"/>
      <w:lvlText w:val="%1."/>
      <w:numFmt w:val="decimal"/>
      <w:start w:val="2"/>
    </w:lvl>
  </w:abstractNum>
  <w:abstractNum w:abstractNumId="34">
    <w:nsid w:val="2463B9EA"/>
    <w:multiLevelType w:val="hybridMultilevel"/>
    <w:lvl w:ilvl="0">
      <w:lvlJc w:val="left"/>
      <w:lvlText w:val="%1."/>
      <w:numFmt w:val="decimal"/>
      <w:start w:val="3"/>
    </w:lvl>
  </w:abstractNum>
  <w:abstractNum w:abstractNumId="35">
    <w:nsid w:val="5E884ADC"/>
    <w:multiLevelType w:val="hybridMultilevel"/>
    <w:lvl w:ilvl="0">
      <w:lvlJc w:val="left"/>
      <w:lvlText w:val="(%1)"/>
      <w:numFmt w:val="lowerRoman"/>
      <w:start w:val="1"/>
    </w:lvl>
  </w:abstractNum>
  <w:abstractNum w:abstractNumId="36">
    <w:nsid w:val="51EAD36B"/>
    <w:multiLevelType w:val="hybridMultilevel"/>
    <w:lvl w:ilvl="0">
      <w:lvlJc w:val="left"/>
      <w:lvlText w:val="%1."/>
      <w:numFmt w:val="decimal"/>
      <w:start w:val="4"/>
    </w:lvl>
  </w:abstractNum>
  <w:abstractNum w:abstractNumId="37">
    <w:nsid w:val="2D517796"/>
    <w:multiLevelType w:val="hybridMultilevel"/>
    <w:lvl w:ilvl="0">
      <w:lvlJc w:val="left"/>
      <w:lvlText w:val="(%1)"/>
      <w:numFmt w:val="lowerRoman"/>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jpeg"/><Relationship Id="rId1182" Type="http://schemas.openxmlformats.org/officeDocument/2006/relationships/image" Target="media/image1175.jpeg"/><Relationship Id="rId1183" Type="http://schemas.openxmlformats.org/officeDocument/2006/relationships/image" Target="media/image1176.jpeg"/><Relationship Id="rId1184" Type="http://schemas.openxmlformats.org/officeDocument/2006/relationships/image" Target="media/image1177.jpeg"/><Relationship Id="rId1185" Type="http://schemas.openxmlformats.org/officeDocument/2006/relationships/image" Target="media/image1178.jpeg"/><Relationship Id="rId1186" Type="http://schemas.openxmlformats.org/officeDocument/2006/relationships/image" Target="media/image1179.jpeg"/><Relationship Id="rId1187" Type="http://schemas.openxmlformats.org/officeDocument/2006/relationships/image" Target="media/image1180.jpeg"/><Relationship Id="rId1188" Type="http://schemas.openxmlformats.org/officeDocument/2006/relationships/image" Target="media/image1181.jpeg"/><Relationship Id="rId1189" Type="http://schemas.openxmlformats.org/officeDocument/2006/relationships/image" Target="media/image1182.jpeg"/><Relationship Id="rId1190" Type="http://schemas.openxmlformats.org/officeDocument/2006/relationships/image" Target="media/image1183.jpeg"/><Relationship Id="rId1191" Type="http://schemas.openxmlformats.org/officeDocument/2006/relationships/image" Target="media/image1184.jpeg"/><Relationship Id="rId1192" Type="http://schemas.openxmlformats.org/officeDocument/2006/relationships/image" Target="media/image1185.jpeg"/><Relationship Id="rId1193" Type="http://schemas.openxmlformats.org/officeDocument/2006/relationships/image" Target="media/image1186.jpeg"/><Relationship Id="rId1194" Type="http://schemas.openxmlformats.org/officeDocument/2006/relationships/image" Target="media/image1187.png"/><Relationship Id="rId1195" Type="http://schemas.openxmlformats.org/officeDocument/2006/relationships/image" Target="media/image1188.jpe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2023-05-24T06:13:40Z</dcterms:created>
  <dcterms:modified xsi:type="dcterms:W3CDTF">2023-05-24T06:13:40Z</dcterms:modified>
</cp:coreProperties>
</file>