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38" w:lineRule="auto"/>
        <w:rPr>
          <w:sz w:val="20"/>
          <w:szCs w:val="20"/>
          <w:color w:val="auto"/>
        </w:rPr>
      </w:pPr>
      <w:r>
        <w:rPr>
          <w:rFonts w:ascii="Courier New" w:cs="Courier New" w:eastAsia="Courier New" w:hAnsi="Courier New"/>
          <w:sz w:val="18"/>
          <w:szCs w:val="18"/>
          <w:color w:val="auto"/>
        </w:rPr>
        <w:t>(Mark One)</w:t>
      </w:r>
    </w:p>
    <w:p>
      <w:pPr>
        <w:spacing w:after="0" w:line="5" w:lineRule="exact"/>
        <w:rPr>
          <w:sz w:val="24"/>
          <w:szCs w:val="24"/>
          <w:color w:val="auto"/>
        </w:rPr>
      </w:pPr>
    </w:p>
    <w:p>
      <w:pPr>
        <w:ind w:left="2640" w:right="3159" w:hanging="2316"/>
        <w:spacing w:after="0" w:line="235" w:lineRule="auto"/>
        <w:tabs>
          <w:tab w:leader="none" w:pos="127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For the quarterly period ended August 2, 1997</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TRANSITION REPORT PURSUANT TO SECTION 13 OR 15(d) OF THE</w:t>
      </w:r>
    </w:p>
    <w:p>
      <w:pPr>
        <w:jc w:val="center"/>
        <w:ind w:right="251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5"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For the Transition period from_______________ to ________________</w:t>
      </w:r>
    </w:p>
    <w:p>
      <w:pPr>
        <w:spacing w:after="0" w:line="200" w:lineRule="exact"/>
        <w:rPr>
          <w:sz w:val="24"/>
          <w:szCs w:val="24"/>
          <w:color w:val="auto"/>
        </w:rPr>
      </w:pPr>
    </w:p>
    <w:p>
      <w:pPr>
        <w:sectPr>
          <w:pgSz w:w="11900" w:h="16838" w:orient="portrait"/>
          <w:cols w:equalWidth="0" w:num="2">
            <w:col w:w="640" w:space="220"/>
            <w:col w:w="9359"/>
          </w:cols>
          <w:pgMar w:left="240" w:top="244" w:right="1440" w:bottom="144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04-2348234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spacing w:after="0" w:line="226" w:lineRule="exact"/>
        <w:rPr>
          <w:sz w:val="24"/>
          <w:szCs w:val="24"/>
          <w:color w:val="auto"/>
        </w:rPr>
      </w:pPr>
    </w:p>
    <w:p>
      <w:pPr>
        <w:ind w:right="1700" w:firstLine="211"/>
        <w:spacing w:after="0" w:line="290"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spacing w:after="0" w:line="1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329-4700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4" w:right="1440" w:bottom="1440" w:gutter="0" w:footer="0" w:header="0"/>
          <w:type w:val="continuous"/>
        </w:sectPr>
      </w:pPr>
    </w:p>
    <w:p>
      <w:pPr>
        <w:spacing w:after="0" w:line="2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209" w:lineRule="exact"/>
        <w:rPr>
          <w:sz w:val="24"/>
          <w:szCs w:val="24"/>
          <w:color w:val="auto"/>
        </w:rPr>
      </w:pPr>
    </w:p>
    <w:p>
      <w:pPr>
        <w:jc w:val="both"/>
        <w:ind w:right="2419" w:firstLine="737"/>
        <w:spacing w:after="0" w:line="290" w:lineRule="auto"/>
        <w:rPr>
          <w:sz w:val="20"/>
          <w:szCs w:val="20"/>
          <w:color w:val="auto"/>
        </w:rPr>
      </w:pPr>
      <w:r>
        <w:rPr>
          <w:rFonts w:ascii="Courier New" w:cs="Courier New" w:eastAsia="Courier New" w:hAnsi="Courier New"/>
          <w:sz w:val="16"/>
          <w:szCs w:val="16"/>
          <w:color w:val="auto"/>
        </w:rPr>
        <w:t>The number of shares outstanding of each of the issuer's classes of Common Stock as of August 29, 1997 was 161,458,818 shares of Common Stock.</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510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1640" w:type="dxa"/>
            <w:vAlign w:val="bottom"/>
          </w:tcPr>
          <w:p>
            <w:pPr>
              <w:spacing w:after="0"/>
              <w:rPr>
                <w:sz w:val="17"/>
                <w:szCs w:val="17"/>
                <w:color w:val="auto"/>
              </w:rPr>
            </w:pP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36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ANALOG DEVICES, INC.</w:t>
            </w:r>
          </w:p>
        </w:tc>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CONDENSED CONSOLIDATED STATEMENTS OF INCOME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3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810"/>
        </w:trPr>
        <w:tc>
          <w:tcPr>
            <w:tcW w:w="1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3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August 2, 1997</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 3, 1996</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360" w:type="dxa"/>
            <w:vAlign w:val="bottom"/>
          </w:tcPr>
          <w:p>
            <w:pPr>
              <w:spacing w:after="0"/>
              <w:rPr>
                <w:sz w:val="24"/>
                <w:szCs w:val="24"/>
                <w:color w:val="auto"/>
              </w:rPr>
            </w:pP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$318,139</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$305,042</w:t>
            </w:r>
          </w:p>
        </w:tc>
      </w:tr>
      <w:tr>
        <w:trPr>
          <w:trHeight w:val="608"/>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Cost of sales</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158,816</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152,331</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margin</w:t>
            </w:r>
          </w:p>
        </w:tc>
        <w:tc>
          <w:tcPr>
            <w:tcW w:w="3360" w:type="dxa"/>
            <w:vAlign w:val="bottom"/>
          </w:tcPr>
          <w:p>
            <w:pPr>
              <w:spacing w:after="0"/>
              <w:rPr>
                <w:sz w:val="24"/>
                <w:szCs w:val="24"/>
                <w:color w:val="auto"/>
              </w:rPr>
            </w:pP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159,323</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152,711</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Operating expenses:</w:t>
            </w:r>
          </w:p>
        </w:tc>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49,895</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45,569</w:t>
            </w: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6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48,939</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48,562</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98,834</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94,131</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60,489</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58,580</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2,950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3,266</w:t>
            </w: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(4,166)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(3,688)</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336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413</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(181)</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(803)</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61,292</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59,183</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15,323</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15,387</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360" w:type="dxa"/>
            <w:vAlign w:val="bottom"/>
          </w:tcPr>
          <w:p>
            <w:pPr>
              <w:spacing w:after="0"/>
              <w:rPr>
                <w:sz w:val="24"/>
                <w:szCs w:val="24"/>
                <w:color w:val="auto"/>
              </w:rPr>
            </w:pP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$ 45,969</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$ 43,796</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177,773</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172,921</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0.27</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0.26</w:t>
            </w:r>
          </w:p>
        </w:tc>
      </w:tr>
      <w:tr>
        <w:trPr>
          <w:trHeight w:val="203"/>
        </w:trPr>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7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860" w:type="dxa"/>
            <w:vAlign w:val="bottom"/>
          </w:tcPr>
          <w:p>
            <w:pPr>
              <w:spacing w:after="0"/>
              <w:rPr>
                <w:sz w:val="17"/>
                <w:szCs w:val="17"/>
                <w:color w:val="auto"/>
              </w:rPr>
            </w:pPr>
          </w:p>
        </w:tc>
        <w:tc>
          <w:tcPr>
            <w:tcW w:w="3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August 2, 1997</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 3, 1996</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$911,015</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$889,139</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457,981</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440,912</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453,034</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448,227</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143,367</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131,274</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140,929</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147,382</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284,296</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278,656</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168,738</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169,571</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2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9,703</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8,134</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(11,536)</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(12,394)</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882</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1,019</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(951)</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(3,241)</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169,689</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172,812</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42,422</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44,931</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$127,267</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$127,881</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6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176,815</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170,361</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0.75</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0.77</w:t>
            </w:r>
          </w:p>
        </w:tc>
      </w:tr>
      <w:tr>
        <w:trPr>
          <w:trHeight w:val="203"/>
        </w:trPr>
        <w:tc>
          <w:tcPr>
            <w:tcW w:w="48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August 2, 1997</w:t>
            </w:r>
          </w:p>
        </w:tc>
        <w:tc>
          <w:tcPr>
            <w:tcW w:w="1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November 2, 1996</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August 3, 1996</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235,699</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210,109</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198,929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80,770</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89,810</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82,438</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258,383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241,847</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217,699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59,953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72,039</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66,482</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135,082</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115,799</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117,480</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26,823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31,039</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31,046</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221,858</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218,877</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215,008</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55,800</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44,879</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45,600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15,402</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14,728</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16,283</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867,912</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820,250</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775,957</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1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144,744</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140,776</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136,058</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893,452</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800,086</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762,903</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56,054</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46,307</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45,297</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83,440</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80,099</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73,506</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1,177,690</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1,067,268</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1,017,764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548,600</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483,946</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465,078</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629,090</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583,322</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552,686</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122,081</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68,382</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67,623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15,280</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16,846</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17,351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w:t>
            </w:r>
          </w:p>
        </w:tc>
        <w:tc>
          <w:tcPr>
            <w:tcW w:w="1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42,074</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26,885</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26,753</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179,435</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112,113</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111,727</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$1,676,437</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$1,515,685</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$1,440,370</w:t>
            </w:r>
          </w:p>
        </w:tc>
      </w:tr>
      <w:tr>
        <w:trPr>
          <w:trHeight w:val="203"/>
        </w:trPr>
        <w:tc>
          <w:tcPr>
            <w:tcW w:w="33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w:t>
            </w: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21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August 2, 1997</w:t>
            </w:r>
          </w:p>
        </w:tc>
        <w:tc>
          <w:tcPr>
            <w:tcW w:w="25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November 2, 1996</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3, 1996</w:t>
            </w:r>
          </w:p>
        </w:tc>
      </w:tr>
      <w:tr>
        <w:trPr>
          <w:trHeight w:val="203"/>
        </w:trPr>
        <w:tc>
          <w:tcPr>
            <w:tcW w:w="4060" w:type="dxa"/>
            <w:vAlign w:val="bottom"/>
          </w:tcPr>
          <w:p>
            <w:pPr>
              <w:spacing w:after="0"/>
              <w:rPr>
                <w:sz w:val="17"/>
                <w:szCs w:val="17"/>
                <w:color w:val="auto"/>
              </w:rPr>
            </w:pPr>
          </w:p>
        </w:tc>
        <w:tc>
          <w:tcPr>
            <w:tcW w:w="21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1,458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178</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1,923</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11,625</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10,960</w:t>
            </w:r>
          </w:p>
        </w:tc>
        <w:tc>
          <w:tcPr>
            <w:tcW w:w="7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8,422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83,814</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90,177</w:t>
            </w:r>
          </w:p>
        </w:tc>
        <w:tc>
          <w:tcPr>
            <w:tcW w:w="7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102,006</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32,874</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38,400</w:t>
            </w:r>
          </w:p>
        </w:tc>
        <w:tc>
          <w:tcPr>
            <w:tcW w:w="7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39,559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68,570</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46,459</w:t>
            </w:r>
          </w:p>
        </w:tc>
        <w:tc>
          <w:tcPr>
            <w:tcW w:w="7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46,560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77,636</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84,062</w:t>
            </w:r>
          </w:p>
        </w:tc>
        <w:tc>
          <w:tcPr>
            <w:tcW w:w="7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80,568</w:t>
            </w:r>
          </w:p>
        </w:tc>
      </w:tr>
      <w:tr>
        <w:trPr>
          <w:trHeight w:val="203"/>
        </w:trPr>
        <w:tc>
          <w:tcPr>
            <w:tcW w:w="4060" w:type="dxa"/>
            <w:vAlign w:val="bottom"/>
          </w:tcPr>
          <w:p>
            <w:pPr>
              <w:spacing w:after="0"/>
              <w:rPr>
                <w:sz w:val="17"/>
                <w:szCs w:val="17"/>
                <w:color w:val="auto"/>
              </w:rPr>
            </w:pP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275,977</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270,236</w:t>
            </w:r>
          </w:p>
        </w:tc>
        <w:tc>
          <w:tcPr>
            <w:tcW w:w="7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279,038</w:t>
            </w:r>
          </w:p>
        </w:tc>
      </w:tr>
      <w:tr>
        <w:trPr>
          <w:trHeight w:val="203"/>
        </w:trPr>
        <w:tc>
          <w:tcPr>
            <w:tcW w:w="4060" w:type="dxa"/>
            <w:vAlign w:val="bottom"/>
          </w:tcPr>
          <w:p>
            <w:pPr>
              <w:spacing w:after="0"/>
              <w:rPr>
                <w:sz w:val="17"/>
                <w:szCs w:val="17"/>
                <w:color w:val="auto"/>
              </w:rPr>
            </w:pP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580" w:type="dxa"/>
            <w:vAlign w:val="bottom"/>
          </w:tcPr>
          <w:p>
            <w:pPr>
              <w:spacing w:after="0"/>
              <w:rPr>
                <w:sz w:val="24"/>
                <w:szCs w:val="24"/>
                <w:color w:val="auto"/>
              </w:rPr>
            </w:pPr>
          </w:p>
        </w:tc>
        <w:tc>
          <w:tcPr>
            <w:tcW w:w="15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310,000</w:t>
            </w:r>
          </w:p>
        </w:tc>
        <w:tc>
          <w:tcPr>
            <w:tcW w:w="880" w:type="dxa"/>
            <w:vAlign w:val="bottom"/>
          </w:tcPr>
          <w:p>
            <w:pPr>
              <w:spacing w:after="0"/>
              <w:rPr>
                <w:sz w:val="24"/>
                <w:szCs w:val="24"/>
                <w:color w:val="auto"/>
              </w:rPr>
            </w:pPr>
          </w:p>
        </w:tc>
        <w:tc>
          <w:tcPr>
            <w:tcW w:w="16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310,000</w:t>
            </w:r>
          </w:p>
        </w:tc>
        <w:tc>
          <w:tcPr>
            <w:tcW w:w="78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310,000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41,703</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43,666</w:t>
            </w:r>
          </w:p>
        </w:tc>
        <w:tc>
          <w:tcPr>
            <w:tcW w:w="7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30,932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21,000</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16,992</w:t>
            </w:r>
          </w:p>
        </w:tc>
        <w:tc>
          <w:tcPr>
            <w:tcW w:w="7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19,587</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11,956</w:t>
            </w:r>
          </w:p>
        </w:tc>
        <w:tc>
          <w:tcPr>
            <w:tcW w:w="7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11,278</w:t>
            </w:r>
          </w:p>
        </w:tc>
      </w:tr>
      <w:tr>
        <w:trPr>
          <w:trHeight w:val="203"/>
        </w:trPr>
        <w:tc>
          <w:tcPr>
            <w:tcW w:w="4060" w:type="dxa"/>
            <w:vAlign w:val="bottom"/>
          </w:tcPr>
          <w:p>
            <w:pPr>
              <w:spacing w:after="0"/>
              <w:rPr>
                <w:sz w:val="17"/>
                <w:szCs w:val="17"/>
                <w:color w:val="auto"/>
              </w:rPr>
            </w:pP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392,290</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382,614</w:t>
            </w:r>
          </w:p>
        </w:tc>
        <w:tc>
          <w:tcPr>
            <w:tcW w:w="7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358,210</w:t>
            </w:r>
          </w:p>
        </w:tc>
      </w:tr>
      <w:tr>
        <w:trPr>
          <w:trHeight w:val="203"/>
        </w:trPr>
        <w:tc>
          <w:tcPr>
            <w:tcW w:w="4060" w:type="dxa"/>
            <w:vAlign w:val="bottom"/>
          </w:tcPr>
          <w:p>
            <w:pPr>
              <w:spacing w:after="0"/>
              <w:rPr>
                <w:sz w:val="17"/>
                <w:szCs w:val="17"/>
                <w:color w:val="auto"/>
              </w:rPr>
            </w:pP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$.16 2/3 par value,</w:t>
            </w: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600,000,000 shares authorized,</w:t>
            </w: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161,296,898 shares issued</w:t>
            </w: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(158,745,219 in November 1996,</w:t>
            </w: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116,262,403 in August 1996)</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26,883</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26,458</w:t>
            </w:r>
          </w:p>
        </w:tc>
        <w:tc>
          <w:tcPr>
            <w:tcW w:w="78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19,377</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194,909</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176,357</w:t>
            </w:r>
          </w:p>
        </w:tc>
        <w:tc>
          <w:tcPr>
            <w:tcW w:w="78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168,838</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780,632</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653,365</w:t>
            </w:r>
          </w:p>
        </w:tc>
        <w:tc>
          <w:tcPr>
            <w:tcW w:w="78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609,345</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6,062</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6,655</w:t>
            </w:r>
          </w:p>
        </w:tc>
        <w:tc>
          <w:tcPr>
            <w:tcW w:w="78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5,562</w:t>
            </w:r>
          </w:p>
        </w:tc>
      </w:tr>
      <w:tr>
        <w:trPr>
          <w:trHeight w:val="203"/>
        </w:trPr>
        <w:tc>
          <w:tcPr>
            <w:tcW w:w="4060" w:type="dxa"/>
            <w:vAlign w:val="bottom"/>
          </w:tcPr>
          <w:p>
            <w:pPr>
              <w:spacing w:after="0"/>
              <w:rPr>
                <w:sz w:val="17"/>
                <w:szCs w:val="17"/>
                <w:color w:val="auto"/>
              </w:rPr>
            </w:pP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1,008,486</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862,835</w:t>
            </w:r>
          </w:p>
        </w:tc>
        <w:tc>
          <w:tcPr>
            <w:tcW w:w="78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803,122</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10,186 shares in treasury,</w:t>
            </w: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cost (none in November 1996</w:t>
            </w: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August 1996)</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316</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58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1,008,170</w:t>
            </w:r>
          </w:p>
        </w:tc>
        <w:tc>
          <w:tcPr>
            <w:tcW w:w="88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862,835</w:t>
            </w:r>
          </w:p>
        </w:tc>
        <w:tc>
          <w:tcPr>
            <w:tcW w:w="78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803,122</w:t>
            </w:r>
          </w:p>
        </w:tc>
      </w:tr>
      <w:tr>
        <w:trPr>
          <w:trHeight w:val="203"/>
        </w:trPr>
        <w:tc>
          <w:tcPr>
            <w:tcW w:w="4060" w:type="dxa"/>
            <w:vAlign w:val="bottom"/>
          </w:tcPr>
          <w:p>
            <w:pPr>
              <w:spacing w:after="0"/>
              <w:rPr>
                <w:sz w:val="17"/>
                <w:szCs w:val="17"/>
                <w:color w:val="auto"/>
              </w:rPr>
            </w:pP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$1,676,437</w:t>
            </w:r>
          </w:p>
        </w:tc>
        <w:tc>
          <w:tcPr>
            <w:tcW w:w="252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$1,515,685</w:t>
            </w:r>
          </w:p>
        </w:tc>
        <w:tc>
          <w:tcPr>
            <w:tcW w:w="1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$1,440,370</w:t>
            </w:r>
          </w:p>
        </w:tc>
      </w:tr>
      <w:tr>
        <w:trPr>
          <w:trHeight w:val="203"/>
        </w:trPr>
        <w:tc>
          <w:tcPr>
            <w:tcW w:w="4060" w:type="dxa"/>
            <w:vAlign w:val="bottom"/>
          </w:tcPr>
          <w:p>
            <w:pPr>
              <w:spacing w:after="0"/>
              <w:rPr>
                <w:sz w:val="17"/>
                <w:szCs w:val="17"/>
                <w:color w:val="auto"/>
              </w:rPr>
            </w:pP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640"/>
          </w:cols>
          <w:pgMar w:left="240" w:top="312"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640"/>
          </w:cols>
          <w:pgMar w:left="240" w:top="312" w:right="1019"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34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440" w:type="dxa"/>
            <w:vAlign w:val="bottom"/>
          </w:tcPr>
          <w:p>
            <w:pPr>
              <w:spacing w:after="0"/>
              <w:rPr>
                <w:sz w:val="17"/>
                <w:szCs w:val="17"/>
                <w:color w:val="auto"/>
              </w:rPr>
            </w:pP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August 2, 1997</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 3, 1996</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44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$127,267</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$127,881</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75,556</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59,445</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4,016</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988</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 (income)</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(633)</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(21,556)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(91,438)</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58,606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(31,638)</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185,873</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96,243</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124,224</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216,458</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(115,184)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(222,086)</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net</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(119,121)</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(179,501)</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(53,699)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(53,643)</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held to maturity</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(16,095)</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(8,976)</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(179,875)</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(242,748)</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16,605</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11,987</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(8,421)</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(4,734)</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equipment financing</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7,123</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44,028</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decrease in variable rate borrowings</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(2,500)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(232)</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proceeds from issuance of long-term debt</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224,385</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cash used for financing activities</w:t>
            </w:r>
          </w:p>
        </w:tc>
        <w:tc>
          <w:tcPr>
            <w:tcW w:w="17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12,807</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275,434</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17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6,785</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697</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increase in cash and cash equivalents</w:t>
            </w:r>
          </w:p>
        </w:tc>
        <w:tc>
          <w:tcPr>
            <w:tcW w:w="17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25,590</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129,626</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210,109</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69,303</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$235,699</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$198,929</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$ 24,389</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$ 47,773</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$ 12,760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7,045</w:t>
            </w:r>
          </w:p>
        </w:tc>
      </w:tr>
      <w:tr>
        <w:trPr>
          <w:trHeight w:val="203"/>
        </w:trPr>
        <w:tc>
          <w:tcPr>
            <w:tcW w:w="54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rPr>
          <w:sz w:val="20"/>
          <w:szCs w:val="20"/>
          <w:color w:val="auto"/>
        </w:rPr>
      </w:pPr>
      <w:r>
        <w:rPr>
          <w:rFonts w:ascii="Courier New" w:cs="Courier New" w:eastAsia="Courier New" w:hAnsi="Courier New"/>
          <w:sz w:val="18"/>
          <w:szCs w:val="18"/>
          <w:color w:val="auto"/>
        </w:rPr>
        <w:t>August 2, 1997</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consisting only of normal recurring adjustments, which are necessary to fairly state the results for this interim period and should be read in conjunction with the most recent Annual Report to Stockholders.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1997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Impairment of Long-Lived Assets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adoption by the Company on November 3, 1996 of the Statement of Financial Accounting Standards No. 121 "Accounting for the Impairment of Long-Lived Assets and for Long-Lived Assets to Be Disposed Of", did not affect the Company's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Stock-Based Compensation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Effective November 3, 1996, the Company adopted Statement of Financial Accounting Standards ("SFAS") No. 123 "Accounting for Stock-Based Compensation". SFAS No. 123 requires the recognition of, or disclosure of, compensation expense for grants of stock options or other equity instruments issued to employees based on their fair value at the date of grant. As permitted by SFAS No. 123, the Company elected the disclosure requirements instead of recognition of compensation expense and therefore will continue to apply existing accounting rules.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Investments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During fiscal 1996 the Company entered into a joint venture agreement with Taiwan Semiconductor Manufacturing Company and other investors for the construction and operation of a semiconductor fabrication facility in Camas, Washington. The Company acquired an 18% equity ownership in the joint venture, known as WaferTech, in return for a $140 million investment. In December 1996, the Company paid the second installment of $42 million to WaferTech. The remaining installment of $56 million is due on November 3, 1997.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Pro Forma Earnings Per Share</w:t>
      </w:r>
    </w:p>
    <w:p>
      <w:pPr>
        <w:spacing w:after="0" w:line="207"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The Company computes its earnings per share in accordance with the provisions of the Accounting Principles Board's Opinion No. 15 ("APB 15"), "Earnings Per Share". In February 1997, the Financial Accounting Standards Board issued Statement No. 128, "Earnings per Share", which supersedes APB 15 and is required to be adopted in financial statements issued after December 31, 1997. For the first quarter of fiscal 1998, the Company will be required to change the method currently used to compute earnings per share and to restate all prior periods. Under the new requirements, primary and fully diluted earnings per share will be replaced by basic and diluted earnings per share. Basic earnings per share is computed based only on the weighted average number of common shares outstanding during the period and the dilutive effect of stock options is excluded. Diluted earnings per share is computed essentially in the same manner as fully diluted earnings per share with some exceptions. The principal exception affecting the Company's calculation of dilutive earnings per share is that the dilutive effect of stock options is always based on the average market price of the stock during the period, not the higher of the average and period end market price as required under APB 15.</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 (Continued)</w:t>
      </w:r>
    </w:p>
    <w:p>
      <w:pPr>
        <w:spacing w:after="0"/>
        <w:rPr>
          <w:sz w:val="20"/>
          <w:szCs w:val="20"/>
          <w:color w:val="auto"/>
        </w:rPr>
      </w:pPr>
      <w:r>
        <w:rPr>
          <w:rFonts w:ascii="Courier New" w:cs="Courier New" w:eastAsia="Courier New" w:hAnsi="Courier New"/>
          <w:sz w:val="18"/>
          <w:szCs w:val="18"/>
          <w:color w:val="auto"/>
        </w:rPr>
        <w:t>August 2, 1997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Pro Forma Earnings Per Share (Continued)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Had the Company computed its earnings per share based on SFAS No. 128, the pro forma amounts for basic and diluted earnings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368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Three Months Ended</w:t>
            </w:r>
          </w:p>
        </w:tc>
        <w:tc>
          <w:tcPr>
            <w:tcW w:w="342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1860" w:type="dxa"/>
            <w:vAlign w:val="bottom"/>
          </w:tcPr>
          <w:p>
            <w:pPr>
              <w:spacing w:after="0"/>
              <w:rPr>
                <w:sz w:val="17"/>
                <w:szCs w:val="17"/>
                <w:color w:val="auto"/>
              </w:rPr>
            </w:pPr>
          </w:p>
        </w:tc>
        <w:tc>
          <w:tcPr>
            <w:tcW w:w="1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August 2, 1997</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August 3, 1996</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August 2, 1997</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 3, 1996</w:t>
            </w:r>
          </w:p>
        </w:tc>
      </w:tr>
      <w:tr>
        <w:trPr>
          <w:trHeight w:val="203"/>
        </w:trPr>
        <w:tc>
          <w:tcPr>
            <w:tcW w:w="1860" w:type="dxa"/>
            <w:vAlign w:val="bottom"/>
          </w:tcPr>
          <w:p>
            <w:pPr>
              <w:spacing w:after="0"/>
              <w:rPr>
                <w:sz w:val="17"/>
                <w:szCs w:val="17"/>
                <w:color w:val="auto"/>
              </w:rPr>
            </w:pPr>
          </w:p>
        </w:tc>
        <w:tc>
          <w:tcPr>
            <w:tcW w:w="1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860" w:type="dxa"/>
            <w:vAlign w:val="bottom"/>
          </w:tcPr>
          <w:p>
            <w:pPr>
              <w:spacing w:after="0"/>
              <w:rPr>
                <w:sz w:val="20"/>
                <w:szCs w:val="20"/>
                <w:color w:val="auto"/>
              </w:rPr>
            </w:pPr>
            <w:r>
              <w:rPr>
                <w:rFonts w:ascii="Courier New" w:cs="Courier New" w:eastAsia="Courier New" w:hAnsi="Courier New"/>
                <w:sz w:val="18"/>
                <w:szCs w:val="18"/>
                <w:color w:val="auto"/>
              </w:rPr>
              <w:t>Basic Earnings</w:t>
            </w: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1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$0.29</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$0.29</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$0.81</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$0.84</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w:t>
            </w:r>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1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$0.27</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$0.26</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$0.75</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$0.77</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Commitments and Contingencies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As previously reported in the Company's Annual Report on Form 10-K for the fiscal year ended November 2, 1996, the Company is no longer engaged in an enforcement proceeding brought by the International Trade Commission ("ITC") related to previously settled patent infringement litigation with Texas Instruments, Inc. However, the ITC has referred certain related matters to the Department of Justice. The Company is unable to determine what, if any, action may be taken by the Department of Justice, but the Company plans to vigorously defend itself in the event that any enforcement action is taken by the Department of Justice on any of the matters referred to it by the ITC.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information should be read along with the unaudited consolidated condensed financial statements and the notes thereto included in Item 1 of this Quarterly Report and the audited consolidated financial statements and notes thereto and Management's Discussion and Analysis of Financial Condition and Results of Operations for the fiscal year ended November 2, 1996, contained in the Annual Report to Shareholders on Form 10-K.</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discussion and analysis may contain forward-looking statements. Such statements are subject to certain risks and uncertainties, including those discussed below or in the Company's Form 10-K for the fiscal year ended November 2, 1996, that could cause actual results to differ materially from the Company's expectations. Readers are cautioned not to place undue reliance on any forward-looking statements, as they reflect management's analysis only as of the date hereof. The Company undertakes no obligation to release the results of any revision to these forward-looking statements which may be made to reflect events or circumstances after the date hereof or to reflect the occurrence of unanticipated events.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Net sales for the third quarter of fiscal 1997 were $318 million, an increase of 4.3% from the $305 million reported for the third quarter of fiscal 1996. Net sales for the first three quarters of fiscal 1997 were $911 million, an increase of 2.5% from the $889 million reported for the comparable period of fiscal 1996. Strengthening demand for standard linear IC ("SLICs") products was responsible for the quarter-to-quarter and year-to-year increase. These increases more than offset decreases in system-level IC sales which were due primarily to a decline in sales for computer audio products and for GSM (Global Systems for Mobile communications) chipsets during the second and third quarters of fiscal 1997.</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Demand for the Company's SLICs was broad based across all served application markets and geographies with the greatest strength in North America. SLIC revenues comprised approximately 64% and 61% of total revenues for the third and first three quarters of fiscal 1997 compared to 56% and 58% for the corresponding periods of fiscal 1996. Applications such as cellular base stations, ultrasound imaging, analog and digital camcorders, scanners and graphics digitizing products for flat panel display monitors are continuing to provide growth opportunities for the Company.</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gross margin for the third quarter of fiscal 1997 was 50.1%, the same as the third quarter of fiscal 1996. The adverse affect of additional expenses associated with new manufacturing facilities during the third quarter of fiscal 1997 was offset by a sales mix shift in favor of higher margin products. The gross margin was 49.7% for the first three quarters of fiscal 1997 compared to 50.4% for the first three quarters of 1996. The reduction in gross margin for the year-over-year period was principally due to a change in the mix of products sold, increased costs associated with the new manufacturing facilities and competitive pricing pressures.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third quarter and the first three quarters of fiscal 1997 research and development expense increased by approximately 9% as compared to the corresponding periods of fiscal 1996. This expense represented between 14.8% and 15.7% of revenue for all periods as the Company continued to increase its R&amp;D investment in opportunities in linear ICs, communications, computers, digital signal processing, and accelerometers. The Company believes that a continued commitment to research and development is essential in order to maintain product leadership in its existing products and to provide innovative new product offerings, and therefore expects to continue to make significant investments in research and development in the future.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marketing, general &amp; administrative ("SMG&amp;A") expenses for the third quarter of fiscal 1997 of $49 million were essentially flat in comparison to the third quarter of fiscal 1996. SMG&amp;A expenses for the first three quarters of fiscal 1997 were $141 million, a decrease of $6 million from the $147 million reported for the comparable period of fiscal 1996. This decline is a result of the Company's commitment to constrain spending during the recent period of slower sales growth. As a result, SMG&amp;A expense as a percentage of sales fell to 15.5% from 16.6% for the year earlier period.</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operating income ratio decreased slightly to 19.0% and 18.5% of sales in the three and nine months ended August 2, 1997, compared to 19.2% and 19.1% in the three and nine months ended August 3, 1996, as a result of all of the factors cited above.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Nonoperating income (net of expense) of $0.8 million in the third quarter of fiscal 1997 remained essentially flat in dollars in comparison to the third quarter of fiscal 1996. Nonoperating income (net of expense) for the first three quarters of fiscal 1997 decreased approximately $2 million from the comparable period of fiscal 1996, due primarily to interest expense which increased from the year earlier period. The majority of this increase relates to the outstanding $230 million of 3 1/2% Convertible Subordinated Notes which were issued midway into the first quarter of fiscal 1996, as well as increased expense related to additional capitalized leases entered into during fiscal 1997. In addition, interest income decreased from the prior year period as a result of a lower average level of invested cash during the first nine months of fiscal 1997 as compared to the same period in the prior year.</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effective income tax rate decreased from 26% for the third quarter and the first nine month period of fiscal 1996 to 25% for the third quarter and first nine month period of fiscal 1997 due to a shift in the mix of worldwide profits.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August 2, 1997, cash, cash equivalents and short-term investments totaled $316 million, an increase of $35 million from the third quarter of fiscal 1996 and an increase of $17 million from the fourth quarter of fiscal 1996. The increase from the third and fourth quarters of fiscal 1996 primarily represented continued generation of cash flow from operations.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operating activities generated net cash of $186 million, or 20% of sales, for the first nine months of fiscal 1997 compared to $96 million, or 11% of sales, for the first nine months of fiscal 1996. The $90 million increase in operating cash flows from the year-earlier period was principally due to greater working capital requirements in the prior period associated with growth in inventories and accounts receivable and the payment of income taxes, offset partly by increased accounts payable and accrued liabilities. Cash flow from operations generated in the third quarter of fiscal 1997 was $59 million or 18% of sales versus $50 million or 17% for the third quarter of fiscal 1996. The increase in operating cash flows compared to the prior year quarter was due mainly to a change in net working capital requirements primarily associated with inventory. The noncash effect of depreciation and amortization expense was $76 million for the first nine months of fiscal 1997 and $27 million for the third quarter of fiscal 1997, higher than the $59 million and $22 million respectively for the comparable periods of fiscal 1996, primarily as a result of increased property, plant and equipment related to the Company's internal capacity expansion programs. As a percentage of sales, depreciation and amortization expense was 8% for the first nine months of fiscal 1997 compared to 7% for the first nine months of fiscal 1996.</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receivable of $258 million increased $41 million, or 19% from the third quarter of fiscal 1996. The number of days sales outstanding was 74 at the end of the third quarter of fiscal 1997 as compared to 65 for the third quarter of 1996. The increase in the number of days sales outstanding from the prior year period was primarily due to a change in the geographic mix of sales from the third quarter of fiscal 1996 to the third quarter of 1997 which resulted in increased sales in areas with typically longer payment terms.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Inventories of $222 million at the end of the first nine months of fiscal 1997 rose $7 million as compared to the end of the third quarter of fiscal 1996. Inventories as a percentage of annualized quarterly sales declined from 17.6% to 17.4% as demand resumed during the third quarter of fiscal 1997.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payable and accrued liabilities declined $21 million or 12% compared to the balance at the end of the third quarter of fiscal 1996 due principally to decreased capital spending as the Company's capacity expansion programs were more extensive in the prior year.</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Net additions to property, plant and equipment of $119 million or 13% of sales for the first nine months of fiscal 1997 and $45 million or 14% of sales for the third quarter of fiscal 1997 were funded with a combination of cash on hand, cash generated from financing activities and internally generated cash flow from operations. The majority of these expenditures in fiscal 1997 were related to the ongoing improvement of the Company's existing wafer fabrication facilities in Wilmington, Massachusetts and Limerick, Ireland. The Company is continuing to develop its facility in Cambridge, Massachusetts which will be used for the production of the accelerometer and other micromachined products. In addition, the Company continued the development of the six-inch wafer fabrication module located in Sunnyvale, California. This facility is still in the process of being upgraded and modernized and a CBCMOS process is being developed and production output is expected in the fourth quarter of fiscal 1997. During the second quarter of fiscal 1997 production output began in the new assembly and test site in the Philippines. Production at this site is expected to increase during the remainder of fiscal 1997. These expansion programs have caused depreciation expense to increase in comparison to the prior year.</w:t>
      </w:r>
    </w:p>
    <w:p>
      <w:pPr>
        <w:spacing w:after="0" w:line="396"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In June 1997, in accordance with a previous agreement, the Company made the final payment of $6 million to Chartered Semiconductor Manufacturing Pte., Ltd. for a total deposit of $20 million. The Company had previously paid $8 million during fiscal 1996 and $6 million during the second quarter of fiscal 1997.</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deposit will guarantee access to additional quantities of sub-micron wafers through fiscal 2000.</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fiscal 1996 the Company entered into a joint venture agreement with Taiwan Semiconductor Manufacturing Company and other investors for the construction and operation of a semiconductor fabrication facility in Camas, Washington. For a total commitment of $140 million the Company acquired an 18% equity ownership in the joint venture, known as WaferTech. The first installment of $42 million was paid during fiscal 1996. The second installment of $42 million was paid in December 1996 and the remaining installment of $56 million is due on November 3, 1997.</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currently plans to make capital expenditures of approximately $175 million during fiscal 1997, primarily in connection with the continued expansion of its manufacturing capacity.</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 August 2, 1997, the Company's principal sources of liquidity included $236 million of cash and cash equivalents and $81 million of short-term investments. Short-term investments at the end of the third quarter of fiscal 1997 consisted of commercial paper, banker's acceptances, certificates of deposit and Euro time deposits with maturities greater than three months and less than six months at time of acquisition. The Company also has various lines of credit both in the U.S. and overseas, including a $60 million credit facility in the U.S. which expires in 2000, all of which were substantially unused at August 2, 1997. At August 2, 1997, the Company's debt-to-equity ratio was 36%.</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set forth in Note 7 to the Condensed Consolidated Financial Statements contained in this Form 10-Q for the fiscal quarter ended August 2, 1997, the Company is no longer engaged in an enforcement proceeding brought by the International Trade Commission ("ITC") related to previously settled patent infringement litigation with Texas Instruments, Inc. However, the ITC has referred certain related matters to the Department of Justice. The Company is unable to determine what, if any, action may be taken by the Department of Justice, but the Company plans to vigorously defend itself in the event that any enforcement action is taken by the Department of Justice on any of the matters referred to it by the ITC.</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Which May Affect Future Results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The Company has replenished inventory which had been depleted in the prior year. These higher inventory levels expose the Company to the risk of obsolescence depending on the mix of future business. As a result of these and other factors, there can be no assurance that the Company will not experience material fluctuations in future operating results on a quarterly or annual basis.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currently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21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During fiscal 1996, the Company increased substantially its manufacturing capacity through both expansion of its production facilities and increased access to third-party foundries; there can be no assurance that the Company will not encounter unanticipated production problems at either its own facilities or at third-party foundries; or if the demand were to increase significantly that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increased capacity would be sufficient to satisfy demand for its products. The Company relies, and plans to continue to rely, on assembly and test subcontractors and on third-party wafer fabricators to supply most of its wafers that can be manufactured using industry-standard digital processes, and such reliance involves several risks, including reduced control over delivery schedules, 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 including the potential adverse impact in operating results for "take or pay" covenants in certain of its supply agreements. With its greater capacity relative to demand, the Company has increased its levels of inventory. The Company's business is subject to rapid technological changes and there can be no assurance that products stocked in inventory will not be rendered obsolete before they are utilized by the Company.</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For the first nine months of fiscal 1997, 55% of the Company's revenues were derived from customers in international markets. The Company has manufacturing facilities in Ireland, the Philippines and Taiwan. The Company is therefore subject to the economic and political risks inherent in international operations, including expropriation, air transportation disruptions,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3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While the Company tries to ensure that its manufacturing capacity and demand for its products are in relative balance, no assurance can be given that from time to time an imbalance between the Company's manufacturing capacity and the demand for its products would not occur. Any such imbalance could adversely affect the Company's consolidated results of operations.</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Item 3 "Legal Proceedings" from the Company's Annual Report on form 10-K for the fiscal year ended November 2, 1997 for information concerning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II - OTHER INFORMATION</w:t>
      </w:r>
    </w:p>
    <w:p>
      <w:pPr>
        <w:ind w:left="31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4" w:lineRule="exact"/>
        <w:rPr>
          <w:rFonts w:ascii="Courier New" w:cs="Courier New" w:eastAsia="Courier New" w:hAnsi="Courier New"/>
          <w:sz w:val="18"/>
          <w:szCs w:val="18"/>
          <w:color w:val="auto"/>
        </w:rPr>
      </w:pPr>
    </w:p>
    <w:p>
      <w:pPr>
        <w:ind w:left="960" w:right="2319" w:hanging="531"/>
        <w:spacing w:after="0" w:line="235"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August 2,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Analog Devices, Inc.</w:t>
      </w:r>
    </w:p>
    <w:p>
      <w:pPr>
        <w:jc w:val="center"/>
        <w:ind w:right="-34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11,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Jerald G. Fishman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Jerald G. Fishman</w:t>
      </w:r>
    </w:p>
    <w:p>
      <w:pPr>
        <w:ind w:left="740"/>
        <w:spacing w:after="0" w:line="238" w:lineRule="auto"/>
        <w:rPr>
          <w:sz w:val="20"/>
          <w:szCs w:val="20"/>
          <w:color w:val="auto"/>
        </w:rPr>
      </w:pPr>
      <w:r>
        <w:rPr>
          <w:rFonts w:ascii="Courier New" w:cs="Courier New" w:eastAsia="Courier New" w:hAnsi="Courier New"/>
          <w:sz w:val="18"/>
          <w:szCs w:val="18"/>
          <w:color w:val="auto"/>
        </w:rPr>
        <w:t>President and</w:t>
      </w:r>
    </w:p>
    <w:p>
      <w:pPr>
        <w:ind w:left="740"/>
        <w:spacing w:after="0"/>
        <w:rPr>
          <w:sz w:val="20"/>
          <w:szCs w:val="20"/>
          <w:color w:val="auto"/>
        </w:rPr>
      </w:pPr>
      <w:r>
        <w:rPr>
          <w:rFonts w:ascii="Courier New" w:cs="Courier New" w:eastAsia="Courier New" w:hAnsi="Courier New"/>
          <w:sz w:val="18"/>
          <w:szCs w:val="18"/>
          <w:color w:val="auto"/>
        </w:rPr>
        <w:t>Chief Executive Officer</w:t>
      </w:r>
    </w:p>
    <w:p>
      <w:pPr>
        <w:ind w:left="640"/>
        <w:spacing w:after="0" w:line="237"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11, 1997</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E. McDonough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Joseph E. McDonough</w:t>
      </w:r>
    </w:p>
    <w:p>
      <w:pPr>
        <w:ind w:left="740"/>
        <w:spacing w:after="0" w:line="238" w:lineRule="auto"/>
        <w:rPr>
          <w:sz w:val="20"/>
          <w:szCs w:val="20"/>
          <w:color w:val="auto"/>
        </w:rPr>
      </w:pPr>
      <w:r>
        <w:rPr>
          <w:rFonts w:ascii="Courier New" w:cs="Courier New" w:eastAsia="Courier New" w:hAnsi="Courier New"/>
          <w:sz w:val="18"/>
          <w:szCs w:val="18"/>
          <w:color w:val="auto"/>
        </w:rPr>
        <w:t>Vice President-Finance</w:t>
      </w:r>
    </w:p>
    <w:p>
      <w:pPr>
        <w:ind w:left="840"/>
        <w:spacing w:after="0"/>
        <w:rPr>
          <w:sz w:val="20"/>
          <w:szCs w:val="20"/>
          <w:color w:val="auto"/>
        </w:rPr>
      </w:pPr>
      <w:r>
        <w:rPr>
          <w:rFonts w:ascii="Courier New" w:cs="Courier New" w:eastAsia="Courier New" w:hAnsi="Courier New"/>
          <w:sz w:val="18"/>
          <w:szCs w:val="18"/>
          <w:color w:val="auto"/>
        </w:rPr>
        <w:t>and Chief Financial Officer</w:t>
      </w:r>
    </w:p>
    <w:p>
      <w:pPr>
        <w:ind w:left="640"/>
        <w:spacing w:after="0" w:line="237" w:lineRule="auto"/>
        <w:rPr>
          <w:sz w:val="20"/>
          <w:szCs w:val="20"/>
          <w:color w:val="auto"/>
        </w:rPr>
      </w:pPr>
      <w:r>
        <w:rPr>
          <w:rFonts w:ascii="Courier New" w:cs="Courier New" w:eastAsia="Courier New" w:hAnsi="Courier New"/>
          <w:sz w:val="18"/>
          <w:szCs w:val="18"/>
          <w:color w:val="auto"/>
        </w:rPr>
        <w:t>(Principal Financial and</w:t>
      </w:r>
    </w:p>
    <w:p>
      <w:pPr>
        <w:ind w:left="74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jc w:val="right"/>
        <w:ind w:right="4939"/>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Computation of Earnings per Share.</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Computation of Earnings Per Share (Unaudited)</w:t>
      </w:r>
    </w:p>
    <w:p>
      <w:pPr>
        <w:ind w:left="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600" w:type="dxa"/>
            <w:vAlign w:val="bottom"/>
          </w:tcPr>
          <w:p>
            <w:pPr>
              <w:spacing w:after="0"/>
              <w:rPr>
                <w:sz w:val="17"/>
                <w:szCs w:val="17"/>
                <w:color w:val="auto"/>
              </w:rPr>
            </w:pPr>
          </w:p>
        </w:tc>
        <w:tc>
          <w:tcPr>
            <w:tcW w:w="3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August 2, 1997</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3, 1996</w:t>
            </w:r>
          </w:p>
        </w:tc>
      </w:tr>
      <w:tr>
        <w:trPr>
          <w:trHeight w:val="203"/>
        </w:trPr>
        <w:tc>
          <w:tcPr>
            <w:tcW w:w="56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PRIMARY EARNINGS PER SHARE</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w w:val="97"/>
              </w:rPr>
              <w:t>Weighted average common and common equivalent shares: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600" w:type="dxa"/>
            <w:vAlign w:val="bottom"/>
          </w:tcPr>
          <w:p>
            <w:pPr>
              <w:ind w:left="320"/>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5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159,649</w:t>
            </w:r>
          </w:p>
        </w:tc>
        <w:tc>
          <w:tcPr>
            <w:tcW w:w="5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152,950</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exercise of common stock equivalents (1)</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7,139</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8,986</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10,985</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10,985</w:t>
            </w:r>
          </w:p>
        </w:tc>
      </w:tr>
      <w:tr>
        <w:trPr>
          <w:trHeight w:val="203"/>
        </w:trPr>
        <w:tc>
          <w:tcPr>
            <w:tcW w:w="560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177,773</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172,921</w:t>
            </w:r>
          </w:p>
        </w:tc>
      </w:tr>
      <w:tr>
        <w:trPr>
          <w:trHeight w:val="203"/>
        </w:trPr>
        <w:tc>
          <w:tcPr>
            <w:tcW w:w="560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$ 45,969</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$ 43,796</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1,425</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1,455</w:t>
            </w:r>
          </w:p>
        </w:tc>
      </w:tr>
      <w:tr>
        <w:trPr>
          <w:trHeight w:val="203"/>
        </w:trPr>
        <w:tc>
          <w:tcPr>
            <w:tcW w:w="560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$ 47,394</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$ 45,251</w:t>
            </w:r>
          </w:p>
        </w:tc>
      </w:tr>
      <w:tr>
        <w:trPr>
          <w:trHeight w:val="203"/>
        </w:trPr>
        <w:tc>
          <w:tcPr>
            <w:tcW w:w="560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PRIMARY EARNINGS PER SHARE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0.27</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0.26</w:t>
            </w:r>
          </w:p>
        </w:tc>
      </w:tr>
      <w:tr>
        <w:trPr>
          <w:trHeight w:val="203"/>
        </w:trPr>
        <w:tc>
          <w:tcPr>
            <w:tcW w:w="560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w w:val="97"/>
              </w:rPr>
              <w:t>Weighted average common and common equivalent shares: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159,649</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152,950</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exercise of common stock equivalents (1)</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7,835</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9,046</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10,985</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10,985</w:t>
            </w:r>
          </w:p>
        </w:tc>
      </w:tr>
      <w:tr>
        <w:trPr>
          <w:trHeight w:val="203"/>
        </w:trPr>
        <w:tc>
          <w:tcPr>
            <w:tcW w:w="560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178,469</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172,981</w:t>
            </w:r>
          </w:p>
        </w:tc>
      </w:tr>
      <w:tr>
        <w:trPr>
          <w:trHeight w:val="203"/>
        </w:trPr>
        <w:tc>
          <w:tcPr>
            <w:tcW w:w="560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$ 45,969</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$ 43,796</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1,425</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1,455</w:t>
            </w:r>
          </w:p>
        </w:tc>
      </w:tr>
      <w:tr>
        <w:trPr>
          <w:trHeight w:val="203"/>
        </w:trPr>
        <w:tc>
          <w:tcPr>
            <w:tcW w:w="560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$ 47,394</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$ 45,251</w:t>
            </w:r>
          </w:p>
        </w:tc>
      </w:tr>
      <w:tr>
        <w:trPr>
          <w:trHeight w:val="203"/>
        </w:trPr>
        <w:tc>
          <w:tcPr>
            <w:tcW w:w="560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0.27</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0.26</w:t>
            </w:r>
          </w:p>
        </w:tc>
      </w:tr>
      <w:tr>
        <w:trPr>
          <w:trHeight w:val="203"/>
        </w:trPr>
        <w:tc>
          <w:tcPr>
            <w:tcW w:w="560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Computed based on the treasury stock method.</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136" w:right="1440" w:bottom="144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11-1(Continued)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Computation of Earnings Per Share (Unaudited)</w:t>
      </w:r>
    </w:p>
    <w:p>
      <w:pPr>
        <w:ind w:left="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380" w:type="dxa"/>
            <w:vAlign w:val="bottom"/>
          </w:tcPr>
          <w:p>
            <w:pPr>
              <w:spacing w:after="0"/>
              <w:rPr>
                <w:sz w:val="17"/>
                <w:szCs w:val="17"/>
                <w:color w:val="auto"/>
              </w:rPr>
            </w:pPr>
          </w:p>
        </w:tc>
        <w:tc>
          <w:tcPr>
            <w:tcW w:w="3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August 2, 1997</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3, 1996</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rPr>
              <w:t>PRIMARY EARNINGS PER SHARE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08"/>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common and common equivalent shares:</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74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158,837</w:t>
            </w:r>
          </w:p>
        </w:tc>
        <w:tc>
          <w:tcPr>
            <w:tcW w:w="74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152,016</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Assumed exercise of common stock equivalents (1)</w:t>
            </w:r>
          </w:p>
        </w:tc>
        <w:tc>
          <w:tcPr>
            <w:tcW w:w="7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6,993</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9,266</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7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10,985</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9,079</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7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176,815</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170,361</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$127,267</w:t>
            </w:r>
          </w:p>
        </w:tc>
        <w:tc>
          <w:tcPr>
            <w:tcW w:w="17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$127,881</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7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4,275</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3,575</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6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$131,542</w:t>
            </w:r>
          </w:p>
        </w:tc>
        <w:tc>
          <w:tcPr>
            <w:tcW w:w="17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$131,456</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PRIMARY EARNINGS PER SHARE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0.75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0.77</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common and common equivalent shares:</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7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158,837</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152,016</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Assumed exercise of common stock equivalents (1)</w:t>
            </w:r>
          </w:p>
        </w:tc>
        <w:tc>
          <w:tcPr>
            <w:tcW w:w="7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7,421</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9,435</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7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10,985</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9,079</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7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177,243</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170,530</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$127,267</w:t>
            </w:r>
          </w:p>
        </w:tc>
        <w:tc>
          <w:tcPr>
            <w:tcW w:w="17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$127,881</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7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4,275</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3,575</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6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$131,542</w:t>
            </w:r>
          </w:p>
        </w:tc>
        <w:tc>
          <w:tcPr>
            <w:tcW w:w="17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$131,456</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0.75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0.77</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Computed based on the treasury stock method.</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2" w:right="1440" w:bottom="784"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9-MOS</w:t>
      </w:r>
    </w:p>
    <w:p>
      <w:pPr>
        <w:ind w:left="2620"/>
        <w:spacing w:after="0" w:line="238" w:lineRule="auto"/>
        <w:rPr>
          <w:sz w:val="20"/>
          <w:szCs w:val="20"/>
          <w:color w:val="auto"/>
        </w:rPr>
      </w:pPr>
      <w:r>
        <w:rPr>
          <w:rFonts w:ascii="Courier New" w:cs="Courier New" w:eastAsia="Courier New" w:hAnsi="Courier New"/>
          <w:sz w:val="18"/>
          <w:szCs w:val="18"/>
          <w:color w:val="auto"/>
        </w:rPr>
        <w:t>NOV-01-1997</w:t>
      </w:r>
    </w:p>
    <w:p>
      <w:pPr>
        <w:ind w:left="2940"/>
        <w:spacing w:after="0"/>
        <w:rPr>
          <w:sz w:val="20"/>
          <w:szCs w:val="20"/>
          <w:color w:val="auto"/>
        </w:rPr>
      </w:pPr>
      <w:r>
        <w:rPr>
          <w:rFonts w:ascii="Courier New" w:cs="Courier New" w:eastAsia="Courier New" w:hAnsi="Courier New"/>
          <w:sz w:val="18"/>
          <w:szCs w:val="18"/>
          <w:color w:val="auto"/>
        </w:rPr>
        <w:t>NOV-03-1996</w:t>
      </w:r>
    </w:p>
    <w:p>
      <w:pPr>
        <w:ind w:left="3160"/>
        <w:spacing w:after="0" w:line="237" w:lineRule="auto"/>
        <w:rPr>
          <w:sz w:val="20"/>
          <w:szCs w:val="20"/>
          <w:color w:val="auto"/>
        </w:rPr>
      </w:pPr>
      <w:r>
        <w:rPr>
          <w:rFonts w:ascii="Courier New" w:cs="Courier New" w:eastAsia="Courier New" w:hAnsi="Courier New"/>
          <w:sz w:val="18"/>
          <w:szCs w:val="18"/>
          <w:color w:val="auto"/>
        </w:rPr>
        <w:t>AUG-02-1997</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235,699</w:t>
      </w:r>
    </w:p>
    <w:p>
      <w:pPr>
        <w:ind w:left="3680"/>
        <w:spacing w:after="0" w:line="237" w:lineRule="auto"/>
        <w:rPr>
          <w:sz w:val="20"/>
          <w:szCs w:val="20"/>
          <w:color w:val="auto"/>
        </w:rPr>
      </w:pPr>
      <w:r>
        <w:rPr>
          <w:rFonts w:ascii="Courier New" w:cs="Courier New" w:eastAsia="Courier New" w:hAnsi="Courier New"/>
          <w:sz w:val="18"/>
          <w:szCs w:val="18"/>
          <w:color w:val="auto"/>
        </w:rPr>
        <w:t>80,770</w:t>
      </w:r>
    </w:p>
    <w:p>
      <w:pPr>
        <w:ind w:left="3460"/>
        <w:spacing w:after="0"/>
        <w:rPr>
          <w:sz w:val="20"/>
          <w:szCs w:val="20"/>
          <w:color w:val="auto"/>
        </w:rPr>
      </w:pPr>
      <w:r>
        <w:rPr>
          <w:rFonts w:ascii="Courier New" w:cs="Courier New" w:eastAsia="Courier New" w:hAnsi="Courier New"/>
          <w:sz w:val="18"/>
          <w:szCs w:val="18"/>
          <w:color w:val="auto"/>
        </w:rPr>
        <w:t>258,383</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221,858</w:t>
      </w:r>
    </w:p>
    <w:p>
      <w:pPr>
        <w:ind w:left="3160"/>
        <w:spacing w:after="0" w:line="237" w:lineRule="auto"/>
        <w:rPr>
          <w:sz w:val="20"/>
          <w:szCs w:val="20"/>
          <w:color w:val="auto"/>
        </w:rPr>
      </w:pPr>
      <w:r>
        <w:rPr>
          <w:rFonts w:ascii="Courier New" w:cs="Courier New" w:eastAsia="Courier New" w:hAnsi="Courier New"/>
          <w:sz w:val="18"/>
          <w:szCs w:val="18"/>
          <w:color w:val="auto"/>
        </w:rPr>
        <w:t>867,912</w:t>
      </w:r>
    </w:p>
    <w:p>
      <w:pPr>
        <w:ind w:left="4000"/>
        <w:spacing w:after="0" w:line="238" w:lineRule="auto"/>
        <w:rPr>
          <w:sz w:val="20"/>
          <w:szCs w:val="20"/>
          <w:color w:val="auto"/>
        </w:rPr>
      </w:pPr>
      <w:r>
        <w:rPr>
          <w:rFonts w:ascii="Courier New" w:cs="Courier New" w:eastAsia="Courier New" w:hAnsi="Courier New"/>
          <w:sz w:val="18"/>
          <w:szCs w:val="18"/>
          <w:color w:val="auto"/>
        </w:rPr>
        <w:t>1,177,690</w:t>
      </w:r>
    </w:p>
    <w:p>
      <w:pPr>
        <w:ind w:left="3360"/>
        <w:spacing w:after="0"/>
        <w:rPr>
          <w:sz w:val="20"/>
          <w:szCs w:val="20"/>
          <w:color w:val="auto"/>
        </w:rPr>
      </w:pPr>
      <w:r>
        <w:rPr>
          <w:rFonts w:ascii="Courier New" w:cs="Courier New" w:eastAsia="Courier New" w:hAnsi="Courier New"/>
          <w:sz w:val="18"/>
          <w:szCs w:val="18"/>
          <w:color w:val="auto"/>
        </w:rPr>
        <w:t>548,600</w:t>
      </w:r>
    </w:p>
    <w:p>
      <w:pPr>
        <w:ind w:left="3160"/>
        <w:spacing w:after="0" w:line="237" w:lineRule="auto"/>
        <w:rPr>
          <w:sz w:val="20"/>
          <w:szCs w:val="20"/>
          <w:color w:val="auto"/>
        </w:rPr>
      </w:pPr>
      <w:r>
        <w:rPr>
          <w:rFonts w:ascii="Courier New" w:cs="Courier New" w:eastAsia="Courier New" w:hAnsi="Courier New"/>
          <w:sz w:val="18"/>
          <w:szCs w:val="18"/>
          <w:color w:val="auto"/>
        </w:rPr>
        <w:t>1,676,437</w:t>
      </w:r>
    </w:p>
    <w:p>
      <w:pPr>
        <w:ind w:left="2620"/>
        <w:spacing w:after="0"/>
        <w:rPr>
          <w:sz w:val="20"/>
          <w:szCs w:val="20"/>
          <w:color w:val="auto"/>
        </w:rPr>
      </w:pPr>
      <w:r>
        <w:rPr>
          <w:rFonts w:ascii="Courier New" w:cs="Courier New" w:eastAsia="Courier New" w:hAnsi="Courier New"/>
          <w:sz w:val="18"/>
          <w:szCs w:val="18"/>
          <w:color w:val="auto"/>
        </w:rPr>
        <w:t>275,977</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26,883</w:t>
      </w:r>
    </w:p>
    <w:p>
      <w:pPr>
        <w:ind w:left="3780"/>
        <w:spacing w:after="0"/>
        <w:rPr>
          <w:sz w:val="20"/>
          <w:szCs w:val="20"/>
          <w:color w:val="auto"/>
        </w:rPr>
      </w:pPr>
      <w:r>
        <w:rPr>
          <w:rFonts w:ascii="Courier New" w:cs="Courier New" w:eastAsia="Courier New" w:hAnsi="Courier New"/>
          <w:sz w:val="18"/>
          <w:szCs w:val="18"/>
          <w:color w:val="auto"/>
        </w:rPr>
        <w:t>981,287</w:t>
      </w:r>
    </w:p>
    <w:p>
      <w:pPr>
        <w:ind w:left="1680"/>
        <w:spacing w:after="0" w:line="237" w:lineRule="auto"/>
        <w:rPr>
          <w:sz w:val="20"/>
          <w:szCs w:val="20"/>
          <w:color w:val="auto"/>
        </w:rPr>
      </w:pPr>
      <w:r>
        <w:rPr>
          <w:rFonts w:ascii="Courier New" w:cs="Courier New" w:eastAsia="Courier New" w:hAnsi="Courier New"/>
          <w:sz w:val="18"/>
          <w:szCs w:val="18"/>
          <w:color w:val="auto"/>
        </w:rPr>
        <w:t>1,676,437</w:t>
      </w:r>
    </w:p>
    <w:p>
      <w:pPr>
        <w:ind w:left="4100"/>
        <w:spacing w:after="0"/>
        <w:rPr>
          <w:sz w:val="20"/>
          <w:szCs w:val="20"/>
          <w:color w:val="auto"/>
        </w:rPr>
      </w:pPr>
      <w:r>
        <w:rPr>
          <w:rFonts w:ascii="Courier New" w:cs="Courier New" w:eastAsia="Courier New" w:hAnsi="Courier New"/>
          <w:sz w:val="18"/>
          <w:szCs w:val="18"/>
          <w:color w:val="auto"/>
        </w:rPr>
        <w:t>911,015</w:t>
      </w:r>
    </w:p>
    <w:p>
      <w:pPr>
        <w:ind w:left="3160"/>
        <w:spacing w:after="0" w:line="237" w:lineRule="auto"/>
        <w:rPr>
          <w:sz w:val="20"/>
          <w:szCs w:val="20"/>
          <w:color w:val="auto"/>
        </w:rPr>
      </w:pPr>
      <w:r>
        <w:rPr>
          <w:rFonts w:ascii="Courier New" w:cs="Courier New" w:eastAsia="Courier New" w:hAnsi="Courier New"/>
          <w:sz w:val="18"/>
          <w:szCs w:val="18"/>
          <w:color w:val="auto"/>
        </w:rPr>
        <w:t>911,015</w:t>
      </w:r>
    </w:p>
    <w:p>
      <w:pPr>
        <w:jc w:val="right"/>
        <w:ind w:right="5059"/>
        <w:spacing w:after="0"/>
        <w:rPr>
          <w:sz w:val="20"/>
          <w:szCs w:val="20"/>
          <w:color w:val="auto"/>
        </w:rPr>
      </w:pPr>
      <w:r>
        <w:rPr>
          <w:rFonts w:ascii="Courier New" w:cs="Courier New" w:eastAsia="Courier New" w:hAnsi="Courier New"/>
          <w:sz w:val="18"/>
          <w:szCs w:val="18"/>
          <w:color w:val="auto"/>
        </w:rPr>
        <w:t>457,981</w:t>
      </w:r>
    </w:p>
    <w:p>
      <w:pPr>
        <w:ind w:left="3460"/>
        <w:spacing w:after="0" w:line="237" w:lineRule="auto"/>
        <w:rPr>
          <w:sz w:val="20"/>
          <w:szCs w:val="20"/>
          <w:color w:val="auto"/>
        </w:rPr>
      </w:pPr>
      <w:r>
        <w:rPr>
          <w:rFonts w:ascii="Courier New" w:cs="Courier New" w:eastAsia="Courier New" w:hAnsi="Courier New"/>
          <w:sz w:val="18"/>
          <w:szCs w:val="18"/>
          <w:color w:val="auto"/>
        </w:rPr>
        <w:t>457,981</w:t>
      </w:r>
    </w:p>
    <w:p>
      <w:pPr>
        <w:ind w:left="3160"/>
        <w:spacing w:after="0"/>
        <w:rPr>
          <w:sz w:val="20"/>
          <w:szCs w:val="20"/>
          <w:color w:val="auto"/>
        </w:rPr>
      </w:pPr>
      <w:r>
        <w:rPr>
          <w:rFonts w:ascii="Courier New" w:cs="Courier New" w:eastAsia="Courier New" w:hAnsi="Courier New"/>
          <w:sz w:val="18"/>
          <w:szCs w:val="18"/>
          <w:color w:val="auto"/>
        </w:rPr>
        <w:t>284,296</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9,703</w:t>
      </w:r>
    </w:p>
    <w:p>
      <w:pPr>
        <w:ind w:left="3260"/>
        <w:spacing w:after="0"/>
        <w:rPr>
          <w:sz w:val="20"/>
          <w:szCs w:val="20"/>
          <w:color w:val="auto"/>
        </w:rPr>
      </w:pPr>
      <w:r>
        <w:rPr>
          <w:rFonts w:ascii="Courier New" w:cs="Courier New" w:eastAsia="Courier New" w:hAnsi="Courier New"/>
          <w:sz w:val="18"/>
          <w:szCs w:val="18"/>
          <w:color w:val="auto"/>
        </w:rPr>
        <w:t>169,689</w:t>
      </w:r>
    </w:p>
    <w:p>
      <w:pPr>
        <w:ind w:left="3680"/>
        <w:spacing w:after="0" w:line="237" w:lineRule="auto"/>
        <w:rPr>
          <w:sz w:val="20"/>
          <w:szCs w:val="20"/>
          <w:color w:val="auto"/>
        </w:rPr>
      </w:pPr>
      <w:r>
        <w:rPr>
          <w:rFonts w:ascii="Courier New" w:cs="Courier New" w:eastAsia="Courier New" w:hAnsi="Courier New"/>
          <w:sz w:val="18"/>
          <w:szCs w:val="18"/>
          <w:color w:val="auto"/>
        </w:rPr>
        <w:t>42,422</w:t>
      </w:r>
    </w:p>
    <w:p>
      <w:pPr>
        <w:ind w:left="2840"/>
        <w:spacing w:after="0"/>
        <w:rPr>
          <w:sz w:val="20"/>
          <w:szCs w:val="20"/>
          <w:color w:val="auto"/>
        </w:rPr>
      </w:pPr>
      <w:r>
        <w:rPr>
          <w:rFonts w:ascii="Courier New" w:cs="Courier New" w:eastAsia="Courier New" w:hAnsi="Courier New"/>
          <w:sz w:val="18"/>
          <w:szCs w:val="18"/>
          <w:color w:val="auto"/>
        </w:rPr>
        <w:t>127,267</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line="238" w:lineRule="auto"/>
        <w:rPr>
          <w:sz w:val="20"/>
          <w:szCs w:val="20"/>
          <w:color w:val="auto"/>
        </w:rPr>
      </w:pPr>
      <w:r>
        <w:rPr>
          <w:rFonts w:ascii="Courier New" w:cs="Courier New" w:eastAsia="Courier New" w:hAnsi="Courier New"/>
          <w:sz w:val="18"/>
          <w:szCs w:val="18"/>
          <w:color w:val="auto"/>
        </w:rPr>
        <w:t>127,267</w:t>
      </w:r>
    </w:p>
    <w:p>
      <w:pPr>
        <w:ind w:left="3900"/>
        <w:spacing w:after="0"/>
        <w:rPr>
          <w:sz w:val="20"/>
          <w:szCs w:val="20"/>
          <w:color w:val="auto"/>
        </w:rPr>
      </w:pPr>
      <w:r>
        <w:rPr>
          <w:rFonts w:ascii="Courier New" w:cs="Courier New" w:eastAsia="Courier New" w:hAnsi="Courier New"/>
          <w:sz w:val="18"/>
          <w:szCs w:val="18"/>
          <w:color w:val="auto"/>
        </w:rPr>
        <w:t>.75</w:t>
      </w:r>
    </w:p>
    <w:p>
      <w:pPr>
        <w:ind w:left="3900"/>
        <w:spacing w:after="0" w:line="237" w:lineRule="auto"/>
        <w:rPr>
          <w:sz w:val="20"/>
          <w:szCs w:val="20"/>
          <w:color w:val="auto"/>
        </w:rPr>
      </w:pPr>
      <w:r>
        <w:rPr>
          <w:rFonts w:ascii="Courier New" w:cs="Courier New" w:eastAsia="Courier New" w:hAnsi="Courier New"/>
          <w:sz w:val="18"/>
          <w:szCs w:val="18"/>
          <w:color w:val="auto"/>
        </w:rPr>
        <w:t>.75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4"/>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2019-12-20T05:12:30Z</dcterms:created>
  <dcterms:modified xsi:type="dcterms:W3CDTF">2019-12-20T05:12:30Z</dcterms:modified>
</cp:coreProperties>
</file>