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4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29, 2006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122" w:right="339" w:bottom="1440" w:gutter="0" w:footer="0" w:header="0"/>
        </w:sectPr>
      </w:pPr>
    </w:p>
    <w:p>
      <w:pPr>
        <w:spacing w:after="0" w:line="1" w:lineRule="exact"/>
        <w:rPr>
          <w:sz w:val="20"/>
          <w:szCs w:val="20"/>
          <w:color w:val="auto"/>
        </w:rPr>
      </w:pPr>
    </w:p>
    <w:p>
      <w:pPr>
        <w:ind w:left="1300"/>
        <w:spacing w:after="0" w:line="207" w:lineRule="exact"/>
        <w:tabs>
          <w:tab w:leader="none" w:pos="5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92" w:lineRule="exact"/>
        <w:rPr>
          <w:sz w:val="20"/>
          <w:szCs w:val="20"/>
          <w:color w:val="auto"/>
        </w:rPr>
      </w:pPr>
    </w:p>
    <w:p>
      <w:pPr>
        <w:sectPr>
          <w:pgSz w:w="11900" w:h="16838" w:orient="portrait"/>
          <w:cols w:equalWidth="0" w:num="3">
            <w:col w:w="6300" w:space="100"/>
            <w:col w:w="1300" w:space="720"/>
            <w:col w:w="2900"/>
          </w:cols>
          <w:pgMar w:left="240" w:top="122" w:right="339" w:bottom="1440" w:gutter="0" w:footer="0" w:header="0"/>
          <w:type w:val="continuous"/>
        </w:sectPr>
      </w:pPr>
    </w:p>
    <w:p>
      <w:pPr>
        <w:spacing w:after="0" w:line="33"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0"/>
          <w:szCs w:val="20"/>
          <w:color w:val="auto"/>
        </w:rPr>
      </w:pPr>
    </w:p>
    <w:p>
      <w:pPr>
        <w:sectPr>
          <w:pgSz w:w="11900" w:h="16838" w:orient="portrait"/>
          <w:cols w:equalWidth="0" w:num="4">
            <w:col w:w="8360" w:space="220"/>
            <w:col w:w="520" w:space="220"/>
            <w:col w:w="260" w:space="100"/>
            <w:col w:w="1640"/>
          </w:cols>
          <w:pgMar w:left="240" w:top="122" w:right="3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As of April 29, 2006 there were 361,158,802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 Legal Proceedings</w:t>
        </w:r>
      </w:hyperlink>
    </w:p>
    <w:p>
      <w:pPr>
        <w:ind w:left="320" w:right="3299"/>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40">
        <w:r>
          <w:rPr>
            <w:rFonts w:ascii="Arial" w:cs="Arial" w:eastAsia="Arial" w:hAnsi="Arial"/>
            <w:sz w:val="22"/>
            <w:szCs w:val="22"/>
            <w:u w:val="single" w:color="auto"/>
            <w:color w:val="0000EE"/>
          </w:rPr>
          <w:t>ITEM 6. Exhibits</w:t>
        </w:r>
      </w:hyperlink>
    </w:p>
    <w:p>
      <w:pPr>
        <w:spacing w:after="0" w:line="232"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643,872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603,726</w:t>
            </w:r>
          </w:p>
        </w:tc>
        <w:tc>
          <w:tcPr>
            <w:tcW w:w="0" w:type="dxa"/>
            <w:vAlign w:val="bottom"/>
          </w:tcPr>
          <w:p>
            <w:pPr>
              <w:spacing w:after="0"/>
              <w:rPr>
                <w:sz w:val="1"/>
                <w:szCs w:val="1"/>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rPr>
              <w:t>Cost of sales (1)</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263,201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257,327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346,399</w:t>
            </w:r>
          </w:p>
        </w:tc>
        <w:tc>
          <w:tcPr>
            <w:tcW w:w="0" w:type="dxa"/>
            <w:vAlign w:val="bottom"/>
          </w:tcPr>
          <w:p>
            <w:pPr>
              <w:spacing w:after="0"/>
              <w:rPr>
                <w:sz w:val="1"/>
                <w:szCs w:val="1"/>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97,432</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229,280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212,455</w:t>
            </w:r>
          </w:p>
        </w:tc>
        <w:tc>
          <w:tcPr>
            <w:tcW w:w="0" w:type="dxa"/>
            <w:vAlign w:val="bottom"/>
          </w:tcPr>
          <w:p>
            <w:pPr>
              <w:spacing w:after="0"/>
              <w:rPr>
                <w:sz w:val="1"/>
                <w:szCs w:val="1"/>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151,391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133,944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(13,351)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(39,225)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439"/>
        </w:trPr>
        <w:tc>
          <w:tcPr>
            <w:tcW w:w="89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190,616</w:t>
            </w: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145,821</w:t>
            </w:r>
          </w:p>
        </w:tc>
        <w:tc>
          <w:tcPr>
            <w:tcW w:w="6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364,225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diluted</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376,811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382,337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0.39</w:t>
            </w:r>
          </w:p>
        </w:tc>
        <w:tc>
          <w:tcPr>
            <w:tcW w:w="6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98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60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990</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6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7,684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17,217</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660" w:type="dxa"/>
            <w:vAlign w:val="bottom"/>
            <w:tcBorders>
              <w:top w:val="single" w:sz="8" w:color="auto"/>
            </w:tcBorders>
            <w:gridSpan w:val="2"/>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7"/>
              </w:rPr>
              <w:t>April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1,265,174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1,184,262</w:t>
            </w:r>
          </w:p>
        </w:tc>
        <w:tc>
          <w:tcPr>
            <w:tcW w:w="0" w:type="dxa"/>
            <w:vAlign w:val="bottom"/>
          </w:tcPr>
          <w:p>
            <w:pPr>
              <w:spacing w:after="0"/>
              <w:rPr>
                <w:sz w:val="1"/>
                <w:szCs w:val="1"/>
                <w:color w:val="auto"/>
              </w:rPr>
            </w:pPr>
          </w:p>
        </w:tc>
      </w:tr>
      <w:tr>
        <w:trPr>
          <w:trHeight w:val="432"/>
        </w:trPr>
        <w:tc>
          <w:tcPr>
            <w:tcW w:w="8920" w:type="dxa"/>
            <w:vAlign w:val="bottom"/>
            <w:gridSpan w:val="3"/>
          </w:tcPr>
          <w:p>
            <w:pPr>
              <w:spacing w:after="0"/>
              <w:rPr>
                <w:sz w:val="20"/>
                <w:szCs w:val="20"/>
                <w:color w:val="auto"/>
              </w:rPr>
            </w:pPr>
            <w:r>
              <w:rPr>
                <w:rFonts w:ascii="Arial" w:cs="Arial" w:eastAsia="Arial" w:hAnsi="Arial"/>
                <w:sz w:val="18"/>
                <w:szCs w:val="18"/>
                <w:color w:val="auto"/>
              </w:rPr>
              <w:t>Cost of sales (1)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523,716</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502,335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741,458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681,927</w:t>
            </w:r>
          </w:p>
        </w:tc>
        <w:tc>
          <w:tcPr>
            <w:tcW w:w="0" w:type="dxa"/>
            <w:vAlign w:val="bottom"/>
          </w:tcPr>
          <w:p>
            <w:pPr>
              <w:spacing w:after="0"/>
              <w:rPr>
                <w:sz w:val="1"/>
                <w:szCs w:val="1"/>
                <w:color w:val="auto"/>
              </w:rPr>
            </w:pPr>
          </w:p>
        </w:tc>
      </w:tr>
      <w:tr>
        <w:trPr>
          <w:trHeight w:val="432"/>
        </w:trPr>
        <w:tc>
          <w:tcPr>
            <w:tcW w:w="89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263,136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193,713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258,597</w:t>
            </w:r>
          </w:p>
        </w:tc>
        <w:tc>
          <w:tcPr>
            <w:tcW w:w="0" w:type="dxa"/>
            <w:vAlign w:val="bottom"/>
          </w:tcPr>
          <w:p>
            <w:pPr>
              <w:spacing w:after="0"/>
              <w:rPr>
                <w:sz w:val="1"/>
                <w:szCs w:val="1"/>
                <w:color w:val="auto"/>
              </w:rPr>
            </w:pPr>
          </w:p>
        </w:tc>
      </w:tr>
      <w:tr>
        <w:trPr>
          <w:trHeight w:val="432"/>
        </w:trPr>
        <w:tc>
          <w:tcPr>
            <w:tcW w:w="8920" w:type="dxa"/>
            <w:vAlign w:val="bottom"/>
            <w:gridSpan w:val="3"/>
          </w:tcPr>
          <w:p>
            <w:pPr>
              <w:spacing w:after="0"/>
              <w:rPr>
                <w:sz w:val="20"/>
                <w:szCs w:val="20"/>
                <w:color w:val="auto"/>
              </w:rPr>
            </w:pPr>
            <w:r>
              <w:rPr>
                <w:rFonts w:ascii="Arial" w:cs="Arial" w:eastAsia="Arial" w:hAnsi="Arial"/>
                <w:sz w:val="18"/>
                <w:szCs w:val="18"/>
                <w:color w:val="auto"/>
              </w:rPr>
              <w:t>Nonoperating (income) expenses: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(49,152)</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(10,696)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289,348</w:t>
            </w:r>
          </w:p>
        </w:tc>
        <w:tc>
          <w:tcPr>
            <w:tcW w:w="0" w:type="dxa"/>
            <w:vAlign w:val="bottom"/>
          </w:tcPr>
          <w:p>
            <w:pPr>
              <w:spacing w:after="0"/>
              <w:rPr>
                <w:sz w:val="1"/>
                <w:szCs w:val="1"/>
                <w:color w:val="auto"/>
              </w:rPr>
            </w:pPr>
          </w:p>
        </w:tc>
      </w:tr>
      <w:tr>
        <w:trPr>
          <w:trHeight w:val="432"/>
        </w:trPr>
        <w:tc>
          <w:tcPr>
            <w:tcW w:w="89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77,035</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64,306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225,042</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365,180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373,117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0.73</w:t>
            </w:r>
          </w:p>
        </w:tc>
        <w:tc>
          <w:tcPr>
            <w:tcW w:w="6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6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892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800"/>
              <w:spacing w:after="0"/>
              <w:rPr>
                <w:sz w:val="20"/>
                <w:szCs w:val="20"/>
                <w:color w:val="auto"/>
              </w:rPr>
            </w:pPr>
            <w:r>
              <w:rPr>
                <w:rFonts w:ascii="Arial" w:cs="Arial" w:eastAsia="Arial" w:hAnsi="Arial"/>
                <w:sz w:val="18"/>
                <w:szCs w:val="18"/>
                <w:color w:val="auto"/>
              </w:rPr>
              <w:t>Cost of sales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8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18,806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gridSpan w:val="2"/>
          </w:tcPr>
          <w:p>
            <w:pPr>
              <w:ind w:left="800"/>
              <w:spacing w:after="0"/>
              <w:rPr>
                <w:sz w:val="20"/>
                <w:szCs w:val="20"/>
                <w:color w:val="auto"/>
              </w:rPr>
            </w:pPr>
            <w:r>
              <w:rPr>
                <w:rFonts w:ascii="Arial" w:cs="Arial" w:eastAsia="Arial" w:hAnsi="Arial"/>
                <w:sz w:val="18"/>
                <w:szCs w:val="18"/>
                <w:color w:val="auto"/>
              </w:rPr>
              <w:t>Selling, marketing, general and administrative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17,774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20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38,524</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0" w:type="dxa"/>
            <w:vAlign w:val="bottom"/>
            <w:gridSpan w:val="2"/>
          </w:tcPr>
          <w:p>
            <w:pPr>
              <w:spacing w:after="0"/>
              <w:rPr>
                <w:sz w:val="20"/>
                <w:szCs w:val="20"/>
                <w:color w:val="auto"/>
              </w:rPr>
            </w:pPr>
            <w:r>
              <w:rPr>
                <w:rFonts w:ascii="Arial" w:cs="Arial" w:eastAsia="Arial" w:hAnsi="Arial"/>
                <w:sz w:val="14"/>
                <w:szCs w:val="14"/>
                <w:color w:val="auto"/>
              </w:rPr>
              <w:t>Assets</w:t>
            </w: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April 29, 2006</w:t>
            </w:r>
          </w:p>
        </w:tc>
        <w:tc>
          <w:tcPr>
            <w:tcW w:w="6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October 29,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402,491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2,290,305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2,078,351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357,880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Inventories (1):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14,901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262,936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81,583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359,420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64,480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3,557,476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3,732,456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347,372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1,351,719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1,323,397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78,130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108,842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1,886,063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1,860,814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1,324,525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1,260,908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561,538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29,242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1,290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163,373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3,422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65,761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21,245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284,333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4,403,347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4,583,211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$3,947 related to stock-based compensation expense at April 29,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0" w:type="dxa"/>
            <w:vAlign w:val="bottom"/>
            <w:gridSpan w:val="2"/>
          </w:tcPr>
          <w:p>
            <w:pPr>
              <w:spacing w:after="0"/>
              <w:rPr>
                <w:sz w:val="20"/>
                <w:szCs w:val="20"/>
                <w:color w:val="auto"/>
              </w:rPr>
            </w:pPr>
            <w:r>
              <w:rPr>
                <w:rFonts w:ascii="Arial" w:cs="Arial" w:eastAsia="Arial" w:hAnsi="Arial"/>
                <w:sz w:val="14"/>
                <w:szCs w:val="14"/>
                <w:color w:val="auto"/>
              </w:rPr>
              <w:t>Liabilities and Shareholders’ Equity</w:t>
            </w: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April 29, 2006</w:t>
            </w:r>
          </w:p>
        </w:tc>
        <w:tc>
          <w:tcPr>
            <w:tcW w:w="6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October 29,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144,783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152,864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220,009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176,986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695,684</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29,353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64,732</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361,158,802 shares issued and outstanding</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(366,831,612 on October 29, 2005)</w:t>
            </w:r>
          </w:p>
        </w:tc>
        <w:tc>
          <w:tcPr>
            <w:tcW w:w="12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60,194</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144,045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3,447,513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3,269,420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3,642,931</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3,691,501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4,403,347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4,583,211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color w:val="auto"/>
                <w:w w:val="99"/>
              </w:rPr>
              <w:t>April 29, 2006</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7"/>
              </w:rPr>
              <w:t>April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266,378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85,766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38,524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Excess portion of tax benefit – stock option exercises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(14,736)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special charge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Gain on sale of product line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36,043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1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114,016</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380,394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(1,375,974)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(1,740,342)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1,168,437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1,588,824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(49,182)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other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Proceeds from sale of product line</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(229,793)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(195,571)</w:t>
            </w:r>
          </w:p>
        </w:tc>
        <w:tc>
          <w:tcPr>
            <w:tcW w:w="0" w:type="dxa"/>
            <w:vAlign w:val="bottom"/>
          </w:tcPr>
          <w:p>
            <w:pPr>
              <w:spacing w:after="0"/>
              <w:rPr>
                <w:sz w:val="1"/>
                <w:szCs w:val="1"/>
                <w:color w:val="auto"/>
              </w:rPr>
            </w:pPr>
          </w:p>
        </w:tc>
      </w:tr>
      <w:tr>
        <w:trPr>
          <w:trHeight w:val="439"/>
        </w:trPr>
        <w:tc>
          <w:tcPr>
            <w:tcW w:w="7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(362,807)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59,679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portion of tax benefit – stock option exercises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(88,285)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(376,677)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(301,104)</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(225,100)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627,591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APRIL 29,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29, 2005 and related notes. The results of operations for the interim periods shown in this report are not necessarily indicative of the results that may be expected for the fiscal year ending October 28, 2006 or any future period.</w:t>
      </w:r>
    </w:p>
    <w:p>
      <w:pPr>
        <w:spacing w:after="0" w:line="63" w:lineRule="exact"/>
        <w:rPr>
          <w:sz w:val="20"/>
          <w:szCs w:val="20"/>
          <w:color w:val="auto"/>
        </w:rPr>
      </w:pPr>
    </w:p>
    <w:p>
      <w:pPr>
        <w:ind w:right="120"/>
        <w:spacing w:after="0" w:line="375" w:lineRule="auto"/>
        <w:rPr>
          <w:sz w:val="20"/>
          <w:szCs w:val="20"/>
          <w:color w:val="auto"/>
        </w:rPr>
      </w:pPr>
      <w:r>
        <w:rPr>
          <w:rFonts w:ascii="Arial" w:cs="Arial" w:eastAsia="Arial" w:hAnsi="Arial"/>
          <w:sz w:val="18"/>
          <w:szCs w:val="18"/>
          <w:color w:val="auto"/>
        </w:rPr>
        <w:t xml:space="preserve">The Company has a 52-53 week fiscal year that ends on the Saturday closest to the last day in October. Fiscal 2006 and fiscal 2005 are 52-week fiscal years. Certain amounts reported in previous years have been reclassified to conform to the fiscal 2006 presentation. Such reclassifications were immaterial. </w:t>
      </w:r>
      <w:r>
        <w:rPr>
          <w:rFonts w:ascii="Arial" w:cs="Arial" w:eastAsia="Arial" w:hAnsi="Arial"/>
          <w:sz w:val="18"/>
          <w:szCs w:val="18"/>
          <w:b w:val="1"/>
          <w:bCs w:val="1"/>
          <w:color w:val="auto"/>
        </w:rPr>
        <w:t>Note 2 – Stock-Based Compensation</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December 16, 2004, the Financial Accounting Standards Board (FASB) issued SFAS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SFAS 123R supersedes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amends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Generally, the approach in SFAS 123R is similar to the approach described in SFAS 123. However, SFAS 123R requires all share-based payments to employees, including grants of employee stock options, to be recognized in the income statement based on their fair values at the date of grant. Pro forma disclosure is no longer an alternative.</w:t>
      </w:r>
    </w:p>
    <w:p>
      <w:pPr>
        <w:spacing w:after="0" w:line="8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October 30, 2005 (the first day of its 2006 fiscal year), the Company adopted SFAS 123R using the modified prospective method as permitted under SFAS 123R. Under this transition method, compensation cost recognized in fiscal 2006 includes: (a) compensation cost for all share-based payments granted prior to but not yet vested as of October 29, 2005, based on the grant-date fair value estimated in accordance with the provisions of SFAS 123, and</w:t>
      </w:r>
    </w:p>
    <w:p>
      <w:pPr>
        <w:ind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grants stock options under the following equity compensation plans: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2006 Stock Incentive Plan (2006 Plan) – </w:t>
      </w:r>
      <w:r>
        <w:rPr>
          <w:rFonts w:ascii="Arial" w:cs="Arial" w:eastAsia="Arial" w:hAnsi="Arial"/>
          <w:sz w:val="18"/>
          <w:szCs w:val="18"/>
          <w:color w:val="auto"/>
        </w:rPr>
        <w:t>The 2006 Plan was approved by the Company’s Board of Directors on January 23, 2006 and was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on March 14, 2006. The 2006 Plan provides for the grant of up to 15 million shares of the Company’s common stock, plus such number of additional shares that were subject to outstanding options under the Company’s 1998 Stock Option Plan and the 2001 Broad-Based Stock Option Plan as of January 23, 2006 that are not issued because the applicable option award subsequently terminates or expires without being exercised. The 2006 Plan provides for the grant of incentive stock options intended to qualify under Section 422 of the Internal Revenue Code of 1986, as amended, or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 The Company will not grant further options under the 1998 Plan or the 2001 Plan.</w:t>
      </w:r>
    </w:p>
    <w:p>
      <w:pPr>
        <w:spacing w:after="0" w:line="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2001 Broad-Based Stock Option Plan (2001 Plan) </w:t>
      </w:r>
      <w:r>
        <w:rPr>
          <w:rFonts w:ascii="Arial" w:cs="Arial" w:eastAsia="Arial" w:hAnsi="Arial"/>
          <w:sz w:val="18"/>
          <w:szCs w:val="18"/>
          <w:color w:val="auto"/>
        </w:rPr>
        <w:t>- The 2001 Plan was adopted by the Company’s Board of Directors in December 2001 and subsequently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in December 2002. The 2001 Plan provides for the issuance of options to purchase up to 50 million shares of common stock to employees, consultants or advisors of the Company and its subsidiaries, other than executive officers and directors. Following approval of the 2006 Plan, no further grants will be made under the 2001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The 1998 Stock Option Plan (1998 Plan) </w:t>
      </w:r>
      <w:r>
        <w:rPr>
          <w:rFonts w:ascii="Arial" w:cs="Arial" w:eastAsia="Arial" w:hAnsi="Arial"/>
          <w:sz w:val="17"/>
          <w:szCs w:val="17"/>
          <w:color w:val="auto"/>
        </w:rPr>
        <w:t>- The 1998 Plan was approved by shareholders in fiscal 1998 and subsequently amended in December 2001 and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2002. The 1998 Plan provides for the issuance of nonstatutory and incentive stock options to purchase up to 30 million shares of common stock. In March 2000, the Company’s shareholders approved an amendment to the 1998 Plan to increase the shares reserved for issuance under the 1998 Plan by an additional 34 million shares. Following approval of the 2006 Plan, no further grants will be made under the 1998 Plan.</w:t>
      </w:r>
    </w:p>
    <w:p>
      <w:pPr>
        <w:spacing w:after="0" w:line="6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While the Company may grant to employees options that become exercisable at different times or within different periods, the Company has generally granted to employees options that vest over five years and become exercisable in annual installments of 33 1/3% on each of the third, fourth, and fifth anniversaries of the date of grant; in annual installments of 25% on each of the second, third, fourth and fifth anniversaries of the date of grant; or 20% on each of the first, second, third, fourth and fifth anniversaries of the date of grant. The maximum contractual term of all options is ten years.</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Employee Stock Purchase Plans </w:t>
      </w:r>
      <w:r>
        <w:rPr>
          <w:rFonts w:ascii="Arial" w:cs="Arial" w:eastAsia="Arial" w:hAnsi="Arial"/>
          <w:sz w:val="17"/>
          <w:szCs w:val="17"/>
          <w:color w:val="auto"/>
        </w:rPr>
        <w:t>- The Company also has employee stock purchase plans (ESPPs) that allow eligible employees to purchase, through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shares of the Company’s common stock at 85% of the fair market value at specified dates. Employees may withdraw from an offering before the purchase date and obtain a refund of the amounts withheld through payroll deductions plus accrued interest. The current offering period began June 1, 2005 and is scheduled to end on June 1, 2006; therefore, June 1, 2005 is considered the grant date for the purposes of recognizing the stock-based compensation expense for this offering period. During fiscal 2006, the Company’s Board of Directors decided that the current offering period, which ends June 1, 2006, will be the last offering period under the ESPPs. Under APB Opinion No. 25, the Company was not required to recognize stock-based compensation expense for the cost of stock options or shares issued under the Company’s ESPPs. Upon adoption of SFAS 123R, the Company began recording stock-based compensation expense related to the ESPPs.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Company uses the Black-Scholes option pricing model to calculate the grant-date fair value of an award. The fair value of options granted during the three and six month periods ended April 29, 2006 and April 30, 2005 were calculated using the following estimated weighted-average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6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290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tcPr>
          <w:p>
            <w:pPr>
              <w:jc w:val="right"/>
              <w:ind w:right="436"/>
              <w:spacing w:after="0" w:line="119" w:lineRule="exact"/>
              <w:rPr>
                <w:sz w:val="20"/>
                <w:szCs w:val="20"/>
                <w:color w:val="auto"/>
              </w:rPr>
            </w:pPr>
            <w:r>
              <w:rPr>
                <w:rFonts w:ascii="Arial" w:cs="Arial" w:eastAsia="Arial" w:hAnsi="Arial"/>
                <w:sz w:val="13"/>
                <w:szCs w:val="13"/>
                <w:b w:val="1"/>
                <w:bCs w:val="1"/>
                <w:color w:val="auto"/>
              </w:rPr>
              <w:t>April 29,</w:t>
            </w:r>
          </w:p>
        </w:tc>
        <w:tc>
          <w:tcPr>
            <w:tcW w:w="1540" w:type="dxa"/>
            <w:vAlign w:val="bottom"/>
          </w:tcPr>
          <w:p>
            <w:pPr>
              <w:jc w:val="right"/>
              <w:ind w:right="435"/>
              <w:spacing w:after="0" w:line="119" w:lineRule="exact"/>
              <w:rPr>
                <w:sz w:val="20"/>
                <w:szCs w:val="20"/>
                <w:color w:val="auto"/>
              </w:rPr>
            </w:pPr>
            <w:r>
              <w:rPr>
                <w:rFonts w:ascii="Arial" w:cs="Arial" w:eastAsia="Arial" w:hAnsi="Arial"/>
                <w:sz w:val="13"/>
                <w:szCs w:val="13"/>
                <w:b w:val="1"/>
                <w:bCs w:val="1"/>
                <w:color w:val="auto"/>
              </w:rPr>
              <w:t>April 30,</w:t>
            </w:r>
          </w:p>
        </w:tc>
        <w:tc>
          <w:tcPr>
            <w:tcW w:w="1540" w:type="dxa"/>
            <w:vAlign w:val="bottom"/>
          </w:tcPr>
          <w:p>
            <w:pPr>
              <w:jc w:val="right"/>
              <w:ind w:right="436"/>
              <w:spacing w:after="0" w:line="119" w:lineRule="exact"/>
              <w:rPr>
                <w:sz w:val="20"/>
                <w:szCs w:val="20"/>
                <w:color w:val="auto"/>
              </w:rPr>
            </w:pPr>
            <w:r>
              <w:rPr>
                <w:rFonts w:ascii="Arial" w:cs="Arial" w:eastAsia="Arial" w:hAnsi="Arial"/>
                <w:sz w:val="13"/>
                <w:szCs w:val="13"/>
                <w:b w:val="1"/>
                <w:bCs w:val="1"/>
                <w:color w:val="auto"/>
              </w:rPr>
              <w:t>April 29,</w:t>
            </w:r>
          </w:p>
        </w:tc>
        <w:tc>
          <w:tcPr>
            <w:tcW w:w="1360" w:type="dxa"/>
            <w:vAlign w:val="bottom"/>
            <w:gridSpan w:val="2"/>
          </w:tcPr>
          <w:p>
            <w:pPr>
              <w:jc w:val="right"/>
              <w:ind w:right="212"/>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2006</w:t>
            </w: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2005</w:t>
            </w:r>
          </w:p>
        </w:tc>
        <w:tc>
          <w:tcPr>
            <w:tcW w:w="1540" w:type="dxa"/>
            <w:vAlign w:val="bottom"/>
          </w:tcPr>
          <w:p>
            <w:pPr>
              <w:jc w:val="right"/>
              <w:ind w:right="576"/>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132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211</w:t>
            </w:r>
          </w:p>
        </w:tc>
        <w:tc>
          <w:tcPr>
            <w:tcW w:w="154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331</w:t>
            </w:r>
          </w:p>
        </w:tc>
        <w:tc>
          <w:tcPr>
            <w:tcW w:w="154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8,240</w:t>
            </w: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7"/>
              </w:rPr>
              <w:t>11,697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1320" w:type="dxa"/>
            <w:vAlign w:val="bottom"/>
          </w:tcPr>
          <w:p>
            <w:pPr>
              <w:jc w:val="right"/>
              <w:ind w:right="516"/>
              <w:spacing w:after="0"/>
              <w:rPr>
                <w:sz w:val="20"/>
                <w:szCs w:val="20"/>
                <w:color w:val="auto"/>
              </w:rPr>
            </w:pPr>
            <w:r>
              <w:rPr>
                <w:rFonts w:ascii="Arial" w:cs="Arial" w:eastAsia="Arial" w:hAnsi="Arial"/>
                <w:sz w:val="18"/>
                <w:szCs w:val="18"/>
                <w:color w:val="auto"/>
              </w:rPr>
              <w:t>$38.13</w:t>
            </w:r>
          </w:p>
        </w:tc>
        <w:tc>
          <w:tcPr>
            <w:tcW w:w="1540" w:type="dxa"/>
            <w:vAlign w:val="bottom"/>
          </w:tcPr>
          <w:p>
            <w:pPr>
              <w:jc w:val="right"/>
              <w:ind w:right="515"/>
              <w:spacing w:after="0"/>
              <w:rPr>
                <w:sz w:val="20"/>
                <w:szCs w:val="20"/>
                <w:color w:val="auto"/>
              </w:rPr>
            </w:pPr>
            <w:r>
              <w:rPr>
                <w:rFonts w:ascii="Arial" w:cs="Arial" w:eastAsia="Arial" w:hAnsi="Arial"/>
                <w:sz w:val="18"/>
                <w:szCs w:val="18"/>
                <w:color w:val="auto"/>
              </w:rPr>
              <w:t>$36.42</w:t>
            </w:r>
          </w:p>
        </w:tc>
        <w:tc>
          <w:tcPr>
            <w:tcW w:w="1540" w:type="dxa"/>
            <w:vAlign w:val="bottom"/>
          </w:tcPr>
          <w:p>
            <w:pPr>
              <w:jc w:val="right"/>
              <w:ind w:right="516"/>
              <w:spacing w:after="0"/>
              <w:rPr>
                <w:sz w:val="20"/>
                <w:szCs w:val="20"/>
                <w:color w:val="auto"/>
              </w:rPr>
            </w:pPr>
            <w:r>
              <w:rPr>
                <w:rFonts w:ascii="Arial" w:cs="Arial" w:eastAsia="Arial" w:hAnsi="Arial"/>
                <w:sz w:val="18"/>
                <w:szCs w:val="18"/>
                <w:color w:val="auto"/>
              </w:rPr>
              <w:t>$39.40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fair-value</w:t>
            </w:r>
          </w:p>
        </w:tc>
        <w:tc>
          <w:tcPr>
            <w:tcW w:w="13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$10.95</w:t>
            </w:r>
          </w:p>
        </w:tc>
        <w:tc>
          <w:tcPr>
            <w:tcW w:w="154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$11.98</w:t>
            </w:r>
          </w:p>
        </w:tc>
        <w:tc>
          <w:tcPr>
            <w:tcW w:w="15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$11.61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Assumptions:</w:t>
            </w: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28.6%</w:t>
            </w:r>
          </w:p>
        </w:tc>
        <w:tc>
          <w:tcPr>
            <w:tcW w:w="1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32.1%</w:t>
            </w:r>
          </w:p>
        </w:tc>
        <w:tc>
          <w:tcPr>
            <w:tcW w:w="1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28.6%</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tcPr>
          <w:p>
            <w:pPr>
              <w:jc w:val="right"/>
              <w:ind w:right="516"/>
              <w:spacing w:after="0"/>
              <w:rPr>
                <w:sz w:val="20"/>
                <w:szCs w:val="20"/>
                <w:color w:val="auto"/>
              </w:rPr>
            </w:pPr>
            <w:r>
              <w:rPr>
                <w:rFonts w:ascii="Arial" w:cs="Arial" w:eastAsia="Arial" w:hAnsi="Arial"/>
                <w:sz w:val="18"/>
                <w:szCs w:val="18"/>
                <w:color w:val="auto"/>
              </w:rPr>
              <w:t>5.0</w:t>
            </w:r>
          </w:p>
        </w:tc>
        <w:tc>
          <w:tcPr>
            <w:tcW w:w="1540" w:type="dxa"/>
            <w:vAlign w:val="bottom"/>
          </w:tcPr>
          <w:p>
            <w:pPr>
              <w:jc w:val="right"/>
              <w:ind w:right="515"/>
              <w:spacing w:after="0"/>
              <w:rPr>
                <w:sz w:val="20"/>
                <w:szCs w:val="20"/>
                <w:color w:val="auto"/>
              </w:rPr>
            </w:pPr>
            <w:r>
              <w:rPr>
                <w:rFonts w:ascii="Arial" w:cs="Arial" w:eastAsia="Arial" w:hAnsi="Arial"/>
                <w:sz w:val="18"/>
                <w:szCs w:val="18"/>
                <w:color w:val="auto"/>
              </w:rPr>
              <w:t>5.0</w:t>
            </w:r>
          </w:p>
        </w:tc>
        <w:tc>
          <w:tcPr>
            <w:tcW w:w="1540" w:type="dxa"/>
            <w:vAlign w:val="bottom"/>
          </w:tcPr>
          <w:p>
            <w:pPr>
              <w:jc w:val="right"/>
              <w:ind w:right="516"/>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4.7%</w:t>
            </w:r>
          </w:p>
        </w:tc>
        <w:tc>
          <w:tcPr>
            <w:tcW w:w="1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3.9%</w:t>
            </w:r>
          </w:p>
        </w:tc>
        <w:tc>
          <w:tcPr>
            <w:tcW w:w="1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jc w:val="right"/>
              <w:ind w:right="356"/>
              <w:spacing w:after="0"/>
              <w:rPr>
                <w:sz w:val="20"/>
                <w:szCs w:val="20"/>
                <w:color w:val="auto"/>
              </w:rPr>
            </w:pPr>
            <w:r>
              <w:rPr>
                <w:rFonts w:ascii="Arial" w:cs="Arial" w:eastAsia="Arial" w:hAnsi="Arial"/>
                <w:sz w:val="18"/>
                <w:szCs w:val="18"/>
                <w:color w:val="auto"/>
              </w:rPr>
              <w:t>1.59%</w:t>
            </w:r>
          </w:p>
        </w:tc>
        <w:tc>
          <w:tcPr>
            <w:tcW w:w="1540" w:type="dxa"/>
            <w:vAlign w:val="bottom"/>
          </w:tcPr>
          <w:p>
            <w:pPr>
              <w:jc w:val="right"/>
              <w:ind w:right="355"/>
              <w:spacing w:after="0"/>
              <w:rPr>
                <w:sz w:val="20"/>
                <w:szCs w:val="20"/>
                <w:color w:val="auto"/>
              </w:rPr>
            </w:pPr>
            <w:r>
              <w:rPr>
                <w:rFonts w:ascii="Arial" w:cs="Arial" w:eastAsia="Arial" w:hAnsi="Arial"/>
                <w:sz w:val="18"/>
                <w:szCs w:val="18"/>
                <w:color w:val="auto"/>
              </w:rPr>
              <w:t>0.66%</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Expected volatility – The Company is responsible for estimating volatility and has considered a number of factors, including third-party estimates, when estimating volatility. For options granted prior to fiscal 2005, the Company used historical volatility to estimate the grant-date fair value of stock options. The Company changed its method of estimating expected volatility for all stock options granted after fiscal 2004 from exclusively relying on historical volatility to exclusively relying on implied volatility. This change was the result of a thorough review the Company undertook which included consultations with several third-party advisors. The Company currently believes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the Company’s stock options over the past several years included a period of time that the Company’s stock price experienced unprecedented increases and subsequent declines. The Company believes that this past stock price volatility is unlikely to be indicative of future stock price behavior. Options in the Company’s stock are actively traded on several exchanges. Implied volatility is calculated for the period that is commensurate with the option’s expected term assumption. Because this term often exceeds the period for which there are exchange-traded options in the Company’s stock, statistical techniques are used to derive the implied volatility for traded options with terms commensurate with the option’s expected term of five years. This calculation of implied volatility is derived from the closing prices of the Company’s stock and exchange traded options from the most recent five trading days prior to the grant date of the employee stock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Expected term –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our employees exhibit similar exercise behavior.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Risk-free interest rate – The yield on zero-coupon U.S. Treasury securities for a period that is commensurate with the expected term assumption is used as the risk-free interest rate.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Expected dividend yield – Expected dividend yield is calculated by annualizing the cash dividend declared by the Company’s Board of Directors for 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Dividends are not paid on options.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used the graded attribution method to recognize expense for all options granted prior to the adoption of SFAS 123R. Upon adoption of SFAS 123R on October 30, 2005, the Company changed to the straight-line attribution method to recognize expense for options granted after October 29, 2005. The change to the straight-line attribution method was made so that the expense associated with each option granted is recognized evenly over the vesting period. The expense associated with the unvested portion of the pre-adoption grants will continue to be expensed using the graded attribution method.</w:t>
      </w:r>
    </w:p>
    <w:p>
      <w:pPr>
        <w:spacing w:after="0" w:line="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The Company currently expects, based on an analysis of its historical forfeitures, that approximately 86% of its options will vest, and therefore has applied an annual forfeiture rate of 3.1% to all unvested options as of April 29, 2006. The 3.1% represents the portion that is expected to be forfeited each year over the vesting period, therefore, the cumulative amount, on a compounded basis, that is expected to be forfeited is approximately 14% of the aggregate options granted. This analysis will be re-evaluated quarterly and the forfeiture rate will be adjusted as necessary. Ultimately, the actual expense recognized over the vesting period will only be for those shares that vest.</w:t>
      </w:r>
    </w:p>
    <w:p>
      <w:pPr>
        <w:spacing w:after="0" w:line="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stock plans provide for retirement-related continued vesting for a portion, or all, of certain stock options based on the optionee’s age and years of service (the retirement provision) in that regardless of whether the employee continues to provide services, the optionee receives the benefit of the stock option. SFAS 123R clarifies the timing for recognizing stock-based compensation expense for awards subject to continued vesting upon meeting this retirement provision. This compensation expense must be recognized over the period from the date of grant to the date retirement eligibility is met if it is shorter than the vesting term. Upon adoption of SFAS 123R in the first quarter of fiscal 2006, the Company’s policy regarding the timing of option expense recognition for optionees meeting the criteria of the retirement provision was changed to recognize compensation cost over the period through the date that the optionee is no longer required to provide service to earn the award. Prior to the adoption of SFAS 123R, the Company’s policy was to recognize these compensation costs over the vesting term. Had the Company applied these non-substantive vesting provisions required by SFAS 123R to awards granted prior to the adoption of SFAS 123R, the impact on the pro forma net earnings presented below would have been immaterial.</w:t>
      </w:r>
    </w:p>
    <w:p>
      <w:pPr>
        <w:spacing w:after="0" w:line="5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adoption of SFAS 123R on October 30, 2005 had the following impact on the second quarter of fiscal 2006 results: operating profit before tax was reduced by $17.0 million, net income was reduced by $12.2 million, cash flow from operations was reduced by $14.7 million, cash flow from financing activities increased by $14.7 million and basic and diluted EPS were each reduced by $0.03. The adoption of SFAS 123R on October 30, 2005 had the following impact on results for the six months ended April 29, 2006: operating profit before tax was reduced by $37.6 million, net income was reduced by $26.9 million, cash flow from operations was reduced by $14.7 million, cash flow from financing activities increased by $14.7 million and basic and diluted EPS were each reduced by $0.07.</w:t>
      </w:r>
    </w:p>
    <w:p>
      <w:pPr>
        <w:spacing w:after="0" w:line="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following table details the effect on net income and earnings per share had stock-based compensation expense been recorded for the three and six month periods ended April 30, 2005 based on the fair-value method under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The reported and pro forma net income and earnings per share for the three and six month periods ended April 29, 2006 are the same because stock-based compensation expense was calculated and recorded in the financial statements in accordance with the provisions of SFAS 123R.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30, 2005</w:t>
            </w: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April 30,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117,599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7"/>
              </w:rPr>
              <w:t>Add: Stock-based employee compensation expense included in reported net income, net of related tax effects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Deduct: Total stock-based compensation expense determined under the fair value based method for all awards, net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related tax effects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(44,456)</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(86,641)</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73,754</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Basic – as reported</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Diluted – as reported</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Prior to the adoption of SFAS 123R, on October 18, 2005, the Company accelerated the vesting of all unvested stock options awarded to employees after December 31, 2000 that had exercise prices of $40.00 per share or greater. Options issued to its corporate officers and directors were not accelerated. Unvested options to purchase approximately 18 million shares became exercisable as a result of the vesting acceleration. Because the exercise price of all the modified options was greater than the market price of the Company’s underlying common stock on the date of the modification, no stock-based compensation expense was recorded in the statement of income, in accordance with APB Opinion No. 25. The primary purpose for modifying the terms of these out-of-the money stock options to accelerate their vesting was to eliminate the need to recognize the remaining unrecognized non-cash compensation expense in the statement of income associated with these options as measured under SFAS 123. The approximately $188 million ($134 million net of tax) of future expense associated with these options would have been disproportionately high compared to the economic value of the options at the date of modification.</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As disclosed in Note 10, on November 15, 2005, the Company announced that it reached a tentative settlement with the Securities and Exchange Commission, or SEC, of the SEC’s previously announced investigation into certain option grants made by the Company. 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Staff Accounting Bulletin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(SAB 99). Accordingly, the table presented above has not been restated to reflect the effects of using the revised measurement 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 Activity</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summary of the activity under the Company’s stock option plans as of April 29, 2006 and changes during the three and six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3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0"/>
              </w:rPr>
              <w:t>Options</w:t>
            </w:r>
          </w:p>
        </w:tc>
        <w:tc>
          <w:tcPr>
            <w:tcW w:w="172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34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Outstanding</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34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January 28, 2006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90,169</w:t>
            </w:r>
          </w:p>
        </w:tc>
        <w:tc>
          <w:tcPr>
            <w:tcW w:w="5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$33.80</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18"/>
                <w:szCs w:val="18"/>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38.13</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(1,243)</w:t>
            </w: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16.94</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1360" w:type="dxa"/>
            <w:vAlign w:val="bottom"/>
            <w:gridSpan w:val="4"/>
          </w:tcPr>
          <w:p>
            <w:pPr>
              <w:jc w:val="right"/>
              <w:ind w:right="460"/>
              <w:spacing w:after="0"/>
              <w:rPr>
                <w:sz w:val="20"/>
                <w:szCs w:val="20"/>
                <w:color w:val="auto"/>
              </w:rPr>
            </w:pPr>
            <w:r>
              <w:rPr>
                <w:rFonts w:ascii="Arial" w:cs="Arial" w:eastAsia="Arial" w:hAnsi="Arial"/>
                <w:sz w:val="18"/>
                <w:szCs w:val="18"/>
                <w:color w:val="auto"/>
              </w:rPr>
              <w:t>(913)</w:t>
            </w: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34.06</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expired</w:t>
            </w:r>
          </w:p>
        </w:tc>
        <w:tc>
          <w:tcPr>
            <w:tcW w:w="13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(828)</w:t>
            </w: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44.72</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Options outstanding at April 29, 2006</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87,396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$33.94</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1340" w:type="dxa"/>
            <w:vAlign w:val="bottom"/>
          </w:tcPr>
          <w:p>
            <w:pPr>
              <w:jc w:val="right"/>
              <w:ind w:right="219"/>
              <w:spacing w:after="0"/>
              <w:rPr>
                <w:sz w:val="20"/>
                <w:szCs w:val="20"/>
                <w:color w:val="auto"/>
              </w:rPr>
            </w:pPr>
            <w:r>
              <w:rPr>
                <w:rFonts w:ascii="Arial" w:cs="Arial" w:eastAsia="Arial" w:hAnsi="Arial"/>
                <w:sz w:val="18"/>
                <w:szCs w:val="18"/>
                <w:color w:val="auto"/>
              </w:rPr>
              <w:t>$578,284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April 29, 2006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60,996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$33.71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$467,663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or expected to vest at April 29, 2006 (1)</w:t>
            </w: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vMerge w:val="restart"/>
          </w:tcPr>
          <w:p>
            <w:pPr>
              <w:jc w:val="right"/>
              <w:ind w:right="535"/>
              <w:spacing w:after="0"/>
              <w:rPr>
                <w:sz w:val="20"/>
                <w:szCs w:val="20"/>
                <w:color w:val="auto"/>
              </w:rPr>
            </w:pPr>
            <w:r>
              <w:rPr>
                <w:rFonts w:ascii="Arial" w:cs="Arial" w:eastAsia="Arial" w:hAnsi="Arial"/>
                <w:sz w:val="18"/>
                <w:szCs w:val="18"/>
                <w:color w:val="auto"/>
              </w:rPr>
              <w:t>$33.86</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5"/>
              </w:rPr>
              <w:t>5.9</w:t>
            </w:r>
          </w:p>
        </w:tc>
        <w:tc>
          <w:tcPr>
            <w:tcW w:w="1340" w:type="dxa"/>
            <w:vAlign w:val="bottom"/>
            <w:vMerge w:val="restart"/>
          </w:tcPr>
          <w:p>
            <w:pPr>
              <w:jc w:val="right"/>
              <w:ind w:right="219"/>
              <w:spacing w:after="0"/>
              <w:rPr>
                <w:sz w:val="20"/>
                <w:szCs w:val="20"/>
                <w:color w:val="auto"/>
              </w:rPr>
            </w:pPr>
            <w:r>
              <w:rPr>
                <w:rFonts w:ascii="Arial" w:cs="Arial" w:eastAsia="Arial" w:hAnsi="Arial"/>
                <w:sz w:val="18"/>
                <w:szCs w:val="18"/>
                <w:color w:val="auto"/>
              </w:rPr>
              <w:t>$575,028</w:t>
            </w: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85,277</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2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Outstanding</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Price Per Share</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29, 2005</w:t>
            </w:r>
          </w:p>
        </w:tc>
        <w:tc>
          <w:tcPr>
            <w:tcW w:w="28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color w:val="auto"/>
              </w:rPr>
              <w:t>8,240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42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(3,801)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4280" w:type="dxa"/>
            <w:vAlign w:val="bottom"/>
            <w:gridSpan w:val="4"/>
          </w:tcPr>
          <w:p>
            <w:pPr>
              <w:jc w:val="right"/>
              <w:ind w:right="600"/>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expired</w:t>
            </w:r>
          </w:p>
        </w:tc>
        <w:tc>
          <w:tcPr>
            <w:tcW w:w="42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Options outstanding at April 29, 2006</w:t>
            </w:r>
          </w:p>
        </w:tc>
        <w:tc>
          <w:tcPr>
            <w:tcW w:w="28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87,396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six months ended April 29, 2006, the total intrinsic value of options exercised (i.e. the difference between the market price at exercise and the price paid by the employee to exercise the options) was $27.8 million and $87.0 million, respectively and the total amount of cash received from exercise of these options was $21.1 million and $59.8 million, respectively. The total grant-date fair value of stock options that vested during the three and six months ended April 29, 2006 was approximately $3.9 million and $107.7 million, respectively.</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April 29, 2006, there was $192.8 million of total unrecognized compensation cost related to unvested share-based awards. That cost is expected to be recognized over a weighted-average period of 1.8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145,821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117,599</w:t>
            </w:r>
          </w:p>
        </w:tc>
      </w:tr>
      <w:tr>
        <w:trPr>
          <w:trHeight w:val="432"/>
        </w:trPr>
        <w:tc>
          <w:tcPr>
            <w:tcW w:w="20" w:type="dxa"/>
            <w:vAlign w:val="bottom"/>
          </w:tcPr>
          <w:p>
            <w:pPr>
              <w:spacing w:after="0"/>
              <w:rPr>
                <w:sz w:val="24"/>
                <w:szCs w:val="24"/>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Unrealized holding gains (losses) (net of taxes of $635 and $1,389, respectively) on securities classified as Short-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w:t>
            </w:r>
          </w:p>
        </w:tc>
      </w:tr>
      <w:tr>
        <w:trPr>
          <w:trHeight w:val="418"/>
        </w:trPr>
        <w:tc>
          <w:tcPr>
            <w:tcW w:w="20" w:type="dxa"/>
            <w:vAlign w:val="bottom"/>
          </w:tcPr>
          <w:p>
            <w:pPr>
              <w:spacing w:after="0"/>
              <w:rPr>
                <w:sz w:val="24"/>
                <w:szCs w:val="24"/>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Unrealized holding losses (net of taxes of $119 and $136, respectively) on securities classified as Other</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(losses) on derivative instruments designated as cash flow hedges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(2,853)</w:t>
            </w:r>
          </w:p>
        </w:tc>
      </w:tr>
      <w:tr>
        <w:trPr>
          <w:trHeight w:val="20"/>
        </w:trPr>
        <w:tc>
          <w:tcPr>
            <w:tcW w:w="89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9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6,016</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(5,880)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151,837</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color w:val="auto"/>
                <w:w w:val="95"/>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94"/>
              </w:rPr>
              <w:t>April 29, 2006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266,378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225,042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Unrealized holding gains (losses) (net of taxes of $1,546 and $3,741, respectively) on securities classified as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Unrealized holding losses (net of taxes of $104 and $160, respectively) on securities classified as Other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(losses) on derivative instruments designated as cash flow hedges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10,443</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276,821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214,545</w:t>
            </w:r>
          </w:p>
        </w:tc>
        <w:tc>
          <w:tcPr>
            <w:tcW w:w="0" w:type="dxa"/>
            <w:vAlign w:val="bottom"/>
          </w:tcPr>
          <w:p>
            <w:pPr>
              <w:spacing w:after="0"/>
              <w:rPr>
                <w:sz w:val="1"/>
                <w:szCs w:val="1"/>
                <w:color w:val="auto"/>
              </w:rPr>
            </w:pPr>
          </w:p>
        </w:tc>
      </w:tr>
      <w:tr>
        <w:trPr>
          <w:trHeight w:val="20"/>
        </w:trPr>
        <w:tc>
          <w:tcPr>
            <w:tcW w:w="898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20" w:type="dxa"/>
            <w:vAlign w:val="bottom"/>
            <w:gridSpan w:val="7"/>
          </w:tcPr>
          <w:p>
            <w:pPr>
              <w:spacing w:after="0"/>
              <w:rPr>
                <w:sz w:val="20"/>
                <w:szCs w:val="20"/>
                <w:color w:val="auto"/>
              </w:rPr>
            </w:pPr>
            <w:r>
              <w:rPr>
                <w:rFonts w:ascii="Arial" w:cs="Arial" w:eastAsia="Arial" w:hAnsi="Arial"/>
                <w:sz w:val="18"/>
                <w:szCs w:val="18"/>
                <w:color w:val="auto"/>
              </w:rPr>
              <w:t>The components of accumulated other comprehensive income at April 29, 2006 and October 29, 2005 consisted of the following:</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4"/>
                <w:szCs w:val="14"/>
                <w:color w:val="auto"/>
              </w:rPr>
              <w:t>April 29, 2006</w:t>
            </w:r>
          </w:p>
        </w:tc>
        <w:tc>
          <w:tcPr>
            <w:tcW w:w="1100" w:type="dxa"/>
            <w:vAlign w:val="bottom"/>
            <w:gridSpan w:val="4"/>
          </w:tcPr>
          <w:p>
            <w:pPr>
              <w:spacing w:after="0"/>
              <w:rPr>
                <w:sz w:val="20"/>
                <w:szCs w:val="20"/>
                <w:color w:val="auto"/>
              </w:rPr>
            </w:pPr>
            <w:r>
              <w:rPr>
                <w:rFonts w:ascii="Arial" w:cs="Arial" w:eastAsia="Arial" w:hAnsi="Arial"/>
                <w:sz w:val="14"/>
                <w:szCs w:val="14"/>
                <w:color w:val="auto"/>
                <w:w w:val="99"/>
              </w:rPr>
              <w:t>October 29, 2005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(9,749)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derivative instruments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(6,067)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(8,821)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Basic earnings per share is computed using only the weighted-average number of common shares outstanding during the period. Diluted earnings per share is computed using the weighted-average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certain of the Company’s outstanding stock options were excluded because they were anti-dilutive. Those potential shares related to the Company’s outstanding stock options could be dilutive in the future. The following table sets forth the computation of basic and diluted earnings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April 29, 2006</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145,821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364,225</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370,674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145,821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364,225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370,674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12,586</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376,811</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382,337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43,982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14"/>
                <w:szCs w:val="14"/>
                <w:color w:val="auto"/>
                <w:w w:val="95"/>
              </w:rPr>
              <w:t>Six Months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color w:val="auto"/>
              </w:rPr>
              <w:t>April 29, 2006</w:t>
            </w: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266,378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225,042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365,180</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266,378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225,042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365,180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373,117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378,574</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385,222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48,160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Closure of Wafer</w:t>
            </w:r>
          </w:p>
        </w:tc>
        <w:tc>
          <w:tcPr>
            <w:tcW w:w="2220" w:type="dxa"/>
            <w:vAlign w:val="bottom"/>
            <w:gridSpan w:val="4"/>
          </w:tcPr>
          <w:p>
            <w:pPr>
              <w:ind w:left="28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Fabrication Facility</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20,315</w:t>
            </w:r>
          </w:p>
        </w:tc>
        <w:tc>
          <w:tcPr>
            <w:tcW w:w="300" w:type="dxa"/>
            <w:vAlign w:val="bottom"/>
          </w:tcPr>
          <w:p>
            <w:pPr>
              <w:spacing w:after="0"/>
              <w:rPr>
                <w:sz w:val="24"/>
                <w:szCs w:val="24"/>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Fiscal 2006 Charges:</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Abandonment of equipment</w:t>
            </w:r>
          </w:p>
        </w:tc>
        <w:tc>
          <w:tcPr>
            <w:tcW w:w="12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2006 Charges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Special Charges</w:t>
            </w: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20,315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12,178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Closure of Wafer</w:t>
            </w:r>
          </w:p>
        </w:tc>
        <w:tc>
          <w:tcPr>
            <w:tcW w:w="2220" w:type="dxa"/>
            <w:vAlign w:val="bottom"/>
            <w:gridSpan w:val="4"/>
          </w:tcPr>
          <w:p>
            <w:pPr>
              <w:ind w:left="28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Fabrication Facility</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2005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20,315</w:t>
            </w: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10,708</w:t>
            </w:r>
          </w:p>
        </w:tc>
        <w:tc>
          <w:tcPr>
            <w:tcW w:w="4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Non-cash impairment charge</w:t>
            </w:r>
          </w:p>
        </w:tc>
        <w:tc>
          <w:tcPr>
            <w:tcW w:w="12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6,735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(1,111)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April 29, 2006</w:t>
            </w: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20,315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5,555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During the fourth quarter of fiscal 2005, the Company recorded a special charge of $20 million as a result of the Company’s decision to close its California wafer fabrication operations and transfer production to Company-owned fabrication facilities located in Massachusetts and Ireland, as well as to third-party wafer fabricators. The charge was for severance and fringe benefit costs that were recorded pursuant to SFAS 88, </w:t>
      </w:r>
      <w:r>
        <w:rPr>
          <w:rFonts w:ascii="Arial" w:cs="Arial" w:eastAsia="Arial" w:hAnsi="Arial"/>
          <w:sz w:val="16"/>
          <w:szCs w:val="16"/>
          <w:i w:val="1"/>
          <w:iCs w:val="1"/>
          <w:color w:val="auto"/>
        </w:rPr>
        <w:t>Employers’ Accounting for Settlements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Curtailments of Defined Benefit Pension Plans and for Termination Benefits</w:t>
      </w:r>
      <w:r>
        <w:rPr>
          <w:rFonts w:ascii="Arial" w:cs="Arial" w:eastAsia="Arial" w:hAnsi="Arial"/>
          <w:sz w:val="16"/>
          <w:szCs w:val="16"/>
          <w:color w:val="auto"/>
        </w:rPr>
        <w:t>, under the Company’s ongoing benefit plan for 339 manufacturing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28 general and administrative employees. The severance benefit is calculated based on length of past service, and employees must continue to be employed until they are involuntarily terminated in order to receive the severance benefit. As of April 29, 2006, all affected employees continue to be employed by the Company. The employment of these employees is expected to terminate upon the closure of the wafer fabrication facility which is planned for October 2006. In addition to the charge recorded in the fourth quarter of fiscal 2005, the Company recorded additional expense in each of the first and second quarters of fiscal 2006, which consisted of $5.4 million per quarter of non-cash cost of sales expenses for additional depreciation due to shortened useful lives of certain manufacturing equipment and $0.5 million per quarter for stay-on bonuses. In accordance with GAAP, the Company expects to incur additional expenses related to this action during fiscal 2006 of approximately $18.4 million, of which approximately $10.8 million will be for non-cash cost of sales expense for additional depreciation, approximately $1.6 million will be for stay-on bonuses and approximately $6.0 million will be for estimated lease termination, clean-up and closure costs. The closure of these facilities is expected to be completed by the end of fiscal 2006.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During the fourth quarter of fiscal 2005, the Company recorded a special charge of $11 million as a result of its decision to reorganize its product development and support programs with the goal of providing greater focus on its analog and DSP product programs. The charge was for severance and fringe benefit costs that were recorded pursuant to SFAS 88, </w:t>
      </w:r>
      <w:r>
        <w:rPr>
          <w:rFonts w:ascii="Arial" w:cs="Arial" w:eastAsia="Arial" w:hAnsi="Arial"/>
          <w:sz w:val="18"/>
          <w:szCs w:val="18"/>
          <w:i w:val="1"/>
          <w:iCs w:val="1"/>
          <w:color w:val="auto"/>
        </w:rPr>
        <w:t>Employers’ Accounting for Settlements and Curtailments of Defined Benefit Pension Plans and</w:t>
      </w:r>
      <w:r>
        <w:rPr>
          <w:rFonts w:ascii="Arial" w:cs="Arial" w:eastAsia="Arial" w:hAnsi="Arial"/>
          <w:sz w:val="18"/>
          <w:szCs w:val="18"/>
          <w:color w:val="auto"/>
        </w:rPr>
        <w:t xml:space="preserve"> </w:t>
      </w:r>
      <w:r>
        <w:rPr>
          <w:rFonts w:ascii="Arial" w:cs="Arial" w:eastAsia="Arial" w:hAnsi="Arial"/>
          <w:sz w:val="18"/>
          <w:szCs w:val="18"/>
          <w:i w:val="1"/>
          <w:iCs w:val="1"/>
          <w:color w:val="auto"/>
        </w:rPr>
        <w:t>for Termination Benefits</w:t>
      </w:r>
      <w:r>
        <w:rPr>
          <w:rFonts w:ascii="Arial" w:cs="Arial" w:eastAsia="Arial" w:hAnsi="Arial"/>
          <w:sz w:val="18"/>
          <w:szCs w:val="18"/>
          <w:color w:val="auto"/>
        </w:rPr>
        <w:t>, under the</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Company’s ongoing benefit plan or statutory requirements at foreign locations for 60 manufacturing employees and 154 engineering and selling, marketing and general and administrative employees. These employees must continue to be employed until they are involuntarily terminated in order to receive the severance benefit. As of April 29, 2006, the employment of 165 of these employees had been terminated. During the first quarter of fiscal 2006, the Company recorded an additional special charge of $1.0 million related to this reorganization action. This charge was for lease obligation costs for a facility the Company ceased using during the first quarter of fiscal 2006 and the write-off of property, plant and equipment at this facility. The Company does not plan to incur any material additional charges related to this reorganization action. These organizational changes are expected to be fully completed by the end of fiscal 2006.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from estimated discounted future cash flows.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2005. The Company’s next annual impairment assessment will be made in the fourth quarter of fiscal 2006.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April 29, 2006</w:t>
            </w: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29, 2005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70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color w:val="auto"/>
                <w:w w:val="99"/>
              </w:rPr>
              <w:t>Amount</w:t>
            </w:r>
          </w:p>
        </w:tc>
        <w:tc>
          <w:tcPr>
            <w:tcW w:w="680" w:type="dxa"/>
            <w:vAlign w:val="bottom"/>
            <w:gridSpan w:val="2"/>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17,423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13,567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Tradename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w:t>
            </w:r>
          </w:p>
        </w:tc>
      </w:tr>
      <w:tr>
        <w:trPr>
          <w:trHeight w:val="223"/>
        </w:trPr>
        <w:tc>
          <w:tcPr>
            <w:tcW w:w="642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21,315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20,534</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Intangible assets are amortized on a straight-line basis over their estimated useful lives, which range from five to ten years. Amortization expense related to intangibles was $0.4 million and $0.7 million for the three-month periods ended April 29, 2006 and April 30, 2005, respectively, and $0.8 million and $1.4 million for the six-month periods ended April 29, 2006 and April 30, 2005,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Years</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2"/>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2006</w:t>
            </w:r>
          </w:p>
        </w:tc>
        <w:tc>
          <w:tcPr>
            <w:tcW w:w="6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  808</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2007</w:t>
            </w:r>
          </w:p>
        </w:tc>
        <w:tc>
          <w:tcPr>
            <w:tcW w:w="7900" w:type="dxa"/>
            <w:vAlign w:val="bottom"/>
            <w:gridSpan w:val="3"/>
          </w:tcPr>
          <w:p>
            <w:pPr>
              <w:jc w:val="right"/>
              <w:ind w:right="262"/>
              <w:spacing w:after="0"/>
              <w:rPr>
                <w:sz w:val="20"/>
                <w:szCs w:val="20"/>
                <w:color w:val="auto"/>
              </w:rPr>
            </w:pPr>
            <w:r>
              <w:rPr>
                <w:rFonts w:ascii="Arial" w:cs="Arial" w:eastAsia="Arial" w:hAnsi="Arial"/>
                <w:sz w:val="18"/>
                <w:szCs w:val="18"/>
                <w:color w:val="auto"/>
              </w:rPr>
              <w:t>1,616</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90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998</w:t>
            </w:r>
          </w:p>
        </w:tc>
      </w:tr>
      <w:tr>
        <w:trPr>
          <w:trHeight w:val="40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4"/>
                <w:szCs w:val="14"/>
                <w:color w:val="auto"/>
                <w:w w:val="93"/>
              </w:rPr>
              <w:t>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8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66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2,611</w:t>
            </w: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(2,736)</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(1,876)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 or obligation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8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color w:val="auto"/>
                <w:w w:val="95"/>
              </w:rPr>
              <w:t>Six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98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66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30, 2005</w:t>
            </w:r>
          </w:p>
        </w:tc>
        <w:tc>
          <w:tcPr>
            <w:tcW w:w="100" w:type="dxa"/>
            <w:vAlign w:val="bottom"/>
          </w:tcPr>
          <w:p>
            <w:pPr>
              <w:spacing w:after="0"/>
              <w:rPr>
                <w:sz w:val="12"/>
                <w:szCs w:val="12"/>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5,166</w:t>
            </w: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(5,410)</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(3,764)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 or obligation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8,348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r>
      <w:tr>
        <w:trPr>
          <w:trHeight w:val="20"/>
        </w:trPr>
        <w:tc>
          <w:tcPr>
            <w:tcW w:w="8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Contributions of $1.9 million and $3.5 million were made by the Company during the three and six months ended April 29, 2006, respectively. The Company presently anticipates contributing an additional $3.0 million to fund its defined benefit pension plans in fiscal year 2006 for a total of $6.5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either of the three and six month periods ended April 29, 2006 and April 30, 2005.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Company’s Form 10-K filing dated November 30, 2004,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Since receiving notice of this inquiry, the Company has cooperated with the SEC and believes that the matter will be concluded in the near future. The Company and its President and CEO, Mr. Jerald G. Fishman, have made an offer of settlement to the Staff of the SEC, which is subject to agreement regarding the specific language of the SEC’s administrative order and 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settlement documents. The SEC Staff has decided to recommend the offer of settlement to the Commission. A final settlement is subject to review and approval by the Commission.</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Board of Directors and Mr. Fishman believe that it is in the best interests of the Company’s shareholders to settle this case on the proposed terms rather than face a protracted dispute with the SEC.</w:t>
      </w:r>
    </w:p>
    <w:p>
      <w:pPr>
        <w:spacing w:after="0" w:line="6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The contemplated settlement addresses two separate issues. The first issue concerns the Company’s disclosure regarding grants of options to employees and directors prior to the release of favorable financial results. Specifically, the issue relates to options granted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 on November 30, 1999 and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of the Company on November 10, 2000. The SEC settlement would conclude that the Company should have made disclosures in its proxy filings to the effect that the Company priced these stock options prior to releasing favorable financial results.</w:t>
      </w:r>
    </w:p>
    <w:p>
      <w:pPr>
        <w:spacing w:after="0" w:line="7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second issue addressed by the tentative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w:t>
      </w:r>
      <w:r>
        <w:rPr>
          <w:rFonts w:ascii="Arial" w:cs="Arial" w:eastAsia="Arial" w:hAnsi="Arial"/>
          <w:sz w:val="13"/>
          <w:szCs w:val="13"/>
          <w:color w:val="auto"/>
        </w:rPr>
        <w:t>th</w:t>
      </w:r>
      <w:r>
        <w:rPr>
          <w:rFonts w:ascii="Arial" w:cs="Arial" w:eastAsia="Arial" w:hAnsi="Arial"/>
          <w:sz w:val="16"/>
          <w:szCs w:val="16"/>
          <w:color w:val="auto"/>
        </w:rPr>
        <w:t xml:space="preserve"> (which is one trading day later than the date that was used to price the options); the appropriate grant date for the November 30, 1999 options should have been November 29</w:t>
      </w:r>
      <w:r>
        <w:rPr>
          <w:rFonts w:ascii="Arial" w:cs="Arial" w:eastAsia="Arial" w:hAnsi="Arial"/>
          <w:sz w:val="13"/>
          <w:szCs w:val="13"/>
          <w:color w:val="auto"/>
        </w:rPr>
        <w:t>th</w:t>
      </w:r>
      <w:r>
        <w:rPr>
          <w:rFonts w:ascii="Arial" w:cs="Arial" w:eastAsia="Arial" w:hAnsi="Arial"/>
          <w:sz w:val="16"/>
          <w:szCs w:val="16"/>
          <w:color w:val="auto"/>
        </w:rPr>
        <w:t xml:space="preserve"> (which is one trading day earlier than the date that was used); and the appropriate grant date for the July 18, 2001 options should have been July 26</w:t>
      </w:r>
      <w:r>
        <w:rPr>
          <w:rFonts w:ascii="Arial" w:cs="Arial" w:eastAsia="Arial" w:hAnsi="Arial"/>
          <w:sz w:val="13"/>
          <w:szCs w:val="13"/>
          <w:color w:val="auto"/>
        </w:rPr>
        <w:t>th</w:t>
      </w:r>
      <w:r>
        <w:rPr>
          <w:rFonts w:ascii="Arial" w:cs="Arial" w:eastAsia="Arial" w:hAnsi="Arial"/>
          <w:sz w:val="16"/>
          <w:szCs w:val="16"/>
          <w:color w:val="auto"/>
        </w:rPr>
        <w:t xml:space="preserve"> (which is five trading days after the original date).</w:t>
      </w:r>
    </w:p>
    <w:p>
      <w:pPr>
        <w:spacing w:after="0" w:line="5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the contemplated settlement, the Company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the net income of the Company for fiscal years 1998 through 2005 would have been reduced by $21.8 million in total. During this period, the Company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Prior to the filing of the first amended complaint, the Company was unaware of Biax or this action. The first amended complaint seeks injunctive relief, unspecified damages with interest, as well as Biax’s costs, expenses and fees. On August 3, 2005, the Company filed an answer and counterclaimed against Biax. In the counterclaim, the Company seeks rulings that the patents are not infringed, the patents are invalid and the patents are unenforceable. On November 7, 2005, Biax filed a second amended complaint alleging that the Company infringed two additional patents. The case has entered the discovery phase. The Company intends to vigorously defend against these allegations. The Company is unable at this time to predict the outcome of this litigation; however, the Company believes that the final disposition of this matter will not have a material adverse effect on the Company or its financial position.</w:t>
      </w:r>
    </w:p>
    <w:p>
      <w:pPr>
        <w:spacing w:after="0" w:line="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November 6, 2003, Enron Corporation commenced a proceeding in the United States Bankruptcy Court for the Southern District of New York. On December 1, 2003, Enron filed an amended complaint to add the Company as a defendant in such</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denied by order dated June 30, 2005. The Company intends to vigorously defend against these claims. Although the Company believes it has meritorious defenses to the asserted claims, it is unable at this time to predict the outcome of this proceeding. The Company believes that the final disposition of this matter will not have a material adverse effect on the Company or its financial position.</w:t>
      </w:r>
    </w:p>
    <w:p>
      <w:pPr>
        <w:spacing w:after="0" w:line="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 is currently under routine audit by United States Internal Revenue Service (the IRS) for fiscal years 2001, 2002 and 2003. The audit has not been completed and the IRS has not issued a report on its audit. However, during February 2006, the IRS issued proposed adjustments to the Company and based on these proposed adjustments, the Company does not expect that the final outcome of this audit will have a material impact on the Company or its financial position. The Company’s income tax payable at April 29, 2006 was approximately $220 million, which included approximately $131 million for U.S. federal and state income taxes and foreign income taxes for all open tax years.</w:t>
      </w:r>
    </w:p>
    <w:p>
      <w:pPr>
        <w:spacing w:after="0" w:line="6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April 2006, the Company received a demand from a purported shareholder to inspect the Company’s books and records relating to certain grants of options made to directors and officers of the Company at diverse times. The Company intends to respond to this demand in due course.</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2006, the Company received a demand from a purported shareholder with respect to certain grants of options made to directors and officers of the Company during the years 1998, 1999 and 2001. That demand seeks, among other things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commencement of an action by the directors of the Company on behalf of the Company against those directors and officers for breach of fiduciary duties arising from the granting of the options. The Company intends to respond to this demand in due course.</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or about May 5, 2006, Mr. Gregory Bender filed a complaint for patent infringement in the U.S. District Court for the Eastern District of Texas against the Company, Civil Action Number 2:06-CV-192. Prior to the filing of the complaint, the Company was unaware of Mr. Bender or this action. In his complaint, Mr. Bender alleges that certain of the Company’s amplifier products infringe a patent Mr. Bender owns. He seeks unspecified damages as well as a permanent injunction enjoining the Company from infringing his patent. Mr. Bender has not yet served his complaint on the Company. The Company intends to vigorously defend against these allegations. The Company cannot predict the outcome of this matter, but believes that the disposition of the matter will not have a material adverse effect on the Company or its financial position.</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2004, the Company’s Board of Directors approved the repurchase of up to $500 million of the Company’s common stock. On May 11, 2005, the Company’s Board of Directors amended the stock repurchase program by increasing the total amount of the Company’s common stock the Company is authorized to repurchase from $500 million to $1 billion of common stock. On March 14, 2006, the Board of Directors authorized the repurchase by the Company of an additional $1 billion of the Company’s common stock, increasing the total amount of the Company’s common stock the Company can repurchase from $1 billion to $2 billion of the Company’s common stock. Under the repurchase program, the Company may repurchase outstanding shares of its common stock from time to time in the open market and through privately negotiated transactions.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Unless terminated earlier by resolution of the Company’s Board of Directors, the repurchase program will expire when the Company has repurchased all shares authorized under the program. The Company repurchased a total of 6.2 million shares for approximately $238 million during the second quarter of fiscal 2006. As of April 29, 2006, the Company had repurchased approximately 28 million shares of its common stock for approximately $1,025 million under this program. The repurchased shares are held as authorized but unissued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of the Company’s directors are affiliated with companies that sell products to the Company. One of the Company’s directors, who has served on the Company’s Board of Directors since 1988, became a director of Taiwan Semiconductor Manufacturing Company, or TSMC, in fiscal 2002 and currently serves as a director of TSMC. The Company purchased approximately $78 million and $52 million of products from TSMC during the three-month periods ended April 29, 2006 and April 30, 2005, respectively, and approximately $141 million and $122 million in the six-month periods ended April 29, 2006 and April 30, 2005, respectively. Approximately $30 million and $27 million was payable to TSMC as of April 29, 2006 and October 29, 2005, respectively. The Company anticipates that it will make significant purchases from TSMC in the remaining quarters of fiscal year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May 2005, the Financial Accounting Standards Board (FASB) issued Statement of Financial Accounting Standards (SFAS) No. 154,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Error Corrections </w:t>
      </w:r>
      <w:r>
        <w:rPr>
          <w:rFonts w:ascii="Arial" w:cs="Arial" w:eastAsia="Arial" w:hAnsi="Arial"/>
          <w:sz w:val="16"/>
          <w:szCs w:val="16"/>
          <w:color w:val="auto"/>
        </w:rPr>
        <w:t>(SFAS 154) which supersedes APB Opinion No. 20,</w:t>
      </w:r>
      <w:r>
        <w:rPr>
          <w:rFonts w:ascii="Arial" w:cs="Arial" w:eastAsia="Arial" w:hAnsi="Arial"/>
          <w:sz w:val="16"/>
          <w:szCs w:val="16"/>
          <w:i w:val="1"/>
          <w:iCs w:val="1"/>
          <w:color w:val="auto"/>
        </w:rPr>
        <w:t xml:space="preserve"> Accounting Changes </w:t>
      </w:r>
      <w:r>
        <w:rPr>
          <w:rFonts w:ascii="Arial" w:cs="Arial" w:eastAsia="Arial" w:hAnsi="Arial"/>
          <w:sz w:val="16"/>
          <w:szCs w:val="16"/>
          <w:color w:val="auto"/>
        </w:rPr>
        <w:t>and SFAS No. 3,</w:t>
      </w:r>
      <w:r>
        <w:rPr>
          <w:rFonts w:ascii="Arial" w:cs="Arial" w:eastAsia="Arial" w:hAnsi="Arial"/>
          <w:sz w:val="16"/>
          <w:szCs w:val="16"/>
          <w:i w:val="1"/>
          <w:iCs w:val="1"/>
          <w:color w:val="auto"/>
        </w:rPr>
        <w:t xml:space="preserve"> Reporting Accounting Changes in Interim Financial Statements. </w:t>
      </w:r>
      <w:r>
        <w:rPr>
          <w:rFonts w:ascii="Arial" w:cs="Arial" w:eastAsia="Arial" w:hAnsi="Arial"/>
          <w:sz w:val="16"/>
          <w:szCs w:val="16"/>
          <w:color w:val="auto"/>
        </w:rPr>
        <w:t>SFAS 154 provides guidance on the accounting for and reporting of accounting changes and error corrections. It establishes, unless</w:t>
      </w:r>
      <w:r>
        <w:rPr>
          <w:rFonts w:ascii="Arial" w:cs="Arial" w:eastAsia="Arial" w:hAnsi="Arial"/>
          <w:sz w:val="16"/>
          <w:szCs w:val="16"/>
          <w:i w:val="1"/>
          <w:iCs w:val="1"/>
          <w:color w:val="auto"/>
        </w:rPr>
        <w:t xml:space="preserve"> </w:t>
      </w:r>
      <w:r>
        <w:rPr>
          <w:rFonts w:ascii="Arial" w:cs="Arial" w:eastAsia="Arial" w:hAnsi="Arial"/>
          <w:sz w:val="16"/>
          <w:szCs w:val="16"/>
          <w:color w:val="auto"/>
        </w:rPr>
        <w:t>impractical,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SFAS 154 and is effective for accounting changes and corrections of errors made in fiscal years beginning after December 15, 2005. The Company does not expect the adoption of SFAS 154 to have a material impact on the Company’s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2005, the FASB issued FASB Interpretation No. 47, </w:t>
      </w:r>
      <w:r>
        <w:rPr>
          <w:rFonts w:ascii="Arial" w:cs="Arial" w:eastAsia="Arial" w:hAnsi="Arial"/>
          <w:sz w:val="17"/>
          <w:szCs w:val="17"/>
          <w:i w:val="1"/>
          <w:iCs w:val="1"/>
          <w:color w:val="auto"/>
        </w:rPr>
        <w:t>Accounting for Conditional Asset Retirement Obligations – an interpretation of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143 </w:t>
      </w:r>
      <w:r>
        <w:rPr>
          <w:rFonts w:ascii="Arial" w:cs="Arial" w:eastAsia="Arial" w:hAnsi="Arial"/>
          <w:sz w:val="17"/>
          <w:szCs w:val="17"/>
          <w:color w:val="auto"/>
        </w:rPr>
        <w:t>(FIN 47)</w:t>
      </w:r>
      <w:r>
        <w:rPr>
          <w:rFonts w:ascii="Arial" w:cs="Arial" w:eastAsia="Arial" w:hAnsi="Arial"/>
          <w:sz w:val="17"/>
          <w:szCs w:val="17"/>
          <w:i w:val="1"/>
          <w:iCs w:val="1"/>
          <w:color w:val="auto"/>
        </w:rPr>
        <w:t xml:space="preserve">. </w:t>
      </w:r>
      <w:r>
        <w:rPr>
          <w:rFonts w:ascii="Arial" w:cs="Arial" w:eastAsia="Arial" w:hAnsi="Arial"/>
          <w:sz w:val="17"/>
          <w:szCs w:val="17"/>
          <w:color w:val="auto"/>
        </w:rPr>
        <w:t>FIN 47 clarifies that the term “conditional asset retirement obligation” as used in SFAS 143,</w:t>
      </w:r>
      <w:r>
        <w:rPr>
          <w:rFonts w:ascii="Arial" w:cs="Arial" w:eastAsia="Arial" w:hAnsi="Arial"/>
          <w:sz w:val="17"/>
          <w:szCs w:val="17"/>
          <w:i w:val="1"/>
          <w:iCs w:val="1"/>
          <w:color w:val="auto"/>
        </w:rPr>
        <w:t xml:space="preserve"> Accounting for Asset Retirement Obligations, </w:t>
      </w:r>
      <w:r>
        <w:rPr>
          <w:rFonts w:ascii="Arial" w:cs="Arial" w:eastAsia="Arial" w:hAnsi="Arial"/>
          <w:sz w:val="17"/>
          <w:szCs w:val="17"/>
          <w:color w:val="auto"/>
        </w:rPr>
        <w:t>and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 is currently analyzing FIN 47 and believes the adoption of FIN 47 will not have a material impact on the Company’s financial condition, results of operations or liquidity.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In November 2004, the FASB issued SFAS No. 151, </w:t>
      </w:r>
      <w:r>
        <w:rPr>
          <w:rFonts w:ascii="Arial" w:cs="Arial" w:eastAsia="Arial" w:hAnsi="Arial"/>
          <w:sz w:val="16"/>
          <w:szCs w:val="16"/>
          <w:i w:val="1"/>
          <w:iCs w:val="1"/>
          <w:color w:val="auto"/>
        </w:rPr>
        <w:t>Inventory Costs, an amendment of Accounting Research Bulletin (ARB) No. 43, Chapter 4</w:t>
      </w:r>
      <w:r>
        <w:rPr>
          <w:rFonts w:ascii="Arial" w:cs="Arial" w:eastAsia="Arial" w:hAnsi="Arial"/>
          <w:sz w:val="16"/>
          <w:szCs w:val="16"/>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beginning after June 15, 2005. The adoption of SFAS 151 in the first quarter of fiscal 2006 did not impact the Company’s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Deferred Compensation Plan Investments and Liability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certain provisions of the American Jobs Creation Act, participants had the opportunity until December 31, 2005 to elect to withdraw amounts previously deferred under the Company’s Deferred Compensation Plan. As a result of withdrawals pursuant to elections under these provisions or upon termination of their employment with the Company, participants withdrew approximately $254.1 million of deferred compensation during the first six months of fiscal 2006. This amount represented compensation and/or stock option gains previously deferred by those participants pursuant to the terms of the Deferred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Gain on Sale of Product Line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second quarter of fiscal 2006, on February 21, 2006, the Company completed the sale to Ikanos Communications, Inc. of its DSP-based digital subscriber line (DSL) application-specific integrated circuit (ASIC) and network processor product line. The Company received approximately $23.1 million in cash for the product line and after providing for the write-off of inventory, fixed assets and other costs incurred to complete the transaction, recorded a net gain of approximately $13.0 million in nonoperating income during the second quarter of fiscal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3, 2006, the Company reached an agreement with TTPCom Limited, or TTPCom, under which TTPCom will transfer to the Company intellectual property, engineering resources, and related assets associated with the support and customization of TTPCom GSM/GPRS/EDGE modem software specifically for use on the Company’s products. The agreement grants the Company the right to distribute directly TTPCom’s modem software for use on the Company’s SoftFone baseband products and provides development rights for AJAR, TTPCom’s advanced applications platform. The transaction is valued at approximately $23 million, payable in cash, of which $11 million will be paid at closing and the balance will be payable after completion of certain technical milestones, and is expected to be completed during the Company’s third fiscal quarter of 2006.</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10, 2006, the Company’s Board of Directors declared a cash dividend of $0.16 per outstanding share of common stock. The dividend will be paid on June 14, 2006 to all shareholders of record at the close of business on May 26, 2006.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29, 2005.</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Quarterly Report on Form 10-Q, including the section below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our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April 29, 2006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April 30, 2005</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April 29, 2006</w:t>
            </w:r>
          </w:p>
        </w:tc>
        <w:tc>
          <w:tcPr>
            <w:tcW w:w="3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April 30, 2005</w:t>
            </w:r>
          </w:p>
        </w:tc>
        <w:tc>
          <w:tcPr>
            <w:tcW w:w="280" w:type="dxa"/>
            <w:vAlign w:val="bottom"/>
          </w:tcPr>
          <w:p>
            <w:pPr>
              <w:spacing w:after="0"/>
              <w:rPr>
                <w:sz w:val="12"/>
                <w:szCs w:val="12"/>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643,872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603,726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1,265,174</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1,184,262</w:t>
            </w:r>
          </w:p>
        </w:tc>
        <w:tc>
          <w:tcPr>
            <w:tcW w:w="2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Gross Margin %</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145,821</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117,599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266,378</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225,042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a % of Sales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sales in the second quarter of fiscal 2006 increased by $40.1 million, or 6.6%, from the amount recorded in the second quarter of fiscal 2005. Net sales increased $80.9 million, or 6.8%, in the six months ended April 29, 2006 from the comparable period in fiscal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Revenues from products sold into the industrial end markets (which includes factory automation, scientific and medical instrumentation, semiconductor automatic test equipment (ATE), defense electronics and automotive applications) increased 7% in the second quarter of fiscal 2006 compared to the first quarter of fiscal 2006. Revenue from this end market increased 13% and 15% in the three and six months ended April 29, 2006, respectively, as compared to the same periods of fiscal 2005. These increases reflect a broad based recovery in demand for our products across a wide range of our customers in this end market. The industrial end market represented approximately 42% of our total revenue in the second quarter of fiscal 2006.</w:t>
      </w:r>
    </w:p>
    <w:p>
      <w:pPr>
        <w:spacing w:after="0" w:line="5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Revenues from products sold into the consumer end markets increased 14% in the second quarter of fiscal 2006 compared to the first quarter of fiscal 2006. Revenue from this end market increased 13% and 16% in the three and six months ended April 29, 2006, respectively, as compared to the same periods of fiscal 2005. These increases were primarily the result of the success of our products in digital camera applications and to a lesser extent in a broad array of audio and video applications. The consumer end market represented approximately 17% of our total revenue in the second quarter of fiscal 2006.</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Revenues from products sold into the communications end markets were essentially flat in the second quarter of fiscal 2006 compared to the first quarter of fiscal 2006. Revenue from this end market was also essentially flat in the three and six months ended April 29, 2006 as compared to the same periods of fiscal 2005. Wireless infrastructure product revenues remained strong and represented the highest growth in the second quarter of fiscal 2006 in this market, increasing 11%, as compared to the first quarter of fiscal 2006. Revenue from wireless infrastructure products increased 3% in both the three and six months ended April 29, 2006, respectively, as compared to the same periods of fiscal 2005. Wireless handsets increased slightly in the second quarter of fiscal 2006 compared to the first quarter of fiscal 2006 and declined slightly during the three and six months ended April 29, 2006 as compared to the same periods of fiscal 2005. Networking product revenues declined 24% in the second quarter of fiscal 2006 as compared to the first quarter of fiscal 2006. Networking product revenues declined 26% and 17% in the three and six months ended April 29, 2006, respectively, as compared to the same periods of fiscal 2005. The decline in revenue from products sold into the networking end market was expected and was due to the sale of our DSP-based DSL ASIC and network processor product line (representing approximately $12.0 million and $20.1 million of the decline in the three and six months ended April 29, 2006 as compared to the same periods in the prior year). The communications end market represented approximately 29% of our total revenues in the second quarter of fiscal 2006.</w:t>
      </w:r>
    </w:p>
    <w:p>
      <w:pPr>
        <w:spacing w:after="0" w:line="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products sold into the computer end markets declined 8% in the second quarter of fiscal 2006 as compared to the first quarter of fiscal 2006 and remained flat as compared to the same period of fiscal 2005. Revenue from this end market decreased 6% in the six months ended April 29, 2006 as compared to the same period of fiscal 2005. The computer end market represented approximately 12% of our total revenue in the second quarter of fiscal 2006.</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30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800" w:type="dxa"/>
            <w:vAlign w:val="bottom"/>
            <w:vMerge w:val="restart"/>
          </w:tcPr>
          <w:p>
            <w:pPr>
              <w:spacing w:after="0"/>
              <w:rPr>
                <w:sz w:val="20"/>
                <w:szCs w:val="20"/>
                <w:color w:val="auto"/>
              </w:rPr>
            </w:pPr>
            <w:r>
              <w:rPr>
                <w:rFonts w:ascii="Arial" w:cs="Arial" w:eastAsia="Arial" w:hAnsi="Arial"/>
                <w:sz w:val="18"/>
                <w:szCs w:val="18"/>
                <w:color w:val="auto"/>
              </w:rPr>
              <w:t>Analog products as a % of sales</w:t>
            </w:r>
          </w:p>
        </w:tc>
        <w:tc>
          <w:tcPr>
            <w:tcW w:w="150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w w:val="92"/>
              </w:rPr>
              <w:t>April 29, 2006</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April 30, 2005</w:t>
            </w:r>
          </w:p>
        </w:tc>
        <w:tc>
          <w:tcPr>
            <w:tcW w:w="78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April 29, 2006</w:t>
            </w:r>
          </w:p>
        </w:tc>
        <w:tc>
          <w:tcPr>
            <w:tcW w:w="11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w w:val="92"/>
              </w:rPr>
              <w:t>April 30, 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vMerge w:val="continue"/>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640" w:type="dxa"/>
            <w:vAlign w:val="bottom"/>
            <w:gridSpan w:val="2"/>
          </w:tcPr>
          <w:p>
            <w:pPr>
              <w:jc w:val="right"/>
              <w:ind w:right="620"/>
              <w:spacing w:after="0" w:line="195" w:lineRule="exact"/>
              <w:rPr>
                <w:sz w:val="20"/>
                <w:szCs w:val="20"/>
                <w:color w:val="auto"/>
              </w:rPr>
            </w:pPr>
            <w:r>
              <w:rPr>
                <w:rFonts w:ascii="Arial" w:cs="Arial" w:eastAsia="Arial" w:hAnsi="Arial"/>
                <w:sz w:val="18"/>
                <w:szCs w:val="18"/>
                <w:color w:val="auto"/>
              </w:rPr>
              <w:t>84%</w:t>
            </w:r>
          </w:p>
        </w:tc>
        <w:tc>
          <w:tcPr>
            <w:tcW w:w="166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81%</w:t>
            </w:r>
          </w:p>
        </w:tc>
        <w:tc>
          <w:tcPr>
            <w:tcW w:w="1320" w:type="dxa"/>
            <w:vAlign w:val="bottom"/>
            <w:gridSpan w:val="2"/>
          </w:tcPr>
          <w:p>
            <w:pPr>
              <w:ind w:left="680"/>
              <w:spacing w:after="0" w:line="195" w:lineRule="exact"/>
              <w:rPr>
                <w:sz w:val="20"/>
                <w:szCs w:val="20"/>
                <w:color w:val="auto"/>
              </w:rPr>
            </w:pPr>
            <w:r>
              <w:rPr>
                <w:rFonts w:ascii="Arial" w:cs="Arial" w:eastAsia="Arial" w:hAnsi="Arial"/>
                <w:sz w:val="18"/>
                <w:szCs w:val="18"/>
                <w:color w:val="auto"/>
              </w:rPr>
              <w:t>83%</w:t>
            </w:r>
          </w:p>
        </w:tc>
        <w:tc>
          <w:tcPr>
            <w:tcW w:w="320" w:type="dxa"/>
            <w:vAlign w:val="bottom"/>
            <w:vMerge w:val="continue"/>
          </w:tcPr>
          <w:p>
            <w:pPr>
              <w:spacing w:after="0"/>
              <w:rPr>
                <w:sz w:val="16"/>
                <w:szCs w:val="16"/>
                <w:color w:val="auto"/>
              </w:rPr>
            </w:pPr>
          </w:p>
        </w:tc>
        <w:tc>
          <w:tcPr>
            <w:tcW w:w="10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DSP products as a % of sales</w:t>
            </w:r>
          </w:p>
        </w:tc>
        <w:tc>
          <w:tcPr>
            <w:tcW w:w="3140" w:type="dxa"/>
            <w:vAlign w:val="bottom"/>
            <w:gridSpan w:val="3"/>
          </w:tcPr>
          <w:p>
            <w:pPr>
              <w:jc w:val="right"/>
              <w:ind w:right="620"/>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analog product sales were higher by 11% in both the three and six month periods ended April 29, 2006, as compared to the same periods of fiscal 2005 as a result of increases in sales of converter and amplifier products. Our DSP product sales were lower by 10% and 9% for the three and six month periods ended April 29, 2006, respectively, from the comparable periods of fiscal 2005, primarily due to the sale of the DSP-based DSL ASIC and network processor product line.</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dollars and percentage of sales by geographic region, based upon point of sale, for the three and six month periods ended April 29, 2006 and April 30, 2005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April 29, 2006</w:t>
            </w:r>
          </w:p>
        </w:tc>
        <w:tc>
          <w:tcPr>
            <w:tcW w:w="3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April 30, 2005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April 29, 2006</w:t>
            </w:r>
          </w:p>
        </w:tc>
        <w:tc>
          <w:tcPr>
            <w:tcW w:w="320" w:type="dxa"/>
            <w:vAlign w:val="bottom"/>
          </w:tcPr>
          <w:p>
            <w:pPr>
              <w:spacing w:after="0"/>
              <w:rPr>
                <w:sz w:val="12"/>
                <w:szCs w:val="12"/>
                <w:color w:val="auto"/>
              </w:rPr>
            </w:pPr>
          </w:p>
        </w:tc>
        <w:tc>
          <w:tcPr>
            <w:tcW w:w="92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2"/>
              </w:rPr>
              <w:t>April 30, 2005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165,719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322,261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139,550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121,315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113,712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237,332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87,135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61,180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130,153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137,765</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264,959</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April 29, 2006</w:t>
            </w:r>
          </w:p>
        </w:tc>
        <w:tc>
          <w:tcPr>
            <w:tcW w:w="3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April 30, 2005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April 29, 2006</w:t>
            </w:r>
          </w:p>
        </w:tc>
        <w:tc>
          <w:tcPr>
            <w:tcW w:w="3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April 30, 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380,671</w:t>
            </w:r>
          </w:p>
        </w:tc>
        <w:tc>
          <w:tcPr>
            <w:tcW w:w="640" w:type="dxa"/>
            <w:vAlign w:val="bottom"/>
          </w:tcPr>
          <w:p>
            <w:pPr>
              <w:spacing w:after="0"/>
              <w:rPr>
                <w:sz w:val="16"/>
                <w:szCs w:val="16"/>
                <w:color w:val="auto"/>
              </w:rPr>
            </w:pPr>
          </w:p>
        </w:tc>
        <w:tc>
          <w:tcPr>
            <w:tcW w:w="36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346,399</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741,458</w:t>
            </w:r>
          </w:p>
        </w:tc>
        <w:tc>
          <w:tcPr>
            <w:tcW w:w="64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681,927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59.1%</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Gross margin increased 170 basis points in the second quarter of fiscal 2006 compared to the second quarter of fiscal 2005 and increased 100 basis points for the six months ended April 29, 2006 compared to the same period of fiscal 2005. These increases in gross margin were primarily the result of the increased sales of higher margin products during the first six months of fiscal 2006 as compared to the same periods in the prior year but were partially offset by stock-based compensation expense and restructuring-related expense during the first six months of fiscal 2006. Gross margin included $6.9 and $13.7 million of stock-based compensation expenses and restructuring-related expenses in the second quarter of fiscal 2006 and the six months ended April 29, 2006,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by the use of the Black-Scholes valuation model. The Black-Scholes valuation model requires us to make several assumptions. One of the key assumptions is expected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during which our stock price experienced unprecedented increases and subsequent declines. We believe that this past stock price volatility is unlikely to be indicative of future stock price behavior.</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second quarter of fiscal 2006, we recognized $17.0 million of stock-based compensation expense, or 2.6% of net sales, as a result of the adoption of SFAS 123R. The adoption of SFAS 123R reduced diluted EPS for the second quarter of fiscal 2006 by $0.03. For the six months ended April 29, 2006, we recognized $37.6 million of stock-based compensation expense, or 3.0% of net sales, as a result of the adoption of SFAS 123R. The adoption of SFAS 123R reduced diluted EPS for the six month period ended April 29, 2006 by $0.07.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adoption of SFAS 123R will reduce diluted EPS by $0.03 in each of the remaining quarters of fiscal 2006.</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Prior to the adoption of SFAS 123R, we accounted for share-based payments to employees using APB Opinion No. 25’s,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intrinsic value method and, as such, generally recognized no compensation cost for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employee stock options. The adoption of SFAS 123R under the modified prospective application method allowed us to recognize compensation cost beginning with the effective date (a) based on the requirement of SFAS 123R for all share-based payments granted after the effective date and (b) based on the requirements of SFAS 123 for all awards granted to employees prior to the effective date of SFAS 123R that remain unvested on the effective date. Under the modified prospective application method, prior periods are not restated for the effect of SFAS 123R. We used the graded attribution method to recognize expense for all options granted prior to the adoption of SFAS 123R. Upon adoption of SFAS 123R on October 30, 2005, we switched to the straight-line attribution method to recognize expense for all grants made after October 29, 2005. The expense associated with the unvested portion of the pre-adoption grants will continue to be expensed using the graded attribution method.</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Prior to the adoption of SFAS 123R, on October 18, 2005, we accelerated the vesting of all unvested stock options awarded to employees after December 31, 2000 that had exercise prices of $40.00 per share or greater. Options issued to our corporate officers and directors were not accelerated. Unvested options to purchase approximately 18 million shares became exercisable as a result of the vesting acceleration. Because the exercise price of all the modified options was greater than the market price of our underlying common stock on the date of the modification, no stock-based compensation expense was recorded in the statement of income in accordance with APB Opinion No. 25. The primary purpose for modifying the terms of these out-of-the-money stock options to accelerate their vesting was to eliminate the need to recognize the remaining unrecognized non-cash compensation expense in our statement of income associated with these stock options as measured under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The approximately $188 million ($134 million net of tax) of future expense associated with these options would have been disproportionately high compared to the economic value of the options at the date of modification.</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April 29, 2006, the total compensation cost related to unvested awards not yet recognized in the statement of income was approximately $192.8 million, which will be recognized over a weighted average period of 1.8 years.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Note 2 to our Consolidated Financial Statements contained in Item 1 of this Quarterly Report on Form 10-Q for further information regarding our adoption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April 29, 2006</w:t>
            </w:r>
          </w:p>
        </w:tc>
        <w:tc>
          <w:tcPr>
            <w:tcW w:w="3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April 30, 2005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April 29, 2006</w:t>
            </w:r>
          </w:p>
        </w:tc>
        <w:tc>
          <w:tcPr>
            <w:tcW w:w="3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April 30, 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131,848</w:t>
            </w:r>
          </w:p>
        </w:tc>
        <w:tc>
          <w:tcPr>
            <w:tcW w:w="640" w:type="dxa"/>
            <w:vAlign w:val="bottom"/>
          </w:tcPr>
          <w:p>
            <w:pPr>
              <w:spacing w:after="0"/>
              <w:rPr>
                <w:sz w:val="16"/>
                <w:szCs w:val="16"/>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126,642</w:t>
            </w:r>
          </w:p>
        </w:tc>
        <w:tc>
          <w:tcPr>
            <w:tcW w:w="64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263,136</w:t>
            </w:r>
          </w:p>
        </w:tc>
        <w:tc>
          <w:tcPr>
            <w:tcW w:w="6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254,176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R&amp;D Expenses as a % of Net Sales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Research and development, or R&amp;D, expenses increased $5.2 million, or 4.1%, in the second quarter of fiscal 2006 as compared to the second quarter of fiscal 2005. The increase in R&amp;D expenses for the three months ended April 29, 2006 as compared to the same period in fiscal year 2005 was primarily the result of recognizing $8.3 million of stock-based compensation expense in the second quarter of fiscal 2006 as the result of the adoption of SFAS 123R, along with an increase in employee bonus expenses. These items were partially offset by the reductions of various other expenses.</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R&amp;D expense increased $9.0 million, or 3.5%, in the first six months of fiscal 2006 compared to the amount recorded in the comparable period of fiscal 2005 primarily due to recognizing $17.8 million of stock-based compensation expense in the first six-months of fiscal 2006 as the result of the adoption of SFAS 123R, along with an increase in employee bonus expenses. These items were partially offset by the reductions of various other expenses.</w:t>
      </w:r>
    </w:p>
    <w:p>
      <w:pPr>
        <w:spacing w:after="0" w:line="5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R&amp;D expense as a percentage of net sales will fluctuate from quarter to quarter depending on the amount of net sales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April 29, 2006</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30, 2005</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April 29, 2006</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97,432</w:t>
            </w:r>
          </w:p>
        </w:tc>
        <w:tc>
          <w:tcPr>
            <w:tcW w:w="66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85,813</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193,713</w:t>
            </w:r>
          </w:p>
        </w:tc>
        <w:tc>
          <w:tcPr>
            <w:tcW w:w="660" w:type="dxa"/>
            <w:vAlign w:val="bottom"/>
          </w:tcPr>
          <w:p>
            <w:pPr>
              <w:spacing w:after="0"/>
              <w:rPr>
                <w:sz w:val="16"/>
                <w:szCs w:val="16"/>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169,154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SMG&amp;A Expenses as a % of Net Sales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Selling, marketing, general and administrative, or SMG&amp;A, expenses increased $11.6 million, or 13.5%, in the second quarter of fiscal 2006 as compared to the second quarter of fiscal 2005. This increase was primarily the result of recording $7.7 million of stock-based compensation expense related to the adoption of SFAS 123R along with higher employee salary, benefit and bonus expenses in the second quarter of fiscal 2006. SMG&amp;A expenses increased $24.6 million, or 14.5%, in the first six months of fiscal 2006 as compared to the comparable period of fiscal 2005. This increase was primarily the result of recording $17.8 million of stock-based compensation expense as the result of the adoption of SFAS 123R along with higher employee salary, benefit and bonus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Closure of Wafer Fabrication Facility - </w:t>
      </w:r>
      <w:r>
        <w:rPr>
          <w:rFonts w:ascii="Arial" w:cs="Arial" w:eastAsia="Arial" w:hAnsi="Arial"/>
          <w:sz w:val="16"/>
          <w:szCs w:val="16"/>
          <w:color w:val="auto"/>
        </w:rPr>
        <w:t>During the fourth quarter of fiscal 2005, we recorded a special charge of $20 million as a result of a decision to close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California wafer fabrication operations and transfer production to our facilities located in Massachusetts and Ireland, as well as to third-party wafer fabricators. The charge was for severance and fringe benefit costs that were recorded pursuant to SFAS 88, </w:t>
      </w:r>
      <w:r>
        <w:rPr>
          <w:rFonts w:ascii="Arial" w:cs="Arial" w:eastAsia="Arial" w:hAnsi="Arial"/>
          <w:sz w:val="16"/>
          <w:szCs w:val="16"/>
          <w:i w:val="1"/>
          <w:iCs w:val="1"/>
          <w:color w:val="auto"/>
        </w:rPr>
        <w:t>Employers’ Accounting for Settlements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Curtailments of Defined Benefit Pension Plans and for Termination Benefits</w:t>
      </w:r>
      <w:r>
        <w:rPr>
          <w:rFonts w:ascii="Arial" w:cs="Arial" w:eastAsia="Arial" w:hAnsi="Arial"/>
          <w:sz w:val="16"/>
          <w:szCs w:val="16"/>
          <w:color w:val="auto"/>
        </w:rPr>
        <w:t>, under our ongoing benefit plan for 339 manufacturing employees and 28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and administrative employees. The severance benefit is calculated based on length of past service, and employees must continue to be employed until they are involuntarily terminated in order to receive the severance benefit . As of April 29, 2006, all affected employees continue to be employed by us. The employment of these employees is expected to terminate upon the closure of the wafer fabrication facility, which is planned for October 2006. In addition to the charge recorded in the fourth quarter of fiscal 2005, we recorded additional expense in each of the first two quarters of fiscal 2006, which consisted of $5.4 million per quarter of non-cash cost of sales expenses for additional depreciation due to shortened useful lives of certain manufacturing equipment and $0.5 million per quarter for stay-on bonuses. In accordance with GAAP, we expect to incur additional expenses related to this action during fiscal 2006 of approximately $18.4 million, of which approximately $10.8 million will be for non-cash cost of sales expense for additional depreciation, approximately $1.6 million will be for stay-on bonuses and approximately $6.0 million will be for estimated lease termination, clean-up and closure costs. The closure of these facilities is expected to be completed by the end of fiscal 2006 and is estimated to result in cost savings of approximately $44 million per year beginning in fiscal 2007. These savings are expected to be realized as follows: approximately $43 million in cost of sales, of which approximately $7 million relates to non-cash depreciation savings, and approximately $1 million in selling, marketing, general and administrative expense.</w:t>
      </w:r>
    </w:p>
    <w:p>
      <w:pPr>
        <w:spacing w:after="0" w:line="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Reorganization of Product Development and Support Programs - </w:t>
      </w:r>
      <w:r>
        <w:rPr>
          <w:rFonts w:ascii="Arial" w:cs="Arial" w:eastAsia="Arial" w:hAnsi="Arial"/>
          <w:sz w:val="17"/>
          <w:szCs w:val="17"/>
          <w:color w:val="auto"/>
        </w:rPr>
        <w:t>During the fourth quarter of fiscal 2005, we recorded a special charge of $11 million as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 of our decision to reorganize our product development and support programs with the goal of providing greater focus on our analog and DSP product programs. The charge was for severance and fringe benefit costs that were recorded pursuant to SFAS 88, </w:t>
      </w:r>
      <w:r>
        <w:rPr>
          <w:rFonts w:ascii="Arial" w:cs="Arial" w:eastAsia="Arial" w:hAnsi="Arial"/>
          <w:sz w:val="17"/>
          <w:szCs w:val="17"/>
          <w:i w:val="1"/>
          <w:iCs w:val="1"/>
          <w:color w:val="auto"/>
        </w:rPr>
        <w:t>Employers’ Accounting for Settlements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Curtailments of Defined Benefit Pension Plans and for Termination Benefits</w:t>
      </w:r>
      <w:r>
        <w:rPr>
          <w:rFonts w:ascii="Arial" w:cs="Arial" w:eastAsia="Arial" w:hAnsi="Arial"/>
          <w:sz w:val="17"/>
          <w:szCs w:val="17"/>
          <w:color w:val="auto"/>
        </w:rPr>
        <w:t>, under our ongoing benefit plan or statutory requirements at foreign locations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60 manufacturing employees and 154 engineering and selling, marketing, general and administrative employees. These employees must continue to be employed until they are involuntarily terminated in order to receive the severance benefit. As of April 29, 2006, the employment of 165 of these employees had been terminated. During the first quarter of fiscal 2006, we recorded an additional special charge of $1 million related to this reorganization action. This charge was for lease obligation costs for a facility we ceased using during the first quarter of fiscal 2006 and the write-off of property, plant and equipment at this facility. We do not plan to incur any material additional charges related to this reorganization action. These organizational changes are expected to result in savings of approximately $19 million per year once fully completed by the end of fiscal 2006. These savings are expected to be realized as follows: approximately $9 million in research and development expense, approximately $6 million in selling, marketing, general and administrative expense and approximately $4 million in cost of sales.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April 29, 2006</w:t>
            </w:r>
          </w:p>
        </w:tc>
        <w:tc>
          <w:tcPr>
            <w:tcW w:w="3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April 30, 2005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April 29, 2006</w:t>
            </w:r>
          </w:p>
        </w:tc>
        <w:tc>
          <w:tcPr>
            <w:tcW w:w="3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April 30, 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151,391</w:t>
            </w:r>
          </w:p>
        </w:tc>
        <w:tc>
          <w:tcPr>
            <w:tcW w:w="640" w:type="dxa"/>
            <w:vAlign w:val="bottom"/>
          </w:tcPr>
          <w:p>
            <w:pPr>
              <w:spacing w:after="0"/>
              <w:rPr>
                <w:sz w:val="16"/>
                <w:szCs w:val="16"/>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133,944</w:t>
            </w:r>
          </w:p>
        </w:tc>
        <w:tc>
          <w:tcPr>
            <w:tcW w:w="64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283,596</w:t>
            </w:r>
          </w:p>
        </w:tc>
        <w:tc>
          <w:tcPr>
            <w:tcW w:w="6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258,597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Income as a % of Net Sales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$17.4 million increase in operating income in the second quarter of fiscal 2006 as compared to the second quarter of fiscal 2005 was primarily a result of a 6.6% increase in net sales and a 170 basis point increase in gross margin. These increases were partially offset by $5.9 million of restructuring-related expense and $17.0 million of stock-based compensation expense related to the adoption of SFAS 123R included in the second quarter of fiscal 2006.</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$25.0 million increase in operating income in the first six months of fiscal 2006 as compared to the same period of fiscal 2005 was primarily a result of a 6.8% increase in net sales and a 100 basis point increase in gross margin. These increases were partially offset by $12.8 million of restructuring-related expense and $37.6 million of stock-based compensation expense related to the adoption of SFAS 123R included in the results for the first six months of fiscal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April 29, 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April 30, 2005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April 29, 2006</w:t>
            </w:r>
          </w:p>
        </w:tc>
        <w:tc>
          <w:tcPr>
            <w:tcW w:w="3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April 30, 2005</w:t>
            </w:r>
          </w:p>
        </w:tc>
        <w:tc>
          <w:tcPr>
            <w:tcW w:w="240" w:type="dxa"/>
            <w:vAlign w:val="bottom"/>
          </w:tcPr>
          <w:p>
            <w:pPr>
              <w:spacing w:after="0"/>
              <w:rPr>
                <w:sz w:val="12"/>
                <w:szCs w:val="12"/>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(25,895)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(16,684)</w:t>
            </w:r>
          </w:p>
        </w:tc>
        <w:tc>
          <w:tcPr>
            <w:tcW w:w="22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(49,152)</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(31,247)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non operating income</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(16,768)</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(59,817)</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2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Nonoperating income increased by $22.5 million and $29.1 million in the three and six months ended April 29, 2006, respectively, compared to the same periods in the prior fiscal year. The increase in nonoperating income was primarily the result of a $13.0 million gain on the sale of our DSP-based DSL ASIC and network processor product line during the second quarter of fiscal 2006 and higher interest income. The higher interest income was primarily attributable to higher interest rates in the first and second quarters of fiscal 2006 as compared to the same periods of fiscal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April 29, 2006</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30, 2005</w:t>
            </w: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April 29, 2006</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April 30,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44,795</w:t>
            </w:r>
          </w:p>
        </w:tc>
        <w:tc>
          <w:tcPr>
            <w:tcW w:w="6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33,113</w:t>
            </w:r>
          </w:p>
        </w:tc>
        <w:tc>
          <w:tcPr>
            <w:tcW w:w="6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77,035</w:t>
            </w:r>
          </w:p>
        </w:tc>
        <w:tc>
          <w:tcPr>
            <w:tcW w:w="660" w:type="dxa"/>
            <w:vAlign w:val="bottom"/>
          </w:tcPr>
          <w:p>
            <w:pPr>
              <w:spacing w:after="0"/>
              <w:rPr>
                <w:sz w:val="16"/>
                <w:szCs w:val="16"/>
                <w:color w:val="auto"/>
              </w:rPr>
            </w:pPr>
          </w:p>
        </w:tc>
        <w:tc>
          <w:tcPr>
            <w:tcW w:w="2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64,306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The tax rate was higher for the first three and six months periods ended April 29, 2006 as compared to the comparable periods of fiscal 2005 primarily due to shifts in the mix of worldwide profits, partially offset by higher amounts of non-deductible executive compensation in the comparable periods of fiscal 2005.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29, 2006</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April 30, 2005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29, 2006</w:t>
            </w:r>
          </w:p>
        </w:tc>
        <w:tc>
          <w:tcPr>
            <w:tcW w:w="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2"/>
              </w:rPr>
              <w:t>April 30, 2005</w:t>
            </w:r>
          </w:p>
        </w:tc>
        <w:tc>
          <w:tcPr>
            <w:tcW w:w="28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145,821</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117,599</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266,378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225,042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r>
    </w:tbl>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income in the second quarter of fiscal 2006 was higher than in the second quarter of fiscal 2005 by approximately $28.2 million primarily as the result of a 6.6% increase in net sales, the improvement in gross margin percentage and the increase in nonoperating income as a result of the sale of the DSP-based DSL ASIC and network processor product line. These items were partially offset by a year-to-year increase in R&amp;D and SMG&amp;A expenses of $16.8 million primarily as a result of $16.0 million of stock-based compensation expense related to the adoption of SFAS 123R recorded in the second quarter of fiscal 2006.</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six-month period ended April 29, 2006, net income was higher than in the same period in the prior year by approximately $41.3 million primarily as a result of the 6.8% increase in net sales, the improvement in gross margin percentage and the increase in nonoperating income as a result of the previously announced sale of the DSP-based DSL ASIC and network processor product line. These items were partially offset by a year-to-year increase in R&amp;D and SMG&amp;A expenses of $33.6 million primarily as a result of $35.6 million of stock-based compensation expense related to the adoption of SFAS 123R recorded in the six months ended April 29,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While it is difficult to forecast revenue in the semiconductor industry, we are currently planning for revenue in the third quarter of fiscal 2006 to be in the range of $675 million to $685 million.</w:t>
      </w:r>
    </w:p>
    <w:p>
      <w:pPr>
        <w:spacing w:after="0" w:line="6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are also planning for our gross margin percentage in the third quarter to be approximately the same as the second quarter of fiscal 2006. Operating expenses are planned to increase by approximately 3% primarily due to increased profit sharing and commissions as sales and operating margin increase. Diluted EPS is planned to be in the range of $0.38 to $0.39 in the third quarter of fiscal 2006. This estimate of diluted EPS includes an approximately $0.06 per share impact related to stock-based compensation expense, previously announced restructuring-related expense and anticipated expenses associated with our planned acquisition of certain assets of TTPCom Limited that will be recorded in the third quarter of fiscal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One of our directors, who has served on our Board of Directors since 1988, became a director of Taiwan Semiconductor Manufacturing Company, or TSMC, in fiscal 2002 and continues to serve as a director of TSMC. We purchased approximately $78 million and $52 million of products from TSMC during the three-month periods ended April 29, 2006 and April 30, 2005, respectively and approximately $141 million and $122 million in each of the six-month periods ended April 29, 2006 and April 30, 2005, respectively. Approximately $30 million and $27 million was payable to TSMC as of April 29, 2006 and October 29, 2005, respectively. We anticipate that we will make significant purchases from TSMC in the remaining quarters of fiscal year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240" w:type="dxa"/>
            <w:vAlign w:val="bottom"/>
          </w:tcPr>
          <w:p>
            <w:pPr>
              <w:spacing w:after="0"/>
              <w:rPr>
                <w:sz w:val="12"/>
                <w:szCs w:val="12"/>
                <w:color w:val="auto"/>
              </w:rPr>
            </w:pPr>
          </w:p>
        </w:tc>
        <w:tc>
          <w:tcPr>
            <w:tcW w:w="14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April 29, 2006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April 30, 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380,394</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292,075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Cash Provided by Operations as a % Net Sales</w:t>
            </w:r>
          </w:p>
        </w:tc>
        <w:tc>
          <w:tcPr>
            <w:tcW w:w="24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April 29, 2006, cash, cash equivalents and short-term investments totaled $2,692.8 million, a decrease of $13.1 million from the fourth quarter of fiscal 2005. The primary sources of funds for the first six months of fiscal 2006 were net cash generated from operating activities of $380.4 million, proceeds from the sale of a product line of $23.1 million and proceeds of $59.7 million from our various employee stock plans. The principal uses of funds for the first six months of fiscal 2006 were the repurchase of approximately 9.5 million shares of our common stock for an aggregate of $362.8 million, dividend payments of $88.3 million and capital expenditures of $49.2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April 29, 2006</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October 29, 2005</w:t>
            </w:r>
          </w:p>
        </w:tc>
      </w:tr>
      <w:tr>
        <w:trPr>
          <w:trHeight w:val="20"/>
        </w:trPr>
        <w:tc>
          <w:tcPr>
            <w:tcW w:w="50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357,880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320,523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Days Sales Outstanding</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359,420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325,605</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r>
    </w:tbl>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Accounts receivable at April 29, 2006 increased $37.4 million, or 11.7%, from the end of the fourth quarter of fiscal 2005 and days sales outstanding increased by four days. The increase in days sales outstanding was primarily due to a disproportionate number of shipments in the last month of the second quarter as a result of the resolution of supply issues from earlier in the quarter.</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Inventory at April 29, 2006 increased by $33.8 million, or 10.4%, from the end of fiscal 2005. Approximately $4.5 million of this increase is in preparation for the planned closure of our wafer fabrication facility in California and approximately $3.9 million relates to the capitalization of manufacturing related stock-based compensation expense as a result of the adoption of SFAS 123R in the first quarter of fiscal 2006. The remainder of the increase primarily relates to an increase to fulfill planned sales growth for the third quarter of fiscal 2006.</w:t>
      </w:r>
    </w:p>
    <w:p>
      <w:pPr>
        <w:spacing w:after="0" w:line="79"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Current liabilities decreased to $695.7 million at April 29, 2006, a decrease of $123.2 million, or 15.0%, from the $818.9 million at the end of fiscal 2005. The decrease in current liabilities was largely the result of a $233.3 million net decrease in the deferred compensation plan liability primarily as a result of withdrawals by plan participants in response to certain provisions of the American Jobs Creation Act as more fully described below. These decreases were partially offset by a $47.7 million increase in income taxes payable due to higher income and a $31.1 million increase to deferred income on shipments to distributors due to the increase in demand for our products.</w:t>
      </w:r>
    </w:p>
    <w:p>
      <w:pPr>
        <w:spacing w:after="0" w:line="8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During the first six months of fiscal 2006, we distributed $254.1 million from our amended and restated deferred compensation plan, or the Deferred Compensation Plan, as a result of participant terminations or at the direction of the participants. This amount represented compensation and/or stock option gains previously deferred by those participants pursuant to the terms of our Deferred Compensation Plan. As a result of certain provisions of the American Jobs Creation Act, participants had the opportunity until December 31, 2005 to elect to withdraw amounts previously deferred. As a result of withdrawals pursuant to elections under these provisions or upon termination, participants have withdrawn approximately $254.1 million of deferred compensation, of which $234.4 million was previously reflected in the “Less than 1 Year” column and $19.7 million in the “More than 5 Years” column of the contractual obligations table contained in the section entitled “Management’s Discussion and Analysis of Financial Condition and Results of Operations” of our Annual Report on Form 10-K for the fiscal year ended October 29, 2005.</w:t>
      </w:r>
    </w:p>
    <w:p>
      <w:pPr>
        <w:spacing w:after="0" w:line="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additions to property, plant and equipment were $49.2 million in the first six months of fiscal 2006 and were funded with a combination of cash on hand and cash generated from operations. Fiscal 2006 capital expenditures are expected to be approximately $135 million to $145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10, 2006, our Board of Directors declared a cash dividend of $0.16 per outstanding share of our common stock. The dividend is payable on June 14, 2006 to shareholders of record on May 26, 2006 and is expected to be approximately $58 million in the aggregate. The payment of future dividends will be based on several factors including our financial performance, outlook and liquidity. Quarterly dividends are expected to continue at $0.16 per share, subject to declaration or change by our Board of Directors.</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April 29, 2006, our principal source of liquidity was $2,692.8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May 2005, the Financial Accounting Standards Board (FASB) issued Statement of Financial Accounting Standards (SFAS) No. 154,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Error Corrections </w:t>
      </w:r>
      <w:r>
        <w:rPr>
          <w:rFonts w:ascii="Arial" w:cs="Arial" w:eastAsia="Arial" w:hAnsi="Arial"/>
          <w:sz w:val="16"/>
          <w:szCs w:val="16"/>
          <w:color w:val="auto"/>
        </w:rPr>
        <w:t>which supersedes APB Opinion No. 20,</w:t>
      </w:r>
      <w:r>
        <w:rPr>
          <w:rFonts w:ascii="Arial" w:cs="Arial" w:eastAsia="Arial" w:hAnsi="Arial"/>
          <w:sz w:val="16"/>
          <w:szCs w:val="16"/>
          <w:i w:val="1"/>
          <w:iCs w:val="1"/>
          <w:color w:val="auto"/>
        </w:rPr>
        <w:t xml:space="preserve"> Accounting Changes </w:t>
      </w:r>
      <w:r>
        <w:rPr>
          <w:rFonts w:ascii="Arial" w:cs="Arial" w:eastAsia="Arial" w:hAnsi="Arial"/>
          <w:sz w:val="16"/>
          <w:szCs w:val="16"/>
          <w:color w:val="auto"/>
        </w:rPr>
        <w:t>and SFAS No. 3,</w:t>
      </w:r>
      <w:r>
        <w:rPr>
          <w:rFonts w:ascii="Arial" w:cs="Arial" w:eastAsia="Arial" w:hAnsi="Arial"/>
          <w:sz w:val="16"/>
          <w:szCs w:val="16"/>
          <w:i w:val="1"/>
          <w:iCs w:val="1"/>
          <w:color w:val="auto"/>
        </w:rPr>
        <w:t xml:space="preserve"> Reporting Accounting Changes in Interim Financial Statements </w:t>
      </w:r>
      <w:r>
        <w:rPr>
          <w:rFonts w:ascii="Arial" w:cs="Arial" w:eastAsia="Arial" w:hAnsi="Arial"/>
          <w:sz w:val="16"/>
          <w:szCs w:val="16"/>
          <w:color w:val="auto"/>
        </w:rPr>
        <w:t>(SFAS 154)</w:t>
      </w:r>
      <w:r>
        <w:rPr>
          <w:rFonts w:ascii="Arial" w:cs="Arial" w:eastAsia="Arial" w:hAnsi="Arial"/>
          <w:sz w:val="16"/>
          <w:szCs w:val="16"/>
          <w:i w:val="1"/>
          <w:iCs w:val="1"/>
          <w:color w:val="auto"/>
        </w:rPr>
        <w:t xml:space="preserve">. </w:t>
      </w:r>
      <w:r>
        <w:rPr>
          <w:rFonts w:ascii="Arial" w:cs="Arial" w:eastAsia="Arial" w:hAnsi="Arial"/>
          <w:sz w:val="16"/>
          <w:szCs w:val="16"/>
          <w:color w:val="auto"/>
        </w:rPr>
        <w:t>SFAS 154 provides guidance on the accounting for and reporting of accounting changes and error corrections. It establishes, unless</w:t>
      </w:r>
      <w:r>
        <w:rPr>
          <w:rFonts w:ascii="Arial" w:cs="Arial" w:eastAsia="Arial" w:hAnsi="Arial"/>
          <w:sz w:val="16"/>
          <w:szCs w:val="16"/>
          <w:i w:val="1"/>
          <w:iCs w:val="1"/>
          <w:color w:val="auto"/>
        </w:rPr>
        <w:t xml:space="preserve"> </w:t>
      </w:r>
      <w:r>
        <w:rPr>
          <w:rFonts w:ascii="Arial" w:cs="Arial" w:eastAsia="Arial" w:hAnsi="Arial"/>
          <w:sz w:val="16"/>
          <w:szCs w:val="16"/>
          <w:color w:val="auto"/>
        </w:rPr>
        <w:t>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We do not expect the adoption of SFAS 154 to have a material impact on our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March 2005, the FASB issued FASB Interpretation No. 47 (FIN 47), </w:t>
      </w:r>
      <w:r>
        <w:rPr>
          <w:rFonts w:ascii="Arial" w:cs="Arial" w:eastAsia="Arial" w:hAnsi="Arial"/>
          <w:sz w:val="18"/>
          <w:szCs w:val="18"/>
          <w:i w:val="1"/>
          <w:iCs w:val="1"/>
          <w:color w:val="auto"/>
        </w:rPr>
        <w:t>Accounting for Conditional Asset Retirement Obligations – 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143. </w:t>
      </w:r>
      <w:r>
        <w:rPr>
          <w:rFonts w:ascii="Arial" w:cs="Arial" w:eastAsia="Arial" w:hAnsi="Arial"/>
          <w:sz w:val="18"/>
          <w:szCs w:val="18"/>
          <w:color w:val="auto"/>
        </w:rPr>
        <w:t>FIN 47 clarifies that the term “conditional asset retirement obligation” as used in FASB Statement No. 143,</w:t>
      </w:r>
      <w:r>
        <w:rPr>
          <w:rFonts w:ascii="Arial" w:cs="Arial" w:eastAsia="Arial" w:hAnsi="Arial"/>
          <w:sz w:val="18"/>
          <w:szCs w:val="18"/>
          <w:i w:val="1"/>
          <w:iCs w:val="1"/>
          <w:color w:val="auto"/>
        </w:rPr>
        <w:t xml:space="preserve"> Accounting for Asset Retirement Obligations, </w:t>
      </w:r>
      <w:r>
        <w:rPr>
          <w:rFonts w:ascii="Arial" w:cs="Arial" w:eastAsia="Arial" w:hAnsi="Arial"/>
          <w:sz w:val="18"/>
          <w:szCs w:val="18"/>
          <w:color w:val="auto"/>
        </w:rPr>
        <w:t>refers to a legal obligation to perform an asset retirement activity in which the timing and (or) method of settlement are conditional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We are currently analyzing FIN 47 and believe the adoption of FIN 47 will not have a material impact on our financial condition, results of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Accounting Research Bulletin (ARB) No. 43, Chapter 4</w:t>
      </w:r>
      <w:r>
        <w:rPr>
          <w:rFonts w:ascii="Arial" w:cs="Arial" w:eastAsia="Arial" w:hAnsi="Arial"/>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adoption of SFAS 151 in the first quarter of fiscal 2006 did not impact our financial condition, results of operations or liquidity.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Management’s discussion and analysis of the financial condition and results of operations is based upon the consolidated financial statements, which have been prepared in accordance with accounting principles generally accepted in the United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We account for income taxes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requires that deferred tax assets and liabilities be recognized using enacted tax rates for the effect of temporary differences between the book and tax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April 29, 2006, we had gross deferred tax assets of $185 million primarily resulting from temporary differences between the book and tax bases of assets and liabilities. We have conducted an assessment of the likelihood of realization of those deferred tax assets and concluded that a $46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adoption of SFAS 123R in the first quarter of fiscal 2006 requires that stock-based compensation expense associated with stock options be recognized in the statement of income, rather than being disclosed in a pro forma footnote to the consolidated financial statements.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Expected volatility – We are responsible for estimating volatility and have considered a number of factors, including third-party estimates, when estimating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 Options in our stock are actively traded on several exchanges. Implied volatility is calculated for the period that is commensurate with the option’s expected term assumption. Because this term often exceeds the period for which there are exchange-traded options in our stock, statistical techniques are used to derive the implied volatility for traded options with terms commensurate with the option’s expected term of five years. This calculation of implied volatility is derived from the closing prices of the company’s stock and exchange traded options from the most recent five trading days prior to the grant date of the employee stock option. In general, the higher the expected volatility used in the Black-Scholes valuation model, the higher the grant-date fair value of the option.</w:t>
      </w:r>
    </w:p>
    <w:p>
      <w:pPr>
        <w:spacing w:after="0" w:line="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Expected term – We use historical employee exercise and option expiration data to estimate the expected term assumption for the Black-Scholes grant date valuation. We believe 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Risk-free interest rate – The yield on zero-coupon U.S. Treasury securities for a period that is commensurate with the expected term assumption is used as the risk-free interest rate.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Expected dividend yield – Expected dividend yield is calculated by annualizing the cash dividend declared by our Board of Directors for the current quarter and dividing that result by the closing stock price on the date of grant. Until such time as our Board of Directors declares a cash dividend for an amount that is different from the current quarter’s cash dividend, the current dividend will be used in deriving this assumption. Dividends are not paid on options.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We currently expect, based on an analysis of our historical forfeitures, that approximately 86% of our options will vest, and therefore have applied an annual forfeiture rate of 3.1% to all unvested options as of April 29, 2006. The 3.1% represents the portion that is expected to be forfeited each year over the vesting period, therefore, the cumulative amount, on a compounded basis, that is expected to be forfeited is approximately 14% of the aggregate options granted. This analysis will be re-evaluated quarterly and the forfeiture rate will be adjusted as necessary. Ultimately, the actual expense recognized over the vesting period will only be for those shares that vest.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10 to our Consolidated Financial Statements contained in Item 1 of this Quarterly Report on Form 10-Q.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cancelations or delays in orders for our products could adversely affect our operating results.</w:t>
      </w:r>
    </w:p>
    <w:p>
      <w:pPr>
        <w:spacing w:after="0" w:line="1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reduction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cancelations or delays in orders for our products could adversely affect our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continue to improve our products, develop and market new products and enter new markets.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success significantly depends on our continued ability to improve our products and develop and market new products. There can be no assurance that we will be able to develop and introduce new and improved products in a timely manner or that new and improved products, if developed, will achieve market acceptance. In addition, our customers generally impose very high quality standards on our products, which often change and may be difficult or costly to satisfy. Any inability to satisfy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such quality standards may adversely affect demand for our products and our results of operations.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could lead to overcapacity in our target markets which could lead to price erosion that would adversely impact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laws of foreign countries in which we design, manufacture and market our products may afford little or no effective protection of our proprietary technology.</w:t>
      </w:r>
    </w:p>
    <w:p>
      <w:pPr>
        <w:spacing w:after="0" w:line="1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10 in the Notes to our Consolidated Financial Statements contained in Item 1 of this Quarterly Report on Form 10-Q for information concerning certain pending litigation that involves us. An adverse outcome in these or other litigation could have a material adverse effect on our consolidated financial position or on our consolidated results of operations or cash flows in the period in which the litigation is resolved.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or purchase or license technology from third parties in order to introduce new products and services or enhance our existing products and services</w:t>
      </w:r>
      <w:r>
        <w:rPr>
          <w:rFonts w:ascii="Arial" w:cs="Arial" w:eastAsia="Arial" w:hAnsi="Arial"/>
          <w:sz w:val="18"/>
          <w:szCs w:val="18"/>
          <w:color w:val="auto"/>
        </w:rPr>
        <w:t>.</w:t>
      </w:r>
    </w:p>
    <w:p>
      <w:pPr>
        <w:spacing w:after="0" w:line="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may not be able to find businesses that have the technology we need and, if we find such businesses, may not be able to purchase or license the technology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In addition, once we have completed an acquisition or technology license, the acquired business or our relationship with the licensor may not be successful.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or those of our subcontractors or third party wafer-fabrication foundries, as a result of fire, natural disaster, unavailability of electric power or otherwise, would have a material adverse effect on our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second quarter of fiscal 2006, approximately 74%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 increases.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October 29,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April 29, 2006.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29, 2006,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second quarter ended April 29, 2006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April 2006, we received a demand from a purported shareholder to inspect books and records relating to certain grants of options made to our directors and officers at diverse times. We intend to respond to this demand in due course.</w:t>
      </w:r>
    </w:p>
    <w:p>
      <w:pPr>
        <w:spacing w:after="0" w:line="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May 2006, we received a demand from a purported shareholder with respect to certain grants of options made to our directors and officers during the years 1998, 1999 and 2001. That demand seeks, among other things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commencement of an action by our directors on behalf of Analog Devices, Inc. against those directors and officers for breach of fiduciary duties arising from the granting of the options. We intend to respond to this demand in due course.</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or about May 5, 2006, Mr. Gregory Bender filed a complaint for patent infringement in the U.S. District Court for the Eastern District of Texas against us, Civil Action Number 2:06-CV-192. Prior to the filing of the complaint, we were unaware of Mr. Bender or this action. In his complaint, Mr. Bender alleges that certain of our amplifier products infringe a patent Mr. Bender owns, and he seeks unspecified damages as well as a permanent injunction enjoining us from infringing his patent. Mr. Bender has not yet served his complaint on us. We intend to vigorously defend against these allegations. We cannot predict the outcome of this matter, but we believe that the disposition of the matter will not have a material adverse effect on our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Total Number of</w:t>
            </w:r>
          </w:p>
        </w:tc>
        <w:tc>
          <w:tcPr>
            <w:tcW w:w="22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Shares Purchased</w:t>
            </w:r>
          </w:p>
        </w:tc>
        <w:tc>
          <w:tcPr>
            <w:tcW w:w="22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as Part of Publicly</w:t>
            </w:r>
          </w:p>
        </w:tc>
        <w:tc>
          <w:tcPr>
            <w:tcW w:w="220" w:type="dxa"/>
            <w:vAlign w:val="bottom"/>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Total Number of</w:t>
            </w:r>
          </w:p>
        </w:tc>
        <w:tc>
          <w:tcPr>
            <w:tcW w:w="140" w:type="dxa"/>
            <w:vAlign w:val="bottom"/>
          </w:tcPr>
          <w:p>
            <w:pPr>
              <w:spacing w:after="0"/>
              <w:rPr>
                <w:sz w:val="12"/>
                <w:szCs w:val="12"/>
                <w:color w:val="auto"/>
              </w:rPr>
            </w:pPr>
          </w:p>
        </w:tc>
        <w:tc>
          <w:tcPr>
            <w:tcW w:w="1040" w:type="dxa"/>
            <w:vAlign w:val="bottom"/>
          </w:tcPr>
          <w:p>
            <w:pPr>
              <w:jc w:val="right"/>
              <w:ind w:right="94"/>
              <w:spacing w:after="0" w:line="149" w:lineRule="exact"/>
              <w:rPr>
                <w:sz w:val="20"/>
                <w:szCs w:val="20"/>
                <w:color w:val="auto"/>
              </w:rPr>
            </w:pPr>
            <w:r>
              <w:rPr>
                <w:rFonts w:ascii="Arial" w:cs="Arial" w:eastAsia="Arial" w:hAnsi="Arial"/>
                <w:sz w:val="14"/>
                <w:szCs w:val="14"/>
                <w:color w:val="auto"/>
                <w:w w:val="95"/>
              </w:rPr>
              <w:t>Average Price</w:t>
            </w:r>
          </w:p>
        </w:tc>
        <w:tc>
          <w:tcPr>
            <w:tcW w:w="500" w:type="dxa"/>
            <w:vAlign w:val="bottom"/>
          </w:tcPr>
          <w:p>
            <w:pPr>
              <w:spacing w:after="0"/>
              <w:rPr>
                <w:sz w:val="12"/>
                <w:szCs w:val="12"/>
                <w:color w:val="auto"/>
              </w:rPr>
            </w:pPr>
          </w:p>
        </w:tc>
        <w:tc>
          <w:tcPr>
            <w:tcW w:w="19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Announced Plans</w:t>
            </w:r>
          </w:p>
        </w:tc>
        <w:tc>
          <w:tcPr>
            <w:tcW w:w="22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3400" w:type="dxa"/>
            <w:vAlign w:val="bottom"/>
            <w:tcBorders>
              <w:bottom w:val="single" w:sz="8" w:color="auto"/>
            </w:tcBorders>
          </w:tcPr>
          <w:p>
            <w:pPr>
              <w:ind w:left="1500"/>
              <w:spacing w:after="0"/>
              <w:rPr>
                <w:sz w:val="20"/>
                <w:szCs w:val="20"/>
                <w:color w:val="auto"/>
              </w:rPr>
            </w:pPr>
            <w:r>
              <w:rPr>
                <w:rFonts w:ascii="Arial" w:cs="Arial" w:eastAsia="Arial" w:hAnsi="Arial"/>
                <w:sz w:val="14"/>
                <w:szCs w:val="14"/>
                <w:color w:val="auto"/>
              </w:rPr>
              <w:t>Period</w:t>
            </w:r>
          </w:p>
        </w:tc>
        <w:tc>
          <w:tcPr>
            <w:tcW w:w="280" w:type="dxa"/>
            <w:vAlign w:val="bottom"/>
          </w:tcPr>
          <w:p>
            <w:pPr>
              <w:spacing w:after="0"/>
              <w:rPr>
                <w:sz w:val="14"/>
                <w:szCs w:val="14"/>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Shares Purchased</w:t>
            </w:r>
          </w:p>
        </w:tc>
        <w:tc>
          <w:tcPr>
            <w:tcW w:w="50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Paid Per Share (a)</w:t>
            </w:r>
          </w:p>
        </w:tc>
        <w:tc>
          <w:tcPr>
            <w:tcW w:w="5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Programs (b)</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92"/>
              </w:rPr>
              <w:t>Programs</w:t>
            </w:r>
          </w:p>
        </w:tc>
        <w:tc>
          <w:tcPr>
            <w:tcW w:w="2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January 29, 2006 through February 25, 2006</w:t>
            </w:r>
          </w:p>
        </w:tc>
        <w:tc>
          <w:tcPr>
            <w:tcW w:w="2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798,200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798,200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181,257,392</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8"/>
              </w:rPr>
              <w:t>February 26, 2006 through March 25, 2006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3,615,300</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37.97</w:t>
            </w:r>
          </w:p>
        </w:tc>
        <w:tc>
          <w:tcPr>
            <w:tcW w:w="2440" w:type="dxa"/>
            <w:vAlign w:val="bottom"/>
            <w:gridSpan w:val="3"/>
          </w:tcPr>
          <w:p>
            <w:pPr>
              <w:jc w:val="right"/>
              <w:ind w:right="520"/>
              <w:spacing w:after="0"/>
              <w:rPr>
                <w:sz w:val="20"/>
                <w:szCs w:val="20"/>
                <w:color w:val="auto"/>
              </w:rPr>
            </w:pPr>
            <w:r>
              <w:rPr>
                <w:rFonts w:ascii="Arial" w:cs="Arial" w:eastAsia="Arial" w:hAnsi="Arial"/>
                <w:sz w:val="18"/>
                <w:szCs w:val="18"/>
                <w:color w:val="auto"/>
              </w:rPr>
              <w:t>3,615,300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1,043,975,577</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March 26, 2006 through April 29, 2006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1,817,901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1,817,901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974,617,417</w:t>
            </w:r>
          </w:p>
        </w:tc>
      </w:tr>
      <w:tr>
        <w:trPr>
          <w:trHeight w:val="223"/>
        </w:trPr>
        <w:tc>
          <w:tcPr>
            <w:tcW w:w="20" w:type="dxa"/>
            <w:vAlign w:val="bottom"/>
          </w:tcPr>
          <w:p>
            <w:pPr>
              <w:spacing w:after="0"/>
              <w:rPr>
                <w:sz w:val="19"/>
                <w:szCs w:val="19"/>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6,231,401</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38.15</w:t>
            </w:r>
          </w:p>
        </w:tc>
        <w:tc>
          <w:tcPr>
            <w:tcW w:w="5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6,231,401</w:t>
            </w:r>
          </w:p>
        </w:tc>
        <w:tc>
          <w:tcPr>
            <w:tcW w:w="5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974,617,417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14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as amended on May 11, 2005, under which our Board of Directors authorized the repurchase of up to an aggregate of $1 billion of our common stock.</w:t>
      </w:r>
    </w:p>
    <w:p>
      <w:pPr>
        <w:spacing w:after="0" w:line="1" w:lineRule="exact"/>
        <w:rPr>
          <w:rFonts w:ascii="Arial" w:cs="Arial" w:eastAsia="Arial" w:hAnsi="Arial"/>
          <w:sz w:val="18"/>
          <w:szCs w:val="18"/>
          <w:color w:val="auto"/>
        </w:rPr>
      </w:pPr>
    </w:p>
    <w:p>
      <w:pPr>
        <w:ind w:left="460" w:right="60"/>
        <w:spacing w:after="0" w:line="253" w:lineRule="auto"/>
        <w:rPr>
          <w:rFonts w:ascii="Arial" w:cs="Arial" w:eastAsia="Arial" w:hAnsi="Arial"/>
          <w:sz w:val="18"/>
          <w:szCs w:val="18"/>
          <w:color w:val="auto"/>
        </w:rPr>
      </w:pPr>
      <w:r>
        <w:rPr>
          <w:rFonts w:ascii="Arial" w:cs="Arial" w:eastAsia="Arial" w:hAnsi="Arial"/>
          <w:sz w:val="18"/>
          <w:szCs w:val="18"/>
          <w:color w:val="auto"/>
        </w:rPr>
        <w:t>On March 14, 2006, our Board of Directors authorized the repurchase by us of an additional $1 billion of our common stock, increasing the total amount of our common stock we can repurchase from $1 billion to $2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our Annual Meeting of Shareholders held on March 14, 2006, our shareholders elected Messrs. James A. Champy, Kenton J. Sicchitano and Lester 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Thurow to serve as Class I Directors for a term of three years by the following votes: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80" w:type="dxa"/>
            <w:vAlign w:val="bottom"/>
            <w:gridSpan w:val="2"/>
          </w:tcPr>
          <w:p>
            <w:pPr>
              <w:spacing w:after="0"/>
              <w:rPr>
                <w:sz w:val="20"/>
                <w:szCs w:val="20"/>
                <w:color w:val="auto"/>
              </w:rPr>
            </w:pPr>
            <w:r>
              <w:rPr>
                <w:rFonts w:ascii="Arial" w:cs="Arial" w:eastAsia="Arial" w:hAnsi="Arial"/>
                <w:sz w:val="14"/>
                <w:szCs w:val="14"/>
                <w:color w:val="auto"/>
              </w:rPr>
              <w:t>Nominee</w:t>
            </w:r>
          </w:p>
        </w:tc>
        <w:tc>
          <w:tcPr>
            <w:tcW w:w="4080" w:type="dxa"/>
            <w:vAlign w:val="bottom"/>
          </w:tcPr>
          <w:p>
            <w:pPr>
              <w:jc w:val="center"/>
              <w:ind w:left="2074"/>
              <w:spacing w:after="0"/>
              <w:rPr>
                <w:sz w:val="20"/>
                <w:szCs w:val="20"/>
                <w:color w:val="auto"/>
              </w:rPr>
            </w:pPr>
            <w:r>
              <w:rPr>
                <w:rFonts w:ascii="Arial" w:cs="Arial" w:eastAsia="Arial" w:hAnsi="Arial"/>
                <w:sz w:val="14"/>
                <w:szCs w:val="14"/>
                <w:color w:val="auto"/>
                <w:w w:val="92"/>
              </w:rPr>
              <w:t>Votes For</w:t>
            </w:r>
          </w:p>
        </w:tc>
        <w:tc>
          <w:tcPr>
            <w:tcW w:w="1760" w:type="dxa"/>
            <w:vAlign w:val="bottom"/>
          </w:tcPr>
          <w:p>
            <w:pPr>
              <w:jc w:val="right"/>
              <w:ind w:right="294"/>
              <w:spacing w:after="0"/>
              <w:rPr>
                <w:sz w:val="20"/>
                <w:szCs w:val="20"/>
                <w:color w:val="auto"/>
              </w:rPr>
            </w:pPr>
            <w:r>
              <w:rPr>
                <w:rFonts w:ascii="Arial" w:cs="Arial" w:eastAsia="Arial" w:hAnsi="Arial"/>
                <w:sz w:val="14"/>
                <w:szCs w:val="14"/>
                <w:color w:val="auto"/>
              </w:rPr>
              <w:t>Votes Withheld</w:t>
            </w:r>
          </w:p>
        </w:tc>
        <w:tc>
          <w:tcPr>
            <w:tcW w:w="1400" w:type="dxa"/>
            <w:vAlign w:val="bottom"/>
          </w:tcPr>
          <w:p>
            <w:pPr>
              <w:jc w:val="right"/>
              <w:spacing w:after="0"/>
              <w:rPr>
                <w:sz w:val="20"/>
                <w:szCs w:val="20"/>
                <w:color w:val="auto"/>
              </w:rPr>
            </w:pPr>
            <w:r>
              <w:rPr>
                <w:rFonts w:ascii="Arial" w:cs="Arial" w:eastAsia="Arial" w:hAnsi="Arial"/>
                <w:sz w:val="14"/>
                <w:szCs w:val="14"/>
                <w:color w:val="auto"/>
              </w:rPr>
              <w:t>Broker Non-Votes</w:t>
            </w: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4080" w:type="dxa"/>
            <w:vAlign w:val="bottom"/>
            <w:tcBorders>
              <w:top w:val="single" w:sz="8" w:color="auto"/>
            </w:tcBorders>
            <w:shd w:val="clear" w:color="auto" w:fill="CCEEFF"/>
          </w:tcPr>
          <w:p>
            <w:pPr>
              <w:jc w:val="center"/>
              <w:ind w:left="2054"/>
              <w:spacing w:after="0"/>
              <w:rPr>
                <w:sz w:val="20"/>
                <w:szCs w:val="20"/>
                <w:color w:val="auto"/>
              </w:rPr>
            </w:pPr>
            <w:r>
              <w:rPr>
                <w:rFonts w:ascii="Arial" w:cs="Arial" w:eastAsia="Arial" w:hAnsi="Arial"/>
                <w:sz w:val="18"/>
                <w:szCs w:val="18"/>
                <w:color w:val="auto"/>
                <w:w w:val="89"/>
              </w:rPr>
              <w:t>243,963,965</w:t>
            </w:r>
          </w:p>
        </w:tc>
        <w:tc>
          <w:tcPr>
            <w:tcW w:w="176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86,265,683</w:t>
            </w:r>
          </w:p>
        </w:tc>
        <w:tc>
          <w:tcPr>
            <w:tcW w:w="140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jc w:val="center"/>
              <w:ind w:left="2054"/>
              <w:spacing w:after="0"/>
              <w:rPr>
                <w:sz w:val="20"/>
                <w:szCs w:val="20"/>
                <w:color w:val="auto"/>
              </w:rPr>
            </w:pPr>
            <w:r>
              <w:rPr>
                <w:rFonts w:ascii="Arial" w:cs="Arial" w:eastAsia="Arial" w:hAnsi="Arial"/>
                <w:sz w:val="18"/>
                <w:szCs w:val="18"/>
                <w:color w:val="auto"/>
                <w:w w:val="89"/>
              </w:rPr>
              <w:t>324,687,105</w:t>
            </w:r>
          </w:p>
        </w:tc>
        <w:tc>
          <w:tcPr>
            <w:tcW w:w="1760" w:type="dxa"/>
            <w:vAlign w:val="bottom"/>
          </w:tcPr>
          <w:p>
            <w:pPr>
              <w:jc w:val="right"/>
              <w:ind w:right="314"/>
              <w:spacing w:after="0"/>
              <w:rPr>
                <w:sz w:val="20"/>
                <w:szCs w:val="20"/>
                <w:color w:val="auto"/>
              </w:rPr>
            </w:pPr>
            <w:r>
              <w:rPr>
                <w:rFonts w:ascii="Arial" w:cs="Arial" w:eastAsia="Arial" w:hAnsi="Arial"/>
                <w:sz w:val="18"/>
                <w:szCs w:val="18"/>
                <w:color w:val="auto"/>
              </w:rPr>
              <w:t>5,542,543</w:t>
            </w:r>
          </w:p>
        </w:tc>
        <w:tc>
          <w:tcPr>
            <w:tcW w:w="1400" w:type="dxa"/>
            <w:vAlign w:val="bottom"/>
          </w:tcPr>
          <w:p>
            <w:pPr>
              <w:jc w:val="right"/>
              <w:ind w:right="354"/>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Lester C. Thurow</w:t>
            </w:r>
          </w:p>
        </w:tc>
        <w:tc>
          <w:tcPr>
            <w:tcW w:w="4080" w:type="dxa"/>
            <w:vAlign w:val="bottom"/>
            <w:shd w:val="clear" w:color="auto" w:fill="CCEEFF"/>
          </w:tcPr>
          <w:p>
            <w:pPr>
              <w:jc w:val="center"/>
              <w:ind w:left="2054"/>
              <w:spacing w:after="0"/>
              <w:rPr>
                <w:sz w:val="20"/>
                <w:szCs w:val="20"/>
                <w:color w:val="auto"/>
              </w:rPr>
            </w:pPr>
            <w:r>
              <w:rPr>
                <w:rFonts w:ascii="Arial" w:cs="Arial" w:eastAsia="Arial" w:hAnsi="Arial"/>
                <w:sz w:val="18"/>
                <w:szCs w:val="18"/>
                <w:color w:val="auto"/>
                <w:w w:val="89"/>
              </w:rPr>
              <w:t>321,974,973</w:t>
            </w:r>
          </w:p>
        </w:tc>
        <w:tc>
          <w:tcPr>
            <w:tcW w:w="17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8,254,675</w:t>
            </w:r>
          </w:p>
        </w:tc>
        <w:tc>
          <w:tcPr>
            <w:tcW w:w="14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0</w:t>
            </w: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Each of the following directors who were not up for reelection at the Annual Meeting of Shareholders continues to serve as a director following the Annual Meeting of Shareholders: Messrs. Jerald G. Fishman, John C. Hodgson, F. Grant Saviers, Paul J. Severino, John L. Doyle, and Ray Stata and Ms. Christine King.</w:t>
      </w:r>
    </w:p>
    <w:p>
      <w:pPr>
        <w:spacing w:after="0" w:line="7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Shareholders also ratified the selection by the audit committee of our Board of Directors of Ernst &amp; Young LLP as our independent registered public accounting firm for the fiscal year ending October 28, 2006 by a vote of 323,393,908 in favor, 4,648,169 opposed and 2,187,571 abstaining.</w:t>
      </w:r>
    </w:p>
    <w:p>
      <w:pPr>
        <w:spacing w:after="0" w:line="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Shareholders also approved of the 2006 Stock Incentive Plan by a vote of 238,077,487 in favor, 54,480,210 opposed, 2,398,170 abstaining and 35,273,781 broker non-votes.</w:t>
      </w:r>
    </w:p>
    <w:p>
      <w:pPr>
        <w:spacing w:after="0" w:line="6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Shareholders did not approve the shareholder proposal to amend our governance documents to require election of directors by majority vote. That proposal received the following votes: 100,682,370 in favor, 182,890,354 opposed, 11,385,143 abstaining and 35,271,781 broker non-votes.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16, 2006</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 May 16, 2006</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Joseph E. McDonough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McDonough</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President-Finance</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39</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2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right="200" w:hanging="609"/>
        <w:spacing w:after="0" w:line="277"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2006 Stock Incentive Plan of Analog Devices, Inc., incorporated herein by reference to Appendix A of the Company’s Definitive Proxy Statement on Schedule 14A filed with the Securities and Exchange Commission February 8, 2006 (File No. 1-7819).</w:t>
      </w:r>
    </w:p>
    <w:p>
      <w:pPr>
        <w:spacing w:after="0" w:line="170" w:lineRule="exact"/>
        <w:rPr>
          <w:sz w:val="20"/>
          <w:szCs w:val="20"/>
          <w:color w:val="auto"/>
        </w:rPr>
      </w:pPr>
    </w:p>
    <w:p>
      <w:pPr>
        <w:ind w:left="700" w:right="180" w:hanging="609"/>
        <w:spacing w:after="0" w:line="277"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Executive Officer).</w:t>
      </w:r>
    </w:p>
    <w:p>
      <w:pPr>
        <w:spacing w:after="0" w:line="170" w:lineRule="exact"/>
        <w:rPr>
          <w:sz w:val="20"/>
          <w:szCs w:val="20"/>
          <w:color w:val="auto"/>
        </w:rPr>
      </w:pPr>
    </w:p>
    <w:p>
      <w:pPr>
        <w:ind w:left="700" w:right="180" w:hanging="609"/>
        <w:spacing w:after="0" w:line="277"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Financial Officer).</w:t>
      </w:r>
    </w:p>
    <w:p>
      <w:pPr>
        <w:spacing w:after="0" w:line="170"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(Chief Executive Officer).</w:t>
      </w:r>
    </w:p>
    <w:p>
      <w:pPr>
        <w:spacing w:after="0" w:line="225"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1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325"/>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325"/>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325"/>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16,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325"/>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325"/>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325"/>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325"/>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325"/>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16,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36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April 29, 2006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16,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April 29, 2006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16,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2019-12-20T05:15:33Z</dcterms:created>
  <dcterms:modified xsi:type="dcterms:W3CDTF">2019-12-20T05:15:33Z</dcterms:modified>
</cp:coreProperties>
</file>