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20"/>
        <w:spacing w:after="0"/>
        <w:rPr>
          <w:sz w:val="20"/>
          <w:szCs w:val="20"/>
          <w:color w:val="auto"/>
        </w:rPr>
      </w:pPr>
      <w:r>
        <w:rPr>
          <w:rFonts w:ascii="Times New Roman" w:cs="Times New Roman" w:eastAsia="Times New Roman" w:hAnsi="Times New Roman"/>
          <w:sz w:val="25"/>
          <w:szCs w:val="25"/>
          <w:b w:val="1"/>
          <w:bCs w:val="1"/>
          <w:color w:val="auto"/>
        </w:rPr>
        <w:t>_________________________________________________________________________</w:t>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11, 2026</w:t>
      </w:r>
    </w:p>
    <w:p>
      <w:pPr>
        <w:spacing w:after="0" w:line="31"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6"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ectPr>
          <w:pgSz w:w="11900" w:h="16838" w:orient="portrait"/>
          <w:cols w:equalWidth="0" w:num="1">
            <w:col w:w="11240"/>
          </w:cols>
          <w:pgMar w:left="320" w:top="1029" w:right="339" w:bottom="1440" w:gutter="0" w:footer="0" w:header="0"/>
        </w:sectPr>
      </w:pPr>
    </w:p>
    <w:p>
      <w:pPr>
        <w:spacing w:after="0" w:line="50"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w:t>
      </w:r>
    </w:p>
    <w:p>
      <w:pPr>
        <w:ind w:left="11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1-7819</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ind w:left="2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04-2348234</w:t>
      </w:r>
    </w:p>
    <w:p>
      <w:pPr>
        <w:spacing w:after="0" w:line="2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31" w:lineRule="exact"/>
        <w:rPr>
          <w:sz w:val="24"/>
          <w:szCs w:val="24"/>
          <w:color w:val="auto"/>
        </w:rPr>
      </w:pPr>
    </w:p>
    <w:p>
      <w:pPr>
        <w:sectPr>
          <w:pgSz w:w="11900" w:h="16838" w:orient="portrait"/>
          <w:cols w:equalWidth="0" w:num="3">
            <w:col w:w="4400" w:space="720"/>
            <w:col w:w="2960" w:space="720"/>
            <w:col w:w="2440"/>
          </w:cols>
          <w:pgMar w:left="320" w:top="1029" w:right="33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7"/>
          <w:szCs w:val="17"/>
          <w:b w:val="1"/>
          <w:bCs w:val="1"/>
          <w:color w:val="auto"/>
        </w:rPr>
        <w:t>One Analog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Wilmington,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01887</w:t>
      </w:r>
    </w:p>
    <w:p>
      <w:pPr>
        <w:spacing w:after="0" w:line="31" w:lineRule="exact"/>
        <w:rPr>
          <w:sz w:val="24"/>
          <w:szCs w:val="24"/>
          <w:color w:val="auto"/>
        </w:rPr>
      </w:pPr>
    </w:p>
    <w:p>
      <w:pPr>
        <w:sectPr>
          <w:pgSz w:w="11900" w:h="16838" w:orient="portrait"/>
          <w:cols w:equalWidth="0" w:num="3">
            <w:col w:w="1940" w:space="340"/>
            <w:col w:w="4860" w:space="720"/>
            <w:col w:w="3380"/>
          </w:cols>
          <w:pgMar w:left="320" w:top="1029" w:right="3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95" w:lineRule="exact"/>
        <w:rPr>
          <w:sz w:val="24"/>
          <w:szCs w:val="24"/>
          <w:color w:val="auto"/>
        </w:rPr>
      </w:pPr>
    </w:p>
    <w:p>
      <w:pPr>
        <w:sectPr>
          <w:pgSz w:w="11900" w:h="16838" w:orient="portrait"/>
          <w:cols w:equalWidth="0" w:num="2">
            <w:col w:w="6980" w:space="720"/>
            <w:col w:w="3540"/>
          </w:cols>
          <w:pgMar w:left="320" w:top="1029" w:right="339" w:bottom="1440" w:gutter="0" w:footer="0" w:header="0"/>
          <w:type w:val="continuous"/>
        </w:sect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935-5565</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86"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pacing w:after="0" w:line="256"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rPr>
      </w:pPr>
    </w:p>
    <w:p>
      <w:pPr>
        <w:ind w:left="380" w:hanging="372"/>
        <w:spacing w:after="0" w:line="237"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3" w:lineRule="exact"/>
        <w:rPr>
          <w:rFonts w:ascii="MS PGothic" w:cs="MS PGothic" w:eastAsia="MS PGothic" w:hAnsi="MS PGothic"/>
          <w:sz w:val="22"/>
          <w:szCs w:val="22"/>
          <w:color w:val="auto"/>
        </w:rPr>
      </w:pPr>
    </w:p>
    <w:p>
      <w:pPr>
        <w:ind w:left="380" w:hanging="372"/>
        <w:spacing w:after="0" w:line="225"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2" w:lineRule="exact"/>
        <w:rPr>
          <w:rFonts w:ascii="MS PGothic" w:cs="MS PGothic" w:eastAsia="MS PGothic" w:hAnsi="MS PGothic"/>
          <w:sz w:val="22"/>
          <w:szCs w:val="22"/>
          <w:color w:val="auto"/>
        </w:rPr>
      </w:pPr>
    </w:p>
    <w:p>
      <w:pPr>
        <w:ind w:left="380" w:hanging="372"/>
        <w:spacing w:after="0" w:line="225"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68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10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c>
          <w:tcPr>
            <w:tcW w:w="0" w:type="dxa"/>
            <w:vAlign w:val="bottom"/>
          </w:tcPr>
          <w:p>
            <w:pPr>
              <w:spacing w:after="0"/>
              <w:rPr>
                <w:sz w:val="1"/>
                <w:szCs w:val="1"/>
                <w:color w:val="auto"/>
              </w:rPr>
            </w:pPr>
          </w:p>
        </w:tc>
      </w:tr>
      <w:tr>
        <w:trPr>
          <w:trHeight w:val="234"/>
        </w:trPr>
        <w:tc>
          <w:tcPr>
            <w:tcW w:w="4680" w:type="dxa"/>
            <w:vAlign w:val="bottom"/>
            <w:vMerge w:val="continue"/>
          </w:tcPr>
          <w:p>
            <w:pPr>
              <w:spacing w:after="0"/>
              <w:rPr>
                <w:sz w:val="20"/>
                <w:szCs w:val="20"/>
                <w:color w:val="auto"/>
              </w:rPr>
            </w:pPr>
          </w:p>
        </w:tc>
        <w:tc>
          <w:tcPr>
            <w:tcW w:w="226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10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34"/>
        </w:trPr>
        <w:tc>
          <w:tcPr>
            <w:tcW w:w="46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Common Stock $0.16 2/3 par value per share</w:t>
            </w:r>
          </w:p>
        </w:tc>
        <w:tc>
          <w:tcPr>
            <w:tcW w:w="22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ADI</w:t>
            </w:r>
          </w:p>
        </w:tc>
        <w:tc>
          <w:tcPr>
            <w:tcW w:w="31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319"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40"/>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251" w:lineRule="exact"/>
        <w:rPr>
          <w:sz w:val="24"/>
          <w:szCs w:val="24"/>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0205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0205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0" w:lineRule="exact"/>
        <w:rPr>
          <w:sz w:val="20"/>
          <w:szCs w:val="20"/>
          <w:color w:val="auto"/>
        </w:rPr>
      </w:pPr>
    </w:p>
    <w:p>
      <w:pPr>
        <w:ind w:right="200" w:firstLine="648"/>
        <w:spacing w:after="0"/>
        <w:rPr>
          <w:sz w:val="20"/>
          <w:szCs w:val="20"/>
          <w:color w:val="auto"/>
        </w:rPr>
      </w:pPr>
      <w:r>
        <w:rPr>
          <w:rFonts w:ascii="Times New Roman" w:cs="Times New Roman" w:eastAsia="Times New Roman" w:hAnsi="Times New Roman"/>
          <w:sz w:val="18"/>
          <w:szCs w:val="18"/>
          <w:color w:val="auto"/>
        </w:rPr>
        <w:t>As described in Item 5.07 below, on March 11, 2026, Analog Devices, Inc. (the “Company”) held its 2026 Annual Meeting of Shareholders (the “2026 Annual Meeting”). At the 2026 Annual Meeting, the Company’s shareholders approved the Amended and Restated Analog Devices, Inc. 2020 Equity Incentive Plan (the “Plan”). The Plan was adopted by the Company’s Board of Directors on December 10, 2025, subject to and effective upon the approval of the Company’s shareholders.</w:t>
      </w:r>
    </w:p>
    <w:p>
      <w:pPr>
        <w:spacing w:after="0" w:line="212"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The description of the Plan contained on pages 79-89 of the Company’s definitive proxy statement on Schedule 14A (the “Proxy Statement”), which was filed with the Securities and Exchange Commission (the “SEC”) on January 23, 2026, is incorporated herein by reference. A complete copy of the Plan is included as Exhibit 10.1 to this Current Report on Form 8-K and is incorporated herein by reference.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81"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At the 2026 Annual Meeting, the proposals listed below were submitted to a vote of the Company’s shareholders. The proposals are described in the Proxy Statement.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Proposal 1 – The election of ten nominees to the Company’s Board of Directors each for a term expiring at the next annual meeting of shareholders.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 nominees named in the Proxy Statement were elected to serve as directors until the Company’s next annual meeting of shareholders.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as to the vote on each director standing for election is provided below:</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860" w:type="dxa"/>
            <w:vAlign w:val="bottom"/>
          </w:tcPr>
          <w:p>
            <w:pPr>
              <w:spacing w:after="0"/>
              <w:rPr>
                <w:sz w:val="17"/>
                <w:szCs w:val="17"/>
                <w:color w:val="auto"/>
              </w:rPr>
            </w:pPr>
          </w:p>
        </w:tc>
        <w:tc>
          <w:tcPr>
            <w:tcW w:w="14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14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8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Votes Abstaining</w:t>
            </w:r>
          </w:p>
        </w:tc>
        <w:tc>
          <w:tcPr>
            <w:tcW w:w="840" w:type="dxa"/>
            <w:vAlign w:val="bottom"/>
          </w:tcPr>
          <w:p>
            <w:pPr>
              <w:spacing w:after="0"/>
              <w:rPr>
                <w:sz w:val="17"/>
                <w:szCs w:val="17"/>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34"/>
        </w:trPr>
        <w:tc>
          <w:tcPr>
            <w:tcW w:w="940" w:type="dxa"/>
            <w:vAlign w:val="bottom"/>
            <w:tcBorders>
              <w:bottom w:val="single" w:sz="8" w:color="0094FF"/>
            </w:tcBorders>
          </w:tcPr>
          <w:p>
            <w:pPr>
              <w:spacing w:after="0"/>
              <w:rPr>
                <w:sz w:val="2"/>
                <w:szCs w:val="2"/>
                <w:color w:val="auto"/>
              </w:rPr>
            </w:pPr>
          </w:p>
        </w:tc>
        <w:tc>
          <w:tcPr>
            <w:tcW w:w="660" w:type="dxa"/>
            <w:vAlign w:val="bottom"/>
            <w:tcBorders>
              <w:top w:val="single" w:sz="8" w:color="auto"/>
              <w:bottom w:val="single" w:sz="8" w:color="0094FF"/>
            </w:tcBorders>
          </w:tcPr>
          <w:p>
            <w:pPr>
              <w:spacing w:after="0"/>
              <w:rPr>
                <w:sz w:val="2"/>
                <w:szCs w:val="2"/>
                <w:color w:val="auto"/>
              </w:rPr>
            </w:pPr>
          </w:p>
        </w:tc>
        <w:tc>
          <w:tcPr>
            <w:tcW w:w="780" w:type="dxa"/>
            <w:vAlign w:val="bottom"/>
            <w:tcBorders>
              <w:bottom w:val="single" w:sz="8" w:color="0094FF"/>
            </w:tcBorders>
          </w:tcPr>
          <w:p>
            <w:pPr>
              <w:spacing w:after="0"/>
              <w:rPr>
                <w:sz w:val="2"/>
                <w:szCs w:val="2"/>
                <w:color w:val="auto"/>
              </w:rPr>
            </w:pPr>
          </w:p>
        </w:tc>
        <w:tc>
          <w:tcPr>
            <w:tcW w:w="860" w:type="dxa"/>
            <w:vAlign w:val="bottom"/>
            <w:tcBorders>
              <w:bottom w:val="single" w:sz="8" w:color="0094FF"/>
            </w:tcBorders>
          </w:tcPr>
          <w:p>
            <w:pPr>
              <w:spacing w:after="0"/>
              <w:rPr>
                <w:sz w:val="2"/>
                <w:szCs w:val="2"/>
                <w:color w:val="auto"/>
              </w:rPr>
            </w:pPr>
          </w:p>
        </w:tc>
        <w:tc>
          <w:tcPr>
            <w:tcW w:w="740" w:type="dxa"/>
            <w:vAlign w:val="bottom"/>
            <w:tcBorders>
              <w:top w:val="single" w:sz="8" w:color="auto"/>
              <w:bottom w:val="single" w:sz="8" w:color="0094FF"/>
            </w:tcBorders>
          </w:tcPr>
          <w:p>
            <w:pPr>
              <w:spacing w:after="0"/>
              <w:rPr>
                <w:sz w:val="2"/>
                <w:szCs w:val="2"/>
                <w:color w:val="auto"/>
              </w:rPr>
            </w:pPr>
          </w:p>
        </w:tc>
        <w:tc>
          <w:tcPr>
            <w:tcW w:w="680" w:type="dxa"/>
            <w:vAlign w:val="bottom"/>
            <w:tcBorders>
              <w:bottom w:val="single" w:sz="8" w:color="0094FF"/>
            </w:tcBorders>
          </w:tcPr>
          <w:p>
            <w:pPr>
              <w:spacing w:after="0"/>
              <w:rPr>
                <w:sz w:val="2"/>
                <w:szCs w:val="2"/>
                <w:color w:val="auto"/>
              </w:rPr>
            </w:pPr>
          </w:p>
        </w:tc>
        <w:tc>
          <w:tcPr>
            <w:tcW w:w="600" w:type="dxa"/>
            <w:vAlign w:val="bottom"/>
            <w:tcBorders>
              <w:bottom w:val="single" w:sz="8" w:color="0094FF"/>
            </w:tcBorders>
          </w:tcPr>
          <w:p>
            <w:pPr>
              <w:spacing w:after="0"/>
              <w:rPr>
                <w:sz w:val="2"/>
                <w:szCs w:val="2"/>
                <w:color w:val="auto"/>
              </w:rPr>
            </w:pPr>
          </w:p>
        </w:tc>
        <w:tc>
          <w:tcPr>
            <w:tcW w:w="1040" w:type="dxa"/>
            <w:vAlign w:val="bottom"/>
            <w:tcBorders>
              <w:top w:val="single" w:sz="8" w:color="auto"/>
              <w:bottom w:val="single" w:sz="8" w:color="0094FF"/>
            </w:tcBorders>
          </w:tcPr>
          <w:p>
            <w:pPr>
              <w:spacing w:after="0"/>
              <w:rPr>
                <w:sz w:val="2"/>
                <w:szCs w:val="2"/>
                <w:color w:val="auto"/>
              </w:rPr>
            </w:pPr>
          </w:p>
        </w:tc>
        <w:tc>
          <w:tcPr>
            <w:tcW w:w="500" w:type="dxa"/>
            <w:vAlign w:val="bottom"/>
            <w:tcBorders>
              <w:bottom w:val="single" w:sz="8" w:color="0094FF"/>
            </w:tcBorders>
          </w:tcPr>
          <w:p>
            <w:pPr>
              <w:spacing w:after="0"/>
              <w:rPr>
                <w:sz w:val="2"/>
                <w:szCs w:val="2"/>
                <w:color w:val="auto"/>
              </w:rPr>
            </w:pPr>
          </w:p>
        </w:tc>
        <w:tc>
          <w:tcPr>
            <w:tcW w:w="500" w:type="dxa"/>
            <w:vAlign w:val="bottom"/>
            <w:tcBorders>
              <w:bottom w:val="single" w:sz="8" w:color="0094FF"/>
            </w:tcBorders>
          </w:tcPr>
          <w:p>
            <w:pPr>
              <w:spacing w:after="0"/>
              <w:rPr>
                <w:sz w:val="2"/>
                <w:szCs w:val="2"/>
                <w:color w:val="auto"/>
              </w:rPr>
            </w:pPr>
          </w:p>
        </w:tc>
        <w:tc>
          <w:tcPr>
            <w:tcW w:w="1300" w:type="dxa"/>
            <w:vAlign w:val="bottom"/>
            <w:tcBorders>
              <w:top w:val="single" w:sz="8" w:color="auto"/>
              <w:bottom w:val="single" w:sz="8" w:color="0094FF"/>
            </w:tcBorders>
          </w:tcPr>
          <w:p>
            <w:pPr>
              <w:spacing w:after="0"/>
              <w:rPr>
                <w:sz w:val="2"/>
                <w:szCs w:val="2"/>
                <w:color w:val="auto"/>
              </w:rPr>
            </w:pPr>
          </w:p>
        </w:tc>
        <w:tc>
          <w:tcPr>
            <w:tcW w:w="840" w:type="dxa"/>
            <w:vAlign w:val="bottom"/>
            <w:tcBorders>
              <w:bottom w:val="single" w:sz="8" w:color="0094FF"/>
            </w:tcBorders>
          </w:tcPr>
          <w:p>
            <w:pPr>
              <w:spacing w:after="0"/>
              <w:rPr>
                <w:sz w:val="2"/>
                <w:szCs w:val="2"/>
                <w:color w:val="auto"/>
              </w:rPr>
            </w:pPr>
          </w:p>
        </w:tc>
        <w:tc>
          <w:tcPr>
            <w:tcW w:w="1380" w:type="dxa"/>
            <w:vAlign w:val="bottom"/>
            <w:tcBorders>
              <w:top w:val="single" w:sz="8" w:color="auto"/>
              <w:bottom w:val="single" w:sz="8" w:color="0094FF"/>
            </w:tcBorders>
          </w:tcPr>
          <w:p>
            <w:pPr>
              <w:spacing w:after="0"/>
              <w:rPr>
                <w:sz w:val="2"/>
                <w:szCs w:val="2"/>
                <w:color w:val="auto"/>
              </w:rPr>
            </w:pPr>
          </w:p>
        </w:tc>
        <w:tc>
          <w:tcPr>
            <w:tcW w:w="400" w:type="dxa"/>
            <w:vAlign w:val="bottom"/>
            <w:tcBorders>
              <w:bottom w:val="single" w:sz="8" w:color="0094FF"/>
            </w:tcBorders>
          </w:tcPr>
          <w:p>
            <w:pPr>
              <w:spacing w:after="0"/>
              <w:rPr>
                <w:sz w:val="2"/>
                <w:szCs w:val="2"/>
                <w:color w:val="auto"/>
              </w:rPr>
            </w:pPr>
          </w:p>
        </w:tc>
      </w:tr>
      <w:tr>
        <w:trPr>
          <w:trHeight w:val="250"/>
        </w:trPr>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Vincent Roche</w:t>
            </w:r>
          </w:p>
        </w:tc>
        <w:tc>
          <w:tcPr>
            <w:tcW w:w="228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393,055,889</w:t>
            </w:r>
          </w:p>
        </w:tc>
        <w:tc>
          <w:tcPr>
            <w:tcW w:w="164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8"/>
              </w:rPr>
              <w:t>19,555,350</w:t>
            </w:r>
          </w:p>
        </w:tc>
        <w:tc>
          <w:tcPr>
            <w:tcW w:w="50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293,596</w:t>
            </w:r>
          </w:p>
        </w:tc>
        <w:tc>
          <w:tcPr>
            <w:tcW w:w="2220" w:type="dxa"/>
            <w:vAlign w:val="bottom"/>
            <w:gridSpan w:val="2"/>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30,319,338</w:t>
            </w:r>
          </w:p>
        </w:tc>
        <w:tc>
          <w:tcPr>
            <w:tcW w:w="400" w:type="dxa"/>
            <w:vAlign w:val="bottom"/>
            <w:shd w:val="clear" w:color="auto" w:fill="CCEEFF"/>
          </w:tcPr>
          <w:p>
            <w:pPr>
              <w:spacing w:after="0"/>
              <w:rPr>
                <w:sz w:val="21"/>
                <w:szCs w:val="21"/>
                <w:color w:val="auto"/>
              </w:rPr>
            </w:pPr>
          </w:p>
        </w:tc>
      </w:tr>
      <w:tr>
        <w:trPr>
          <w:trHeight w:val="257"/>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Stephen M. Jennings</w:t>
            </w:r>
          </w:p>
        </w:tc>
        <w:tc>
          <w:tcPr>
            <w:tcW w:w="228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404,676,301</w:t>
            </w:r>
          </w:p>
        </w:tc>
        <w:tc>
          <w:tcPr>
            <w:tcW w:w="164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9"/>
              </w:rPr>
              <w:t>7,913,625</w:t>
            </w:r>
          </w:p>
        </w:tc>
        <w:tc>
          <w:tcPr>
            <w:tcW w:w="500" w:type="dxa"/>
            <w:vAlign w:val="bottom"/>
          </w:tcPr>
          <w:p>
            <w:pPr>
              <w:spacing w:after="0"/>
              <w:rPr>
                <w:sz w:val="22"/>
                <w:szCs w:val="22"/>
                <w:color w:val="auto"/>
              </w:rPr>
            </w:pPr>
          </w:p>
        </w:tc>
        <w:tc>
          <w:tcPr>
            <w:tcW w:w="18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w w:val="99"/>
              </w:rPr>
              <w:t>314,909</w:t>
            </w:r>
          </w:p>
        </w:tc>
        <w:tc>
          <w:tcPr>
            <w:tcW w:w="2220" w:type="dxa"/>
            <w:vAlign w:val="bottom"/>
            <w:gridSpan w:val="2"/>
          </w:tcPr>
          <w:p>
            <w:pPr>
              <w:jc w:val="center"/>
              <w:ind w:left="750"/>
              <w:spacing w:after="0"/>
              <w:rPr>
                <w:sz w:val="20"/>
                <w:szCs w:val="20"/>
                <w:color w:val="auto"/>
              </w:rPr>
            </w:pPr>
            <w:r>
              <w:rPr>
                <w:rFonts w:ascii="Times New Roman" w:cs="Times New Roman" w:eastAsia="Times New Roman" w:hAnsi="Times New Roman"/>
                <w:sz w:val="18"/>
                <w:szCs w:val="18"/>
                <w:color w:val="auto"/>
              </w:rPr>
              <w:t>30,319,338</w:t>
            </w:r>
          </w:p>
        </w:tc>
        <w:tc>
          <w:tcPr>
            <w:tcW w:w="400" w:type="dxa"/>
            <w:vAlign w:val="bottom"/>
          </w:tcPr>
          <w:p>
            <w:pPr>
              <w:spacing w:after="0"/>
              <w:rPr>
                <w:sz w:val="22"/>
                <w:szCs w:val="22"/>
                <w:color w:val="auto"/>
              </w:rPr>
            </w:pPr>
          </w:p>
        </w:tc>
      </w:tr>
      <w:tr>
        <w:trPr>
          <w:trHeight w:val="257"/>
        </w:trPr>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André Andonian</w:t>
            </w:r>
          </w:p>
        </w:tc>
        <w:tc>
          <w:tcPr>
            <w:tcW w:w="228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400,043,026</w:t>
            </w:r>
          </w:p>
        </w:tc>
        <w:tc>
          <w:tcPr>
            <w:tcW w:w="164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8"/>
              </w:rPr>
              <w:t>12,500,714</w:t>
            </w:r>
          </w:p>
        </w:tc>
        <w:tc>
          <w:tcPr>
            <w:tcW w:w="50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361,095</w:t>
            </w:r>
          </w:p>
        </w:tc>
        <w:tc>
          <w:tcPr>
            <w:tcW w:w="2220" w:type="dxa"/>
            <w:vAlign w:val="bottom"/>
            <w:gridSpan w:val="2"/>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30,319,338</w:t>
            </w:r>
          </w:p>
        </w:tc>
        <w:tc>
          <w:tcPr>
            <w:tcW w:w="400" w:type="dxa"/>
            <w:vAlign w:val="bottom"/>
            <w:shd w:val="clear" w:color="auto" w:fill="CCEEFF"/>
          </w:tcPr>
          <w:p>
            <w:pPr>
              <w:spacing w:after="0"/>
              <w:rPr>
                <w:sz w:val="22"/>
                <w:szCs w:val="22"/>
                <w:color w:val="auto"/>
              </w:rPr>
            </w:pPr>
          </w:p>
        </w:tc>
      </w:tr>
      <w:tr>
        <w:trPr>
          <w:trHeight w:val="257"/>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Edward H. Frank</w:t>
            </w:r>
          </w:p>
        </w:tc>
        <w:tc>
          <w:tcPr>
            <w:tcW w:w="228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406,352,059</w:t>
            </w:r>
          </w:p>
        </w:tc>
        <w:tc>
          <w:tcPr>
            <w:tcW w:w="164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9"/>
              </w:rPr>
              <w:t>6,247,910</w:t>
            </w:r>
          </w:p>
        </w:tc>
        <w:tc>
          <w:tcPr>
            <w:tcW w:w="500" w:type="dxa"/>
            <w:vAlign w:val="bottom"/>
          </w:tcPr>
          <w:p>
            <w:pPr>
              <w:spacing w:after="0"/>
              <w:rPr>
                <w:sz w:val="22"/>
                <w:szCs w:val="22"/>
                <w:color w:val="auto"/>
              </w:rPr>
            </w:pPr>
          </w:p>
        </w:tc>
        <w:tc>
          <w:tcPr>
            <w:tcW w:w="18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w w:val="99"/>
              </w:rPr>
              <w:t>304,866</w:t>
            </w:r>
          </w:p>
        </w:tc>
        <w:tc>
          <w:tcPr>
            <w:tcW w:w="2220" w:type="dxa"/>
            <w:vAlign w:val="bottom"/>
            <w:gridSpan w:val="2"/>
          </w:tcPr>
          <w:p>
            <w:pPr>
              <w:jc w:val="center"/>
              <w:ind w:left="750"/>
              <w:spacing w:after="0"/>
              <w:rPr>
                <w:sz w:val="20"/>
                <w:szCs w:val="20"/>
                <w:color w:val="auto"/>
              </w:rPr>
            </w:pPr>
            <w:r>
              <w:rPr>
                <w:rFonts w:ascii="Times New Roman" w:cs="Times New Roman" w:eastAsia="Times New Roman" w:hAnsi="Times New Roman"/>
                <w:sz w:val="18"/>
                <w:szCs w:val="18"/>
                <w:color w:val="auto"/>
              </w:rPr>
              <w:t>30,319,338</w:t>
            </w:r>
          </w:p>
        </w:tc>
        <w:tc>
          <w:tcPr>
            <w:tcW w:w="400" w:type="dxa"/>
            <w:vAlign w:val="bottom"/>
          </w:tcPr>
          <w:p>
            <w:pPr>
              <w:spacing w:after="0"/>
              <w:rPr>
                <w:sz w:val="22"/>
                <w:szCs w:val="22"/>
                <w:color w:val="auto"/>
              </w:rPr>
            </w:pPr>
          </w:p>
        </w:tc>
      </w:tr>
      <w:tr>
        <w:trPr>
          <w:trHeight w:val="256"/>
        </w:trPr>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Karen M. Golz</w:t>
            </w:r>
          </w:p>
        </w:tc>
        <w:tc>
          <w:tcPr>
            <w:tcW w:w="228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407,675,981</w:t>
            </w:r>
          </w:p>
        </w:tc>
        <w:tc>
          <w:tcPr>
            <w:tcW w:w="164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4,924,151</w:t>
            </w:r>
          </w:p>
        </w:tc>
        <w:tc>
          <w:tcPr>
            <w:tcW w:w="50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304,703</w:t>
            </w:r>
          </w:p>
        </w:tc>
        <w:tc>
          <w:tcPr>
            <w:tcW w:w="2220" w:type="dxa"/>
            <w:vAlign w:val="bottom"/>
            <w:gridSpan w:val="2"/>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30,319,338</w:t>
            </w:r>
          </w:p>
        </w:tc>
        <w:tc>
          <w:tcPr>
            <w:tcW w:w="400" w:type="dxa"/>
            <w:vAlign w:val="bottom"/>
            <w:shd w:val="clear" w:color="auto" w:fill="CCEEFF"/>
          </w:tcPr>
          <w:p>
            <w:pPr>
              <w:spacing w:after="0"/>
              <w:rPr>
                <w:sz w:val="22"/>
                <w:szCs w:val="22"/>
                <w:color w:val="auto"/>
              </w:rPr>
            </w:pPr>
          </w:p>
        </w:tc>
      </w:tr>
      <w:tr>
        <w:trPr>
          <w:trHeight w:val="257"/>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Peter B. Henry</w:t>
            </w:r>
          </w:p>
        </w:tc>
        <w:tc>
          <w:tcPr>
            <w:tcW w:w="228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410,776,170</w:t>
            </w:r>
          </w:p>
        </w:tc>
        <w:tc>
          <w:tcPr>
            <w:tcW w:w="164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9"/>
              </w:rPr>
              <w:t>1,819,840</w:t>
            </w:r>
          </w:p>
        </w:tc>
        <w:tc>
          <w:tcPr>
            <w:tcW w:w="500" w:type="dxa"/>
            <w:vAlign w:val="bottom"/>
          </w:tcPr>
          <w:p>
            <w:pPr>
              <w:spacing w:after="0"/>
              <w:rPr>
                <w:sz w:val="22"/>
                <w:szCs w:val="22"/>
                <w:color w:val="auto"/>
              </w:rPr>
            </w:pPr>
          </w:p>
        </w:tc>
        <w:tc>
          <w:tcPr>
            <w:tcW w:w="18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w w:val="99"/>
              </w:rPr>
              <w:t>308,825</w:t>
            </w:r>
          </w:p>
        </w:tc>
        <w:tc>
          <w:tcPr>
            <w:tcW w:w="2220" w:type="dxa"/>
            <w:vAlign w:val="bottom"/>
            <w:gridSpan w:val="2"/>
          </w:tcPr>
          <w:p>
            <w:pPr>
              <w:jc w:val="center"/>
              <w:ind w:left="750"/>
              <w:spacing w:after="0"/>
              <w:rPr>
                <w:sz w:val="20"/>
                <w:szCs w:val="20"/>
                <w:color w:val="auto"/>
              </w:rPr>
            </w:pPr>
            <w:r>
              <w:rPr>
                <w:rFonts w:ascii="Times New Roman" w:cs="Times New Roman" w:eastAsia="Times New Roman" w:hAnsi="Times New Roman"/>
                <w:sz w:val="18"/>
                <w:szCs w:val="18"/>
                <w:color w:val="auto"/>
              </w:rPr>
              <w:t>30,319,338</w:t>
            </w:r>
          </w:p>
        </w:tc>
        <w:tc>
          <w:tcPr>
            <w:tcW w:w="400" w:type="dxa"/>
            <w:vAlign w:val="bottom"/>
          </w:tcPr>
          <w:p>
            <w:pPr>
              <w:spacing w:after="0"/>
              <w:rPr>
                <w:sz w:val="22"/>
                <w:szCs w:val="22"/>
                <w:color w:val="auto"/>
              </w:rPr>
            </w:pPr>
          </w:p>
        </w:tc>
      </w:tr>
      <w:tr>
        <w:trPr>
          <w:trHeight w:val="256"/>
        </w:trPr>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Mercedes Johnson</w:t>
            </w:r>
          </w:p>
        </w:tc>
        <w:tc>
          <w:tcPr>
            <w:tcW w:w="228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410,765,533</w:t>
            </w:r>
          </w:p>
        </w:tc>
        <w:tc>
          <w:tcPr>
            <w:tcW w:w="164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1,833,046</w:t>
            </w:r>
          </w:p>
        </w:tc>
        <w:tc>
          <w:tcPr>
            <w:tcW w:w="50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306,256</w:t>
            </w:r>
          </w:p>
        </w:tc>
        <w:tc>
          <w:tcPr>
            <w:tcW w:w="2220" w:type="dxa"/>
            <w:vAlign w:val="bottom"/>
            <w:gridSpan w:val="2"/>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30,319,338</w:t>
            </w:r>
          </w:p>
        </w:tc>
        <w:tc>
          <w:tcPr>
            <w:tcW w:w="400" w:type="dxa"/>
            <w:vAlign w:val="bottom"/>
            <w:shd w:val="clear" w:color="auto" w:fill="CCEEFF"/>
          </w:tcPr>
          <w:p>
            <w:pPr>
              <w:spacing w:after="0"/>
              <w:rPr>
                <w:sz w:val="22"/>
                <w:szCs w:val="22"/>
                <w:color w:val="auto"/>
              </w:rPr>
            </w:pPr>
          </w:p>
        </w:tc>
      </w:tr>
      <w:tr>
        <w:trPr>
          <w:trHeight w:val="257"/>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Yoky Matsuoka</w:t>
            </w:r>
          </w:p>
        </w:tc>
        <w:tc>
          <w:tcPr>
            <w:tcW w:w="228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412,134,479</w:t>
            </w:r>
          </w:p>
        </w:tc>
        <w:tc>
          <w:tcPr>
            <w:tcW w:w="164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462,633</w:t>
            </w:r>
          </w:p>
        </w:tc>
        <w:tc>
          <w:tcPr>
            <w:tcW w:w="500" w:type="dxa"/>
            <w:vAlign w:val="bottom"/>
          </w:tcPr>
          <w:p>
            <w:pPr>
              <w:spacing w:after="0"/>
              <w:rPr>
                <w:sz w:val="22"/>
                <w:szCs w:val="22"/>
                <w:color w:val="auto"/>
              </w:rPr>
            </w:pPr>
          </w:p>
        </w:tc>
        <w:tc>
          <w:tcPr>
            <w:tcW w:w="18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w w:val="99"/>
              </w:rPr>
              <w:t>307,723</w:t>
            </w:r>
          </w:p>
        </w:tc>
        <w:tc>
          <w:tcPr>
            <w:tcW w:w="2220" w:type="dxa"/>
            <w:vAlign w:val="bottom"/>
            <w:gridSpan w:val="2"/>
          </w:tcPr>
          <w:p>
            <w:pPr>
              <w:jc w:val="center"/>
              <w:ind w:left="750"/>
              <w:spacing w:after="0"/>
              <w:rPr>
                <w:sz w:val="20"/>
                <w:szCs w:val="20"/>
                <w:color w:val="auto"/>
              </w:rPr>
            </w:pPr>
            <w:r>
              <w:rPr>
                <w:rFonts w:ascii="Times New Roman" w:cs="Times New Roman" w:eastAsia="Times New Roman" w:hAnsi="Times New Roman"/>
                <w:sz w:val="18"/>
                <w:szCs w:val="18"/>
                <w:color w:val="auto"/>
              </w:rPr>
              <w:t>30,319,338</w:t>
            </w:r>
          </w:p>
        </w:tc>
        <w:tc>
          <w:tcPr>
            <w:tcW w:w="400" w:type="dxa"/>
            <w:vAlign w:val="bottom"/>
          </w:tcPr>
          <w:p>
            <w:pPr>
              <w:spacing w:after="0"/>
              <w:rPr>
                <w:sz w:val="22"/>
                <w:szCs w:val="22"/>
                <w:color w:val="auto"/>
              </w:rPr>
            </w:pPr>
          </w:p>
        </w:tc>
      </w:tr>
      <w:tr>
        <w:trPr>
          <w:trHeight w:val="256"/>
        </w:trPr>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 Stata</w:t>
            </w:r>
          </w:p>
        </w:tc>
        <w:tc>
          <w:tcPr>
            <w:tcW w:w="228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407,462,625</w:t>
            </w:r>
          </w:p>
        </w:tc>
        <w:tc>
          <w:tcPr>
            <w:tcW w:w="164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5,149,033</w:t>
            </w:r>
          </w:p>
        </w:tc>
        <w:tc>
          <w:tcPr>
            <w:tcW w:w="50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293,177</w:t>
            </w:r>
          </w:p>
        </w:tc>
        <w:tc>
          <w:tcPr>
            <w:tcW w:w="2220" w:type="dxa"/>
            <w:vAlign w:val="bottom"/>
            <w:gridSpan w:val="2"/>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30,319,338</w:t>
            </w:r>
          </w:p>
        </w:tc>
        <w:tc>
          <w:tcPr>
            <w:tcW w:w="400" w:type="dxa"/>
            <w:vAlign w:val="bottom"/>
            <w:shd w:val="clear" w:color="auto" w:fill="CCEEFF"/>
          </w:tcPr>
          <w:p>
            <w:pPr>
              <w:spacing w:after="0"/>
              <w:rPr>
                <w:sz w:val="22"/>
                <w:szCs w:val="22"/>
                <w:color w:val="auto"/>
              </w:rPr>
            </w:pPr>
          </w:p>
        </w:tc>
      </w:tr>
      <w:tr>
        <w:trPr>
          <w:trHeight w:val="257"/>
        </w:trPr>
        <w:tc>
          <w:tcPr>
            <w:tcW w:w="2380" w:type="dxa"/>
            <w:vAlign w:val="bottom"/>
            <w:tcBorders>
              <w:bottom w:val="single" w:sz="8" w:color="0094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Andrea F. Wainer</w:t>
            </w:r>
          </w:p>
        </w:tc>
        <w:tc>
          <w:tcPr>
            <w:tcW w:w="2280" w:type="dxa"/>
            <w:vAlign w:val="bottom"/>
            <w:tcBorders>
              <w:bottom w:val="single" w:sz="8" w:color="0094FF"/>
            </w:tcBorders>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409,099,183</w:t>
            </w:r>
          </w:p>
        </w:tc>
        <w:tc>
          <w:tcPr>
            <w:tcW w:w="1640" w:type="dxa"/>
            <w:vAlign w:val="bottom"/>
            <w:tcBorders>
              <w:bottom w:val="single" w:sz="8" w:color="0094FF"/>
            </w:tcBorders>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9"/>
              </w:rPr>
              <w:t>3,268,058</w:t>
            </w:r>
          </w:p>
        </w:tc>
        <w:tc>
          <w:tcPr>
            <w:tcW w:w="500" w:type="dxa"/>
            <w:vAlign w:val="bottom"/>
            <w:tcBorders>
              <w:bottom w:val="single" w:sz="8" w:color="0094FF"/>
            </w:tcBorders>
          </w:tcPr>
          <w:p>
            <w:pPr>
              <w:spacing w:after="0"/>
              <w:rPr>
                <w:sz w:val="22"/>
                <w:szCs w:val="22"/>
                <w:color w:val="auto"/>
              </w:rPr>
            </w:pPr>
          </w:p>
        </w:tc>
        <w:tc>
          <w:tcPr>
            <w:tcW w:w="1800" w:type="dxa"/>
            <w:vAlign w:val="bottom"/>
            <w:tcBorders>
              <w:bottom w:val="single" w:sz="8" w:color="0094FF"/>
            </w:tcBorders>
            <w:gridSpan w:val="2"/>
          </w:tcPr>
          <w:p>
            <w:pPr>
              <w:jc w:val="center"/>
              <w:ind w:left="410"/>
              <w:spacing w:after="0"/>
              <w:rPr>
                <w:sz w:val="20"/>
                <w:szCs w:val="20"/>
                <w:color w:val="auto"/>
              </w:rPr>
            </w:pPr>
            <w:r>
              <w:rPr>
                <w:rFonts w:ascii="Times New Roman" w:cs="Times New Roman" w:eastAsia="Times New Roman" w:hAnsi="Times New Roman"/>
                <w:sz w:val="18"/>
                <w:szCs w:val="18"/>
                <w:color w:val="auto"/>
                <w:w w:val="99"/>
              </w:rPr>
              <w:t>537,594</w:t>
            </w:r>
          </w:p>
        </w:tc>
        <w:tc>
          <w:tcPr>
            <w:tcW w:w="2220" w:type="dxa"/>
            <w:vAlign w:val="bottom"/>
            <w:tcBorders>
              <w:bottom w:val="single" w:sz="8" w:color="0094FF"/>
            </w:tcBorders>
            <w:gridSpan w:val="2"/>
          </w:tcPr>
          <w:p>
            <w:pPr>
              <w:jc w:val="center"/>
              <w:ind w:left="750"/>
              <w:spacing w:after="0"/>
              <w:rPr>
                <w:sz w:val="20"/>
                <w:szCs w:val="20"/>
                <w:color w:val="auto"/>
              </w:rPr>
            </w:pPr>
            <w:r>
              <w:rPr>
                <w:rFonts w:ascii="Times New Roman" w:cs="Times New Roman" w:eastAsia="Times New Roman" w:hAnsi="Times New Roman"/>
                <w:sz w:val="18"/>
                <w:szCs w:val="18"/>
                <w:color w:val="auto"/>
              </w:rPr>
              <w:t>30,319,338</w:t>
            </w:r>
          </w:p>
        </w:tc>
        <w:tc>
          <w:tcPr>
            <w:tcW w:w="400" w:type="dxa"/>
            <w:vAlign w:val="bottom"/>
            <w:tcBorders>
              <w:bottom w:val="single" w:sz="8" w:color="0094FF"/>
            </w:tcBorders>
          </w:tcPr>
          <w:p>
            <w:pPr>
              <w:spacing w:after="0"/>
              <w:rPr>
                <w:sz w:val="22"/>
                <w:szCs w:val="22"/>
                <w:color w:val="auto"/>
              </w:rPr>
            </w:pPr>
          </w:p>
        </w:tc>
      </w:tr>
    </w:tbl>
    <w:p>
      <w:pPr>
        <w:spacing w:after="0" w:line="304"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Proposal 2 – The approval, by non-binding “say-on-pay” vote, of the compensation of the Company’s named executive officers, as described in the Compensation Discussion and Analysis, executive compensation tables and accompanying narrative disclosure in the Proxy Statement.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shareholders approved, on an advisory basis, the compensation of the Company’s named executive officers. The voting results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60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76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8"/>
              </w:rPr>
              <w:t>Votes Abstaining</w:t>
            </w:r>
          </w:p>
        </w:tc>
        <w:tc>
          <w:tcPr>
            <w:tcW w:w="21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34"/>
        </w:trPr>
        <w:tc>
          <w:tcPr>
            <w:tcW w:w="1040" w:type="dxa"/>
            <w:vAlign w:val="bottom"/>
            <w:tcBorders>
              <w:bottom w:val="single" w:sz="8" w:color="0094FF"/>
            </w:tcBorders>
          </w:tcPr>
          <w:p>
            <w:pPr>
              <w:spacing w:after="0"/>
              <w:rPr>
                <w:sz w:val="2"/>
                <w:szCs w:val="2"/>
                <w:color w:val="auto"/>
              </w:rPr>
            </w:pPr>
          </w:p>
        </w:tc>
        <w:tc>
          <w:tcPr>
            <w:tcW w:w="740" w:type="dxa"/>
            <w:vAlign w:val="bottom"/>
            <w:tcBorders>
              <w:top w:val="single" w:sz="8" w:color="auto"/>
              <w:bottom w:val="single" w:sz="8" w:color="0094FF"/>
            </w:tcBorders>
          </w:tcPr>
          <w:p>
            <w:pPr>
              <w:spacing w:after="0"/>
              <w:rPr>
                <w:sz w:val="2"/>
                <w:szCs w:val="2"/>
                <w:color w:val="auto"/>
              </w:rPr>
            </w:pPr>
          </w:p>
        </w:tc>
        <w:tc>
          <w:tcPr>
            <w:tcW w:w="1000" w:type="dxa"/>
            <w:vAlign w:val="bottom"/>
            <w:tcBorders>
              <w:bottom w:val="single" w:sz="8" w:color="0094FF"/>
            </w:tcBorders>
          </w:tcPr>
          <w:p>
            <w:pPr>
              <w:spacing w:after="0"/>
              <w:rPr>
                <w:sz w:val="2"/>
                <w:szCs w:val="2"/>
                <w:color w:val="auto"/>
              </w:rPr>
            </w:pPr>
          </w:p>
        </w:tc>
        <w:tc>
          <w:tcPr>
            <w:tcW w:w="920" w:type="dxa"/>
            <w:vAlign w:val="bottom"/>
            <w:tcBorders>
              <w:bottom w:val="single" w:sz="8" w:color="0094FF"/>
            </w:tcBorders>
          </w:tcPr>
          <w:p>
            <w:pPr>
              <w:spacing w:after="0"/>
              <w:rPr>
                <w:sz w:val="2"/>
                <w:szCs w:val="2"/>
                <w:color w:val="auto"/>
              </w:rPr>
            </w:pPr>
          </w:p>
        </w:tc>
        <w:tc>
          <w:tcPr>
            <w:tcW w:w="1040" w:type="dxa"/>
            <w:vAlign w:val="bottom"/>
            <w:tcBorders>
              <w:top w:val="single" w:sz="8" w:color="auto"/>
              <w:bottom w:val="single" w:sz="8" w:color="0094FF"/>
            </w:tcBorders>
          </w:tcPr>
          <w:p>
            <w:pPr>
              <w:spacing w:after="0"/>
              <w:rPr>
                <w:sz w:val="2"/>
                <w:szCs w:val="2"/>
                <w:color w:val="auto"/>
              </w:rPr>
            </w:pPr>
          </w:p>
        </w:tc>
        <w:tc>
          <w:tcPr>
            <w:tcW w:w="1640" w:type="dxa"/>
            <w:vAlign w:val="bottom"/>
            <w:tcBorders>
              <w:bottom w:val="single" w:sz="8" w:color="0094FF"/>
            </w:tcBorders>
          </w:tcPr>
          <w:p>
            <w:pPr>
              <w:spacing w:after="0"/>
              <w:rPr>
                <w:sz w:val="2"/>
                <w:szCs w:val="2"/>
                <w:color w:val="auto"/>
              </w:rPr>
            </w:pPr>
          </w:p>
        </w:tc>
        <w:tc>
          <w:tcPr>
            <w:tcW w:w="1300" w:type="dxa"/>
            <w:vAlign w:val="bottom"/>
            <w:tcBorders>
              <w:top w:val="single" w:sz="8" w:color="auto"/>
              <w:bottom w:val="single" w:sz="8" w:color="0094FF"/>
            </w:tcBorders>
          </w:tcPr>
          <w:p>
            <w:pPr>
              <w:spacing w:after="0"/>
              <w:rPr>
                <w:sz w:val="2"/>
                <w:szCs w:val="2"/>
                <w:color w:val="auto"/>
              </w:rPr>
            </w:pPr>
          </w:p>
        </w:tc>
        <w:tc>
          <w:tcPr>
            <w:tcW w:w="1460" w:type="dxa"/>
            <w:vAlign w:val="bottom"/>
            <w:tcBorders>
              <w:bottom w:val="single" w:sz="8" w:color="0094FF"/>
            </w:tcBorders>
          </w:tcPr>
          <w:p>
            <w:pPr>
              <w:spacing w:after="0"/>
              <w:rPr>
                <w:sz w:val="2"/>
                <w:szCs w:val="2"/>
                <w:color w:val="auto"/>
              </w:rPr>
            </w:pPr>
          </w:p>
        </w:tc>
        <w:tc>
          <w:tcPr>
            <w:tcW w:w="1380" w:type="dxa"/>
            <w:vAlign w:val="bottom"/>
            <w:tcBorders>
              <w:top w:val="single" w:sz="8" w:color="auto"/>
              <w:bottom w:val="single" w:sz="8" w:color="0094FF"/>
            </w:tcBorders>
          </w:tcPr>
          <w:p>
            <w:pPr>
              <w:spacing w:after="0"/>
              <w:rPr>
                <w:sz w:val="2"/>
                <w:szCs w:val="2"/>
                <w:color w:val="auto"/>
              </w:rPr>
            </w:pPr>
          </w:p>
        </w:tc>
        <w:tc>
          <w:tcPr>
            <w:tcW w:w="720" w:type="dxa"/>
            <w:vAlign w:val="bottom"/>
            <w:tcBorders>
              <w:bottom w:val="single" w:sz="8" w:color="0094FF"/>
            </w:tcBorders>
          </w:tcPr>
          <w:p>
            <w:pPr>
              <w:spacing w:after="0"/>
              <w:rPr>
                <w:sz w:val="2"/>
                <w:szCs w:val="2"/>
                <w:color w:val="auto"/>
              </w:rPr>
            </w:pPr>
          </w:p>
        </w:tc>
      </w:tr>
      <w:tr>
        <w:trPr>
          <w:trHeight w:val="223"/>
        </w:trPr>
        <w:tc>
          <w:tcPr>
            <w:tcW w:w="2780" w:type="dxa"/>
            <w:vAlign w:val="bottom"/>
            <w:tcBorders>
              <w:bottom w:val="single" w:sz="8" w:color="0094FF"/>
            </w:tcBorders>
            <w:gridSpan w:val="3"/>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370,540,311</w:t>
            </w:r>
          </w:p>
        </w:tc>
        <w:tc>
          <w:tcPr>
            <w:tcW w:w="1960" w:type="dxa"/>
            <w:vAlign w:val="bottom"/>
            <w:tcBorders>
              <w:bottom w:val="single" w:sz="8" w:color="0094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40,019,715</w:t>
            </w:r>
          </w:p>
        </w:tc>
        <w:tc>
          <w:tcPr>
            <w:tcW w:w="1640" w:type="dxa"/>
            <w:vAlign w:val="bottom"/>
            <w:tcBorders>
              <w:bottom w:val="single" w:sz="8" w:color="0094FF"/>
            </w:tcBorders>
            <w:shd w:val="clear" w:color="auto" w:fill="CCEEFF"/>
          </w:tcPr>
          <w:p>
            <w:pPr>
              <w:spacing w:after="0"/>
              <w:rPr>
                <w:sz w:val="19"/>
                <w:szCs w:val="19"/>
                <w:color w:val="auto"/>
              </w:rPr>
            </w:pPr>
          </w:p>
        </w:tc>
        <w:tc>
          <w:tcPr>
            <w:tcW w:w="1300" w:type="dxa"/>
            <w:vAlign w:val="bottom"/>
            <w:tcBorders>
              <w:bottom w:val="single" w:sz="8" w:color="0094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2,344,809</w:t>
            </w:r>
          </w:p>
        </w:tc>
        <w:tc>
          <w:tcPr>
            <w:tcW w:w="1460" w:type="dxa"/>
            <w:vAlign w:val="bottom"/>
            <w:tcBorders>
              <w:bottom w:val="single" w:sz="8" w:color="0094FF"/>
            </w:tcBorders>
            <w:shd w:val="clear" w:color="auto" w:fill="CCEEFF"/>
          </w:tcPr>
          <w:p>
            <w:pPr>
              <w:spacing w:after="0"/>
              <w:rPr>
                <w:sz w:val="19"/>
                <w:szCs w:val="19"/>
                <w:color w:val="auto"/>
              </w:rPr>
            </w:pPr>
          </w:p>
        </w:tc>
        <w:tc>
          <w:tcPr>
            <w:tcW w:w="1380" w:type="dxa"/>
            <w:vAlign w:val="bottom"/>
            <w:tcBorders>
              <w:bottom w:val="single" w:sz="8" w:color="0094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30,319,338</w:t>
            </w:r>
          </w:p>
        </w:tc>
        <w:tc>
          <w:tcPr>
            <w:tcW w:w="720" w:type="dxa"/>
            <w:vAlign w:val="bottom"/>
            <w:tcBorders>
              <w:bottom w:val="single" w:sz="8" w:color="0094FF"/>
            </w:tcBorders>
            <w:shd w:val="clear" w:color="auto" w:fill="CCEEFF"/>
          </w:tcPr>
          <w:p>
            <w:pPr>
              <w:spacing w:after="0"/>
              <w:rPr>
                <w:sz w:val="19"/>
                <w:szCs w:val="19"/>
                <w:color w:val="auto"/>
              </w:rPr>
            </w:pPr>
          </w:p>
        </w:tc>
      </w:tr>
    </w:tbl>
    <w:p>
      <w:pPr>
        <w:spacing w:after="0" w:line="317"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Proposal 3 – The ratification of the selection of Ernst &amp; Young LLP as the Company’s independent registered public accounting firm for the fiscal year ending October 31, 2026.</w:t>
      </w:r>
    </w:p>
    <w:p>
      <w:pPr>
        <w:spacing w:after="0" w:line="187" w:lineRule="exact"/>
        <w:rPr>
          <w:sz w:val="20"/>
          <w:szCs w:val="20"/>
          <w:color w:val="auto"/>
        </w:rPr>
      </w:pPr>
    </w:p>
    <w:p>
      <w:pPr>
        <w:ind w:right="80" w:firstLine="648"/>
        <w:spacing w:after="0" w:line="279" w:lineRule="auto"/>
        <w:rPr>
          <w:sz w:val="20"/>
          <w:szCs w:val="20"/>
          <w:color w:val="auto"/>
        </w:rPr>
      </w:pPr>
      <w:r>
        <w:rPr>
          <w:rFonts w:ascii="Times New Roman" w:cs="Times New Roman" w:eastAsia="Times New Roman" w:hAnsi="Times New Roman"/>
          <w:sz w:val="18"/>
          <w:szCs w:val="18"/>
          <w:color w:val="auto"/>
        </w:rPr>
        <w:t>The shareholders ratified the Company’s selection of Ernst &amp; Young LLP as the Company’s independent registered public accounting firm for the fiscal year ending October 31, 2026. The voting results were as follows:</w:t>
      </w:r>
    </w:p>
    <w:tbl>
      <w:tblPr>
        <w:tblLayout w:type="fixed"/>
        <w:tblInd w:w="0" w:type="dxa"/>
        <w:tblCellMar>
          <w:top w:w="0" w:type="dxa"/>
          <w:left w:w="0" w:type="dxa"/>
          <w:bottom w:w="0" w:type="dxa"/>
          <w:right w:w="0" w:type="dxa"/>
        </w:tblCellMar>
      </w:tblPr>
      <w:tr>
        <w:trPr>
          <w:trHeight w:val="199"/>
        </w:trPr>
        <w:tc>
          <w:tcPr>
            <w:tcW w:w="5080" w:type="dxa"/>
            <w:vAlign w:val="bottom"/>
            <w:gridSpan w:val="3"/>
          </w:tcPr>
          <w:p>
            <w:pPr>
              <w:jc w:val="center"/>
              <w:ind w:right="1340"/>
              <w:spacing w:after="0" w:line="199" w:lineRule="exact"/>
              <w:rPr>
                <w:sz w:val="20"/>
                <w:szCs w:val="20"/>
                <w:color w:val="auto"/>
              </w:rPr>
            </w:pPr>
            <w:r>
              <w:rPr>
                <w:rFonts w:ascii="Times New Roman" w:cs="Times New Roman" w:eastAsia="Times New Roman" w:hAnsi="Times New Roman"/>
                <w:sz w:val="18"/>
                <w:szCs w:val="18"/>
                <w:b w:val="1"/>
                <w:bCs w:val="1"/>
                <w:color w:val="auto"/>
                <w:w w:val="97"/>
              </w:rPr>
              <w:t>Votes For</w:t>
            </w:r>
          </w:p>
        </w:tc>
        <w:tc>
          <w:tcPr>
            <w:tcW w:w="2340" w:type="dxa"/>
            <w:vAlign w:val="bottom"/>
            <w:gridSpan w:val="2"/>
          </w:tcPr>
          <w:p>
            <w:pPr>
              <w:jc w:val="center"/>
              <w:ind w:right="1280"/>
              <w:spacing w:after="0" w:line="199" w:lineRule="exact"/>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3820" w:type="dxa"/>
            <w:vAlign w:val="bottom"/>
            <w:gridSpan w:val="3"/>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8"/>
              </w:rPr>
              <w:t>Votes Abstaining</w:t>
            </w:r>
          </w:p>
        </w:tc>
      </w:tr>
      <w:tr>
        <w:trPr>
          <w:trHeight w:val="34"/>
        </w:trPr>
        <w:tc>
          <w:tcPr>
            <w:tcW w:w="1500" w:type="dxa"/>
            <w:vAlign w:val="bottom"/>
            <w:tcBorders>
              <w:bottom w:val="single" w:sz="8" w:color="0094FF"/>
            </w:tcBorders>
          </w:tcPr>
          <w:p>
            <w:pPr>
              <w:spacing w:after="0"/>
              <w:rPr>
                <w:sz w:val="2"/>
                <w:szCs w:val="2"/>
                <w:color w:val="auto"/>
              </w:rPr>
            </w:pPr>
          </w:p>
        </w:tc>
        <w:tc>
          <w:tcPr>
            <w:tcW w:w="740" w:type="dxa"/>
            <w:vAlign w:val="bottom"/>
            <w:tcBorders>
              <w:top w:val="single" w:sz="8" w:color="auto"/>
              <w:bottom w:val="single" w:sz="8" w:color="0094FF"/>
            </w:tcBorders>
          </w:tcPr>
          <w:p>
            <w:pPr>
              <w:spacing w:after="0"/>
              <w:rPr>
                <w:sz w:val="2"/>
                <w:szCs w:val="2"/>
                <w:color w:val="auto"/>
              </w:rPr>
            </w:pPr>
          </w:p>
        </w:tc>
        <w:tc>
          <w:tcPr>
            <w:tcW w:w="2840" w:type="dxa"/>
            <w:vAlign w:val="bottom"/>
            <w:tcBorders>
              <w:bottom w:val="single" w:sz="8" w:color="0094FF"/>
            </w:tcBorders>
          </w:tcPr>
          <w:p>
            <w:pPr>
              <w:spacing w:after="0"/>
              <w:rPr>
                <w:sz w:val="2"/>
                <w:szCs w:val="2"/>
                <w:color w:val="auto"/>
              </w:rPr>
            </w:pPr>
          </w:p>
        </w:tc>
        <w:tc>
          <w:tcPr>
            <w:tcW w:w="1060" w:type="dxa"/>
            <w:vAlign w:val="bottom"/>
            <w:tcBorders>
              <w:top w:val="single" w:sz="8" w:color="auto"/>
              <w:bottom w:val="single" w:sz="8" w:color="0094FF"/>
            </w:tcBorders>
          </w:tcPr>
          <w:p>
            <w:pPr>
              <w:spacing w:after="0"/>
              <w:rPr>
                <w:sz w:val="2"/>
                <w:szCs w:val="2"/>
                <w:color w:val="auto"/>
              </w:rPr>
            </w:pPr>
          </w:p>
        </w:tc>
        <w:tc>
          <w:tcPr>
            <w:tcW w:w="1280" w:type="dxa"/>
            <w:vAlign w:val="bottom"/>
            <w:tcBorders>
              <w:bottom w:val="single" w:sz="8" w:color="0094FF"/>
            </w:tcBorders>
          </w:tcPr>
          <w:p>
            <w:pPr>
              <w:spacing w:after="0"/>
              <w:rPr>
                <w:sz w:val="2"/>
                <w:szCs w:val="2"/>
                <w:color w:val="auto"/>
              </w:rPr>
            </w:pPr>
          </w:p>
        </w:tc>
        <w:tc>
          <w:tcPr>
            <w:tcW w:w="1300" w:type="dxa"/>
            <w:vAlign w:val="bottom"/>
            <w:tcBorders>
              <w:bottom w:val="single" w:sz="8" w:color="0094FF"/>
            </w:tcBorders>
          </w:tcPr>
          <w:p>
            <w:pPr>
              <w:spacing w:after="0"/>
              <w:rPr>
                <w:sz w:val="2"/>
                <w:szCs w:val="2"/>
                <w:color w:val="auto"/>
              </w:rPr>
            </w:pPr>
          </w:p>
        </w:tc>
        <w:tc>
          <w:tcPr>
            <w:tcW w:w="1300" w:type="dxa"/>
            <w:vAlign w:val="bottom"/>
            <w:tcBorders>
              <w:top w:val="single" w:sz="8" w:color="auto"/>
              <w:bottom w:val="single" w:sz="8" w:color="0094FF"/>
            </w:tcBorders>
          </w:tcPr>
          <w:p>
            <w:pPr>
              <w:spacing w:after="0"/>
              <w:rPr>
                <w:sz w:val="2"/>
                <w:szCs w:val="2"/>
                <w:color w:val="auto"/>
              </w:rPr>
            </w:pPr>
          </w:p>
        </w:tc>
        <w:tc>
          <w:tcPr>
            <w:tcW w:w="1220" w:type="dxa"/>
            <w:vAlign w:val="bottom"/>
            <w:tcBorders>
              <w:bottom w:val="single" w:sz="8" w:color="0094FF"/>
            </w:tcBorders>
          </w:tcPr>
          <w:p>
            <w:pPr>
              <w:spacing w:after="0"/>
              <w:rPr>
                <w:sz w:val="2"/>
                <w:szCs w:val="2"/>
                <w:color w:val="auto"/>
              </w:rPr>
            </w:pPr>
          </w:p>
        </w:tc>
      </w:tr>
      <w:tr>
        <w:trPr>
          <w:trHeight w:val="223"/>
        </w:trPr>
        <w:tc>
          <w:tcPr>
            <w:tcW w:w="5080" w:type="dxa"/>
            <w:vAlign w:val="bottom"/>
            <w:tcBorders>
              <w:bottom w:val="single" w:sz="8" w:color="0094FF"/>
            </w:tcBorders>
            <w:gridSpan w:val="3"/>
            <w:shd w:val="clear" w:color="auto" w:fill="CCEEFF"/>
          </w:tcPr>
          <w:p>
            <w:pPr>
              <w:jc w:val="right"/>
              <w:ind w:right="2760"/>
              <w:spacing w:after="0"/>
              <w:rPr>
                <w:sz w:val="20"/>
                <w:szCs w:val="20"/>
                <w:color w:val="auto"/>
              </w:rPr>
            </w:pPr>
            <w:r>
              <w:rPr>
                <w:rFonts w:ascii="Times New Roman" w:cs="Times New Roman" w:eastAsia="Times New Roman" w:hAnsi="Times New Roman"/>
                <w:sz w:val="18"/>
                <w:szCs w:val="18"/>
                <w:color w:val="auto"/>
              </w:rPr>
              <w:t>411,253,252</w:t>
            </w:r>
          </w:p>
        </w:tc>
        <w:tc>
          <w:tcPr>
            <w:tcW w:w="1060" w:type="dxa"/>
            <w:vAlign w:val="bottom"/>
            <w:tcBorders>
              <w:bottom w:val="single" w:sz="8" w:color="0094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30,848,081</w:t>
            </w:r>
          </w:p>
        </w:tc>
        <w:tc>
          <w:tcPr>
            <w:tcW w:w="1280" w:type="dxa"/>
            <w:vAlign w:val="bottom"/>
            <w:tcBorders>
              <w:bottom w:val="single" w:sz="8" w:color="0094FF"/>
            </w:tcBorders>
            <w:shd w:val="clear" w:color="auto" w:fill="CCEEFF"/>
          </w:tcPr>
          <w:p>
            <w:pPr>
              <w:spacing w:after="0"/>
              <w:rPr>
                <w:sz w:val="19"/>
                <w:szCs w:val="19"/>
                <w:color w:val="auto"/>
              </w:rPr>
            </w:pPr>
          </w:p>
        </w:tc>
        <w:tc>
          <w:tcPr>
            <w:tcW w:w="2600" w:type="dxa"/>
            <w:vAlign w:val="bottom"/>
            <w:tcBorders>
              <w:bottom w:val="single" w:sz="8" w:color="0094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1,122,840</w:t>
            </w:r>
          </w:p>
        </w:tc>
        <w:tc>
          <w:tcPr>
            <w:tcW w:w="1220" w:type="dxa"/>
            <w:vAlign w:val="bottom"/>
            <w:tcBorders>
              <w:bottom w:val="single" w:sz="8" w:color="0094FF"/>
            </w:tcBorders>
            <w:shd w:val="clear" w:color="auto" w:fill="CCEEFF"/>
          </w:tcPr>
          <w:p>
            <w:pPr>
              <w:spacing w:after="0"/>
              <w:rPr>
                <w:sz w:val="19"/>
                <w:szCs w:val="19"/>
                <w:color w:val="auto"/>
              </w:rPr>
            </w:pPr>
          </w:p>
        </w:tc>
      </w:tr>
      <w:tr>
        <w:trPr>
          <w:trHeight w:val="1202"/>
        </w:trPr>
        <w:tc>
          <w:tcPr>
            <w:tcW w:w="1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Proposal 4 – Approval of the Amended and Restated Analog Devices, Inc. 2020 Equity Incentive Plan.</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shareholders approved the Amended and Restated Analog Devices, Inc. 2020 Equity Incentive Plan. The voting results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60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76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8"/>
              </w:rPr>
              <w:t>Votes Abstaining</w:t>
            </w:r>
          </w:p>
        </w:tc>
        <w:tc>
          <w:tcPr>
            <w:tcW w:w="21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34"/>
        </w:trPr>
        <w:tc>
          <w:tcPr>
            <w:tcW w:w="1040" w:type="dxa"/>
            <w:vAlign w:val="bottom"/>
            <w:tcBorders>
              <w:bottom w:val="single" w:sz="8" w:color="0094FF"/>
            </w:tcBorders>
          </w:tcPr>
          <w:p>
            <w:pPr>
              <w:spacing w:after="0"/>
              <w:rPr>
                <w:sz w:val="2"/>
                <w:szCs w:val="2"/>
                <w:color w:val="auto"/>
              </w:rPr>
            </w:pPr>
          </w:p>
        </w:tc>
        <w:tc>
          <w:tcPr>
            <w:tcW w:w="740" w:type="dxa"/>
            <w:vAlign w:val="bottom"/>
            <w:tcBorders>
              <w:top w:val="single" w:sz="8" w:color="auto"/>
              <w:bottom w:val="single" w:sz="8" w:color="0094FF"/>
            </w:tcBorders>
          </w:tcPr>
          <w:p>
            <w:pPr>
              <w:spacing w:after="0"/>
              <w:rPr>
                <w:sz w:val="2"/>
                <w:szCs w:val="2"/>
                <w:color w:val="auto"/>
              </w:rPr>
            </w:pPr>
          </w:p>
        </w:tc>
        <w:tc>
          <w:tcPr>
            <w:tcW w:w="1000" w:type="dxa"/>
            <w:vAlign w:val="bottom"/>
            <w:tcBorders>
              <w:bottom w:val="single" w:sz="8" w:color="0094FF"/>
            </w:tcBorders>
          </w:tcPr>
          <w:p>
            <w:pPr>
              <w:spacing w:after="0"/>
              <w:rPr>
                <w:sz w:val="2"/>
                <w:szCs w:val="2"/>
                <w:color w:val="auto"/>
              </w:rPr>
            </w:pPr>
          </w:p>
        </w:tc>
        <w:tc>
          <w:tcPr>
            <w:tcW w:w="920" w:type="dxa"/>
            <w:vAlign w:val="bottom"/>
            <w:tcBorders>
              <w:bottom w:val="single" w:sz="8" w:color="0094FF"/>
            </w:tcBorders>
          </w:tcPr>
          <w:p>
            <w:pPr>
              <w:spacing w:after="0"/>
              <w:rPr>
                <w:sz w:val="2"/>
                <w:szCs w:val="2"/>
                <w:color w:val="auto"/>
              </w:rPr>
            </w:pPr>
          </w:p>
        </w:tc>
        <w:tc>
          <w:tcPr>
            <w:tcW w:w="1040" w:type="dxa"/>
            <w:vAlign w:val="bottom"/>
            <w:tcBorders>
              <w:top w:val="single" w:sz="8" w:color="auto"/>
              <w:bottom w:val="single" w:sz="8" w:color="0094FF"/>
            </w:tcBorders>
          </w:tcPr>
          <w:p>
            <w:pPr>
              <w:spacing w:after="0"/>
              <w:rPr>
                <w:sz w:val="2"/>
                <w:szCs w:val="2"/>
                <w:color w:val="auto"/>
              </w:rPr>
            </w:pPr>
          </w:p>
        </w:tc>
        <w:tc>
          <w:tcPr>
            <w:tcW w:w="1640" w:type="dxa"/>
            <w:vAlign w:val="bottom"/>
            <w:tcBorders>
              <w:bottom w:val="single" w:sz="8" w:color="0094FF"/>
            </w:tcBorders>
          </w:tcPr>
          <w:p>
            <w:pPr>
              <w:spacing w:after="0"/>
              <w:rPr>
                <w:sz w:val="2"/>
                <w:szCs w:val="2"/>
                <w:color w:val="auto"/>
              </w:rPr>
            </w:pPr>
          </w:p>
        </w:tc>
        <w:tc>
          <w:tcPr>
            <w:tcW w:w="1300" w:type="dxa"/>
            <w:vAlign w:val="bottom"/>
            <w:tcBorders>
              <w:top w:val="single" w:sz="8" w:color="auto"/>
              <w:bottom w:val="single" w:sz="8" w:color="0094FF"/>
            </w:tcBorders>
          </w:tcPr>
          <w:p>
            <w:pPr>
              <w:spacing w:after="0"/>
              <w:rPr>
                <w:sz w:val="2"/>
                <w:szCs w:val="2"/>
                <w:color w:val="auto"/>
              </w:rPr>
            </w:pPr>
          </w:p>
        </w:tc>
        <w:tc>
          <w:tcPr>
            <w:tcW w:w="1460" w:type="dxa"/>
            <w:vAlign w:val="bottom"/>
            <w:tcBorders>
              <w:bottom w:val="single" w:sz="8" w:color="0094FF"/>
            </w:tcBorders>
          </w:tcPr>
          <w:p>
            <w:pPr>
              <w:spacing w:after="0"/>
              <w:rPr>
                <w:sz w:val="2"/>
                <w:szCs w:val="2"/>
                <w:color w:val="auto"/>
              </w:rPr>
            </w:pPr>
          </w:p>
        </w:tc>
        <w:tc>
          <w:tcPr>
            <w:tcW w:w="1380" w:type="dxa"/>
            <w:vAlign w:val="bottom"/>
            <w:tcBorders>
              <w:top w:val="single" w:sz="8" w:color="auto"/>
              <w:bottom w:val="single" w:sz="8" w:color="0094FF"/>
            </w:tcBorders>
          </w:tcPr>
          <w:p>
            <w:pPr>
              <w:spacing w:after="0"/>
              <w:rPr>
                <w:sz w:val="2"/>
                <w:szCs w:val="2"/>
                <w:color w:val="auto"/>
              </w:rPr>
            </w:pPr>
          </w:p>
        </w:tc>
        <w:tc>
          <w:tcPr>
            <w:tcW w:w="720" w:type="dxa"/>
            <w:vAlign w:val="bottom"/>
            <w:tcBorders>
              <w:bottom w:val="single" w:sz="8" w:color="0094FF"/>
            </w:tcBorders>
          </w:tcPr>
          <w:p>
            <w:pPr>
              <w:spacing w:after="0"/>
              <w:rPr>
                <w:sz w:val="2"/>
                <w:szCs w:val="2"/>
                <w:color w:val="auto"/>
              </w:rPr>
            </w:pPr>
          </w:p>
        </w:tc>
      </w:tr>
      <w:tr>
        <w:trPr>
          <w:trHeight w:val="223"/>
        </w:trPr>
        <w:tc>
          <w:tcPr>
            <w:tcW w:w="2780" w:type="dxa"/>
            <w:vAlign w:val="bottom"/>
            <w:tcBorders>
              <w:bottom w:val="single" w:sz="8" w:color="0094FF"/>
            </w:tcBorders>
            <w:gridSpan w:val="3"/>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394,057,132</w:t>
            </w:r>
          </w:p>
        </w:tc>
        <w:tc>
          <w:tcPr>
            <w:tcW w:w="1960" w:type="dxa"/>
            <w:vAlign w:val="bottom"/>
            <w:tcBorders>
              <w:bottom w:val="single" w:sz="8" w:color="0094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17,689,360</w:t>
            </w:r>
          </w:p>
        </w:tc>
        <w:tc>
          <w:tcPr>
            <w:tcW w:w="1640" w:type="dxa"/>
            <w:vAlign w:val="bottom"/>
            <w:tcBorders>
              <w:bottom w:val="single" w:sz="8" w:color="0094FF"/>
            </w:tcBorders>
            <w:shd w:val="clear" w:color="auto" w:fill="CCEEFF"/>
          </w:tcPr>
          <w:p>
            <w:pPr>
              <w:spacing w:after="0"/>
              <w:rPr>
                <w:sz w:val="19"/>
                <w:szCs w:val="19"/>
                <w:color w:val="auto"/>
              </w:rPr>
            </w:pPr>
          </w:p>
        </w:tc>
        <w:tc>
          <w:tcPr>
            <w:tcW w:w="1300" w:type="dxa"/>
            <w:vAlign w:val="bottom"/>
            <w:tcBorders>
              <w:bottom w:val="single" w:sz="8" w:color="0094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1,158,343</w:t>
            </w:r>
          </w:p>
        </w:tc>
        <w:tc>
          <w:tcPr>
            <w:tcW w:w="1460" w:type="dxa"/>
            <w:vAlign w:val="bottom"/>
            <w:tcBorders>
              <w:bottom w:val="single" w:sz="8" w:color="0094FF"/>
            </w:tcBorders>
            <w:shd w:val="clear" w:color="auto" w:fill="CCEEFF"/>
          </w:tcPr>
          <w:p>
            <w:pPr>
              <w:spacing w:after="0"/>
              <w:rPr>
                <w:sz w:val="19"/>
                <w:szCs w:val="19"/>
                <w:color w:val="auto"/>
              </w:rPr>
            </w:pPr>
          </w:p>
        </w:tc>
        <w:tc>
          <w:tcPr>
            <w:tcW w:w="1380" w:type="dxa"/>
            <w:vAlign w:val="bottom"/>
            <w:tcBorders>
              <w:bottom w:val="single" w:sz="8" w:color="0094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30,319,338</w:t>
            </w:r>
          </w:p>
        </w:tc>
        <w:tc>
          <w:tcPr>
            <w:tcW w:w="720" w:type="dxa"/>
            <w:vAlign w:val="bottom"/>
            <w:tcBorders>
              <w:bottom w:val="single" w:sz="8" w:color="0094FF"/>
            </w:tcBorders>
            <w:shd w:val="clear" w:color="auto" w:fill="CCEEFF"/>
          </w:tcPr>
          <w:p>
            <w:pPr>
              <w:spacing w:after="0"/>
              <w:rPr>
                <w:sz w:val="19"/>
                <w:szCs w:val="19"/>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Proposal 5 – The approval of the non-binding shareholder proposal regarding special meeting rights.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shareholders did not approve the non-binding shareholder proposal regarding special meeting rights. The voting results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840" w:type="dxa"/>
            <w:vAlign w:val="bottom"/>
          </w:tcPr>
          <w:p>
            <w:pPr>
              <w:spacing w:after="0"/>
              <w:rPr>
                <w:sz w:val="17"/>
                <w:szCs w:val="17"/>
                <w:color w:val="auto"/>
              </w:rPr>
            </w:pPr>
          </w:p>
        </w:tc>
        <w:tc>
          <w:tcPr>
            <w:tcW w:w="366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760" w:type="dxa"/>
            <w:vAlign w:val="bottom"/>
            <w:gridSpan w:val="3"/>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8"/>
              </w:rPr>
              <w:t>Votes Abstaining</w:t>
            </w:r>
          </w:p>
        </w:tc>
        <w:tc>
          <w:tcPr>
            <w:tcW w:w="21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34"/>
        </w:trPr>
        <w:tc>
          <w:tcPr>
            <w:tcW w:w="20" w:type="dxa"/>
            <w:vAlign w:val="bottom"/>
            <w:tcBorders>
              <w:bottom w:val="single" w:sz="8" w:color="0094FF"/>
            </w:tcBorders>
          </w:tcPr>
          <w:p>
            <w:pPr>
              <w:spacing w:after="0"/>
              <w:rPr>
                <w:sz w:val="2"/>
                <w:szCs w:val="2"/>
                <w:color w:val="auto"/>
              </w:rPr>
            </w:pPr>
          </w:p>
        </w:tc>
        <w:tc>
          <w:tcPr>
            <w:tcW w:w="840" w:type="dxa"/>
            <w:vAlign w:val="bottom"/>
            <w:tcBorders>
              <w:bottom w:val="single" w:sz="8" w:color="0094FF"/>
            </w:tcBorders>
          </w:tcPr>
          <w:p>
            <w:pPr>
              <w:spacing w:after="0"/>
              <w:rPr>
                <w:sz w:val="2"/>
                <w:szCs w:val="2"/>
                <w:color w:val="auto"/>
              </w:rPr>
            </w:pPr>
          </w:p>
        </w:tc>
        <w:tc>
          <w:tcPr>
            <w:tcW w:w="180" w:type="dxa"/>
            <w:vAlign w:val="bottom"/>
            <w:tcBorders>
              <w:bottom w:val="single" w:sz="8" w:color="0094FF"/>
            </w:tcBorders>
          </w:tcPr>
          <w:p>
            <w:pPr>
              <w:spacing w:after="0"/>
              <w:rPr>
                <w:sz w:val="2"/>
                <w:szCs w:val="2"/>
                <w:color w:val="auto"/>
              </w:rPr>
            </w:pPr>
          </w:p>
        </w:tc>
        <w:tc>
          <w:tcPr>
            <w:tcW w:w="740" w:type="dxa"/>
            <w:vAlign w:val="bottom"/>
            <w:tcBorders>
              <w:top w:val="single" w:sz="8" w:color="auto"/>
              <w:bottom w:val="single" w:sz="8" w:color="0094FF"/>
            </w:tcBorders>
          </w:tcPr>
          <w:p>
            <w:pPr>
              <w:spacing w:after="0"/>
              <w:rPr>
                <w:sz w:val="2"/>
                <w:szCs w:val="2"/>
                <w:color w:val="auto"/>
              </w:rPr>
            </w:pPr>
          </w:p>
        </w:tc>
        <w:tc>
          <w:tcPr>
            <w:tcW w:w="100" w:type="dxa"/>
            <w:vAlign w:val="bottom"/>
            <w:tcBorders>
              <w:bottom w:val="single" w:sz="8" w:color="0094FF"/>
            </w:tcBorders>
          </w:tcPr>
          <w:p>
            <w:pPr>
              <w:spacing w:after="0"/>
              <w:rPr>
                <w:sz w:val="2"/>
                <w:szCs w:val="2"/>
                <w:color w:val="auto"/>
              </w:rPr>
            </w:pPr>
          </w:p>
        </w:tc>
        <w:tc>
          <w:tcPr>
            <w:tcW w:w="840" w:type="dxa"/>
            <w:vAlign w:val="bottom"/>
            <w:tcBorders>
              <w:bottom w:val="single" w:sz="8" w:color="0094FF"/>
            </w:tcBorders>
          </w:tcPr>
          <w:p>
            <w:pPr>
              <w:spacing w:after="0"/>
              <w:rPr>
                <w:sz w:val="2"/>
                <w:szCs w:val="2"/>
                <w:color w:val="auto"/>
              </w:rPr>
            </w:pPr>
          </w:p>
        </w:tc>
        <w:tc>
          <w:tcPr>
            <w:tcW w:w="980" w:type="dxa"/>
            <w:vAlign w:val="bottom"/>
            <w:tcBorders>
              <w:bottom w:val="single" w:sz="8" w:color="0094FF"/>
            </w:tcBorders>
          </w:tcPr>
          <w:p>
            <w:pPr>
              <w:spacing w:after="0"/>
              <w:rPr>
                <w:sz w:val="2"/>
                <w:szCs w:val="2"/>
                <w:color w:val="auto"/>
              </w:rPr>
            </w:pPr>
          </w:p>
        </w:tc>
        <w:tc>
          <w:tcPr>
            <w:tcW w:w="1040" w:type="dxa"/>
            <w:vAlign w:val="bottom"/>
            <w:tcBorders>
              <w:top w:val="single" w:sz="8" w:color="auto"/>
              <w:bottom w:val="single" w:sz="8" w:color="0094FF"/>
            </w:tcBorders>
          </w:tcPr>
          <w:p>
            <w:pPr>
              <w:spacing w:after="0"/>
              <w:rPr>
                <w:sz w:val="2"/>
                <w:szCs w:val="2"/>
                <w:color w:val="auto"/>
              </w:rPr>
            </w:pPr>
          </w:p>
        </w:tc>
        <w:tc>
          <w:tcPr>
            <w:tcW w:w="1640" w:type="dxa"/>
            <w:vAlign w:val="bottom"/>
            <w:tcBorders>
              <w:bottom w:val="single" w:sz="8" w:color="0094FF"/>
            </w:tcBorders>
          </w:tcPr>
          <w:p>
            <w:pPr>
              <w:spacing w:after="0"/>
              <w:rPr>
                <w:sz w:val="2"/>
                <w:szCs w:val="2"/>
                <w:color w:val="auto"/>
              </w:rPr>
            </w:pPr>
          </w:p>
        </w:tc>
        <w:tc>
          <w:tcPr>
            <w:tcW w:w="760" w:type="dxa"/>
            <w:vAlign w:val="bottom"/>
            <w:tcBorders>
              <w:top w:val="single" w:sz="8" w:color="auto"/>
              <w:bottom w:val="single" w:sz="8" w:color="0094FF"/>
            </w:tcBorders>
          </w:tcPr>
          <w:p>
            <w:pPr>
              <w:spacing w:after="0"/>
              <w:rPr>
                <w:sz w:val="2"/>
                <w:szCs w:val="2"/>
                <w:color w:val="auto"/>
              </w:rPr>
            </w:pPr>
          </w:p>
        </w:tc>
        <w:tc>
          <w:tcPr>
            <w:tcW w:w="540" w:type="dxa"/>
            <w:vAlign w:val="bottom"/>
            <w:tcBorders>
              <w:top w:val="single" w:sz="8" w:color="auto"/>
              <w:bottom w:val="single" w:sz="8" w:color="0094FF"/>
            </w:tcBorders>
          </w:tcPr>
          <w:p>
            <w:pPr>
              <w:spacing w:after="0"/>
              <w:rPr>
                <w:sz w:val="2"/>
                <w:szCs w:val="2"/>
                <w:color w:val="auto"/>
              </w:rPr>
            </w:pPr>
          </w:p>
        </w:tc>
        <w:tc>
          <w:tcPr>
            <w:tcW w:w="1460" w:type="dxa"/>
            <w:vAlign w:val="bottom"/>
            <w:tcBorders>
              <w:bottom w:val="single" w:sz="8" w:color="0094FF"/>
            </w:tcBorders>
          </w:tcPr>
          <w:p>
            <w:pPr>
              <w:spacing w:after="0"/>
              <w:rPr>
                <w:sz w:val="2"/>
                <w:szCs w:val="2"/>
                <w:color w:val="auto"/>
              </w:rPr>
            </w:pPr>
          </w:p>
        </w:tc>
        <w:tc>
          <w:tcPr>
            <w:tcW w:w="1380" w:type="dxa"/>
            <w:vAlign w:val="bottom"/>
            <w:tcBorders>
              <w:top w:val="single" w:sz="8" w:color="auto"/>
              <w:bottom w:val="single" w:sz="8" w:color="0094FF"/>
            </w:tcBorders>
          </w:tcPr>
          <w:p>
            <w:pPr>
              <w:spacing w:after="0"/>
              <w:rPr>
                <w:sz w:val="2"/>
                <w:szCs w:val="2"/>
                <w:color w:val="auto"/>
              </w:rPr>
            </w:pPr>
          </w:p>
        </w:tc>
        <w:tc>
          <w:tcPr>
            <w:tcW w:w="720" w:type="dxa"/>
            <w:vAlign w:val="bottom"/>
            <w:tcBorders>
              <w:bottom w:val="single" w:sz="8" w:color="0094FF"/>
            </w:tcBorders>
          </w:tcPr>
          <w:p>
            <w:pPr>
              <w:spacing w:after="0"/>
              <w:rPr>
                <w:sz w:val="2"/>
                <w:szCs w:val="2"/>
                <w:color w:val="auto"/>
              </w:rPr>
            </w:pPr>
          </w:p>
        </w:tc>
      </w:tr>
      <w:tr>
        <w:trPr>
          <w:trHeight w:val="223"/>
        </w:trPr>
        <w:tc>
          <w:tcPr>
            <w:tcW w:w="1880" w:type="dxa"/>
            <w:vAlign w:val="bottom"/>
            <w:tcBorders>
              <w:bottom w:val="single" w:sz="8" w:color="0094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157,955,203</w:t>
            </w:r>
          </w:p>
        </w:tc>
        <w:tc>
          <w:tcPr>
            <w:tcW w:w="2860" w:type="dxa"/>
            <w:vAlign w:val="bottom"/>
            <w:tcBorders>
              <w:bottom w:val="single" w:sz="8" w:color="0094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253,421,562</w:t>
            </w:r>
          </w:p>
        </w:tc>
        <w:tc>
          <w:tcPr>
            <w:tcW w:w="1640" w:type="dxa"/>
            <w:vAlign w:val="bottom"/>
            <w:tcBorders>
              <w:bottom w:val="single" w:sz="8" w:color="0094FF"/>
            </w:tcBorders>
            <w:shd w:val="clear" w:color="auto" w:fill="CCEEFF"/>
          </w:tcPr>
          <w:p>
            <w:pPr>
              <w:spacing w:after="0"/>
              <w:rPr>
                <w:sz w:val="19"/>
                <w:szCs w:val="19"/>
                <w:color w:val="auto"/>
              </w:rPr>
            </w:pPr>
          </w:p>
        </w:tc>
        <w:tc>
          <w:tcPr>
            <w:tcW w:w="1300" w:type="dxa"/>
            <w:vAlign w:val="bottom"/>
            <w:tcBorders>
              <w:bottom w:val="single" w:sz="8" w:color="0094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1,528,070</w:t>
            </w:r>
          </w:p>
        </w:tc>
        <w:tc>
          <w:tcPr>
            <w:tcW w:w="1460" w:type="dxa"/>
            <w:vAlign w:val="bottom"/>
            <w:tcBorders>
              <w:bottom w:val="single" w:sz="8" w:color="0094FF"/>
            </w:tcBorders>
            <w:shd w:val="clear" w:color="auto" w:fill="CCEEFF"/>
          </w:tcPr>
          <w:p>
            <w:pPr>
              <w:spacing w:after="0"/>
              <w:rPr>
                <w:sz w:val="19"/>
                <w:szCs w:val="19"/>
                <w:color w:val="auto"/>
              </w:rPr>
            </w:pPr>
          </w:p>
        </w:tc>
        <w:tc>
          <w:tcPr>
            <w:tcW w:w="1380" w:type="dxa"/>
            <w:vAlign w:val="bottom"/>
            <w:tcBorders>
              <w:bottom w:val="single" w:sz="8" w:color="0094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30,319,338</w:t>
            </w:r>
          </w:p>
        </w:tc>
        <w:tc>
          <w:tcPr>
            <w:tcW w:w="720" w:type="dxa"/>
            <w:vAlign w:val="bottom"/>
            <w:tcBorders>
              <w:bottom w:val="single" w:sz="8" w:color="0094FF"/>
            </w:tcBorders>
            <w:shd w:val="clear" w:color="auto" w:fill="CCEEFF"/>
          </w:tcPr>
          <w:p>
            <w:pPr>
              <w:spacing w:after="0"/>
              <w:rPr>
                <w:sz w:val="19"/>
                <w:szCs w:val="19"/>
                <w:color w:val="auto"/>
              </w:rPr>
            </w:pPr>
          </w:p>
        </w:tc>
      </w:tr>
      <w:tr>
        <w:trPr>
          <w:trHeight w:val="628"/>
        </w:trPr>
        <w:tc>
          <w:tcPr>
            <w:tcW w:w="63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10"/>
        </w:trPr>
        <w:tc>
          <w:tcPr>
            <w:tcW w:w="1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 Exhibits</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No.</w:t>
            </w:r>
          </w:p>
        </w:tc>
        <w:tc>
          <w:tcPr>
            <w:tcW w:w="4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7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7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Analog Devices, Inc. Amended and Restated 2020 Equity Incentive Plan.</w:t>
            </w: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0"/>
        </w:trPr>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5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760" w:type="dxa"/>
            <w:vAlign w:val="bottom"/>
            <w:tcBorders>
              <w:top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ind w:left="1880" w:hanging="1073"/>
        <w:spacing w:after="0"/>
        <w:tabs>
          <w:tab w:leader="none" w:pos="1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contract 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 w:name="page4"/>
    <w:bookmarkEnd w:id="3"/>
    <w:p>
      <w:pPr>
        <w:jc w:val="center"/>
        <w:ind w:right="-259"/>
        <w:spacing w:after="0"/>
        <w:rPr>
          <w:sz w:val="20"/>
          <w:szCs w:val="20"/>
          <w:color w:val="auto"/>
        </w:rPr>
      </w:pPr>
      <w:r>
        <w:rPr>
          <w:rFonts w:ascii="Times New Roman" w:cs="Times New Roman" w:eastAsia="Times New Roman" w:hAnsi="Times New Roman"/>
          <w:sz w:val="18"/>
          <w:szCs w:val="18"/>
          <w:color w:val="auto"/>
        </w:rPr>
        <w:t>SIGNATURE</w:t>
      </w:r>
    </w:p>
    <w:p>
      <w:pPr>
        <w:spacing w:after="0" w:line="9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2026</w:t>
            </w:r>
          </w:p>
        </w:tc>
        <w:tc>
          <w:tcPr>
            <w:tcW w:w="576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18"/>
        </w:trPr>
        <w:tc>
          <w:tcPr>
            <w:tcW w:w="3820" w:type="dxa"/>
            <w:vAlign w:val="bottom"/>
          </w:tcPr>
          <w:p>
            <w:pPr>
              <w:spacing w:after="0"/>
              <w:rPr>
                <w:sz w:val="24"/>
                <w:szCs w:val="24"/>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Janene I. Asgeirsson</w:t>
            </w:r>
          </w:p>
        </w:tc>
      </w:tr>
      <w:tr>
        <w:trPr>
          <w:trHeight w:val="228"/>
        </w:trPr>
        <w:tc>
          <w:tcPr>
            <w:tcW w:w="38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Janene I. Asgeirsson</w:t>
            </w:r>
          </w:p>
        </w:tc>
      </w:tr>
    </w:tbl>
    <w:p>
      <w:pPr>
        <w:ind w:left="6500"/>
        <w:spacing w:after="0" w:line="231" w:lineRule="auto"/>
        <w:rPr>
          <w:sz w:val="20"/>
          <w:szCs w:val="20"/>
          <w:color w:val="auto"/>
        </w:rPr>
      </w:pPr>
      <w:r>
        <w:rPr>
          <w:rFonts w:ascii="Times New Roman" w:cs="Times New Roman" w:eastAsia="Times New Roman" w:hAnsi="Times New Roman"/>
          <w:sz w:val="18"/>
          <w:szCs w:val="18"/>
          <w:color w:val="auto"/>
        </w:rPr>
        <w:t>Senior Vice President, Chief Legal Officer</w:t>
      </w:r>
    </w:p>
    <w:p>
      <w:pPr>
        <w:ind w:left="6500"/>
        <w:spacing w:after="0"/>
        <w:rPr>
          <w:sz w:val="20"/>
          <w:szCs w:val="20"/>
          <w:color w:val="auto"/>
        </w:rPr>
      </w:pPr>
      <w:r>
        <w:rPr>
          <w:rFonts w:ascii="Times New Roman" w:cs="Times New Roman" w:eastAsia="Times New Roman" w:hAnsi="Times New Roman"/>
          <w:sz w:val="18"/>
          <w:szCs w:val="18"/>
          <w:color w:val="auto"/>
        </w:rPr>
        <w:t>and Corporate Secretary</w:t>
      </w:r>
    </w:p>
    <w:p>
      <w:pPr>
        <w:sectPr>
          <w:pgSz w:w="11900" w:h="16838" w:orient="portrait"/>
          <w:cols w:equalWidth="0" w:num="1">
            <w:col w:w="10980"/>
          </w:cols>
          <w:pgMar w:left="320" w:top="985" w:right="5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ANALOG DEVICES,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2020 EQUITY INCENTIVE PLAN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(as amended and restated effective March 11, 2026)</w:t>
      </w:r>
    </w:p>
    <w:p>
      <w:pPr>
        <w:spacing w:after="0" w:line="200" w:lineRule="exact"/>
        <w:rPr>
          <w:sz w:val="20"/>
          <w:szCs w:val="20"/>
          <w:color w:val="auto"/>
        </w:rPr>
      </w:pPr>
    </w:p>
    <w:p>
      <w:pPr>
        <w:spacing w:after="0" w:line="384"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Purpose</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purpose of this 2020 Equity Incentive Plan (the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of Analog Devices, Inc., a Massachusetts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is to advance the interests of the Company’s stockholders by enhancing the Company’s ability to attract, retain and motivate persons who are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expected to make important contributions to the Company and by providing such persons with equity ownership opportunities and equity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performance-based incentives that are intended to better align the interests of such persons with those of the Company’s stockholders. Except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 the context otherwise requires, the term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include any of the Company’s present or future parent or subsidiary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corporations as defined in Sections 424(e) or (f) of the Internal Revenue Code of 1986, as amended, and any regulations thereunder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and any other business venture (including, without limitation, joint venture or limited liability company) in which the Company has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controlling interest, as determined by the Board of Directors of the Company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other business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ventures shall be limited to entities that, where required by Section 409A of the Code, are eligible issuers of service recipient stock (as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defined in Treas. Reg. Section 1.409A-1(b)(5)(iii)(E), or applicable successor regulation). The Plan originally became effective March 11,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2020 (the “</w:t>
      </w:r>
      <w:r>
        <w:rPr>
          <w:rFonts w:ascii="Times New Roman" w:cs="Times New Roman" w:eastAsia="Times New Roman" w:hAnsi="Times New Roman"/>
          <w:sz w:val="20"/>
          <w:szCs w:val="20"/>
          <w:b w:val="1"/>
          <w:bCs w:val="1"/>
          <w:i w:val="1"/>
          <w:iCs w:val="1"/>
          <w:color w:val="auto"/>
        </w:rPr>
        <w:t>Original Effective Date</w:t>
      </w:r>
      <w:r>
        <w:rPr>
          <w:rFonts w:ascii="Times New Roman" w:cs="Times New Roman" w:eastAsia="Times New Roman" w:hAnsi="Times New Roman"/>
          <w:sz w:val="20"/>
          <w:szCs w:val="20"/>
          <w:color w:val="auto"/>
        </w:rPr>
        <w:t>”). This amendment and restatement of the Plan is effective on March 11, 2026, the date of our 2026</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annual meeting of shareholders (the “</w:t>
      </w:r>
      <w:r>
        <w:rPr>
          <w:rFonts w:ascii="Times New Roman" w:cs="Times New Roman" w:eastAsia="Times New Roman" w:hAnsi="Times New Roman"/>
          <w:sz w:val="20"/>
          <w:szCs w:val="20"/>
          <w:b w:val="1"/>
          <w:bCs w:val="1"/>
          <w:i w:val="1"/>
          <w:iCs w:val="1"/>
          <w:color w:val="auto"/>
        </w:rPr>
        <w:t>Amendment Effective Date</w:t>
      </w:r>
      <w:r>
        <w:rPr>
          <w:rFonts w:ascii="Times New Roman" w:cs="Times New Roman" w:eastAsia="Times New Roman" w:hAnsi="Times New Roman"/>
          <w:sz w:val="20"/>
          <w:szCs w:val="20"/>
          <w:color w:val="auto"/>
        </w:rPr>
        <w:t>”), subject to the approval of the Company’s shareholders on such date.</w:t>
      </w:r>
    </w:p>
    <w:p>
      <w:pPr>
        <w:spacing w:after="0" w:line="179" w:lineRule="exact"/>
        <w:rPr>
          <w:sz w:val="20"/>
          <w:szCs w:val="20"/>
          <w:color w:val="auto"/>
        </w:rPr>
      </w:pPr>
    </w:p>
    <w:p>
      <w:pPr>
        <w:ind w:left="640" w:hanging="632"/>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Eligibility</w:t>
      </w:r>
    </w:p>
    <w:p>
      <w:pPr>
        <w:spacing w:after="0" w:line="189" w:lineRule="exact"/>
        <w:rPr>
          <w:sz w:val="20"/>
          <w:szCs w:val="20"/>
          <w:color w:val="auto"/>
        </w:rPr>
      </w:pPr>
    </w:p>
    <w:p>
      <w:pPr>
        <w:ind w:right="40" w:firstLine="635"/>
        <w:spacing w:after="0" w:line="288" w:lineRule="auto"/>
        <w:rPr>
          <w:sz w:val="20"/>
          <w:szCs w:val="20"/>
          <w:color w:val="auto"/>
        </w:rPr>
      </w:pPr>
      <w:r>
        <w:rPr>
          <w:rFonts w:ascii="Times New Roman" w:cs="Times New Roman" w:eastAsia="Times New Roman" w:hAnsi="Times New Roman"/>
          <w:sz w:val="20"/>
          <w:szCs w:val="20"/>
          <w:color w:val="auto"/>
        </w:rPr>
        <w:t>All of the Company’s employees, officers and directors, as well as consultants and advisors to the Company (as the terms consultants and advisors are defined and interpreted for purposes of Form S-8 under the Securities Act of 1933, as amended (the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or any successor form) are eligible to be granted Awards (as defined below) under the Plan. Each person who is granted an Award under the Plan is deemed a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The Plan provides for the following types of awards, each of which is referred to as an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Options (as defined in Section 5), SARs (as defined in Section 6), Restricted Stock (as defined in Section 7), RSUs (also as defined in Section 7) and Other Stock-Based Awards (as defined in Section 8). Except as otherwise provided by the Plan, each Award may be made alone or in addition or in relation to any other Award. The terms of each Award need not be identical, and the Board need not treat Participants uniformly.</w:t>
      </w:r>
    </w:p>
    <w:p>
      <w:pPr>
        <w:spacing w:after="0" w:line="101"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 and Delegation</w:t>
      </w:r>
    </w:p>
    <w:p>
      <w:pPr>
        <w:spacing w:after="0" w:line="175" w:lineRule="exact"/>
        <w:rPr>
          <w:rFonts w:ascii="Times New Roman" w:cs="Times New Roman" w:eastAsia="Times New Roman" w:hAnsi="Times New Roman"/>
          <w:sz w:val="20"/>
          <w:szCs w:val="20"/>
          <w:color w:val="auto"/>
        </w:rPr>
      </w:pPr>
    </w:p>
    <w:p>
      <w:pPr>
        <w:ind w:right="60" w:firstLine="646"/>
        <w:spacing w:after="0" w:line="253" w:lineRule="auto"/>
        <w:tabs>
          <w:tab w:leader="none" w:pos="129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 by Board of Directors</w:t>
      </w:r>
      <w:r>
        <w:rPr>
          <w:rFonts w:ascii="Times New Roman" w:cs="Times New Roman" w:eastAsia="Times New Roman" w:hAnsi="Times New Roman"/>
          <w:sz w:val="20"/>
          <w:szCs w:val="20"/>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All actions and decisions by the Board with respect to the Plan and any Awards shall be made in the Board’s discretion and shall be final and binding on all persons having or claiming any interest in the Plan or in any Award.</w:t>
      </w:r>
    </w:p>
    <w:p>
      <w:pPr>
        <w:sectPr>
          <w:pgSz w:w="11900" w:h="16838" w:orient="portrait"/>
          <w:cols w:equalWidth="0" w:num="1">
            <w:col w:w="11240"/>
          </w:cols>
          <w:pgMar w:left="320" w:top="100" w:right="339" w:bottom="1440" w:gutter="0" w:footer="0" w:header="0"/>
        </w:sectPr>
      </w:pPr>
    </w:p>
    <w:bookmarkStart w:id="5" w:name="page6"/>
    <w:bookmarkEnd w:id="5"/>
    <w:p>
      <w:pPr>
        <w:ind w:right="280" w:firstLine="646"/>
        <w:spacing w:after="0" w:line="258" w:lineRule="auto"/>
        <w:tabs>
          <w:tab w:leader="none" w:pos="1287"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Appointment of Committees</w:t>
      </w:r>
      <w:r>
        <w:rPr>
          <w:rFonts w:ascii="Times New Roman" w:cs="Times New Roman" w:eastAsia="Times New Roman" w:hAnsi="Times New Roman"/>
          <w:sz w:val="20"/>
          <w:szCs w:val="20"/>
          <w:color w:val="auto"/>
        </w:rPr>
        <w:t>. To the extent permitted by applicable law, the Board may delegate any or all of its powers under the Plan to one or more committees or subcommittees of the Board (a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All references in the Plan to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shall mean the Board or a Committee of the Board or the officers referred to in Section 3(c) to the extent that the Board’s powers or authority under the Plan have been delegated to such Committee or officers.</w:t>
      </w:r>
    </w:p>
    <w:p>
      <w:pPr>
        <w:spacing w:after="0" w:line="118" w:lineRule="exact"/>
        <w:rPr>
          <w:rFonts w:ascii="Times New Roman" w:cs="Times New Roman" w:eastAsia="Times New Roman" w:hAnsi="Times New Roman"/>
          <w:sz w:val="20"/>
          <w:szCs w:val="20"/>
          <w:color w:val="auto"/>
        </w:rPr>
      </w:pPr>
    </w:p>
    <w:p>
      <w:pPr>
        <w:ind w:firstLine="646"/>
        <w:spacing w:after="0" w:line="253" w:lineRule="auto"/>
        <w:tabs>
          <w:tab w:leader="none" w:pos="129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Delegation to Officers</w:t>
      </w:r>
      <w:r>
        <w:rPr>
          <w:rFonts w:ascii="Times New Roman" w:cs="Times New Roman" w:eastAsia="Times New Roman" w:hAnsi="Times New Roman"/>
          <w:sz w:val="20"/>
          <w:szCs w:val="20"/>
          <w:color w:val="auto"/>
        </w:rPr>
        <w:t>. To the extent permitted by applicable law, the Board may delegate to one or more officers of the Company the power to grant Awards (subject to any limitations under the Plan) to employees, consultants, advisors, or officers of the Company and to exercise such other powers under the Plan as the Board may determine, provided that the Board shall fix the terms of the Awards to be granted by such officers (including the exercise price of such Awards, which may include a formula by which the exercise price will be determined) and the maximum number of shares subject to Awards that the officers may grant; provided further, however, that no officer shall be authorized to grant Awards to any “executive officer” of the Company (as defined by Rule 3b-7 under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or to any “officer” of the Company (as defined by Rule 16a-1 under the Exchange Act).</w:t>
      </w:r>
    </w:p>
    <w:p>
      <w:pPr>
        <w:spacing w:after="0" w:line="126" w:lineRule="exact"/>
        <w:rPr>
          <w:rFonts w:ascii="Times New Roman" w:cs="Times New Roman" w:eastAsia="Times New Roman" w:hAnsi="Times New Roman"/>
          <w:sz w:val="20"/>
          <w:szCs w:val="20"/>
          <w:color w:val="auto"/>
        </w:rPr>
      </w:pPr>
    </w:p>
    <w:p>
      <w:pPr>
        <w:ind w:right="40" w:firstLine="646"/>
        <w:spacing w:after="0" w:line="310" w:lineRule="auto"/>
        <w:tabs>
          <w:tab w:leader="none" w:pos="1287" w:val="left"/>
        </w:tabs>
        <w:numPr>
          <w:ilvl w:val="1"/>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Awards to Non-Employee Directors</w:t>
      </w:r>
      <w:r>
        <w:rPr>
          <w:rFonts w:ascii="Times New Roman" w:cs="Times New Roman" w:eastAsia="Times New Roman" w:hAnsi="Times New Roman"/>
          <w:sz w:val="19"/>
          <w:szCs w:val="19"/>
          <w:color w:val="auto"/>
        </w:rPr>
        <w:t>. Awards to non-employee directors will be administered by a Committee, all of the members of which are independent directors as defined by Section 5605(a)(2) of the Nasdaq Stock Market (“</w:t>
      </w:r>
      <w:r>
        <w:rPr>
          <w:rFonts w:ascii="Times New Roman" w:cs="Times New Roman" w:eastAsia="Times New Roman" w:hAnsi="Times New Roman"/>
          <w:sz w:val="19"/>
          <w:szCs w:val="19"/>
          <w:b w:val="1"/>
          <w:bCs w:val="1"/>
          <w:i w:val="1"/>
          <w:iCs w:val="1"/>
          <w:color w:val="auto"/>
        </w:rPr>
        <w:t>NASDAQ</w:t>
      </w:r>
      <w:r>
        <w:rPr>
          <w:rFonts w:ascii="Times New Roman" w:cs="Times New Roman" w:eastAsia="Times New Roman" w:hAnsi="Times New Roman"/>
          <w:sz w:val="19"/>
          <w:szCs w:val="19"/>
          <w:color w:val="auto"/>
        </w:rPr>
        <w:t>”) Marketplace Rules.</w:t>
      </w:r>
    </w:p>
    <w:p>
      <w:pPr>
        <w:spacing w:after="0" w:line="97" w:lineRule="exact"/>
        <w:rPr>
          <w:rFonts w:ascii="Times New Roman" w:cs="Times New Roman" w:eastAsia="Times New Roman" w:hAnsi="Times New Roman"/>
          <w:sz w:val="19"/>
          <w:szCs w:val="19"/>
          <w:color w:val="auto"/>
        </w:rPr>
      </w:pPr>
    </w:p>
    <w:p>
      <w:pPr>
        <w:ind w:left="360" w:hanging="352"/>
        <w:spacing w:after="0"/>
        <w:tabs>
          <w:tab w:leader="none" w:pos="3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Available for Awards</w:t>
      </w:r>
    </w:p>
    <w:p>
      <w:pPr>
        <w:spacing w:after="0" w:line="175" w:lineRule="exact"/>
        <w:rPr>
          <w:rFonts w:ascii="Times New Roman" w:cs="Times New Roman" w:eastAsia="Times New Roman" w:hAnsi="Times New Roman"/>
          <w:sz w:val="20"/>
          <w:szCs w:val="20"/>
          <w:color w:val="auto"/>
        </w:rPr>
      </w:pPr>
    </w:p>
    <w:p>
      <w:pPr>
        <w:ind w:left="1300" w:hanging="654"/>
        <w:spacing w:after="0"/>
        <w:tabs>
          <w:tab w:leader="none" w:pos="130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Number of Shares; Share Counting</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ind w:right="180" w:firstLine="1304"/>
        <w:spacing w:after="0" w:line="311" w:lineRule="auto"/>
        <w:tabs>
          <w:tab w:leader="none" w:pos="1932" w:val="left"/>
        </w:tabs>
        <w:numPr>
          <w:ilvl w:val="2"/>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Authorized Number of Shares</w:t>
      </w:r>
      <w:r>
        <w:rPr>
          <w:rFonts w:ascii="Times New Roman" w:cs="Times New Roman" w:eastAsia="Times New Roman" w:hAnsi="Times New Roman"/>
          <w:sz w:val="20"/>
          <w:szCs w:val="20"/>
          <w:color w:val="auto"/>
        </w:rPr>
        <w:t>. Subject to adjustment under Section 10, Awards may be made under the Plan for up to a number of shares of common stock of the Company (the “</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that will not exceed 29,979,438 shares, consisting of:</w:t>
      </w:r>
    </w:p>
    <w:p>
      <w:pPr>
        <w:spacing w:after="0" w:line="105" w:lineRule="exact"/>
        <w:rPr>
          <w:rFonts w:ascii="Times New Roman" w:cs="Times New Roman" w:eastAsia="Times New Roman" w:hAnsi="Times New Roman"/>
          <w:sz w:val="20"/>
          <w:szCs w:val="20"/>
          <w:color w:val="auto"/>
        </w:rPr>
      </w:pPr>
    </w:p>
    <w:p>
      <w:pPr>
        <w:ind w:right="420" w:firstLine="1952"/>
        <w:spacing w:after="0" w:line="311" w:lineRule="auto"/>
        <w:tabs>
          <w:tab w:leader="none" w:pos="2583" w:val="left"/>
        </w:tabs>
        <w:numPr>
          <w:ilvl w:val="3"/>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24,592,135 shares less one share for each share subject to any equity award granted under the Plan after November 1, 2025 and prior to the Amendment Effective Date, plus</w:t>
      </w:r>
    </w:p>
    <w:p>
      <w:pPr>
        <w:spacing w:after="0" w:line="10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3"/>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number of Returning Shares (as such term is defined below), if any, as such shares become</w:t>
      </w:r>
    </w:p>
    <w:p>
      <w:pPr>
        <w:spacing w:after="0" w:line="40"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available from time to time.</w:t>
      </w:r>
    </w:p>
    <w:p>
      <w:pPr>
        <w:spacing w:after="0" w:line="198" w:lineRule="exact"/>
        <w:rPr>
          <w:sz w:val="20"/>
          <w:szCs w:val="20"/>
          <w:color w:val="auto"/>
        </w:rPr>
      </w:pPr>
    </w:p>
    <w:p>
      <w:pPr>
        <w:ind w:right="60"/>
        <w:spacing w:after="0" w:line="304" w:lineRule="auto"/>
        <w:rPr>
          <w:sz w:val="20"/>
          <w:szCs w:val="20"/>
          <w:color w:val="auto"/>
        </w:rPr>
      </w:pPr>
      <w:r>
        <w:rPr>
          <w:rFonts w:ascii="Times New Roman" w:cs="Times New Roman" w:eastAsia="Times New Roman" w:hAnsi="Times New Roman"/>
          <w:sz w:val="19"/>
          <w:szCs w:val="19"/>
          <w:color w:val="auto"/>
        </w:rPr>
        <w:t>For such purposes, “</w:t>
      </w:r>
      <w:r>
        <w:rPr>
          <w:rFonts w:ascii="Times New Roman" w:cs="Times New Roman" w:eastAsia="Times New Roman" w:hAnsi="Times New Roman"/>
          <w:sz w:val="19"/>
          <w:szCs w:val="19"/>
          <w:b w:val="1"/>
          <w:bCs w:val="1"/>
          <w:i w:val="1"/>
          <w:iCs w:val="1"/>
          <w:color w:val="auto"/>
        </w:rPr>
        <w:t>Returning Shares</w:t>
      </w:r>
      <w:r>
        <w:rPr>
          <w:rFonts w:ascii="Times New Roman" w:cs="Times New Roman" w:eastAsia="Times New Roman" w:hAnsi="Times New Roman"/>
          <w:sz w:val="19"/>
          <w:szCs w:val="19"/>
          <w:color w:val="auto"/>
        </w:rPr>
        <w:t>” means such applicable additional number of shares of Common Stock as is equal to the number of shares of Common Stock subject to equity awards previously granted under the Plan or the Company’s Amended and Restated 2006 Stock Incentive Plan (the “</w:t>
      </w:r>
      <w:r>
        <w:rPr>
          <w:rFonts w:ascii="Times New Roman" w:cs="Times New Roman" w:eastAsia="Times New Roman" w:hAnsi="Times New Roman"/>
          <w:sz w:val="19"/>
          <w:szCs w:val="19"/>
          <w:b w:val="1"/>
          <w:bCs w:val="1"/>
          <w:i w:val="1"/>
          <w:iCs w:val="1"/>
          <w:color w:val="auto"/>
        </w:rPr>
        <w:t>2006 Plan</w:t>
      </w:r>
      <w:r>
        <w:rPr>
          <w:rFonts w:ascii="Times New Roman" w:cs="Times New Roman" w:eastAsia="Times New Roman" w:hAnsi="Times New Roman"/>
          <w:sz w:val="19"/>
          <w:szCs w:val="19"/>
          <w:color w:val="auto"/>
        </w:rPr>
        <w:t>”) and which equity awards are outstanding on November 1, 2025 (up to a maximum of 5,387,303 shares), or which awards are granted under the Plan and outstanding after November 1, 2025 and prior to the Amendment Effective Date (provided that in no event shall the number of shares subject to any equity award granted under the Plan after November 1, 2025 and prior to the Amendment Effective Date exceed 11,592,135 shares), and which equity awards on or after November 1, 2025 expire, terminate or are otherwise surrendered, cancelled, forfeited or repurchased by the Company at their original issuance price pursuant to a contractual repurchase right. For the avoidance of doubt, each share that was subject to an award granted under the Plan or the 2006 Plan that is returned to the Plan pursuant to this Section 4(a)(1)(B) as a Returning Share shall cause the Plan’s share reserve to be credited with one share.</w:t>
      </w:r>
    </w:p>
    <w:p>
      <w:pPr>
        <w:spacing w:after="0" w:line="119" w:lineRule="exact"/>
        <w:rPr>
          <w:sz w:val="20"/>
          <w:szCs w:val="20"/>
          <w:color w:val="auto"/>
        </w:rPr>
      </w:pPr>
    </w:p>
    <w:p>
      <w:pPr>
        <w:ind w:right="180"/>
        <w:spacing w:after="0" w:line="311" w:lineRule="auto"/>
        <w:rPr>
          <w:sz w:val="20"/>
          <w:szCs w:val="20"/>
          <w:color w:val="auto"/>
        </w:rPr>
      </w:pPr>
      <w:r>
        <w:rPr>
          <w:rFonts w:ascii="Times New Roman" w:cs="Times New Roman" w:eastAsia="Times New Roman" w:hAnsi="Times New Roman"/>
          <w:sz w:val="20"/>
          <w:szCs w:val="20"/>
          <w:color w:val="auto"/>
        </w:rPr>
        <w:t>Any or all of the shares of Common Stock available for issuance under the Plan may be awarded in the form of Incentive Stock Options (as defined in Section 5(b)), subject, however, to any limitations under the Code that</w:t>
      </w:r>
    </w:p>
    <w:p>
      <w:pPr>
        <w:sectPr>
          <w:pgSz w:w="11900" w:h="16838" w:orient="portrait"/>
          <w:cols w:equalWidth="0" w:num="1">
            <w:col w:w="11220"/>
          </w:cols>
          <w:pgMar w:left="320" w:top="1413" w:right="359" w:bottom="1440" w:gutter="0" w:footer="0" w:header="0"/>
        </w:sectPr>
      </w:pPr>
    </w:p>
    <w:bookmarkStart w:id="6" w:name="page7"/>
    <w:bookmarkEnd w:id="6"/>
    <w:p>
      <w:pPr>
        <w:spacing w:after="0" w:line="296" w:lineRule="auto"/>
        <w:rPr>
          <w:sz w:val="20"/>
          <w:szCs w:val="20"/>
          <w:color w:val="auto"/>
        </w:rPr>
      </w:pPr>
      <w:r>
        <w:rPr>
          <w:rFonts w:ascii="Times New Roman" w:cs="Times New Roman" w:eastAsia="Times New Roman" w:hAnsi="Times New Roman"/>
          <w:sz w:val="20"/>
          <w:szCs w:val="20"/>
          <w:color w:val="auto"/>
        </w:rPr>
        <w:t>would prohibit shares to be awarded under the Plan in the form of Incentive Stock Options if previously issued pursuant to the exercise of Incentive Stock Options and which shares become Returning Shares. Shares of Common Stock issued under the Plan may consist in whole or in part of authorized but unissued shares or treasury shares.</w:t>
      </w:r>
    </w:p>
    <w:p>
      <w:pPr>
        <w:spacing w:after="0" w:line="121" w:lineRule="exact"/>
        <w:rPr>
          <w:sz w:val="20"/>
          <w:szCs w:val="20"/>
          <w:color w:val="auto"/>
        </w:rPr>
      </w:pPr>
    </w:p>
    <w:p>
      <w:pPr>
        <w:ind w:right="420" w:firstLine="1304"/>
        <w:spacing w:after="0" w:line="311" w:lineRule="auto"/>
        <w:tabs>
          <w:tab w:leader="none" w:pos="1932" w:val="left"/>
        </w:tabs>
        <w:numPr>
          <w:ilvl w:val="2"/>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Share Counting</w:t>
      </w:r>
      <w:r>
        <w:rPr>
          <w:rFonts w:ascii="Times New Roman" w:cs="Times New Roman" w:eastAsia="Times New Roman" w:hAnsi="Times New Roman"/>
          <w:sz w:val="20"/>
          <w:szCs w:val="20"/>
          <w:color w:val="auto"/>
        </w:rPr>
        <w:t>. For purposes of counting the number of shares available for the grant of Awards under the Plan under this Section 4(a) and under the sublimits contained in Section 4(b):</w:t>
      </w:r>
    </w:p>
    <w:p>
      <w:pPr>
        <w:spacing w:after="0" w:line="105" w:lineRule="exact"/>
        <w:rPr>
          <w:rFonts w:ascii="Times New Roman" w:cs="Times New Roman" w:eastAsia="Times New Roman" w:hAnsi="Times New Roman"/>
          <w:sz w:val="20"/>
          <w:szCs w:val="20"/>
          <w:color w:val="auto"/>
        </w:rPr>
      </w:pPr>
    </w:p>
    <w:p>
      <w:pPr>
        <w:ind w:right="160" w:firstLine="1952"/>
        <w:spacing w:after="0" w:line="304" w:lineRule="auto"/>
        <w:tabs>
          <w:tab w:leader="none" w:pos="2583" w:val="left"/>
        </w:tabs>
        <w:numPr>
          <w:ilvl w:val="3"/>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shares of Common Stock covered by SARs shall be counted against the number of shares available for the grant of Awards under the Plan and against the sublimits contained in Section 4(b);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 SARs that may be settled</w:t>
      </w:r>
    </w:p>
    <w:p>
      <w:pPr>
        <w:ind w:right="60"/>
        <w:spacing w:after="0" w:line="29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only in cash shall not be so counted and (ii) if the Company grants an SAR in tandem with an Option for the same number of shares of Common Stock and provides that only one such Award may be exercised (a “</w:t>
      </w:r>
      <w:r>
        <w:rPr>
          <w:rFonts w:ascii="Times New Roman" w:cs="Times New Roman" w:eastAsia="Times New Roman" w:hAnsi="Times New Roman"/>
          <w:sz w:val="20"/>
          <w:szCs w:val="20"/>
          <w:b w:val="1"/>
          <w:bCs w:val="1"/>
          <w:i w:val="1"/>
          <w:iCs w:val="1"/>
          <w:color w:val="auto"/>
        </w:rPr>
        <w:t>Tandem SAR</w:t>
      </w:r>
      <w:r>
        <w:rPr>
          <w:rFonts w:ascii="Times New Roman" w:cs="Times New Roman" w:eastAsia="Times New Roman" w:hAnsi="Times New Roman"/>
          <w:sz w:val="20"/>
          <w:szCs w:val="20"/>
          <w:color w:val="auto"/>
        </w:rPr>
        <w:t>”), only the shares covered by the Option, and not the shares covered by the Tandem SAR, shall be so counted, and the expiration of one in connection with the other’s exercise will not restore shares to the Plan;</w:t>
      </w:r>
    </w:p>
    <w:p>
      <w:pPr>
        <w:spacing w:after="0" w:line="126" w:lineRule="exact"/>
        <w:rPr>
          <w:rFonts w:ascii="Times New Roman" w:cs="Times New Roman" w:eastAsia="Times New Roman" w:hAnsi="Times New Roman"/>
          <w:sz w:val="19"/>
          <w:szCs w:val="19"/>
          <w:color w:val="auto"/>
        </w:rPr>
      </w:pPr>
    </w:p>
    <w:p>
      <w:pPr>
        <w:ind w:right="40" w:firstLine="1952"/>
        <w:spacing w:after="0" w:line="311" w:lineRule="auto"/>
        <w:tabs>
          <w:tab w:leader="none" w:pos="2586" w:val="left"/>
        </w:tabs>
        <w:numPr>
          <w:ilvl w:val="3"/>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 RSU may be settled only in cash, no shares shall be counted against the shares available for the grant of Awards under the Plan;</w:t>
      </w:r>
    </w:p>
    <w:p>
      <w:pPr>
        <w:spacing w:after="0" w:line="105" w:lineRule="exact"/>
        <w:rPr>
          <w:rFonts w:ascii="Times New Roman" w:cs="Times New Roman" w:eastAsia="Times New Roman" w:hAnsi="Times New Roman"/>
          <w:sz w:val="20"/>
          <w:szCs w:val="20"/>
          <w:color w:val="auto"/>
        </w:rPr>
      </w:pPr>
    </w:p>
    <w:p>
      <w:pPr>
        <w:ind w:right="20" w:firstLine="1952"/>
        <w:spacing w:after="0" w:line="298" w:lineRule="auto"/>
        <w:tabs>
          <w:tab w:leader="none" w:pos="2586" w:val="left"/>
        </w:tabs>
        <w:numPr>
          <w:ilvl w:val="3"/>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Award (i) expires or is terminated, surrendered or cancelled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an SAR that was settleable either in cash or in stock actually being settled in cash), the unused Common Stock covered by such Award shall again be available for the grant of Awards;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(1) in the case of Incentive Stock Options, the foregoing shall be subject to any limitations under the Code, (2) in the case of the exercise of an SAR, the number of shares counted against the shares available under the Plan and against the sublimits contained in Section 4(b) shall be the full number of shares subject to the SAR multiplied by the percentage of the SAR actually exercised, regardless of the number of shares actually used to settle such SAR upon exercise and</w:t>
      </w:r>
    </w:p>
    <w:p>
      <w:pPr>
        <w:spacing w:after="0" w:line="3" w:lineRule="exact"/>
        <w:rPr>
          <w:rFonts w:ascii="Times New Roman" w:cs="Times New Roman" w:eastAsia="Times New Roman" w:hAnsi="Times New Roman"/>
          <w:sz w:val="19"/>
          <w:szCs w:val="19"/>
          <w:color w:val="auto"/>
        </w:rPr>
      </w:pPr>
    </w:p>
    <w:p>
      <w:pPr>
        <w:ind w:left="280" w:hanging="272"/>
        <w:spacing w:after="0"/>
        <w:tabs>
          <w:tab w:leader="none" w:pos="28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shares covered by a Tandem SAR shall not again become available for grant upon the expiration or termination of such Tandem SAR;</w:t>
      </w:r>
    </w:p>
    <w:p>
      <w:pPr>
        <w:spacing w:after="0" w:line="213" w:lineRule="exact"/>
        <w:rPr>
          <w:rFonts w:ascii="Times New Roman" w:cs="Times New Roman" w:eastAsia="Times New Roman" w:hAnsi="Times New Roman"/>
          <w:sz w:val="19"/>
          <w:szCs w:val="19"/>
          <w:color w:val="auto"/>
        </w:rPr>
      </w:pPr>
    </w:p>
    <w:p>
      <w:pPr>
        <w:jc w:val="both"/>
        <w:ind w:right="20" w:firstLine="1952"/>
        <w:spacing w:after="0" w:line="291" w:lineRule="auto"/>
        <w:tabs>
          <w:tab w:leader="none" w:pos="2583" w:val="left"/>
        </w:tabs>
        <w:numPr>
          <w:ilvl w:val="3"/>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of Common Stock delivered (either by actual delivery, attestation, or net exercise) to the Company by a Participant to (i) purchase shares of Common Stock upon the exercise of an Award or (ii) satisfy tax withholding obligations with respect to Awards (including shares retained from the Award creating the tax obligation) shall not be added back to the number of shares available for the future grant of Awards; and</w:t>
      </w:r>
    </w:p>
    <w:p>
      <w:pPr>
        <w:spacing w:after="0" w:line="126" w:lineRule="exact"/>
        <w:rPr>
          <w:rFonts w:ascii="Times New Roman" w:cs="Times New Roman" w:eastAsia="Times New Roman" w:hAnsi="Times New Roman"/>
          <w:sz w:val="20"/>
          <w:szCs w:val="20"/>
          <w:color w:val="auto"/>
        </w:rPr>
      </w:pPr>
    </w:p>
    <w:p>
      <w:pPr>
        <w:ind w:right="440" w:firstLine="1952"/>
        <w:spacing w:after="0" w:line="311" w:lineRule="auto"/>
        <w:tabs>
          <w:tab w:leader="none" w:pos="2588" w:val="left"/>
        </w:tabs>
        <w:numPr>
          <w:ilvl w:val="3"/>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of Common Stock repurchased by the Company on the open market using the proceeds from the exercise of an Award shall not increase the number of shares available for future grant of Awards.</w:t>
      </w:r>
    </w:p>
    <w:p>
      <w:pPr>
        <w:spacing w:after="0" w:line="78" w:lineRule="exact"/>
        <w:rPr>
          <w:rFonts w:ascii="Times New Roman" w:cs="Times New Roman" w:eastAsia="Times New Roman" w:hAnsi="Times New Roman"/>
          <w:sz w:val="20"/>
          <w:szCs w:val="20"/>
          <w:color w:val="auto"/>
        </w:rPr>
      </w:pPr>
    </w:p>
    <w:p>
      <w:pPr>
        <w:ind w:left="1300" w:hanging="654"/>
        <w:spacing w:after="0"/>
        <w:tabs>
          <w:tab w:leader="none" w:pos="130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Sublimits</w:t>
      </w:r>
      <w:r>
        <w:rPr>
          <w:rFonts w:ascii="Times New Roman" w:cs="Times New Roman" w:eastAsia="Times New Roman" w:hAnsi="Times New Roman"/>
          <w:sz w:val="20"/>
          <w:szCs w:val="20"/>
          <w:color w:val="auto"/>
        </w:rPr>
        <w:t>. Subject to adjustment under Section 10, the following sublimits on the number of shares subject to Awards shall</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apply:</w:t>
      </w:r>
    </w:p>
    <w:p>
      <w:pPr>
        <w:sectPr>
          <w:pgSz w:w="11900" w:h="16838" w:orient="portrait"/>
          <w:cols w:equalWidth="0" w:num="1">
            <w:col w:w="11220"/>
          </w:cols>
          <w:pgMar w:left="320" w:top="1440" w:right="359" w:bottom="1440" w:gutter="0" w:footer="0" w:header="0"/>
        </w:sectPr>
      </w:pPr>
    </w:p>
    <w:bookmarkStart w:id="7" w:name="page8"/>
    <w:bookmarkEnd w:id="7"/>
    <w:p>
      <w:pPr>
        <w:ind w:right="100" w:firstLine="1304"/>
        <w:spacing w:after="0" w:line="289" w:lineRule="auto"/>
        <w:tabs>
          <w:tab w:leader="none" w:pos="1932" w:val="left"/>
        </w:tabs>
        <w:numPr>
          <w:ilvl w:val="2"/>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Per-Participant Limits</w:t>
      </w:r>
      <w:r>
        <w:rPr>
          <w:rFonts w:ascii="Times New Roman" w:cs="Times New Roman" w:eastAsia="Times New Roman" w:hAnsi="Times New Roman"/>
          <w:sz w:val="20"/>
          <w:szCs w:val="20"/>
          <w:color w:val="auto"/>
        </w:rPr>
        <w:t>. The maximum number of shares of Common Stock with respect to which Options and Stock Appreciation Rights may be granted to any Participant under the Plan shall be 2,000,000 per fiscal year of the Company, and the maximum number of shares of Common Stock with respect to which Restricted Stock Awards, Restricted Stock Units and Other Stock Unit Awards may be granted to any Participant under the Plan shall be 1,000,000 per fiscal year of the Company. For purposes of the foregoing limit, the combination of an Option in tandem with a Stock Appreciation Right shall be treated as a single Award.</w:t>
      </w:r>
    </w:p>
    <w:p>
      <w:pPr>
        <w:spacing w:after="0" w:line="127" w:lineRule="exact"/>
        <w:rPr>
          <w:rFonts w:ascii="Times New Roman" w:cs="Times New Roman" w:eastAsia="Times New Roman" w:hAnsi="Times New Roman"/>
          <w:sz w:val="20"/>
          <w:szCs w:val="20"/>
          <w:color w:val="auto"/>
        </w:rPr>
      </w:pPr>
    </w:p>
    <w:p>
      <w:pPr>
        <w:jc w:val="both"/>
        <w:ind w:right="140" w:firstLine="1304"/>
        <w:spacing w:after="0" w:line="304" w:lineRule="auto"/>
        <w:tabs>
          <w:tab w:leader="none" w:pos="1932" w:val="left"/>
        </w:tabs>
        <w:numPr>
          <w:ilvl w:val="2"/>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Limit on Awards to Non-Employee Directors</w:t>
      </w:r>
      <w:r>
        <w:rPr>
          <w:rFonts w:ascii="Times New Roman" w:cs="Times New Roman" w:eastAsia="Times New Roman" w:hAnsi="Times New Roman"/>
          <w:sz w:val="19"/>
          <w:szCs w:val="19"/>
          <w:color w:val="auto"/>
        </w:rPr>
        <w:t>. The maximum aggregate amount of cash and value (calculated based on grant date fair value for financial reporting purposes) of Awards granted in any fiscal year to any individual non-employee director shall</w:t>
      </w:r>
    </w:p>
    <w:p>
      <w:pPr>
        <w:spacing w:after="0" w:line="28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not exceed $750,000;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fees paid by the Corporation on behalf of any non-employee director in connection with regulatory compliance and any amounts paid to a non-employee director as reimbursement of an expense shall not count against the foregoing limitation. The Committee may make additional exceptions to this limit for individual non-employee directors in extraordinary circumstances or in the case of regulatory filing fees, as the Committee may determine in its discretion, provided that the non-employee director receiving such additional compensation may not participate in the decision to award such compensation.</w:t>
      </w:r>
    </w:p>
    <w:p>
      <w:pPr>
        <w:spacing w:after="0" w:line="100" w:lineRule="exact"/>
        <w:rPr>
          <w:rFonts w:ascii="Times New Roman" w:cs="Times New Roman" w:eastAsia="Times New Roman" w:hAnsi="Times New Roman"/>
          <w:sz w:val="19"/>
          <w:szCs w:val="19"/>
          <w:color w:val="auto"/>
        </w:rPr>
      </w:pPr>
    </w:p>
    <w:p>
      <w:pPr>
        <w:ind w:right="160" w:firstLine="646"/>
        <w:spacing w:after="0" w:line="253" w:lineRule="auto"/>
        <w:tabs>
          <w:tab w:leader="none" w:pos="129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Substitute Awards</w:t>
      </w:r>
      <w:r>
        <w:rPr>
          <w:rFonts w:ascii="Times New Roman" w:cs="Times New Roman" w:eastAsia="Times New Roman" w:hAnsi="Times New Roman"/>
          <w:sz w:val="20"/>
          <w:szCs w:val="20"/>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4(a)(1) or any sublimits contained in the Plan, except as may be required by reason of Section 422 and related provisions of the Code.</w:t>
      </w:r>
    </w:p>
    <w:p>
      <w:pPr>
        <w:spacing w:after="0" w:line="165"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Options.</w:t>
      </w:r>
    </w:p>
    <w:p>
      <w:pPr>
        <w:spacing w:after="0" w:line="171" w:lineRule="exact"/>
        <w:rPr>
          <w:rFonts w:ascii="Times New Roman" w:cs="Times New Roman" w:eastAsia="Times New Roman" w:hAnsi="Times New Roman"/>
          <w:sz w:val="20"/>
          <w:szCs w:val="20"/>
          <w:color w:val="auto"/>
        </w:rPr>
      </w:pPr>
    </w:p>
    <w:p>
      <w:pPr>
        <w:ind w:right="140" w:firstLine="646"/>
        <w:spacing w:after="0" w:line="255" w:lineRule="auto"/>
        <w:tabs>
          <w:tab w:leader="none" w:pos="129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Board may grant options to purchase Common Stock (each, an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and determine the number of shares of Common Stock to be covered by each Option, the exercise price of each Option and the conditions and limitations applicable to the exercise of each Option, including conditions relating to applicable U.S. federal or state securities laws, as the Board considers necessary or advisable.</w:t>
      </w:r>
    </w:p>
    <w:p>
      <w:pPr>
        <w:spacing w:after="0" w:line="133" w:lineRule="exact"/>
        <w:rPr>
          <w:rFonts w:ascii="Times New Roman" w:cs="Times New Roman" w:eastAsia="Times New Roman" w:hAnsi="Times New Roman"/>
          <w:sz w:val="20"/>
          <w:szCs w:val="20"/>
          <w:color w:val="auto"/>
        </w:rPr>
      </w:pPr>
    </w:p>
    <w:p>
      <w:pPr>
        <w:ind w:right="60" w:firstLine="646"/>
        <w:spacing w:after="0" w:line="251" w:lineRule="auto"/>
        <w:tabs>
          <w:tab w:leader="none" w:pos="1287"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Incentive Stock Options</w:t>
      </w:r>
      <w:r>
        <w:rPr>
          <w:rFonts w:ascii="Times New Roman" w:cs="Times New Roman" w:eastAsia="Times New Roman" w:hAnsi="Times New Roman"/>
          <w:sz w:val="20"/>
          <w:szCs w:val="20"/>
          <w:color w:val="auto"/>
        </w:rPr>
        <w:t>. An Option that the Board intends to be an “incentive stock option” as defined in Section 422 of the Code (an “</w:t>
      </w:r>
      <w:r>
        <w:rPr>
          <w:rFonts w:ascii="Times New Roman" w:cs="Times New Roman" w:eastAsia="Times New Roman" w:hAnsi="Times New Roman"/>
          <w:sz w:val="20"/>
          <w:szCs w:val="20"/>
          <w:b w:val="1"/>
          <w:bCs w:val="1"/>
          <w:i w:val="1"/>
          <w:iCs w:val="1"/>
          <w:color w:val="auto"/>
        </w:rPr>
        <w:t>Incentive Stock Option</w:t>
      </w:r>
      <w:r>
        <w:rPr>
          <w:rFonts w:ascii="Times New Roman" w:cs="Times New Roman" w:eastAsia="Times New Roman" w:hAnsi="Times New Roman"/>
          <w:sz w:val="20"/>
          <w:szCs w:val="20"/>
          <w:color w:val="auto"/>
        </w:rPr>
        <w:t>”) shall only be granted to employees of Analog Devices, Inc., any of Analog Devices, Inc.’s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An Option that is not intended to be an Incentive Stock Option shall be designated a “</w:t>
      </w:r>
      <w:r>
        <w:rPr>
          <w:rFonts w:ascii="Times New Roman" w:cs="Times New Roman" w:eastAsia="Times New Roman" w:hAnsi="Times New Roman"/>
          <w:sz w:val="20"/>
          <w:szCs w:val="20"/>
          <w:b w:val="1"/>
          <w:bCs w:val="1"/>
          <w:i w:val="1"/>
          <w:iCs w:val="1"/>
          <w:color w:val="auto"/>
        </w:rPr>
        <w:t>Nonstatutory Stock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The Company shall have no liability to a Participant, or any other person, if an Option (or any part thereof) that is intended to be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Incentive Stock Option is not an Incentive Stock Option or if the Company converts an Incentive Stock Option to a Nonstatutory Stock Option.</w:t>
      </w:r>
    </w:p>
    <w:p>
      <w:pPr>
        <w:spacing w:after="0" w:line="141" w:lineRule="exact"/>
        <w:rPr>
          <w:rFonts w:ascii="Times New Roman" w:cs="Times New Roman" w:eastAsia="Times New Roman" w:hAnsi="Times New Roman"/>
          <w:sz w:val="20"/>
          <w:szCs w:val="20"/>
          <w:color w:val="auto"/>
        </w:rPr>
      </w:pPr>
    </w:p>
    <w:p>
      <w:pPr>
        <w:ind w:right="20" w:firstLine="646"/>
        <w:spacing w:after="0" w:line="254" w:lineRule="auto"/>
        <w:tabs>
          <w:tab w:leader="none" w:pos="129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The Board shall establish the exercise price of each Option or the formula by which such exercise price will be determined. The exercise price shall be specified in the applicable Option agreement. The exercise price shall be not less than 100% of the Grant Date Fair Market Value (as defined below) of the Common Stock on the date the Option is approved; provided that if the Board approves the grant of an Option with an exercise price to be determined on a future date, the exercise price shall be not less than 100% of</w:t>
      </w:r>
    </w:p>
    <w:p>
      <w:pPr>
        <w:sectPr>
          <w:pgSz w:w="11900" w:h="16838" w:orient="portrait"/>
          <w:cols w:equalWidth="0" w:num="1">
            <w:col w:w="11220"/>
          </w:cols>
          <w:pgMar w:left="320" w:top="1440" w:right="359" w:bottom="1440" w:gutter="0" w:footer="0" w:header="0"/>
        </w:sectPr>
      </w:pPr>
    </w:p>
    <w:bookmarkStart w:id="8" w:name="page9"/>
    <w:bookmarkEnd w:id="8"/>
    <w:p>
      <w:pPr>
        <w:spacing w:after="0" w:line="287" w:lineRule="auto"/>
        <w:rPr>
          <w:sz w:val="20"/>
          <w:szCs w:val="20"/>
          <w:color w:val="auto"/>
        </w:rPr>
      </w:pPr>
      <w:r>
        <w:rPr>
          <w:rFonts w:ascii="Times New Roman" w:cs="Times New Roman" w:eastAsia="Times New Roman" w:hAnsi="Times New Roman"/>
          <w:sz w:val="20"/>
          <w:szCs w:val="20"/>
          <w:color w:val="auto"/>
        </w:rPr>
        <w:t>the Grant Date Fair Market Value on such future date. “</w:t>
      </w:r>
      <w:r>
        <w:rPr>
          <w:rFonts w:ascii="Times New Roman" w:cs="Times New Roman" w:eastAsia="Times New Roman" w:hAnsi="Times New Roman"/>
          <w:sz w:val="20"/>
          <w:szCs w:val="20"/>
          <w:b w:val="1"/>
          <w:bCs w:val="1"/>
          <w:i w:val="1"/>
          <w:iCs w:val="1"/>
          <w:color w:val="auto"/>
        </w:rPr>
        <w:t>Grant Date Fair Market Value</w:t>
      </w:r>
      <w:r>
        <w:rPr>
          <w:rFonts w:ascii="Times New Roman" w:cs="Times New Roman" w:eastAsia="Times New Roman" w:hAnsi="Times New Roman"/>
          <w:sz w:val="20"/>
          <w:szCs w:val="20"/>
          <w:color w:val="auto"/>
        </w:rPr>
        <w:t>” of a share of Common Stock for purposes of the Plan will be determined as follows:</w:t>
      </w:r>
    </w:p>
    <w:p>
      <w:pPr>
        <w:spacing w:after="0" w:line="115" w:lineRule="exact"/>
        <w:rPr>
          <w:sz w:val="20"/>
          <w:szCs w:val="20"/>
          <w:color w:val="auto"/>
        </w:rPr>
      </w:pPr>
    </w:p>
    <w:p>
      <w:pPr>
        <w:ind w:right="40" w:firstLine="1304"/>
        <w:spacing w:after="0" w:line="311" w:lineRule="auto"/>
        <w:tabs>
          <w:tab w:leader="none" w:pos="1932"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Common Stock trades on a national securities exchange, the closing sale price (for the primary trading session) on the applicable date; or</w:t>
      </w:r>
    </w:p>
    <w:p>
      <w:pPr>
        <w:spacing w:after="0" w:line="105" w:lineRule="exact"/>
        <w:rPr>
          <w:rFonts w:ascii="Times New Roman" w:cs="Times New Roman" w:eastAsia="Times New Roman" w:hAnsi="Times New Roman"/>
          <w:sz w:val="20"/>
          <w:szCs w:val="20"/>
          <w:color w:val="auto"/>
        </w:rPr>
      </w:pPr>
    </w:p>
    <w:p>
      <w:pPr>
        <w:ind w:right="320" w:firstLine="1304"/>
        <w:spacing w:after="0" w:line="311" w:lineRule="auto"/>
        <w:tabs>
          <w:tab w:leader="none" w:pos="1932"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Common Stock does not trade on any such exchange, the average of the closing bid and asked prices on the applicable date as reported by an over-the-counter marketplace designated by the Board; or</w:t>
      </w:r>
    </w:p>
    <w:p>
      <w:pPr>
        <w:spacing w:after="0" w:line="119" w:lineRule="exact"/>
        <w:rPr>
          <w:rFonts w:ascii="Times New Roman" w:cs="Times New Roman" w:eastAsia="Times New Roman" w:hAnsi="Times New Roman"/>
          <w:sz w:val="20"/>
          <w:szCs w:val="20"/>
          <w:color w:val="auto"/>
        </w:rPr>
      </w:pPr>
    </w:p>
    <w:p>
      <w:pPr>
        <w:ind w:right="60" w:firstLine="1304"/>
        <w:spacing w:after="0" w:line="318" w:lineRule="auto"/>
        <w:tabs>
          <w:tab w:leader="none" w:pos="1932"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Common Stock is not publicly traded, the Board will determine the Grant Date Fair Market Value for purposes of the Plan using any measure of value it determines to be appropriate (including, as it considers appropriate, relying on appraisals) in a manner consistent with the valuation principles under Code Section 409A, except as the Board may expressly determine otherwise.</w:t>
      </w:r>
    </w:p>
    <w:p>
      <w:pPr>
        <w:spacing w:after="0" w:line="104"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20"/>
          <w:szCs w:val="20"/>
          <w:color w:val="auto"/>
        </w:rPr>
        <w:t>For any date that is not a trading day, the Grant Date Fair Market Value of a share of Common Stock for such date will be determined by using the closing sale price or average of the bid and asked prices, as appropriate, for the immediately following trading day and with the timing in the formulas above adjusted accordingly. The Board can substitute a particular time of day or other measure of “closing sale price” or “bid and asked prices” if appropriate because of exchange or market procedures or can, in its sole discretion, use weighted averages either on a daily basis or such longer period as complies with Code Section 409A.</w:t>
      </w:r>
    </w:p>
    <w:p>
      <w:pPr>
        <w:spacing w:after="0" w:line="127" w:lineRule="exact"/>
        <w:rPr>
          <w:sz w:val="20"/>
          <w:szCs w:val="20"/>
          <w:color w:val="auto"/>
        </w:rPr>
      </w:pPr>
    </w:p>
    <w:p>
      <w:pPr>
        <w:ind w:right="100"/>
        <w:spacing w:after="0" w:line="340" w:lineRule="auto"/>
        <w:rPr>
          <w:sz w:val="20"/>
          <w:szCs w:val="20"/>
          <w:color w:val="auto"/>
        </w:rPr>
      </w:pPr>
      <w:r>
        <w:rPr>
          <w:rFonts w:ascii="Times New Roman" w:cs="Times New Roman" w:eastAsia="Times New Roman" w:hAnsi="Times New Roman"/>
          <w:sz w:val="19"/>
          <w:szCs w:val="19"/>
          <w:color w:val="auto"/>
        </w:rPr>
        <w:t>The Board has sole discretion to determine the Grant Date Fair Market Value for purposes of the Plan, and all Awards are conditioned on the Participant’s agreement that the Board’s determination is conclusive and binding even though others might make a different determination.</w:t>
      </w:r>
    </w:p>
    <w:p>
      <w:pPr>
        <w:spacing w:after="0" w:line="56" w:lineRule="exact"/>
        <w:rPr>
          <w:sz w:val="20"/>
          <w:szCs w:val="20"/>
          <w:color w:val="auto"/>
        </w:rPr>
      </w:pPr>
    </w:p>
    <w:p>
      <w:pPr>
        <w:ind w:right="280" w:firstLine="646"/>
        <w:spacing w:after="0" w:line="310" w:lineRule="auto"/>
        <w:tabs>
          <w:tab w:leader="none" w:pos="1287"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Duration of Options</w:t>
      </w:r>
      <w:r>
        <w:rPr>
          <w:rFonts w:ascii="Times New Roman" w:cs="Times New Roman" w:eastAsia="Times New Roman" w:hAnsi="Times New Roman"/>
          <w:sz w:val="19"/>
          <w:szCs w:val="19"/>
          <w:color w:val="auto"/>
        </w:rPr>
        <w:t xml:space="preserve">. Each Option shall be exercisable at such times and subject to such terms and conditions as the Board may specify in the applicable Option agreement;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no Option will be granted with a term in excess of 10 years.</w:t>
      </w:r>
    </w:p>
    <w:p>
      <w:pPr>
        <w:spacing w:after="0" w:line="70" w:lineRule="exact"/>
        <w:rPr>
          <w:rFonts w:ascii="Times New Roman" w:cs="Times New Roman" w:eastAsia="Times New Roman" w:hAnsi="Times New Roman"/>
          <w:sz w:val="19"/>
          <w:szCs w:val="19"/>
          <w:color w:val="auto"/>
        </w:rPr>
      </w:pPr>
    </w:p>
    <w:p>
      <w:pPr>
        <w:ind w:right="60" w:firstLine="646"/>
        <w:spacing w:after="0" w:line="258" w:lineRule="auto"/>
        <w:tabs>
          <w:tab w:leader="none" w:pos="129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of Options</w:t>
      </w:r>
      <w:r>
        <w:rPr>
          <w:rFonts w:ascii="Times New Roman" w:cs="Times New Roman" w:eastAsia="Times New Roman" w:hAnsi="Times New Roman"/>
          <w:sz w:val="20"/>
          <w:szCs w:val="20"/>
          <w:color w:val="auto"/>
        </w:rPr>
        <w:t>. Options may be exercised by delivery to the Company of a notice of exercise in a form (which may be electronic and which may be provided to a third-party equity plan administrator) approved by the Company, together with payment in full (in the manner specified in Section 5(f)) of the exercise price for the number of shares for which the Option is exercised. Shares of Common Stock subject to the Option will be delivered by the Company as soon as practicable following exercise.</w:t>
      </w:r>
    </w:p>
    <w:p>
      <w:pPr>
        <w:spacing w:after="0" w:line="131" w:lineRule="exact"/>
        <w:rPr>
          <w:rFonts w:ascii="Times New Roman" w:cs="Times New Roman" w:eastAsia="Times New Roman" w:hAnsi="Times New Roman"/>
          <w:sz w:val="20"/>
          <w:szCs w:val="20"/>
          <w:color w:val="auto"/>
        </w:rPr>
      </w:pPr>
    </w:p>
    <w:p>
      <w:pPr>
        <w:ind w:left="1300" w:hanging="654"/>
        <w:spacing w:after="0"/>
        <w:tabs>
          <w:tab w:leader="none" w:pos="1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Upon Exercise</w:t>
      </w:r>
      <w:r>
        <w:rPr>
          <w:rFonts w:ascii="Times New Roman" w:cs="Times New Roman" w:eastAsia="Times New Roman" w:hAnsi="Times New Roman"/>
          <w:sz w:val="20"/>
          <w:szCs w:val="20"/>
          <w:color w:val="auto"/>
        </w:rPr>
        <w:t>. Common Stock purchased upon the exercise of an Option granted under the Plan shall be paid for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follows:</w:t>
      </w:r>
    </w:p>
    <w:p>
      <w:pPr>
        <w:spacing w:after="0" w:line="18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cash or by check, payable to the order of the Company;</w:t>
      </w:r>
    </w:p>
    <w:p>
      <w:pPr>
        <w:spacing w:after="0" w:line="202" w:lineRule="exact"/>
        <w:rPr>
          <w:rFonts w:ascii="Times New Roman" w:cs="Times New Roman" w:eastAsia="Times New Roman" w:hAnsi="Times New Roman"/>
          <w:sz w:val="20"/>
          <w:szCs w:val="20"/>
          <w:color w:val="auto"/>
        </w:rPr>
      </w:pPr>
    </w:p>
    <w:p>
      <w:pPr>
        <w:ind w:right="20" w:firstLine="1304"/>
        <w:spacing w:after="0" w:line="289" w:lineRule="auto"/>
        <w:tabs>
          <w:tab w:leader="none" w:pos="1932"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may otherwise be provided in the applicable Option agreement or approved by the Board,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ectPr>
          <w:pgSz w:w="11900" w:h="16838" w:orient="portrait"/>
          <w:cols w:equalWidth="0" w:num="1">
            <w:col w:w="11240"/>
          </w:cols>
          <w:pgMar w:left="320" w:top="1409" w:right="339" w:bottom="1440" w:gutter="0" w:footer="0" w:header="0"/>
        </w:sectPr>
      </w:pPr>
    </w:p>
    <w:bookmarkStart w:id="9" w:name="page10"/>
    <w:bookmarkEnd w:id="9"/>
    <w:p>
      <w:pPr>
        <w:ind w:right="60" w:firstLine="1304"/>
        <w:spacing w:after="0" w:line="281" w:lineRule="auto"/>
        <w:tabs>
          <w:tab w:leader="none" w:pos="1932" w:val="left"/>
        </w:tabs>
        <w:numPr>
          <w:ilvl w:val="2"/>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provided for in the applicable Option agreement or approved by the Board, by delivery (either by actual delivery or attestation) of shares of Common Stock owned by the Participant valued at their fair market value (valued in the manner determined by (or in a manner approved by) the Board), provided (i) such method of payment is then permitted under applicable law,</w:t>
      </w:r>
    </w:p>
    <w:p>
      <w:pPr>
        <w:spacing w:after="0" w:line="2" w:lineRule="exact"/>
        <w:rPr>
          <w:rFonts w:ascii="Times New Roman" w:cs="Times New Roman" w:eastAsia="Times New Roman" w:hAnsi="Times New Roman"/>
          <w:sz w:val="20"/>
          <w:szCs w:val="20"/>
          <w:color w:val="auto"/>
        </w:rPr>
      </w:pPr>
    </w:p>
    <w:p>
      <w:pPr>
        <w:ind w:right="60" w:firstLine="8"/>
        <w:spacing w:after="0" w:line="296" w:lineRule="auto"/>
        <w:tabs>
          <w:tab w:leader="none" w:pos="291"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Common Stock, if acquired directly from the Company, was owned by the Participant for such minimum period of time, if any, as may be established by the Board and (iii) such Common Stock is not subject to any repurchase, forfeiture, unfulfilled vesting or other similar requirements;</w:t>
      </w:r>
    </w:p>
    <w:p>
      <w:pPr>
        <w:spacing w:after="0" w:line="12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2"/>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provided for in the applicable Nonstatutory Stock Option agreement or approved by the Board, by</w:t>
      </w:r>
    </w:p>
    <w:p>
      <w:pPr>
        <w:spacing w:after="0" w:line="53" w:lineRule="exact"/>
        <w:rPr>
          <w:rFonts w:ascii="Times New Roman" w:cs="Times New Roman" w:eastAsia="Times New Roman" w:hAnsi="Times New Roman"/>
          <w:sz w:val="20"/>
          <w:szCs w:val="20"/>
          <w:color w:val="auto"/>
        </w:rPr>
      </w:pPr>
    </w:p>
    <w:p>
      <w:pPr>
        <w:ind w:right="120"/>
        <w:spacing w:after="0" w:line="29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by (or in a manner approved by) the Board) on the date of exercise;</w:t>
      </w:r>
    </w:p>
    <w:p>
      <w:pPr>
        <w:spacing w:after="0" w:line="126" w:lineRule="exact"/>
        <w:rPr>
          <w:rFonts w:ascii="Times New Roman" w:cs="Times New Roman" w:eastAsia="Times New Roman" w:hAnsi="Times New Roman"/>
          <w:sz w:val="20"/>
          <w:szCs w:val="20"/>
          <w:color w:val="auto"/>
        </w:rPr>
      </w:pPr>
    </w:p>
    <w:p>
      <w:pPr>
        <w:ind w:right="340" w:firstLine="1304"/>
        <w:spacing w:after="0" w:line="311" w:lineRule="auto"/>
        <w:tabs>
          <w:tab w:leader="none" w:pos="1932" w:val="left"/>
        </w:tabs>
        <w:numPr>
          <w:ilvl w:val="2"/>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and provided for in the applicable Option agreement or approved by the Board, by payment of such other lawful consideration as the Board may determine; or</w:t>
      </w:r>
    </w:p>
    <w:p>
      <w:pPr>
        <w:spacing w:after="0" w:line="10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2"/>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any combination of the above permitted forms of payment, to the extent approved by the Board.</w:t>
      </w:r>
    </w:p>
    <w:p>
      <w:pPr>
        <w:spacing w:after="0" w:line="175" w:lineRule="exact"/>
        <w:rPr>
          <w:rFonts w:ascii="Times New Roman" w:cs="Times New Roman" w:eastAsia="Times New Roman" w:hAnsi="Times New Roman"/>
          <w:sz w:val="20"/>
          <w:szCs w:val="20"/>
          <w:color w:val="auto"/>
        </w:rPr>
      </w:pPr>
    </w:p>
    <w:p>
      <w:pPr>
        <w:ind w:firstLine="646"/>
        <w:spacing w:after="0" w:line="251" w:lineRule="auto"/>
        <w:tabs>
          <w:tab w:leader="none" w:pos="1287"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 on Repricing</w:t>
      </w:r>
      <w:r>
        <w:rPr>
          <w:rFonts w:ascii="Times New Roman" w:cs="Times New Roman" w:eastAsia="Times New Roman" w:hAnsi="Times New Roman"/>
          <w:sz w:val="20"/>
          <w:szCs w:val="20"/>
          <w:color w:val="auto"/>
        </w:rPr>
        <w:t>. Unless such action is approved by the Company’s stockholders, the Company may not (except as provided for under Section 10):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4(c)) covering the same or a different number of shares of Common Stock and having an exercise price per share lower than the then-current exercise price per share of the cancelled option, (3) cancel in exchange for a cash payment any outstanding Option with an exercise price per share above the then-current fair market value of the Common Stock (valued in the manner determined by (or in a manner approved by) the Board), or (4) take any other action under the Plan that constitutes a “repricing” within the meaning of the rules of the NASDAQ Stock Market.</w:t>
      </w:r>
    </w:p>
    <w:p>
      <w:pPr>
        <w:spacing w:after="0" w:line="141" w:lineRule="exact"/>
        <w:rPr>
          <w:rFonts w:ascii="Times New Roman" w:cs="Times New Roman" w:eastAsia="Times New Roman" w:hAnsi="Times New Roman"/>
          <w:sz w:val="20"/>
          <w:szCs w:val="20"/>
          <w:color w:val="auto"/>
        </w:rPr>
      </w:pPr>
    </w:p>
    <w:p>
      <w:pPr>
        <w:ind w:right="220" w:firstLine="646"/>
        <w:spacing w:after="0" w:line="269" w:lineRule="auto"/>
        <w:tabs>
          <w:tab w:leader="none" w:pos="1287"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Reload Options</w:t>
      </w:r>
      <w:r>
        <w:rPr>
          <w:rFonts w:ascii="Times New Roman" w:cs="Times New Roman" w:eastAsia="Times New Roman" w:hAnsi="Times New Roman"/>
          <w:sz w:val="20"/>
          <w:szCs w:val="20"/>
          <w:color w:val="auto"/>
        </w:rPr>
        <w:t>. No Option granted under the Plan shall contain any provision entitling the Participant to the automatic grant of additional Options in connection with any exercise of the original Option.</w:t>
      </w:r>
    </w:p>
    <w:p>
      <w:pPr>
        <w:spacing w:after="0" w:line="118" w:lineRule="exact"/>
        <w:rPr>
          <w:rFonts w:ascii="Times New Roman" w:cs="Times New Roman" w:eastAsia="Times New Roman" w:hAnsi="Times New Roman"/>
          <w:sz w:val="20"/>
          <w:szCs w:val="20"/>
          <w:color w:val="auto"/>
        </w:rPr>
      </w:pPr>
    </w:p>
    <w:p>
      <w:pPr>
        <w:ind w:left="1300" w:hanging="654"/>
        <w:spacing w:after="0"/>
        <w:tabs>
          <w:tab w:leader="none" w:pos="130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Dividend Equivalents</w:t>
      </w:r>
      <w:r>
        <w:rPr>
          <w:rFonts w:ascii="Times New Roman" w:cs="Times New Roman" w:eastAsia="Times New Roman" w:hAnsi="Times New Roman"/>
          <w:sz w:val="20"/>
          <w:szCs w:val="20"/>
          <w:color w:val="auto"/>
        </w:rPr>
        <w:t>. No Option shall provide for the payment or accrual of dividend equivalents.</w:t>
      </w:r>
    </w:p>
    <w:p>
      <w:pPr>
        <w:spacing w:after="0" w:line="202" w:lineRule="exact"/>
        <w:rPr>
          <w:sz w:val="20"/>
          <w:szCs w:val="20"/>
          <w:color w:val="auto"/>
        </w:rPr>
      </w:pPr>
    </w:p>
    <w:p>
      <w:pPr>
        <w:ind w:left="360" w:hanging="352"/>
        <w:spacing w:after="0"/>
        <w:tabs>
          <w:tab w:leader="none" w:pos="3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Appreciation Rights</w:t>
      </w:r>
    </w:p>
    <w:p>
      <w:pPr>
        <w:spacing w:after="0" w:line="171" w:lineRule="exact"/>
        <w:rPr>
          <w:rFonts w:ascii="Times New Roman" w:cs="Times New Roman" w:eastAsia="Times New Roman" w:hAnsi="Times New Roman"/>
          <w:sz w:val="20"/>
          <w:szCs w:val="20"/>
          <w:color w:val="auto"/>
        </w:rPr>
      </w:pPr>
    </w:p>
    <w:p>
      <w:pPr>
        <w:ind w:right="20" w:firstLine="646"/>
        <w:spacing w:after="0" w:line="254" w:lineRule="auto"/>
        <w:tabs>
          <w:tab w:leader="none" w:pos="129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Board may grant Awards consisting of stock appreciation rights (“</w:t>
      </w:r>
      <w:r>
        <w:rPr>
          <w:rFonts w:ascii="Times New Roman" w:cs="Times New Roman" w:eastAsia="Times New Roman" w:hAnsi="Times New Roman"/>
          <w:sz w:val="20"/>
          <w:szCs w:val="20"/>
          <w:b w:val="1"/>
          <w:bCs w:val="1"/>
          <w:i w:val="1"/>
          <w:iCs w:val="1"/>
          <w:color w:val="auto"/>
        </w:rPr>
        <w:t>SARs</w:t>
      </w:r>
      <w:r>
        <w:rPr>
          <w:rFonts w:ascii="Times New Roman" w:cs="Times New Roman" w:eastAsia="Times New Roman" w:hAnsi="Times New Roman"/>
          <w:sz w:val="20"/>
          <w:szCs w:val="20"/>
          <w:color w:val="auto"/>
        </w:rPr>
        <w:t>”) entitling the holder, upon exercise, to receive an amount of Common Stock or cash or a combination thereof (such form to be determined by the Board) determined by reference to appreciation, from and after the date of grant, in the fair market value of a share of Common Stock (valued in the manner determined by (or in a manner approved by) the Board) over the measurement price established pursuant to Section 6(b). The date as of which such appreciation is determined shall be the exercise date.</w:t>
      </w:r>
    </w:p>
    <w:p>
      <w:pPr>
        <w:sectPr>
          <w:pgSz w:w="11900" w:h="16838" w:orient="portrait"/>
          <w:cols w:equalWidth="0" w:num="1">
            <w:col w:w="11240"/>
          </w:cols>
          <w:pgMar w:left="320" w:top="1440" w:right="339" w:bottom="1440" w:gutter="0" w:footer="0" w:header="0"/>
        </w:sectPr>
      </w:pPr>
    </w:p>
    <w:bookmarkStart w:id="10" w:name="page11"/>
    <w:bookmarkEnd w:id="10"/>
    <w:p>
      <w:pPr>
        <w:ind w:left="-8" w:right="60" w:firstLine="646"/>
        <w:spacing w:after="0" w:line="258" w:lineRule="auto"/>
        <w:tabs>
          <w:tab w:leader="none" w:pos="1279"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Measurement Price</w:t>
      </w:r>
      <w:r>
        <w:rPr>
          <w:rFonts w:ascii="Times New Roman" w:cs="Times New Roman" w:eastAsia="Times New Roman" w:hAnsi="Times New Roman"/>
          <w:sz w:val="20"/>
          <w:szCs w:val="20"/>
          <w:color w:val="auto"/>
        </w:rPr>
        <w:t xml:space="preserve">. The Board shall establish the measurement price of each SAR and specify it in the applicable SAR agreement. The measurement price shall not be less than 100% of the Grant Date Fair Market Value of the Common Stock on the date the SAR is granted;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Board approves the grant of an SAR effective as of a future date, the measurement price shall be not less than 100% of the Grant Date Fair Market Value on such future date.</w:t>
      </w:r>
    </w:p>
    <w:p>
      <w:pPr>
        <w:spacing w:after="0" w:line="118" w:lineRule="exact"/>
        <w:rPr>
          <w:rFonts w:ascii="Times New Roman" w:cs="Times New Roman" w:eastAsia="Times New Roman" w:hAnsi="Times New Roman"/>
          <w:sz w:val="20"/>
          <w:szCs w:val="20"/>
          <w:color w:val="auto"/>
        </w:rPr>
      </w:pPr>
    </w:p>
    <w:p>
      <w:pPr>
        <w:ind w:left="-8" w:right="200" w:firstLine="646"/>
        <w:spacing w:after="0" w:line="283" w:lineRule="auto"/>
        <w:tabs>
          <w:tab w:leader="none" w:pos="1282"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Duration of SARs</w:t>
      </w:r>
      <w:r>
        <w:rPr>
          <w:rFonts w:ascii="Times New Roman" w:cs="Times New Roman" w:eastAsia="Times New Roman" w:hAnsi="Times New Roman"/>
          <w:sz w:val="20"/>
          <w:szCs w:val="20"/>
          <w:color w:val="auto"/>
        </w:rPr>
        <w:t xml:space="preserve">. Each SAR shall be exercisable at such times and subject to such terms and conditions as the Board may specify in the applicable SAR agreement;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no SAR will be granted with a term in excess of 10 years.</w:t>
      </w:r>
    </w:p>
    <w:p>
      <w:pPr>
        <w:spacing w:after="0" w:line="105" w:lineRule="exact"/>
        <w:rPr>
          <w:rFonts w:ascii="Times New Roman" w:cs="Times New Roman" w:eastAsia="Times New Roman" w:hAnsi="Times New Roman"/>
          <w:sz w:val="20"/>
          <w:szCs w:val="20"/>
          <w:color w:val="auto"/>
        </w:rPr>
      </w:pPr>
    </w:p>
    <w:p>
      <w:pPr>
        <w:ind w:left="-8" w:right="480" w:firstLine="646"/>
        <w:spacing w:after="0" w:line="269" w:lineRule="auto"/>
        <w:tabs>
          <w:tab w:leader="none" w:pos="1279"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of SARs</w:t>
      </w:r>
      <w:r>
        <w:rPr>
          <w:rFonts w:ascii="Times New Roman" w:cs="Times New Roman" w:eastAsia="Times New Roman" w:hAnsi="Times New Roman"/>
          <w:sz w:val="20"/>
          <w:szCs w:val="20"/>
          <w:color w:val="auto"/>
        </w:rPr>
        <w:t xml:space="preserve">. SARs may be exercised by delivery to the Company of a notice of exercise in a form (which may be electronic) approved by the </w:t>
      </w:r>
      <w:r>
        <w:rPr>
          <w:rFonts w:ascii="Times New Roman" w:cs="Times New Roman" w:eastAsia="Times New Roman" w:hAnsi="Times New Roman"/>
          <w:sz w:val="20"/>
          <w:szCs w:val="20"/>
          <w:i w:val="1"/>
          <w:iCs w:val="1"/>
          <w:color w:val="auto"/>
        </w:rPr>
        <w:t>Company</w:t>
      </w:r>
      <w:r>
        <w:rPr>
          <w:rFonts w:ascii="Times New Roman" w:cs="Times New Roman" w:eastAsia="Times New Roman" w:hAnsi="Times New Roman"/>
          <w:sz w:val="20"/>
          <w:szCs w:val="20"/>
          <w:color w:val="auto"/>
        </w:rPr>
        <w:t>, together with any other documents required by the Board.</w:t>
      </w:r>
    </w:p>
    <w:p>
      <w:pPr>
        <w:spacing w:after="0" w:line="118" w:lineRule="exact"/>
        <w:rPr>
          <w:rFonts w:ascii="Times New Roman" w:cs="Times New Roman" w:eastAsia="Times New Roman" w:hAnsi="Times New Roman"/>
          <w:sz w:val="20"/>
          <w:szCs w:val="20"/>
          <w:color w:val="auto"/>
        </w:rPr>
      </w:pPr>
    </w:p>
    <w:p>
      <w:pPr>
        <w:ind w:left="-8" w:firstLine="646"/>
        <w:spacing w:after="0" w:line="252" w:lineRule="auto"/>
        <w:tabs>
          <w:tab w:leader="none" w:pos="1282"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 on Repricing</w:t>
      </w:r>
      <w:r>
        <w:rPr>
          <w:rFonts w:ascii="Times New Roman" w:cs="Times New Roman" w:eastAsia="Times New Roman" w:hAnsi="Times New Roman"/>
          <w:sz w:val="20"/>
          <w:szCs w:val="20"/>
          <w:color w:val="auto"/>
        </w:rPr>
        <w:t xml:space="preserve">. Unless such action is approved by the Company’s stockholders, the Company may not (except as provided for under Section 10): (1) amend any outstanding SAR granted under the Plan to provide a measurement price per share that is lower than the then-current measurement price per share of such outstanding SAR, (2) cancel any </w:t>
      </w:r>
      <w:r>
        <w:rPr>
          <w:rFonts w:ascii="Times New Roman" w:cs="Times New Roman" w:eastAsia="Times New Roman" w:hAnsi="Times New Roman"/>
          <w:sz w:val="20"/>
          <w:szCs w:val="20"/>
          <w:i w:val="1"/>
          <w:iCs w:val="1"/>
          <w:color w:val="auto"/>
        </w:rPr>
        <w:t>outstanding</w:t>
      </w:r>
      <w:r>
        <w:rPr>
          <w:rFonts w:ascii="Times New Roman" w:cs="Times New Roman" w:eastAsia="Times New Roman" w:hAnsi="Times New Roman"/>
          <w:sz w:val="20"/>
          <w:szCs w:val="20"/>
          <w:color w:val="auto"/>
        </w:rPr>
        <w:t xml:space="preserve"> SAR (whether or not granted under the Plan) and grant in substitution therefor new Awards under the Plan (other than Awards granted pursuant to Section 4(c)) covering the same or a different number of shares of Common Stock and having a measurement price per share lower than the then-current measurement price per share of the cancelled SAR, (3) cancel in exchange for a cash payment any outstanding SAR with a measurement price per share above the then-current fair market value of the Common Stock (valued in the manner determined by (or in a manner approved by) the Board), or (4) take any other action under the Plan that constitutes a “repricing” within the meaning of the rules of the NASDAQ Stock Market.</w:t>
      </w:r>
    </w:p>
    <w:p>
      <w:pPr>
        <w:spacing w:after="0" w:line="121" w:lineRule="exact"/>
        <w:rPr>
          <w:rFonts w:ascii="Times New Roman" w:cs="Times New Roman" w:eastAsia="Times New Roman" w:hAnsi="Times New Roman"/>
          <w:sz w:val="20"/>
          <w:szCs w:val="20"/>
          <w:color w:val="auto"/>
        </w:rPr>
      </w:pPr>
    </w:p>
    <w:p>
      <w:pPr>
        <w:ind w:left="-8" w:right="60" w:firstLine="646"/>
        <w:spacing w:after="0" w:line="283" w:lineRule="auto"/>
        <w:tabs>
          <w:tab w:leader="none" w:pos="1287"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Reload SARs</w:t>
      </w:r>
      <w:r>
        <w:rPr>
          <w:rFonts w:ascii="Times New Roman" w:cs="Times New Roman" w:eastAsia="Times New Roman" w:hAnsi="Times New Roman"/>
          <w:sz w:val="20"/>
          <w:szCs w:val="20"/>
          <w:color w:val="auto"/>
        </w:rPr>
        <w:t xml:space="preserve">. No SAR granted under the Plan shall contain any provision entitling the Participant to the automatic grant of additional SARs in </w:t>
      </w:r>
      <w:r>
        <w:rPr>
          <w:rFonts w:ascii="Times New Roman" w:cs="Times New Roman" w:eastAsia="Times New Roman" w:hAnsi="Times New Roman"/>
          <w:sz w:val="20"/>
          <w:szCs w:val="20"/>
          <w:i w:val="1"/>
          <w:iCs w:val="1"/>
          <w:color w:val="auto"/>
        </w:rPr>
        <w:t>connection</w:t>
      </w:r>
      <w:r>
        <w:rPr>
          <w:rFonts w:ascii="Times New Roman" w:cs="Times New Roman" w:eastAsia="Times New Roman" w:hAnsi="Times New Roman"/>
          <w:sz w:val="20"/>
          <w:szCs w:val="20"/>
          <w:color w:val="auto"/>
        </w:rPr>
        <w:t xml:space="preserve"> with any exercise of the original SAR.</w:t>
      </w:r>
    </w:p>
    <w:p>
      <w:pPr>
        <w:spacing w:after="0" w:line="92" w:lineRule="exact"/>
        <w:rPr>
          <w:rFonts w:ascii="Times New Roman" w:cs="Times New Roman" w:eastAsia="Times New Roman" w:hAnsi="Times New Roman"/>
          <w:sz w:val="20"/>
          <w:szCs w:val="20"/>
          <w:color w:val="auto"/>
        </w:rPr>
      </w:pPr>
    </w:p>
    <w:p>
      <w:pPr>
        <w:ind w:left="1292" w:hanging="654"/>
        <w:spacing w:after="0"/>
        <w:tabs>
          <w:tab w:leader="none" w:pos="1292"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Dividend Equivalents</w:t>
      </w:r>
      <w:r>
        <w:rPr>
          <w:rFonts w:ascii="Times New Roman" w:cs="Times New Roman" w:eastAsia="Times New Roman" w:hAnsi="Times New Roman"/>
          <w:sz w:val="20"/>
          <w:szCs w:val="20"/>
          <w:color w:val="auto"/>
        </w:rPr>
        <w:t>. No SAR shall provide for the payment or accrual of dividend equivalents.</w:t>
      </w:r>
    </w:p>
    <w:p>
      <w:pPr>
        <w:spacing w:after="0" w:line="202"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Stock; RSUs</w:t>
      </w:r>
    </w:p>
    <w:p>
      <w:pPr>
        <w:spacing w:after="0" w:line="171" w:lineRule="exact"/>
        <w:rPr>
          <w:rFonts w:ascii="Times New Roman" w:cs="Times New Roman" w:eastAsia="Times New Roman" w:hAnsi="Times New Roman"/>
          <w:sz w:val="20"/>
          <w:szCs w:val="20"/>
          <w:color w:val="auto"/>
        </w:rPr>
      </w:pPr>
    </w:p>
    <w:p>
      <w:pPr>
        <w:ind w:left="-8" w:right="20" w:firstLine="646"/>
        <w:spacing w:after="0" w:line="254" w:lineRule="auto"/>
        <w:tabs>
          <w:tab w:leader="none" w:pos="1282"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Board may grant Awards entitling recipients to acquire shares of Common Stock (“</w:t>
      </w:r>
      <w:r>
        <w:rPr>
          <w:rFonts w:ascii="Times New Roman" w:cs="Times New Roman" w:eastAsia="Times New Roman" w:hAnsi="Times New Roman"/>
          <w:sz w:val="20"/>
          <w:szCs w:val="20"/>
          <w:b w:val="1"/>
          <w:bCs w:val="1"/>
          <w:i w:val="1"/>
          <w:iCs w:val="1"/>
          <w:color w:val="auto"/>
        </w:rPr>
        <w:t>Restricted Stock</w:t>
      </w:r>
      <w:r>
        <w:rPr>
          <w:rFonts w:ascii="Times New Roman" w:cs="Times New Roman" w:eastAsia="Times New Roman" w:hAnsi="Times New Roman"/>
          <w:sz w:val="20"/>
          <w:szCs w:val="20"/>
          <w:color w:val="auto"/>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shares of Common Stock or cash to be delivered as soon as practicable after the time such Award vests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w:t>
      </w:r>
    </w:p>
    <w:p>
      <w:pPr>
        <w:spacing w:after="0" w:line="136" w:lineRule="exact"/>
        <w:rPr>
          <w:rFonts w:ascii="Times New Roman" w:cs="Times New Roman" w:eastAsia="Times New Roman" w:hAnsi="Times New Roman"/>
          <w:sz w:val="20"/>
          <w:szCs w:val="20"/>
          <w:color w:val="auto"/>
        </w:rPr>
      </w:pPr>
    </w:p>
    <w:p>
      <w:pPr>
        <w:ind w:left="-8" w:right="440" w:firstLine="646"/>
        <w:spacing w:after="0" w:line="269" w:lineRule="auto"/>
        <w:tabs>
          <w:tab w:leader="none" w:pos="1279"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and Conditions for Restricted Stock and RSUs</w:t>
      </w:r>
      <w:r>
        <w:rPr>
          <w:rFonts w:ascii="Times New Roman" w:cs="Times New Roman" w:eastAsia="Times New Roman" w:hAnsi="Times New Roman"/>
          <w:sz w:val="20"/>
          <w:szCs w:val="20"/>
          <w:color w:val="auto"/>
        </w:rPr>
        <w:t>. The Board shall determine the terms and conditions of Restricted Stock and RSUs, including the conditions for vesting and repurchase (or forfeiture) and the issue price, if any.</w:t>
      </w:r>
    </w:p>
    <w:p>
      <w:pPr>
        <w:spacing w:after="0" w:line="118" w:lineRule="exact"/>
        <w:rPr>
          <w:rFonts w:ascii="Times New Roman" w:cs="Times New Roman" w:eastAsia="Times New Roman" w:hAnsi="Times New Roman"/>
          <w:sz w:val="20"/>
          <w:szCs w:val="20"/>
          <w:color w:val="auto"/>
        </w:rPr>
      </w:pPr>
    </w:p>
    <w:p>
      <w:pPr>
        <w:ind w:left="1292" w:hanging="654"/>
        <w:spacing w:after="0"/>
        <w:tabs>
          <w:tab w:leader="none" w:pos="1292"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Provisions Relating to Restricted Stock</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8" w:right="140" w:firstLine="1304"/>
        <w:spacing w:after="0" w:line="296" w:lineRule="auto"/>
        <w:tabs>
          <w:tab w:leader="none" w:pos="1924"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Any dividends (whether paid in cash, stock or property) declared and paid by the Company with respect to shares of Restricted Stock (“</w:t>
      </w:r>
      <w:r>
        <w:rPr>
          <w:rFonts w:ascii="Times New Roman" w:cs="Times New Roman" w:eastAsia="Times New Roman" w:hAnsi="Times New Roman"/>
          <w:sz w:val="20"/>
          <w:szCs w:val="20"/>
          <w:b w:val="1"/>
          <w:bCs w:val="1"/>
          <w:i w:val="1"/>
          <w:iCs w:val="1"/>
          <w:color w:val="auto"/>
        </w:rPr>
        <w:t>Unvested Dividends</w:t>
      </w:r>
      <w:r>
        <w:rPr>
          <w:rFonts w:ascii="Times New Roman" w:cs="Times New Roman" w:eastAsia="Times New Roman" w:hAnsi="Times New Roman"/>
          <w:sz w:val="20"/>
          <w:szCs w:val="20"/>
          <w:color w:val="auto"/>
        </w:rPr>
        <w:t>”) shall be paid to the Participant only if and when such shares become free from the restrictions on transferability and forfeitability that apply to</w:t>
      </w:r>
    </w:p>
    <w:p>
      <w:pPr>
        <w:sectPr>
          <w:pgSz w:w="11900" w:h="16838" w:orient="portrait"/>
          <w:cols w:equalWidth="0" w:num="1">
            <w:col w:w="11212"/>
          </w:cols>
          <w:pgMar w:left="328" w:top="1413" w:right="359" w:bottom="1440" w:gutter="0" w:footer="0" w:header="0"/>
        </w:sectPr>
      </w:pPr>
    </w:p>
    <w:bookmarkStart w:id="11" w:name="page12"/>
    <w:bookmarkEnd w:id="11"/>
    <w:p>
      <w:pPr>
        <w:ind w:right="260"/>
        <w:spacing w:after="0" w:line="311" w:lineRule="auto"/>
        <w:rPr>
          <w:sz w:val="20"/>
          <w:szCs w:val="20"/>
          <w:color w:val="auto"/>
        </w:rPr>
      </w:pPr>
      <w:r>
        <w:rPr>
          <w:rFonts w:ascii="Times New Roman" w:cs="Times New Roman" w:eastAsia="Times New Roman" w:hAnsi="Times New Roman"/>
          <w:sz w:val="20"/>
          <w:szCs w:val="20"/>
          <w:color w:val="auto"/>
        </w:rPr>
        <w:t>such shares or at such other time as the Board shall determine and set forth in the applicable Award agreement. No interest will be paid on Unvested Dividends.</w:t>
      </w:r>
    </w:p>
    <w:p>
      <w:pPr>
        <w:spacing w:after="0" w:line="106" w:lineRule="exact"/>
        <w:rPr>
          <w:sz w:val="20"/>
          <w:szCs w:val="20"/>
          <w:color w:val="auto"/>
        </w:rPr>
      </w:pPr>
    </w:p>
    <w:p>
      <w:pPr>
        <w:ind w:firstLine="1304"/>
        <w:spacing w:after="0" w:line="299" w:lineRule="auto"/>
        <w:tabs>
          <w:tab w:leader="none" w:pos="1932" w:val="left"/>
        </w:tabs>
        <w:numPr>
          <w:ilvl w:val="2"/>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Delivery of Shares</w:t>
      </w:r>
      <w:r>
        <w:rPr>
          <w:rFonts w:ascii="Times New Roman" w:cs="Times New Roman" w:eastAsia="Times New Roman" w:hAnsi="Times New Roman"/>
          <w:sz w:val="19"/>
          <w:szCs w:val="19"/>
          <w:color w:val="auto"/>
        </w:rPr>
        <w:t>. The Company may require that any shares of Restricted Stock, as well as dividends or distributions paid on such Restricted Stock, shall be deposited in escrow by the Participant, together with a stock power endorsed in blank, with the Company (or its designee). At the expiration of the applicable restriction periods, the Company (or such designee) shall deliver the shares no longer subject to such restrictions to the Participant or if the Participant has died, to his or her Designated Beneficiary. “</w:t>
      </w:r>
      <w:r>
        <w:rPr>
          <w:rFonts w:ascii="Times New Roman" w:cs="Times New Roman" w:eastAsia="Times New Roman" w:hAnsi="Times New Roman"/>
          <w:sz w:val="19"/>
          <w:szCs w:val="19"/>
          <w:b w:val="1"/>
          <w:bCs w:val="1"/>
          <w:i w:val="1"/>
          <w:iCs w:val="1"/>
          <w:color w:val="auto"/>
        </w:rPr>
        <w:t>Designated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Beneficiary</w:t>
      </w:r>
      <w:r>
        <w:rPr>
          <w:rFonts w:ascii="Times New Roman" w:cs="Times New Roman" w:eastAsia="Times New Roman" w:hAnsi="Times New Roman"/>
          <w:sz w:val="19"/>
          <w:szCs w:val="19"/>
          <w:color w:val="auto"/>
        </w:rPr>
        <w:t>” means (i) the beneficiary designated, in a manner permitted by the Board, by a Participant to receive amounts due or exercise</w:t>
      </w:r>
    </w:p>
    <w:p>
      <w:pPr>
        <w:spacing w:after="0" w:line="2" w:lineRule="exact"/>
        <w:rPr>
          <w:rFonts w:ascii="Times New Roman" w:cs="Times New Roman" w:eastAsia="Times New Roman" w:hAnsi="Times New Roman"/>
          <w:sz w:val="19"/>
          <w:szCs w:val="19"/>
          <w:color w:val="auto"/>
        </w:rPr>
      </w:pPr>
    </w:p>
    <w:p>
      <w:pPr>
        <w:ind w:right="20"/>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rights of the Participant in the event of the Participant’s death or (ii) in the absence of an effective designation by a Participant (including, for the avoidance of doubt, a designation that is not valid under applicable laws), the Participant’s estate.</w:t>
      </w:r>
    </w:p>
    <w:p>
      <w:pPr>
        <w:spacing w:after="0" w:line="78" w:lineRule="exact"/>
        <w:rPr>
          <w:rFonts w:ascii="Times New Roman" w:cs="Times New Roman" w:eastAsia="Times New Roman" w:hAnsi="Times New Roman"/>
          <w:sz w:val="19"/>
          <w:szCs w:val="19"/>
          <w:color w:val="auto"/>
        </w:rPr>
      </w:pPr>
    </w:p>
    <w:p>
      <w:pPr>
        <w:ind w:left="1300" w:hanging="654"/>
        <w:spacing w:after="0"/>
        <w:tabs>
          <w:tab w:leader="none" w:pos="130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Provisions Relating to RSUs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1304"/>
        <w:spacing w:after="0" w:line="301" w:lineRule="auto"/>
        <w:tabs>
          <w:tab w:leader="none" w:pos="1932" w:val="left"/>
        </w:tabs>
        <w:numPr>
          <w:ilvl w:val="2"/>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Settlement</w:t>
      </w:r>
      <w:r>
        <w:rPr>
          <w:rFonts w:ascii="Times New Roman" w:cs="Times New Roman" w:eastAsia="Times New Roman" w:hAnsi="Times New Roman"/>
          <w:sz w:val="19"/>
          <w:szCs w:val="19"/>
          <w:color w:val="auto"/>
        </w:rPr>
        <w:t>. As soon as practicable after the vesting of and/or lapsing of any other restrictions (i.e., settlement) with respect to each RSU, the Participant shall be entitled to receive from the Company the number of shares of Common Stock specified in the Award agreement or (if so provided in the applicable Award agreement or otherwise determined by the Board) an amount of cash equal to the</w:t>
      </w:r>
    </w:p>
    <w:p>
      <w:pPr>
        <w:spacing w:after="0" w:line="1" w:lineRule="exact"/>
        <w:rPr>
          <w:rFonts w:ascii="Times New Roman" w:cs="Times New Roman" w:eastAsia="Times New Roman" w:hAnsi="Times New Roman"/>
          <w:sz w:val="19"/>
          <w:szCs w:val="19"/>
          <w:color w:val="auto"/>
        </w:rPr>
      </w:pPr>
    </w:p>
    <w:p>
      <w:pPr>
        <w:ind w:right="200"/>
        <w:spacing w:after="0" w:line="318"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fair market value (valued in the manner determined by (or in a manner approved by) the Board) of such number of shares or a combination thereof. The Board may provide that settlement of RSUs shall be deferred, on a mandatory basis or at the election of the Participant, in a manner that complies with Section 409A of the Code or any successor provision thereto, and the regulations thereunder (“</w:t>
      </w:r>
      <w:r>
        <w:rPr>
          <w:rFonts w:ascii="Times New Roman" w:cs="Times New Roman" w:eastAsia="Times New Roman" w:hAnsi="Times New Roman"/>
          <w:sz w:val="19"/>
          <w:szCs w:val="19"/>
          <w:b w:val="1"/>
          <w:bCs w:val="1"/>
          <w:i w:val="1"/>
          <w:iCs w:val="1"/>
          <w:color w:val="auto"/>
        </w:rPr>
        <w:t>Section 409A</w:t>
      </w:r>
      <w:r>
        <w:rPr>
          <w:rFonts w:ascii="Times New Roman" w:cs="Times New Roman" w:eastAsia="Times New Roman" w:hAnsi="Times New Roman"/>
          <w:sz w:val="19"/>
          <w:szCs w:val="19"/>
          <w:color w:val="auto"/>
        </w:rPr>
        <w:t>”).</w:t>
      </w:r>
    </w:p>
    <w:p>
      <w:pPr>
        <w:spacing w:after="0" w:line="103"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2"/>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Voting Rights</w:t>
      </w:r>
      <w:r>
        <w:rPr>
          <w:rFonts w:ascii="Times New Roman" w:cs="Times New Roman" w:eastAsia="Times New Roman" w:hAnsi="Times New Roman"/>
          <w:sz w:val="20"/>
          <w:szCs w:val="20"/>
          <w:color w:val="auto"/>
        </w:rPr>
        <w:t>. A Participant shall have no voting rights with respect to any RSUs.</w:t>
      </w:r>
    </w:p>
    <w:p>
      <w:pPr>
        <w:spacing w:after="0" w:line="202" w:lineRule="exact"/>
        <w:rPr>
          <w:rFonts w:ascii="Times New Roman" w:cs="Times New Roman" w:eastAsia="Times New Roman" w:hAnsi="Times New Roman"/>
          <w:sz w:val="20"/>
          <w:szCs w:val="20"/>
          <w:color w:val="auto"/>
        </w:rPr>
      </w:pPr>
    </w:p>
    <w:p>
      <w:pPr>
        <w:ind w:right="60" w:firstLine="1304"/>
        <w:spacing w:after="0" w:line="289" w:lineRule="auto"/>
        <w:tabs>
          <w:tab w:leader="none" w:pos="1932" w:val="left"/>
        </w:tabs>
        <w:numPr>
          <w:ilvl w:val="2"/>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The Award agreement for RSUs may provide Participants with the right to receive an amount equal to any dividends or other distributions declared and paid on an equal number of outstanding shares of Common Stock (“</w:t>
      </w:r>
      <w:r>
        <w:rPr>
          <w:rFonts w:ascii="Times New Roman" w:cs="Times New Roman" w:eastAsia="Times New Roman" w:hAnsi="Times New Roman"/>
          <w:sz w:val="20"/>
          <w:szCs w:val="20"/>
          <w:b w:val="1"/>
          <w:bCs w:val="1"/>
          <w:i w:val="1"/>
          <w:iCs w:val="1"/>
          <w:color w:val="auto"/>
        </w:rPr>
        <w:t>Dividend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Equivalents</w:t>
      </w:r>
      <w:r>
        <w:rPr>
          <w:rFonts w:ascii="Times New Roman" w:cs="Times New Roman" w:eastAsia="Times New Roman" w:hAnsi="Times New Roman"/>
          <w:sz w:val="20"/>
          <w:szCs w:val="20"/>
          <w:color w:val="auto"/>
        </w:rPr>
        <w:t>”). Dividend Equivalents will be credited to an account for the Participant, and may be settled in cash and/or shares of Common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Stock and may be subject to the same restrictions on transfer and forfeitability as the RSUs with respect to which paid, in each case as set forth in the applicable award agreement. No interest will be paid on Dividend Equivalents.</w:t>
      </w:r>
    </w:p>
    <w:p>
      <w:pPr>
        <w:spacing w:after="0" w:line="127"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Stock-Based Awards</w:t>
      </w:r>
    </w:p>
    <w:p>
      <w:pPr>
        <w:spacing w:after="0" w:line="175" w:lineRule="exact"/>
        <w:rPr>
          <w:rFonts w:ascii="Times New Roman" w:cs="Times New Roman" w:eastAsia="Times New Roman" w:hAnsi="Times New Roman"/>
          <w:sz w:val="20"/>
          <w:szCs w:val="20"/>
          <w:color w:val="auto"/>
        </w:rPr>
      </w:pPr>
    </w:p>
    <w:p>
      <w:pPr>
        <w:ind w:right="160" w:firstLine="646"/>
        <w:spacing w:after="0" w:line="257" w:lineRule="auto"/>
        <w:tabs>
          <w:tab w:leader="none" w:pos="129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Board may grant other Awards of shares of Common Stock, and other Awards that are valued in whole or in part by reference to, or are otherwise based on, shares of Common Stock or other property (“</w:t>
      </w:r>
      <w:r>
        <w:rPr>
          <w:rFonts w:ascii="Times New Roman" w:cs="Times New Roman" w:eastAsia="Times New Roman" w:hAnsi="Times New Roman"/>
          <w:sz w:val="20"/>
          <w:szCs w:val="20"/>
          <w:b w:val="1"/>
          <w:bCs w:val="1"/>
          <w:i w:val="1"/>
          <w:iCs w:val="1"/>
          <w:color w:val="auto"/>
        </w:rPr>
        <w:t>Other Stock-Based Awards</w:t>
      </w:r>
      <w:r>
        <w:rPr>
          <w:rFonts w:ascii="Times New Roman" w:cs="Times New Roman" w:eastAsia="Times New Roman" w:hAnsi="Times New Roman"/>
          <w:sz w:val="20"/>
          <w:szCs w:val="20"/>
          <w:color w:val="auto"/>
        </w:rPr>
        <w:t>”).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w:t>
      </w:r>
    </w:p>
    <w:p>
      <w:pPr>
        <w:spacing w:after="0" w:line="118" w:lineRule="exact"/>
        <w:rPr>
          <w:rFonts w:ascii="Times New Roman" w:cs="Times New Roman" w:eastAsia="Times New Roman" w:hAnsi="Times New Roman"/>
          <w:sz w:val="20"/>
          <w:szCs w:val="20"/>
          <w:color w:val="auto"/>
        </w:rPr>
      </w:pPr>
    </w:p>
    <w:p>
      <w:pPr>
        <w:ind w:right="440" w:firstLine="646"/>
        <w:spacing w:after="0" w:line="283" w:lineRule="auto"/>
        <w:tabs>
          <w:tab w:leader="none" w:pos="1287"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and Conditions</w:t>
      </w:r>
      <w:r>
        <w:rPr>
          <w:rFonts w:ascii="Times New Roman" w:cs="Times New Roman" w:eastAsia="Times New Roman" w:hAnsi="Times New Roman"/>
          <w:sz w:val="20"/>
          <w:szCs w:val="20"/>
          <w:color w:val="auto"/>
        </w:rPr>
        <w:t>. Subject to the provisions of the Plan, the Board shall determine the terms and conditions of each Other Stock-Based Award, including any purchase price applicable thereto.</w:t>
      </w:r>
    </w:p>
    <w:p>
      <w:pPr>
        <w:spacing w:after="0" w:line="92" w:lineRule="exact"/>
        <w:rPr>
          <w:rFonts w:ascii="Times New Roman" w:cs="Times New Roman" w:eastAsia="Times New Roman" w:hAnsi="Times New Roman"/>
          <w:sz w:val="20"/>
          <w:szCs w:val="20"/>
          <w:color w:val="auto"/>
        </w:rPr>
      </w:pPr>
    </w:p>
    <w:p>
      <w:pPr>
        <w:ind w:right="360" w:firstLine="646"/>
        <w:spacing w:after="0" w:line="268" w:lineRule="auto"/>
        <w:tabs>
          <w:tab w:leader="none" w:pos="129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The Award agreement for an Other Stock-Based Award may provide Participants with the right to receive Dividend Equivalents. Dividend Equivalents will be credited to an account for the Participant, and may be settled in cash and/or shares of Common Stock and may be subject to the same</w:t>
      </w:r>
    </w:p>
    <w:p>
      <w:pPr>
        <w:sectPr>
          <w:pgSz w:w="11900" w:h="16838" w:orient="portrait"/>
          <w:cols w:equalWidth="0" w:num="1">
            <w:col w:w="11200"/>
          </w:cols>
          <w:pgMar w:left="320" w:top="1440" w:right="379" w:bottom="1440" w:gutter="0" w:footer="0" w:header="0"/>
        </w:sectPr>
      </w:pPr>
    </w:p>
    <w:bookmarkStart w:id="12" w:name="page13"/>
    <w:bookmarkEnd w:id="12"/>
    <w:p>
      <w:pPr>
        <w:ind w:right="800"/>
        <w:spacing w:after="0" w:line="283" w:lineRule="auto"/>
        <w:rPr>
          <w:sz w:val="20"/>
          <w:szCs w:val="20"/>
          <w:color w:val="auto"/>
        </w:rPr>
      </w:pPr>
      <w:r>
        <w:rPr>
          <w:rFonts w:ascii="Times New Roman" w:cs="Times New Roman" w:eastAsia="Times New Roman" w:hAnsi="Times New Roman"/>
          <w:sz w:val="20"/>
          <w:szCs w:val="20"/>
          <w:color w:val="auto"/>
        </w:rPr>
        <w:t>restrictions on transfer and forfeitability as the Other Stock-Based Award with respect to which paid, in each case as set forth in the applicable award agreement. No interest will be paid on Dividend Equivalents.</w:t>
      </w:r>
    </w:p>
    <w:p>
      <w:pPr>
        <w:spacing w:after="0" w:line="119" w:lineRule="exact"/>
        <w:rPr>
          <w:sz w:val="20"/>
          <w:szCs w:val="20"/>
          <w:color w:val="auto"/>
        </w:rPr>
      </w:pPr>
    </w:p>
    <w:p>
      <w:pPr>
        <w:ind w:left="360" w:hanging="352"/>
        <w:spacing w:after="0"/>
        <w:tabs>
          <w:tab w:leader="none" w:pos="3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 Awards.</w:t>
      </w:r>
    </w:p>
    <w:p>
      <w:pPr>
        <w:spacing w:after="0" w:line="175" w:lineRule="exact"/>
        <w:rPr>
          <w:rFonts w:ascii="Times New Roman" w:cs="Times New Roman" w:eastAsia="Times New Roman" w:hAnsi="Times New Roman"/>
          <w:sz w:val="20"/>
          <w:szCs w:val="20"/>
          <w:color w:val="auto"/>
        </w:rPr>
      </w:pPr>
    </w:p>
    <w:p>
      <w:pPr>
        <w:ind w:right="440" w:firstLine="646"/>
        <w:spacing w:after="0" w:line="283" w:lineRule="auto"/>
        <w:tabs>
          <w:tab w:leader="none" w:pos="129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Grants</w:t>
      </w:r>
      <w:r>
        <w:rPr>
          <w:rFonts w:ascii="Times New Roman" w:cs="Times New Roman" w:eastAsia="Times New Roman" w:hAnsi="Times New Roman"/>
          <w:sz w:val="20"/>
          <w:szCs w:val="20"/>
          <w:color w:val="auto"/>
        </w:rPr>
        <w:t>. Awards under the Plan may be made subject to the achievement of performance goals pursuant to this Section 9 (“</w:t>
      </w:r>
      <w:r>
        <w:rPr>
          <w:rFonts w:ascii="Times New Roman" w:cs="Times New Roman" w:eastAsia="Times New Roman" w:hAnsi="Times New Roman"/>
          <w:sz w:val="20"/>
          <w:szCs w:val="20"/>
          <w:b w:val="1"/>
          <w:bCs w:val="1"/>
          <w:i w:val="1"/>
          <w:iCs w:val="1"/>
          <w:color w:val="auto"/>
        </w:rPr>
        <w:t>Performance Awards</w:t>
      </w:r>
      <w:r>
        <w:rPr>
          <w:rFonts w:ascii="Times New Roman" w:cs="Times New Roman" w:eastAsia="Times New Roman" w:hAnsi="Times New Roman"/>
          <w:sz w:val="20"/>
          <w:szCs w:val="20"/>
          <w:color w:val="auto"/>
        </w:rPr>
        <w:t>”).</w:t>
      </w:r>
    </w:p>
    <w:p>
      <w:pPr>
        <w:spacing w:after="0" w:line="92" w:lineRule="exact"/>
        <w:rPr>
          <w:rFonts w:ascii="Times New Roman" w:cs="Times New Roman" w:eastAsia="Times New Roman" w:hAnsi="Times New Roman"/>
          <w:sz w:val="20"/>
          <w:szCs w:val="20"/>
          <w:color w:val="auto"/>
        </w:rPr>
      </w:pPr>
    </w:p>
    <w:p>
      <w:pPr>
        <w:ind w:firstLine="646"/>
        <w:spacing w:after="0" w:line="264" w:lineRule="auto"/>
        <w:tabs>
          <w:tab w:leader="none" w:pos="1287"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Performance Measures</w:t>
      </w:r>
      <w:r>
        <w:rPr>
          <w:rFonts w:ascii="Times New Roman" w:cs="Times New Roman" w:eastAsia="Times New Roman" w:hAnsi="Times New Roman"/>
          <w:sz w:val="19"/>
          <w:szCs w:val="19"/>
          <w:color w:val="auto"/>
        </w:rPr>
        <w:t>. The Board may specify that the degree of granting, vesting and/or payout of any Performance Award shall be subject to the achievement of one or more performance measures established by the Board which may be based on the relative or absolute attainment of specified levels of one or any combination of the following, which may be determined pursuant to generally accepted accounting principles (“</w:t>
      </w:r>
      <w:r>
        <w:rPr>
          <w:rFonts w:ascii="Times New Roman" w:cs="Times New Roman" w:eastAsia="Times New Roman" w:hAnsi="Times New Roman"/>
          <w:sz w:val="19"/>
          <w:szCs w:val="19"/>
          <w:b w:val="1"/>
          <w:bCs w:val="1"/>
          <w:i w:val="1"/>
          <w:iCs w:val="1"/>
          <w:color w:val="auto"/>
        </w:rPr>
        <w:t>GAAP</w:t>
      </w:r>
      <w:r>
        <w:rPr>
          <w:rFonts w:ascii="Times New Roman" w:cs="Times New Roman" w:eastAsia="Times New Roman" w:hAnsi="Times New Roman"/>
          <w:sz w:val="19"/>
          <w:szCs w:val="19"/>
          <w:color w:val="auto"/>
        </w:rPr>
        <w:t>”) or on a non-GAAP basis, as determined by the Board: (i) net income, (ii) earnings before or after discontinued operations, interest, taxes, depreciation and/or amortization, (iii) operating profit before or after discontinued operations and/or taxes, (iv) sales, (v) sales growth, (vi) earnings growth, (vii) cash flow, free cash flow or cash position, (viii) gross margins or margin percentages, (ix) stock price, (x) market share, (xi) return on sales, assets, equity or investment, (xii) improvement of financial ratings, (xiii) achievement of balance sheet or income statement objectives, (xiv) total shareholder return, (xv) product release schedules,</w:t>
      </w:r>
    </w:p>
    <w:p>
      <w:pPr>
        <w:spacing w:after="0" w:line="2" w:lineRule="exact"/>
        <w:rPr>
          <w:rFonts w:ascii="Times New Roman" w:cs="Times New Roman" w:eastAsia="Times New Roman" w:hAnsi="Times New Roman"/>
          <w:sz w:val="19"/>
          <w:szCs w:val="19"/>
          <w:color w:val="auto"/>
        </w:rPr>
      </w:pPr>
    </w:p>
    <w:p>
      <w:pPr>
        <w:ind w:right="40"/>
        <w:spacing w:after="0" w:line="26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(xvi) product shipment targets, (xvii) customer satisfaction, (xviii) product design-in and/or design-win revenue opportunities, (xix) new product innovation or (xx) any other measure selected by the Board. Such goals may reflect absolute entity or business unit performance or a relative comparison to the performance of a peer group of entities or other external measure of the selected performance criteria and may be absolute in their terms or measured against or in relationship to other companies comparably, similarly or otherwise situated. The Board may specify that such performance measures shall be adjusted to exclude any one or more of (A) extraordinary items, (B) gains or losses on the dispositions of discontinued operations, (C) the cumulative effects of changes in accounting principles, (D) the writedown of any asset,</w:t>
      </w:r>
    </w:p>
    <w:p>
      <w:pPr>
        <w:spacing w:after="0" w:line="4" w:lineRule="exact"/>
        <w:rPr>
          <w:rFonts w:ascii="Times New Roman" w:cs="Times New Roman" w:eastAsia="Times New Roman" w:hAnsi="Times New Roman"/>
          <w:sz w:val="19"/>
          <w:szCs w:val="19"/>
          <w:color w:val="auto"/>
        </w:rPr>
      </w:pPr>
    </w:p>
    <w:p>
      <w:pPr>
        <w:ind w:right="60"/>
        <w:spacing w:after="0" w:line="250"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(E) fluctuation in foreign currency exchange rates, (F) charges for restructuring and rationalization programs, (G) non-cash, mark-to-market adjustments on derivative instruments, (H) amortization of purchased intangibles, (I) the net impact of tax rate changes, (J) non-cash asset impairment charges, (K) gains on extinguishment of the tax receivable agreement and (L) any other factors as the Board may determine. Such performance measures: (x) may vary by Participant and may be different for different Awards; (y) may be particular to a Participant or the department, branch, line of business, subsidiary or other unit in which the Participant works and (z) may cover such period as may be specified by the Board. The Board shall have the authority to make equitable adjustments to the performance goals in recognition of unusual or non-recurring events affecting the Company or the financial statements of the Company,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w:t>
      </w:r>
    </w:p>
    <w:p>
      <w:pPr>
        <w:spacing w:after="0" w:line="123" w:lineRule="exact"/>
        <w:rPr>
          <w:rFonts w:ascii="Times New Roman" w:cs="Times New Roman" w:eastAsia="Times New Roman" w:hAnsi="Times New Roman"/>
          <w:sz w:val="19"/>
          <w:szCs w:val="19"/>
          <w:color w:val="auto"/>
        </w:rPr>
      </w:pPr>
    </w:p>
    <w:p>
      <w:pPr>
        <w:ind w:right="20" w:firstLine="646"/>
        <w:spacing w:after="0" w:line="261" w:lineRule="auto"/>
        <w:tabs>
          <w:tab w:leader="none" w:pos="129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The Board may adjust the cash or number of shares payable pursuant to such Performance Award, and the Board may, at any time, waive the achievement of the applicable performance measures, including in the case of the death or disability of the Participant or a change in control of the Company.</w:t>
      </w:r>
    </w:p>
    <w:p>
      <w:pPr>
        <w:spacing w:after="0" w:line="154"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 for Changes in Common Stock and Certain Other Events</w:t>
      </w:r>
    </w:p>
    <w:p>
      <w:pPr>
        <w:spacing w:after="0" w:line="175" w:lineRule="exact"/>
        <w:rPr>
          <w:rFonts w:ascii="Times New Roman" w:cs="Times New Roman" w:eastAsia="Times New Roman" w:hAnsi="Times New Roman"/>
          <w:sz w:val="20"/>
          <w:szCs w:val="20"/>
          <w:color w:val="auto"/>
        </w:rPr>
      </w:pPr>
    </w:p>
    <w:p>
      <w:pPr>
        <w:ind w:right="20" w:firstLine="646"/>
        <w:spacing w:after="0" w:line="253" w:lineRule="auto"/>
        <w:tabs>
          <w:tab w:leader="none" w:pos="129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Capitalization</w:t>
      </w:r>
      <w:r>
        <w:rPr>
          <w:rFonts w:ascii="Times New Roman" w:cs="Times New Roman" w:eastAsia="Times New Roman" w:hAnsi="Times New Roman"/>
          <w:sz w:val="20"/>
          <w:szCs w:val="20"/>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(ii) the share counting rules and sublimits set forth in Sections 4(a) and 4(b), (iii) the number and class of securities and exercise price per share of each outstanding Option, (iv) the share and per-share provisions and the measurement price of each outstanding SAR, (v) the</w:t>
      </w:r>
    </w:p>
    <w:p>
      <w:pPr>
        <w:sectPr>
          <w:pgSz w:w="11900" w:h="16838" w:orient="portrait"/>
          <w:cols w:equalWidth="0" w:num="1">
            <w:col w:w="11200"/>
          </w:cols>
          <w:pgMar w:left="320" w:top="1413" w:right="379" w:bottom="1440" w:gutter="0" w:footer="0" w:header="0"/>
        </w:sectPr>
      </w:pPr>
    </w:p>
    <w:bookmarkStart w:id="13" w:name="page14"/>
    <w:bookmarkEnd w:id="13"/>
    <w:p>
      <w:pPr>
        <w:ind w:right="120"/>
        <w:spacing w:after="0" w:line="252" w:lineRule="auto"/>
        <w:rPr>
          <w:sz w:val="20"/>
          <w:szCs w:val="20"/>
          <w:color w:val="auto"/>
        </w:rPr>
      </w:pPr>
      <w:r>
        <w:rPr>
          <w:rFonts w:ascii="Times New Roman" w:cs="Times New Roman" w:eastAsia="Times New Roman" w:hAnsi="Times New Roman"/>
          <w:sz w:val="20"/>
          <w:szCs w:val="20"/>
          <w:color w:val="auto"/>
        </w:rPr>
        <w:t>number of shares subject to and the repurchase price per share subject to each outstanding award of Restricted Stock and (vi) the share and per-share-related provisions and the purchase price, if any, of each outstanding RSU and each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22" w:lineRule="exact"/>
        <w:rPr>
          <w:sz w:val="20"/>
          <w:szCs w:val="20"/>
          <w:color w:val="auto"/>
        </w:rPr>
      </w:pPr>
    </w:p>
    <w:p>
      <w:pPr>
        <w:ind w:left="1300" w:hanging="654"/>
        <w:spacing w:after="0"/>
        <w:tabs>
          <w:tab w:leader="none" w:pos="13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Reorganization and Change in Control Events</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198" w:lineRule="exact"/>
        <w:rPr>
          <w:rFonts w:ascii="Times New Roman" w:cs="Times New Roman" w:eastAsia="Times New Roman" w:hAnsi="Times New Roman"/>
          <w:sz w:val="20"/>
          <w:szCs w:val="20"/>
          <w:color w:val="auto"/>
        </w:rPr>
      </w:pPr>
    </w:p>
    <w:p>
      <w:pPr>
        <w:jc w:val="both"/>
        <w:ind w:firstLine="1952"/>
        <w:spacing w:after="0" w:line="293" w:lineRule="auto"/>
        <w:tabs>
          <w:tab w:leader="none" w:pos="2583" w:val="left"/>
        </w:tabs>
        <w:numPr>
          <w:ilvl w:val="4"/>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i w:val="1"/>
          <w:iCs w:val="1"/>
          <w:color w:val="auto"/>
        </w:rPr>
        <w:t>Reorganization Event</w:t>
      </w:r>
      <w:r>
        <w:rPr>
          <w:rFonts w:ascii="Times New Roman" w:cs="Times New Roman" w:eastAsia="Times New Roman" w:hAnsi="Times New Roman"/>
          <w:sz w:val="20"/>
          <w:szCs w:val="20"/>
          <w:color w:val="auto"/>
        </w:rPr>
        <w:t>” shall mean: (a) any merger or consolidation of the Company with or into another entity as a result of which all of the Common Stock of the Company is converted into or exchanged for the right to receive cash, securities or other property or is canceled, (b) any transfer or disposition of all of the Common Stock of the Company for cash, securities or other property pursuant to a share exchange or other transaction or (c) any liquidation or dissolution of the Company.</w:t>
      </w:r>
    </w:p>
    <w:p>
      <w:pPr>
        <w:spacing w:after="0" w:line="118"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4"/>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i w:val="1"/>
          <w:iCs w:val="1"/>
          <w:color w:val="auto"/>
        </w:rPr>
        <w:t>Change in Control Event</w:t>
      </w:r>
      <w:r>
        <w:rPr>
          <w:rFonts w:ascii="Times New Roman" w:cs="Times New Roman" w:eastAsia="Times New Roman" w:hAnsi="Times New Roman"/>
          <w:sz w:val="20"/>
          <w:szCs w:val="20"/>
          <w:color w:val="auto"/>
        </w:rPr>
        <w:t>” shall mean:</w:t>
      </w:r>
    </w:p>
    <w:p>
      <w:pPr>
        <w:spacing w:after="0" w:line="179" w:lineRule="exact"/>
        <w:rPr>
          <w:rFonts w:ascii="Times New Roman" w:cs="Times New Roman" w:eastAsia="Times New Roman" w:hAnsi="Times New Roman"/>
          <w:sz w:val="20"/>
          <w:szCs w:val="20"/>
          <w:color w:val="auto"/>
        </w:rPr>
      </w:pPr>
    </w:p>
    <w:p>
      <w:pPr>
        <w:jc w:val="both"/>
        <w:ind w:left="1920" w:right="40" w:hanging="636"/>
        <w:spacing w:after="0" w:line="270" w:lineRule="auto"/>
        <w:tabs>
          <w:tab w:leader="none" w:pos="1915"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acquisition by an individual, entity or group (within the meaning of Section 13(d)(3) or 14(d)(2) of the Exchange Act) (a “</w:t>
      </w:r>
      <w:r>
        <w:rPr>
          <w:rFonts w:ascii="Times New Roman" w:cs="Times New Roman" w:eastAsia="Times New Roman" w:hAnsi="Times New Roman"/>
          <w:sz w:val="19"/>
          <w:szCs w:val="19"/>
          <w:b w:val="1"/>
          <w:bCs w:val="1"/>
          <w:i w:val="1"/>
          <w:iCs w:val="1"/>
          <w:color w:val="auto"/>
        </w:rPr>
        <w:t>Person</w:t>
      </w:r>
      <w:r>
        <w:rPr>
          <w:rFonts w:ascii="Times New Roman" w:cs="Times New Roman" w:eastAsia="Times New Roman" w:hAnsi="Times New Roman"/>
          <w:sz w:val="19"/>
          <w:szCs w:val="19"/>
          <w:color w:val="auto"/>
        </w:rPr>
        <w:t>”) of beneficial ownership of any capital stock of the Company if, after such acquisition, such Person beneficially owns (within the meaning of Rule 13d-3 promulgated under the Exchange Act) 50% or more of either</w:t>
      </w:r>
    </w:p>
    <w:p>
      <w:pPr>
        <w:ind w:left="2200" w:hanging="279"/>
        <w:spacing w:after="0"/>
        <w:tabs>
          <w:tab w:leader="none" w:pos="2200" w:val="left"/>
        </w:tabs>
        <w:numPr>
          <w:ilvl w:val="3"/>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then-outstanding shares of Common Stock of the Company (the “</w:t>
      </w:r>
      <w:r>
        <w:rPr>
          <w:rFonts w:ascii="Times New Roman" w:cs="Times New Roman" w:eastAsia="Times New Roman" w:hAnsi="Times New Roman"/>
          <w:sz w:val="19"/>
          <w:szCs w:val="19"/>
          <w:b w:val="1"/>
          <w:bCs w:val="1"/>
          <w:i w:val="1"/>
          <w:iCs w:val="1"/>
          <w:color w:val="auto"/>
        </w:rPr>
        <w:t>Outstanding Company Common Stock</w:t>
      </w:r>
      <w:r>
        <w:rPr>
          <w:rFonts w:ascii="Times New Roman" w:cs="Times New Roman" w:eastAsia="Times New Roman" w:hAnsi="Times New Roman"/>
          <w:sz w:val="19"/>
          <w:szCs w:val="19"/>
          <w:color w:val="auto"/>
        </w:rPr>
        <w:t>”) or</w:t>
      </w:r>
    </w:p>
    <w:p>
      <w:pPr>
        <w:spacing w:after="0" w:line="17" w:lineRule="exact"/>
        <w:rPr>
          <w:rFonts w:ascii="Times New Roman" w:cs="Times New Roman" w:eastAsia="Times New Roman" w:hAnsi="Times New Roman"/>
          <w:sz w:val="19"/>
          <w:szCs w:val="19"/>
          <w:color w:val="auto"/>
        </w:rPr>
      </w:pPr>
    </w:p>
    <w:p>
      <w:pPr>
        <w:ind w:left="1920" w:right="80" w:firstLine="1"/>
        <w:spacing w:after="0" w:line="248" w:lineRule="auto"/>
        <w:tabs>
          <w:tab w:leader="none" w:pos="2200" w:val="left"/>
        </w:tabs>
        <w:numPr>
          <w:ilvl w:val="3"/>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combined voting power of the then-outstanding securities of the Company entitled to vote generally in the election of directors (the “</w:t>
      </w:r>
      <w:r>
        <w:rPr>
          <w:rFonts w:ascii="Times New Roman" w:cs="Times New Roman" w:eastAsia="Times New Roman" w:hAnsi="Times New Roman"/>
          <w:sz w:val="20"/>
          <w:szCs w:val="20"/>
          <w:b w:val="1"/>
          <w:bCs w:val="1"/>
          <w:i w:val="1"/>
          <w:iCs w:val="1"/>
          <w:color w:val="auto"/>
        </w:rPr>
        <w:t>Outstanding Company Voting Securities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for purposes of this subsection (i), the following acquisitions shall not constitute a Change in Control Event: (A) 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 (B) any acquisition by any employee benefit plan (or related trust) sponsored or maintained by the Company or any corporation controlled by the Company, or (C) any acquisition by any corporation pursuant to a Business Combination (as defined below) which complies with clauses (x) and (y) of subsection (ii) of this definition; or</w:t>
      </w:r>
    </w:p>
    <w:p>
      <w:pPr>
        <w:spacing w:after="0" w:line="146" w:lineRule="exact"/>
        <w:rPr>
          <w:sz w:val="20"/>
          <w:szCs w:val="20"/>
          <w:color w:val="auto"/>
        </w:rPr>
      </w:pPr>
    </w:p>
    <w:p>
      <w:pPr>
        <w:ind w:left="1920" w:right="60" w:hanging="636"/>
        <w:spacing w:after="0" w:line="253" w:lineRule="auto"/>
        <w:tabs>
          <w:tab w:leader="none" w:pos="191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a merger, consolidation, reorganization, recapitalization or share exchange involving the Company or a sale or other disposition of all or substantially all of the assets of the Company (a “</w:t>
      </w:r>
      <w:r>
        <w:rPr>
          <w:rFonts w:ascii="Times New Roman" w:cs="Times New Roman" w:eastAsia="Times New Roman" w:hAnsi="Times New Roman"/>
          <w:sz w:val="20"/>
          <w:szCs w:val="20"/>
          <w:b w:val="1"/>
          <w:bCs w:val="1"/>
          <w:i w:val="1"/>
          <w:iCs w:val="1"/>
          <w:color w:val="auto"/>
        </w:rPr>
        <w:t>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Combination</w:t>
      </w:r>
      <w:r>
        <w:rPr>
          <w:rFonts w:ascii="Times New Roman" w:cs="Times New Roman" w:eastAsia="Times New Roman" w:hAnsi="Times New Roman"/>
          <w:sz w:val="20"/>
          <w:szCs w:val="20"/>
          <w:color w:val="auto"/>
        </w:rPr>
        <w:t>”), unless, immediately following such Business Combination, each of the following two conditions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satisfied: (x) all or substantially all of the individuals and entities who were the beneficial owners of the Outstanding Company Common Stock and Outstanding Company Voting Securities immediately prior to such Business Combination beneficially own, directly or indirectly,</w:t>
      </w:r>
    </w:p>
    <w:p>
      <w:pPr>
        <w:sectPr>
          <w:pgSz w:w="11900" w:h="16838" w:orient="portrait"/>
          <w:cols w:equalWidth="0" w:num="1">
            <w:col w:w="11220"/>
          </w:cols>
          <w:pgMar w:left="320" w:top="1413" w:right="359" w:bottom="1440" w:gutter="0" w:footer="0" w:header="0"/>
        </w:sectPr>
      </w:pPr>
    </w:p>
    <w:bookmarkStart w:id="14" w:name="page15"/>
    <w:bookmarkEnd w:id="14"/>
    <w:p>
      <w:pPr>
        <w:ind w:left="1920" w:right="40"/>
        <w:spacing w:after="0" w:line="251" w:lineRule="auto"/>
        <w:rPr>
          <w:sz w:val="20"/>
          <w:szCs w:val="20"/>
          <w:color w:val="auto"/>
        </w:rPr>
      </w:pPr>
      <w:r>
        <w:rPr>
          <w:rFonts w:ascii="Times New Roman" w:cs="Times New Roman" w:eastAsia="Times New Roman" w:hAnsi="Times New Roman"/>
          <w:sz w:val="20"/>
          <w:szCs w:val="20"/>
          <w:color w:val="auto"/>
        </w:rPr>
        <w:t>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or acquiring corporation is referred to herein as the “</w:t>
      </w:r>
      <w:r>
        <w:rPr>
          <w:rFonts w:ascii="Times New Roman" w:cs="Times New Roman" w:eastAsia="Times New Roman" w:hAnsi="Times New Roman"/>
          <w:sz w:val="20"/>
          <w:szCs w:val="20"/>
          <w:b w:val="1"/>
          <w:bCs w:val="1"/>
          <w:i w:val="1"/>
          <w:iCs w:val="1"/>
          <w:color w:val="auto"/>
        </w:rPr>
        <w:t>Acquiring Corporation</w:t>
      </w:r>
      <w:r>
        <w:rPr>
          <w:rFonts w:ascii="Times New Roman" w:cs="Times New Roman" w:eastAsia="Times New Roman" w:hAnsi="Times New Roman"/>
          <w:sz w:val="20"/>
          <w:szCs w:val="20"/>
          <w:color w:val="auto"/>
        </w:rPr>
        <w:t>”)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30%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w:t>
      </w:r>
    </w:p>
    <w:p>
      <w:pPr>
        <w:spacing w:after="0" w:line="124" w:lineRule="exact"/>
        <w:rPr>
          <w:sz w:val="20"/>
          <w:szCs w:val="20"/>
          <w:color w:val="auto"/>
        </w:rPr>
      </w:pPr>
    </w:p>
    <w:p>
      <w:pPr>
        <w:ind w:left="1920" w:hanging="636"/>
        <w:spacing w:after="0"/>
        <w:tabs>
          <w:tab w:leader="none" w:pos="19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liquidation or dissolution of the Company.</w:t>
      </w:r>
    </w:p>
    <w:p>
      <w:pPr>
        <w:spacing w:after="0" w:line="198" w:lineRule="exact"/>
        <w:rPr>
          <w:rFonts w:ascii="Times New Roman" w:cs="Times New Roman" w:eastAsia="Times New Roman" w:hAnsi="Times New Roman"/>
          <w:sz w:val="20"/>
          <w:szCs w:val="20"/>
          <w:color w:val="auto"/>
        </w:rPr>
      </w:pPr>
    </w:p>
    <w:p>
      <w:pPr>
        <w:ind w:right="40" w:firstLine="1952"/>
        <w:spacing w:after="0" w:line="285" w:lineRule="auto"/>
        <w:tabs>
          <w:tab w:leader="none" w:pos="258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shall mean any significant diminution in the Participant’s title, authority, or responsibilities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from and after such Reorganization Event or Change in Control Event, as the case may be, or any material reduction in the annual cash compensation payable to the Participant from and after such Reorganization Event or Change in Control Event, as the case may be, or the relocation of the place of business at which the Participant is principally located to a location that is greater than 50 miles from its location immediately prior to such Reorganization Event or Change in Control Event. Notwithstanding the occurrence of any such event or circumstance, such occurrence shall not be deemed to constitute Good Reason unless (x) the Participant gives the Company notice of termination no more than 90 days after the initial existence of such event or circumstance, (y) such event or circumstance has not been fully corrected by the Company within 30 days of the Company’s receipt of such notice and (z) the Participant’s termination occurs within 60 days following the Company’s receipt of such notice.</w:t>
      </w:r>
    </w:p>
    <w:p>
      <w:pPr>
        <w:spacing w:after="0" w:line="134"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shall mean:</w:t>
      </w:r>
    </w:p>
    <w:p>
      <w:pPr>
        <w:spacing w:after="0" w:line="193" w:lineRule="exact"/>
        <w:rPr>
          <w:sz w:val="20"/>
          <w:szCs w:val="20"/>
          <w:color w:val="auto"/>
        </w:rPr>
      </w:pPr>
    </w:p>
    <w:p>
      <w:pPr>
        <w:ind w:left="1920" w:right="360" w:hanging="636"/>
        <w:spacing w:after="0" w:line="269" w:lineRule="auto"/>
        <w:tabs>
          <w:tab w:leader="none" w:pos="191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willful failure by the Participant, which failure is not cured within 30 days of written notice to the Participant from the Company, to perform his or her material responsibilities to the Company; or</w:t>
      </w:r>
    </w:p>
    <w:p>
      <w:pPr>
        <w:spacing w:after="0" w:line="118"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willful misconduct by the Participant which affects the business reputation of the Company.</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on Awards Other than Restricted Stock</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ind w:right="120" w:firstLine="1952"/>
        <w:spacing w:after="0" w:line="304" w:lineRule="auto"/>
        <w:tabs>
          <w:tab w:leader="none" w:pos="2583" w:val="left"/>
        </w:tabs>
        <w:numPr>
          <w:ilvl w:val="2"/>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 Reorganization Event (regardless of whether such event also constitutes a Change in Control Event), the Board shall provide that all outstanding Awards other than Restricted Stock shall be assumed, or equivalent awards shall</w:t>
      </w:r>
    </w:p>
    <w:p>
      <w:pPr>
        <w:spacing w:after="0" w:line="29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be substituted, by the acquiring or succeeding corporation (or an affiliate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to the contrary in the Plan, if such Reorganization Event also constitutes a Change in Control Event, except to the extent specifically provided to the contrary in the instrument evidencing any Award other than Restricted Stock or any other agreement between a Participant and the Company (A) one-half of the number of shares subject to the Award other than Restricted Stock which were</w:t>
      </w:r>
    </w:p>
    <w:p>
      <w:pPr>
        <w:sectPr>
          <w:pgSz w:w="11900" w:h="16838" w:orient="portrait"/>
          <w:cols w:equalWidth="0" w:num="1">
            <w:col w:w="11240"/>
          </w:cols>
          <w:pgMar w:left="320" w:top="1413" w:right="339" w:bottom="1440" w:gutter="0" w:footer="0" w:header="0"/>
        </w:sectPr>
      </w:pPr>
    </w:p>
    <w:bookmarkStart w:id="15" w:name="page16"/>
    <w:bookmarkEnd w:id="15"/>
    <w:p>
      <w:pPr>
        <w:spacing w:after="0" w:line="300" w:lineRule="auto"/>
        <w:rPr>
          <w:sz w:val="20"/>
          <w:szCs w:val="20"/>
          <w:color w:val="auto"/>
        </w:rPr>
      </w:pPr>
      <w:r>
        <w:rPr>
          <w:rFonts w:ascii="Times New Roman" w:cs="Times New Roman" w:eastAsia="Times New Roman" w:hAnsi="Times New Roman"/>
          <w:sz w:val="19"/>
          <w:szCs w:val="19"/>
          <w:color w:val="auto"/>
        </w:rPr>
        <w:t xml:space="preserve">not already vested shall become vested and/or exercisable upon the occurrence of such Reorganization Event and, subject to (B) below, the remaining one-half of such number of shares shall continue to become vested in accordance with the original vesting schedule set forth in such award, with one-half of the number of shares that would otherwise have become vested on each subsequent vesting date in accordance with the original schedule becoming vested on each subsequent vesting date and (B) such assumed or substituted award other than Restricted Stock shall become immediately vested and/or exercisable in full if, on or prior to the first anniversary of the date of the consummation of the Reorganization Event, the Participant’s employment with the Company or the acquiring or succeeding corporation is terminated for Good Reason by the Participant or is terminated without Cause by the Company or the acquiring or succeeding corporation. For purposes hereof, an Award other than Restricted Stock shall be considered to be assumed if, following consummation of the Reorganization Event, the award confers the right to purchase or receive,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and/or vesting of the Awards other than Restricted Stock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pacing w:after="0" w:line="123" w:lineRule="exact"/>
        <w:rPr>
          <w:sz w:val="20"/>
          <w:szCs w:val="20"/>
          <w:color w:val="auto"/>
        </w:rPr>
      </w:pPr>
    </w:p>
    <w:p>
      <w:pPr>
        <w:ind w:right="20" w:firstLine="635"/>
        <w:spacing w:after="0" w:line="285" w:lineRule="auto"/>
        <w:rPr>
          <w:sz w:val="20"/>
          <w:szCs w:val="20"/>
          <w:color w:val="auto"/>
        </w:rPr>
      </w:pPr>
      <w:r>
        <w:rPr>
          <w:rFonts w:ascii="Times New Roman" w:cs="Times New Roman" w:eastAsia="Times New Roman" w:hAnsi="Times New Roman"/>
          <w:sz w:val="20"/>
          <w:szCs w:val="20"/>
          <w:color w:val="auto"/>
        </w:rPr>
        <w:t xml:space="preserve">Notwithstanding the foregoing and anything to the contrary in the Plan, if the acquiring or succeeding corporation (or an affiliate thereof) does not agree to assume, or substitute for, such Awards other than Restricted Stock, or in the event of a liquidation or dissolution of the Company, the Board shall, upon written notice to the Participants, provide that all then unexercised or unvested Awards other than Restricted Stock will become vested and/or exercisable in full as of a specified time prior to the Reorganization Event and will terminate immediately prior to the consummation of such Reorganization Event, except to the extent, as applicable, exercised by the Participants before the consummation of such Reorganization Event;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in the event of a Reorganization Event under the terms of which holders of Common Stock will receive upon consummation thereof a cash payment for each share of Common Stock surrendered pursuant to such Reorganization Event (the “</w:t>
      </w:r>
      <w:r>
        <w:rPr>
          <w:rFonts w:ascii="Times New Roman" w:cs="Times New Roman" w:eastAsia="Times New Roman" w:hAnsi="Times New Roman"/>
          <w:sz w:val="20"/>
          <w:szCs w:val="20"/>
          <w:b w:val="1"/>
          <w:bCs w:val="1"/>
          <w:i w:val="1"/>
          <w:iCs w:val="1"/>
          <w:color w:val="auto"/>
        </w:rPr>
        <w:t>Acquisition Price</w:t>
      </w:r>
      <w:r>
        <w:rPr>
          <w:rFonts w:ascii="Times New Roman" w:cs="Times New Roman" w:eastAsia="Times New Roman" w:hAnsi="Times New Roman"/>
          <w:sz w:val="20"/>
          <w:szCs w:val="20"/>
          <w:color w:val="auto"/>
        </w:rPr>
        <w:t>”), then the Board may instead provide that all outstanding Awards other than Restricted Stock shall terminate upon consummation of such Reorganization Event and that each Participant shall receive, in exchange therefor, a cash payment equal to the amount (if any) by which (A) the Acquisition Price multiplied by the number of shares of Common Stock subject to such outstanding Award other than Restricted Stock (whether or not then vested), exceeds (B) the aggregate exercise price of such Award other than Restricted Stock, if any.</w:t>
      </w:r>
    </w:p>
    <w:p>
      <w:pPr>
        <w:spacing w:after="0" w:line="138" w:lineRule="exact"/>
        <w:rPr>
          <w:sz w:val="20"/>
          <w:szCs w:val="20"/>
          <w:color w:val="auto"/>
        </w:rPr>
      </w:pPr>
    </w:p>
    <w:p>
      <w:pPr>
        <w:ind w:right="100" w:firstLine="635"/>
        <w:spacing w:after="0" w:line="281" w:lineRule="auto"/>
        <w:rPr>
          <w:sz w:val="20"/>
          <w:szCs w:val="20"/>
          <w:color w:val="auto"/>
        </w:rPr>
      </w:pPr>
      <w:r>
        <w:rPr>
          <w:rFonts w:ascii="Times New Roman" w:cs="Times New Roman" w:eastAsia="Times New Roman" w:hAnsi="Times New Roman"/>
          <w:sz w:val="20"/>
          <w:szCs w:val="20"/>
          <w:color w:val="auto"/>
        </w:rPr>
        <w:t>Notwithstanding the terms of Section 10(b)(2), in the case of outstanding RSUs that are subject to Section 409A: (i) if the applicable RSU agreement provides that the RSUs shall be settled upon a “change in control event” within the meaning of Treasury</w:t>
      </w:r>
    </w:p>
    <w:p>
      <w:pPr>
        <w:spacing w:after="0" w:line="1" w:lineRule="exact"/>
        <w:rPr>
          <w:sz w:val="20"/>
          <w:szCs w:val="20"/>
          <w:color w:val="auto"/>
        </w:rPr>
      </w:pPr>
    </w:p>
    <w:p>
      <w:pPr>
        <w:ind w:right="500"/>
        <w:spacing w:after="0" w:line="303" w:lineRule="auto"/>
        <w:rPr>
          <w:sz w:val="20"/>
          <w:szCs w:val="20"/>
          <w:color w:val="auto"/>
        </w:rPr>
      </w:pPr>
      <w:r>
        <w:rPr>
          <w:rFonts w:ascii="Times New Roman" w:cs="Times New Roman" w:eastAsia="Times New Roman" w:hAnsi="Times New Roman"/>
          <w:sz w:val="20"/>
          <w:szCs w:val="20"/>
          <w:color w:val="auto"/>
        </w:rPr>
        <w:t>Regulation Section 1.409A-3(i)(5)(i), and the Reorganization Event constitutes such a “change in control event”, then no assumption or substitution shall be permitted pursuant to Section 10(b)(2) and the RSUs shall instead be settled in accordance with the terms of the applicable RSU agreement; and (ii) the Board otherwise may only undertake the actions set forth in Section 10(b)(2) if the</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89" w:lineRule="auto"/>
        <w:rPr>
          <w:sz w:val="20"/>
          <w:szCs w:val="20"/>
          <w:color w:val="auto"/>
        </w:rPr>
      </w:pPr>
      <w:r>
        <w:rPr>
          <w:rFonts w:ascii="Times New Roman" w:cs="Times New Roman" w:eastAsia="Times New Roman" w:hAnsi="Times New Roman"/>
          <w:sz w:val="20"/>
          <w:szCs w:val="20"/>
          <w:color w:val="auto"/>
        </w:rPr>
        <w:t>Reorganization Event constitutes a “change in control event” as defined under Treasury Regulation Section 1.409A-3(i)(5)(i) or if such action is permitted or required by Section 409A; if the Reorganization Event is not a “change in control event” as so defined or such action is not permitted or required by Section 409A, and the acquiring or succeeding corporation does not assume or substitute the RSUs, then the unvested RSUs shall terminate immediately prior to the consummation of the Reorganization Event without any payment in exchange therefor.</w:t>
      </w:r>
    </w:p>
    <w:p>
      <w:pPr>
        <w:spacing w:after="0" w:line="127" w:lineRule="exact"/>
        <w:rPr>
          <w:sz w:val="20"/>
          <w:szCs w:val="20"/>
          <w:color w:val="auto"/>
        </w:rPr>
      </w:pPr>
    </w:p>
    <w:p>
      <w:pPr>
        <w:ind w:right="340" w:firstLine="1952"/>
        <w:spacing w:after="0" w:line="304" w:lineRule="auto"/>
        <w:tabs>
          <w:tab w:leader="none" w:pos="2586"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in Control Event that is not a Reorganization Event</w:t>
      </w:r>
      <w:r>
        <w:rPr>
          <w:rFonts w:ascii="Times New Roman" w:cs="Times New Roman" w:eastAsia="Times New Roman" w:hAnsi="Times New Roman"/>
          <w:sz w:val="19"/>
          <w:szCs w:val="19"/>
          <w:color w:val="auto"/>
        </w:rPr>
        <w:t>. Upon the occurrence of a Change in Control Event that does not also constitute a Reorganization Event, except to the extent specifically provided to the contrary in the instrument</w:t>
      </w:r>
    </w:p>
    <w:p>
      <w:pPr>
        <w:ind w:right="20"/>
        <w:spacing w:after="0" w:line="285"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evidencing any Award other than Restricted Stock or any other agreement between a Participant and the Company, and notwithstanding anything to the contrary in the Plan, the vesting schedule of such award shall be accelerated in part so that one-half of the number of shares that would otherwise have first become vested on any date after the date of the Change in Control Event shall immediately become vested and/or exercisable. The remaining one-half of such number of shares shall continue to become vested in accordance with the original vesting schedule set forth in such Award other than Restricted Stock, with one-half of the number of shares that would otherwise have become vested on each subsequent vesting date in accordance with the original schedule becoming vested on each such subsequent vesting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each such Award other than Restricted Stock shall be immediately vested and/or exercisable in full if, on or prior to the first anniversary of the date of the consummation of the Change in Control Event, the Participant’s employment with the Company or the acquiring or succeeding corporation is terminated for Good Reason by the Participant or is terminated without Cause by the Company or the acquiring or succeeding corporation.</w:t>
      </w:r>
    </w:p>
    <w:p>
      <w:pPr>
        <w:spacing w:after="0" w:line="131"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on Awards of Restricted Stock</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right="360" w:firstLine="1952"/>
        <w:spacing w:after="0" w:line="304" w:lineRule="auto"/>
        <w:tabs>
          <w:tab w:leader="none" w:pos="2583"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Reorganization Event</w:t>
      </w:r>
      <w:r>
        <w:rPr>
          <w:rFonts w:ascii="Times New Roman" w:cs="Times New Roman" w:eastAsia="Times New Roman" w:hAnsi="Times New Roman"/>
          <w:sz w:val="19"/>
          <w:szCs w:val="19"/>
          <w:color w:val="auto"/>
        </w:rPr>
        <w:t>. Upon the occurrence of a Reorganization Event (regardless of whether such event also constitutes a Change in Control Event), the repurchase and other rights of the Company under each outstanding Award of Restricted</w:t>
      </w:r>
    </w:p>
    <w:p>
      <w:pPr>
        <w:ind w:right="60"/>
        <w:spacing w:after="0" w:line="29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Stock shall inure to the benefit of the Company’s successor and shall apply to the cash, securities or other property which the Common Stock was converted into or exchanged for pursuant to such Reorganization Event in the same manner and to the same extent as they applied to such Award of Restricted Stock.</w:t>
      </w:r>
    </w:p>
    <w:p>
      <w:pPr>
        <w:spacing w:after="0" w:line="121" w:lineRule="exact"/>
        <w:rPr>
          <w:rFonts w:ascii="Times New Roman" w:cs="Times New Roman" w:eastAsia="Times New Roman" w:hAnsi="Times New Roman"/>
          <w:sz w:val="19"/>
          <w:szCs w:val="19"/>
          <w:color w:val="auto"/>
        </w:rPr>
      </w:pPr>
    </w:p>
    <w:p>
      <w:pPr>
        <w:ind w:right="100" w:firstLine="1952"/>
        <w:spacing w:after="0" w:line="286" w:lineRule="auto"/>
        <w:tabs>
          <w:tab w:leader="none" w:pos="2586"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 Event</w:t>
      </w:r>
      <w:r>
        <w:rPr>
          <w:rFonts w:ascii="Times New Roman" w:cs="Times New Roman" w:eastAsia="Times New Roman" w:hAnsi="Times New Roman"/>
          <w:sz w:val="20"/>
          <w:szCs w:val="20"/>
          <w:color w:val="auto"/>
        </w:rPr>
        <w:t>. Upon the occurrence of a Change in Control Event (regardless of whether such event also constitutes a Reorganization Event), except to the extent specifically provided to the contrary in the instrument evidencing any Award of Restricted Stock or any other agreement between a Participant and the Company, and notwithstanding anything to the contrary in the Plan, the vesting schedule of all Awards of Restricted Stock shall be accelerated in part so that one-half of the number of shares that would otherwise have first become free from conditions or restrictions on any date after the date of the Change in Control Event shall immediately become free from conditions or restrictions. Subject to the following sentence, the remaining one-half of such number of shares shall continue to become free from conditions or restrictions in accordance with the original schedule set forth in such Award, with one-half of the number of shares that would otherwise have become free from conditions or restrictions on each subsequent vesting date in accordance with the original schedule becoming free from conditions or restrictions on each subsequent vesting date. In addition, each such Award shall immediately become free from all conditions or restrictions if, on or prior</w:t>
      </w:r>
    </w:p>
    <w:p>
      <w:pPr>
        <w:sectPr>
          <w:pgSz w:w="11900" w:h="16838" w:orient="portrait"/>
          <w:cols w:equalWidth="0" w:num="1">
            <w:col w:w="11240"/>
          </w:cols>
          <w:pgMar w:left="320" w:top="1440" w:right="339" w:bottom="1440" w:gutter="0" w:footer="0" w:header="0"/>
        </w:sectPr>
      </w:pPr>
    </w:p>
    <w:bookmarkStart w:id="17" w:name="page18"/>
    <w:bookmarkEnd w:id="17"/>
    <w:p>
      <w:pPr>
        <w:jc w:val="both"/>
        <w:ind w:right="120"/>
        <w:spacing w:after="0" w:line="296" w:lineRule="auto"/>
        <w:rPr>
          <w:sz w:val="20"/>
          <w:szCs w:val="20"/>
          <w:color w:val="auto"/>
        </w:rPr>
      </w:pPr>
      <w:r>
        <w:rPr>
          <w:rFonts w:ascii="Times New Roman" w:cs="Times New Roman" w:eastAsia="Times New Roman" w:hAnsi="Times New Roman"/>
          <w:sz w:val="20"/>
          <w:szCs w:val="20"/>
          <w:color w:val="auto"/>
        </w:rPr>
        <w:t>to the first anniversary of the date of the consummation of the Change in Control Event, the Participant’s employment with the Company or the acquiring or succeeding corporation is terminated for Good Reason by the Participant or is terminated without Cause by the Company or the acquiring or succeeding corporation.</w:t>
      </w:r>
    </w:p>
    <w:p>
      <w:pPr>
        <w:spacing w:after="0" w:line="121" w:lineRule="exact"/>
        <w:rPr>
          <w:sz w:val="20"/>
          <w:szCs w:val="20"/>
          <w:color w:val="auto"/>
        </w:rPr>
      </w:pPr>
    </w:p>
    <w:p>
      <w:pPr>
        <w:ind w:left="440" w:hanging="432"/>
        <w:spacing w:after="0"/>
        <w:tabs>
          <w:tab w:leader="none" w:pos="4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Provisions Applicable to Awards</w:t>
      </w:r>
    </w:p>
    <w:p>
      <w:pPr>
        <w:spacing w:after="0" w:line="175" w:lineRule="exact"/>
        <w:rPr>
          <w:rFonts w:ascii="Times New Roman" w:cs="Times New Roman" w:eastAsia="Times New Roman" w:hAnsi="Times New Roman"/>
          <w:sz w:val="20"/>
          <w:szCs w:val="20"/>
          <w:color w:val="auto"/>
        </w:rPr>
      </w:pPr>
    </w:p>
    <w:p>
      <w:pPr>
        <w:ind w:firstLine="646"/>
        <w:spacing w:after="0" w:line="251" w:lineRule="auto"/>
        <w:tabs>
          <w:tab w:leader="none" w:pos="129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 of Awards</w:t>
      </w:r>
      <w:r>
        <w:rPr>
          <w:rFonts w:ascii="Times New Roman" w:cs="Times New Roman" w:eastAsia="Times New Roman" w:hAnsi="Times New Roman"/>
          <w:sz w:val="20"/>
          <w:szCs w:val="20"/>
          <w:color w:val="auto"/>
        </w:rPr>
        <w:t xml:space="preserve">. Awards shall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except with respect to Awards subject to Section 409A, the Board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for the registration of the sale of the Common Stock subject to such Award to such proposed transferee;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the Company shall not be required to recognize any such permitted transfer until such time as such permitted transferee shall,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11(a) shall be deemed to restrict a transfer to the Company.</w:t>
      </w:r>
    </w:p>
    <w:p>
      <w:pPr>
        <w:spacing w:after="0" w:line="124" w:lineRule="exact"/>
        <w:rPr>
          <w:rFonts w:ascii="Times New Roman" w:cs="Times New Roman" w:eastAsia="Times New Roman" w:hAnsi="Times New Roman"/>
          <w:sz w:val="20"/>
          <w:szCs w:val="20"/>
          <w:color w:val="auto"/>
        </w:rPr>
      </w:pPr>
    </w:p>
    <w:p>
      <w:pPr>
        <w:jc w:val="both"/>
        <w:ind w:right="100" w:firstLine="646"/>
        <w:spacing w:after="0" w:line="268" w:lineRule="auto"/>
        <w:tabs>
          <w:tab w:leader="none" w:pos="1287"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Documentation</w:t>
      </w:r>
      <w:r>
        <w:rPr>
          <w:rFonts w:ascii="Times New Roman" w:cs="Times New Roman" w:eastAsia="Times New Roman" w:hAnsi="Times New Roman"/>
          <w:sz w:val="20"/>
          <w:szCs w:val="20"/>
          <w:color w:val="auto"/>
        </w:rPr>
        <w:t>. Each Award shall be evidenced in such form (written, electronic or otherwise) as the Board shall determine. Each Award may contain terms and conditions in addition to those set forth in the Plan. In the event of any conflict between the terms of any Award agreement and this Plan, this Plan shall govern and control.</w:t>
      </w:r>
    </w:p>
    <w:p>
      <w:pPr>
        <w:spacing w:after="0" w:line="107" w:lineRule="exact"/>
        <w:rPr>
          <w:rFonts w:ascii="Times New Roman" w:cs="Times New Roman" w:eastAsia="Times New Roman" w:hAnsi="Times New Roman"/>
          <w:sz w:val="20"/>
          <w:szCs w:val="20"/>
          <w:color w:val="auto"/>
        </w:rPr>
      </w:pPr>
    </w:p>
    <w:p>
      <w:pPr>
        <w:ind w:right="20" w:firstLine="646"/>
        <w:spacing w:after="0" w:line="258" w:lineRule="auto"/>
        <w:tabs>
          <w:tab w:leader="none" w:pos="129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Status</w:t>
      </w:r>
      <w:r>
        <w:rPr>
          <w:rFonts w:ascii="Times New Roman" w:cs="Times New Roman" w:eastAsia="Times New Roman" w:hAnsi="Times New Roman"/>
          <w:sz w:val="20"/>
          <w:szCs w:val="20"/>
          <w:color w:val="auto"/>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or receive any benefits, under an Award.</w:t>
      </w:r>
    </w:p>
    <w:p>
      <w:pPr>
        <w:spacing w:after="0" w:line="131" w:lineRule="exact"/>
        <w:rPr>
          <w:rFonts w:ascii="Times New Roman" w:cs="Times New Roman" w:eastAsia="Times New Roman" w:hAnsi="Times New Roman"/>
          <w:sz w:val="20"/>
          <w:szCs w:val="20"/>
          <w:color w:val="auto"/>
        </w:rPr>
      </w:pPr>
    </w:p>
    <w:p>
      <w:pPr>
        <w:ind w:right="20" w:firstLine="646"/>
        <w:spacing w:after="0" w:line="249" w:lineRule="auto"/>
        <w:tabs>
          <w:tab w:leader="none" w:pos="1287"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xml:space="preserve">. The Participant must satisfy all applicable U.S. or non-U.S. federal, state, and local or other income and employment tax withholding obligations before the Company will deliver shares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a Participant may satisfy the tax obligations in whole or in part by delivery (either by actual delivery or attestation) of shares of Common Stock, including shares retained from the Award creating the tax obligation, valued at their fair market value (valued in the manner determined by (or in a manner approved by) the Company);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except as otherwise provided by the Board, that the total tax withholding where stock is being used to satisfy such tax obligations cannot exceed the Company’s minimum statutory withholding obligations (based on minimum statutory withholding rates for U.S. federal and state tax purposes, including payroll taxes, that are applicable to such supplemental taxable income for U.S. taxpayers), except that, to the extent that the Company is able to retain shares of Common Stock having a fair market value (determined by, or in a manner approved by, the Company) that exceeds the statutory</w:t>
      </w:r>
    </w:p>
    <w:p>
      <w:pPr>
        <w:sectPr>
          <w:pgSz w:w="11900" w:h="16838" w:orient="portrait"/>
          <w:cols w:equalWidth="0" w:num="1">
            <w:col w:w="11240"/>
          </w:cols>
          <w:pgMar w:left="320" w:top="1440" w:right="339" w:bottom="1440" w:gutter="0" w:footer="0" w:header="0"/>
        </w:sectPr>
      </w:pPr>
    </w:p>
    <w:bookmarkStart w:id="18" w:name="page19"/>
    <w:bookmarkEnd w:id="18"/>
    <w:p>
      <w:pPr>
        <w:ind w:right="80"/>
        <w:spacing w:after="0" w:line="253" w:lineRule="auto"/>
        <w:rPr>
          <w:sz w:val="20"/>
          <w:szCs w:val="20"/>
          <w:color w:val="auto"/>
        </w:rPr>
      </w:pPr>
      <w:r>
        <w:rPr>
          <w:rFonts w:ascii="Times New Roman" w:cs="Times New Roman" w:eastAsia="Times New Roman" w:hAnsi="Times New Roman"/>
          <w:sz w:val="20"/>
          <w:szCs w:val="20"/>
          <w:color w:val="auto"/>
        </w:rPr>
        <w:t>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by, or in a manner approved by, the Company)) as the Company shall determine in its sole discretion to satisfy the tax liability associated with any Award. Shares used to satisfy tax withholding requirements cannot be subject to any repurchase, forfeiture, unfulfilled vesting or other similar requirements.</w:t>
      </w:r>
    </w:p>
    <w:p>
      <w:pPr>
        <w:spacing w:after="0" w:line="138" w:lineRule="exact"/>
        <w:rPr>
          <w:sz w:val="20"/>
          <w:szCs w:val="20"/>
          <w:color w:val="auto"/>
        </w:rPr>
      </w:pPr>
    </w:p>
    <w:p>
      <w:pPr>
        <w:ind w:right="120" w:firstLine="646"/>
        <w:spacing w:after="0" w:line="253" w:lineRule="auto"/>
        <w:tabs>
          <w:tab w:leader="none" w:pos="129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of Award</w:t>
      </w:r>
      <w:r>
        <w:rPr>
          <w:rFonts w:ascii="Times New Roman" w:cs="Times New Roman" w:eastAsia="Times New Roman" w:hAnsi="Times New Roman"/>
          <w:sz w:val="20"/>
          <w:szCs w:val="20"/>
          <w:color w:val="auto"/>
        </w:rPr>
        <w:t>. Except as otherwise provided in Sections 5(g) and 6(e) related to repricings, 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does not materially and adversely affect the Participant’s rights under the Plan or (ii) the change is permitted under Section 10 or is required to facilitate compliance with applicable law.</w:t>
      </w:r>
    </w:p>
    <w:p>
      <w:pPr>
        <w:spacing w:after="0" w:line="138" w:lineRule="exact"/>
        <w:rPr>
          <w:rFonts w:ascii="Times New Roman" w:cs="Times New Roman" w:eastAsia="Times New Roman" w:hAnsi="Times New Roman"/>
          <w:sz w:val="20"/>
          <w:szCs w:val="20"/>
          <w:color w:val="auto"/>
        </w:rPr>
      </w:pPr>
    </w:p>
    <w:p>
      <w:pPr>
        <w:ind w:firstLine="646"/>
        <w:spacing w:after="0" w:line="251" w:lineRule="auto"/>
        <w:tabs>
          <w:tab w:leader="none" w:pos="1295"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on Delivery of Stock; Form of Delivery</w:t>
      </w:r>
      <w:r>
        <w:rPr>
          <w:rFonts w:ascii="Times New Roman" w:cs="Times New Roman" w:eastAsia="Times New Roman" w:hAnsi="Times New Roman"/>
          <w:sz w:val="20"/>
          <w:szCs w:val="20"/>
          <w:color w:val="auto"/>
        </w:rPr>
        <w:t>. The Company will not be obligated to deliver any shares of Common Stock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 The form of delivery of any shares of Common Stock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stock certificate or electronic or bookkeeping entry evidencing such shares) shall be determined by the Company in its discretion.</w:t>
      </w:r>
    </w:p>
    <w:p>
      <w:pPr>
        <w:spacing w:after="0" w:line="127" w:lineRule="exact"/>
        <w:rPr>
          <w:rFonts w:ascii="Times New Roman" w:cs="Times New Roman" w:eastAsia="Times New Roman" w:hAnsi="Times New Roman"/>
          <w:sz w:val="20"/>
          <w:szCs w:val="20"/>
          <w:color w:val="auto"/>
        </w:rPr>
      </w:pPr>
    </w:p>
    <w:p>
      <w:pPr>
        <w:ind w:right="140" w:firstLine="646"/>
        <w:spacing w:after="0" w:line="283" w:lineRule="auto"/>
        <w:tabs>
          <w:tab w:leader="none" w:pos="1287"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Acceleration</w:t>
      </w:r>
      <w:r>
        <w:rPr>
          <w:rFonts w:ascii="Times New Roman" w:cs="Times New Roman" w:eastAsia="Times New Roman" w:hAnsi="Times New Roman"/>
          <w:sz w:val="20"/>
          <w:szCs w:val="20"/>
          <w:color w:val="auto"/>
        </w:rPr>
        <w:t>. The Board may at any time provide that any Award shall become immediately exercisable in whole or in part, free from some or all restrictions or conditions or otherwise realizable in whole or in part, as the case may be.</w:t>
      </w:r>
    </w:p>
    <w:p>
      <w:pPr>
        <w:spacing w:after="0" w:line="119"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p>
    <w:p>
      <w:pPr>
        <w:spacing w:after="0" w:line="188" w:lineRule="exact"/>
        <w:rPr>
          <w:rFonts w:ascii="Times New Roman" w:cs="Times New Roman" w:eastAsia="Times New Roman" w:hAnsi="Times New Roman"/>
          <w:sz w:val="20"/>
          <w:szCs w:val="20"/>
          <w:color w:val="auto"/>
        </w:rPr>
      </w:pPr>
    </w:p>
    <w:p>
      <w:pPr>
        <w:ind w:firstLine="646"/>
        <w:spacing w:after="0" w:line="254" w:lineRule="auto"/>
        <w:tabs>
          <w:tab w:leader="none" w:pos="129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Employment or Other Status</w:t>
      </w:r>
      <w:r>
        <w:rPr>
          <w:rFonts w:ascii="Times New Roman" w:cs="Times New Roman" w:eastAsia="Times New Roman" w:hAnsi="Times New Roman"/>
          <w:sz w:val="20"/>
          <w:szCs w:val="20"/>
          <w:color w:val="auto"/>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33" w:lineRule="exact"/>
        <w:rPr>
          <w:rFonts w:ascii="Times New Roman" w:cs="Times New Roman" w:eastAsia="Times New Roman" w:hAnsi="Times New Roman"/>
          <w:sz w:val="20"/>
          <w:szCs w:val="20"/>
          <w:color w:val="auto"/>
        </w:rPr>
      </w:pPr>
    </w:p>
    <w:p>
      <w:pPr>
        <w:ind w:right="100" w:firstLine="646"/>
        <w:spacing w:after="0" w:line="258" w:lineRule="auto"/>
        <w:tabs>
          <w:tab w:leader="none" w:pos="1287"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As Stockholder; Clawback</w:t>
      </w:r>
      <w:r>
        <w:rPr>
          <w:rFonts w:ascii="Times New Roman" w:cs="Times New Roman" w:eastAsia="Times New Roman" w:hAnsi="Times New Roman"/>
          <w:sz w:val="20"/>
          <w:szCs w:val="20"/>
          <w:color w:val="auto"/>
        </w:rPr>
        <w:t>. Subject to the provisions of the applicable Award, no Participant or Designated Beneficiary shall have any rights as a stockholder with respect to any shares of Common Stock to be issued with respect to an Award until becoming the record holder of such shares. In accepting an Award under the Plan, the Participant agrees to be bound by any clawback policy that the Company has in effect or may adopt in the future.</w:t>
      </w:r>
    </w:p>
    <w:p>
      <w:pPr>
        <w:spacing w:after="0" w:line="118" w:lineRule="exact"/>
        <w:rPr>
          <w:rFonts w:ascii="Times New Roman" w:cs="Times New Roman" w:eastAsia="Times New Roman" w:hAnsi="Times New Roman"/>
          <w:sz w:val="20"/>
          <w:szCs w:val="20"/>
          <w:color w:val="auto"/>
        </w:rPr>
      </w:pPr>
    </w:p>
    <w:p>
      <w:pPr>
        <w:jc w:val="both"/>
        <w:ind w:right="180" w:firstLine="646"/>
        <w:spacing w:after="0" w:line="261" w:lineRule="auto"/>
        <w:tabs>
          <w:tab w:leader="none" w:pos="129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Original Effective Date and Term of Plan</w:t>
      </w:r>
      <w:r>
        <w:rPr>
          <w:rFonts w:ascii="Times New Roman" w:cs="Times New Roman" w:eastAsia="Times New Roman" w:hAnsi="Times New Roman"/>
          <w:sz w:val="20"/>
          <w:szCs w:val="20"/>
          <w:color w:val="auto"/>
        </w:rPr>
        <w:t>. The Plan originally became effective on the Original Effective Date. No Awards shall be granted under the Plan after the expiration of 10 years from the Original Effective Date, but Awards previously granted may extend beyond that date.</w:t>
      </w:r>
    </w:p>
    <w:p>
      <w:pPr>
        <w:spacing w:after="0" w:line="127" w:lineRule="exact"/>
        <w:rPr>
          <w:rFonts w:ascii="Times New Roman" w:cs="Times New Roman" w:eastAsia="Times New Roman" w:hAnsi="Times New Roman"/>
          <w:sz w:val="20"/>
          <w:szCs w:val="20"/>
          <w:color w:val="auto"/>
        </w:rPr>
      </w:pPr>
    </w:p>
    <w:p>
      <w:pPr>
        <w:ind w:left="1300" w:hanging="654"/>
        <w:spacing w:after="0"/>
        <w:tabs>
          <w:tab w:leader="none" w:pos="130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of Plan</w:t>
      </w:r>
      <w:r>
        <w:rPr>
          <w:rFonts w:ascii="Times New Roman" w:cs="Times New Roman" w:eastAsia="Times New Roman" w:hAnsi="Times New Roman"/>
          <w:sz w:val="20"/>
          <w:szCs w:val="20"/>
          <w:color w:val="auto"/>
        </w:rPr>
        <w:t>. The Board may amend, suspend or terminate the Plan or any portion thereof at any time provided that</w:t>
      </w:r>
    </w:p>
    <w:p>
      <w:pPr>
        <w:spacing w:after="0" w:line="28" w:lineRule="exact"/>
        <w:rPr>
          <w:rFonts w:ascii="Times New Roman" w:cs="Times New Roman" w:eastAsia="Times New Roman" w:hAnsi="Times New Roman"/>
          <w:sz w:val="20"/>
          <w:szCs w:val="20"/>
          <w:color w:val="auto"/>
        </w:rPr>
      </w:pPr>
    </w:p>
    <w:p>
      <w:pPr>
        <w:ind w:right="680"/>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neither Section 5(g) nor 6(e) requiring stockholder approval of any Option or SAR repricing may be amended without stockholder approval; (ii) no amendment that would require stockholder</w:t>
      </w:r>
    </w:p>
    <w:p>
      <w:pPr>
        <w:sectPr>
          <w:pgSz w:w="11900" w:h="16838" w:orient="portrait"/>
          <w:cols w:equalWidth="0" w:num="1">
            <w:col w:w="11240"/>
          </w:cols>
          <w:pgMar w:left="320" w:top="1413" w:right="339" w:bottom="1440" w:gutter="0" w:footer="0" w:header="0"/>
        </w:sectPr>
      </w:pPr>
    </w:p>
    <w:bookmarkStart w:id="19" w:name="page20"/>
    <w:bookmarkEnd w:id="19"/>
    <w:p>
      <w:pPr>
        <w:ind w:right="140"/>
        <w:spacing w:after="0" w:line="265" w:lineRule="auto"/>
        <w:rPr>
          <w:sz w:val="20"/>
          <w:szCs w:val="20"/>
          <w:color w:val="auto"/>
        </w:rPr>
      </w:pPr>
      <w:r>
        <w:rPr>
          <w:rFonts w:ascii="Times New Roman" w:cs="Times New Roman" w:eastAsia="Times New Roman" w:hAnsi="Times New Roman"/>
          <w:sz w:val="19"/>
          <w:szCs w:val="19"/>
          <w:color w:val="auto"/>
        </w:rPr>
        <w:t>approval under the rules of the national securities exchange on which the Company then maintains its primary listing may be made effective unless and until the Company’s stockholders approve such amendment; and (iii) if the national securities exchange on which the Company then maintains its primary listing does not have rules regarding when stockholder approval of amendments to equity compensation plans is required (or if the Company’s Common Stock is not then listed on any national securities exchange), then no amendment to the Plan</w:t>
      </w:r>
    </w:p>
    <w:p>
      <w:pPr>
        <w:spacing w:after="0" w:line="2" w:lineRule="exact"/>
        <w:rPr>
          <w:sz w:val="20"/>
          <w:szCs w:val="20"/>
          <w:color w:val="auto"/>
        </w:rPr>
      </w:pPr>
    </w:p>
    <w:p>
      <w:pPr>
        <w:ind w:right="20" w:firstLine="8"/>
        <w:spacing w:after="0" w:line="249" w:lineRule="auto"/>
        <w:tabs>
          <w:tab w:leader="none" w:pos="32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materially increasing the number of shares authorized under the Plan (other than pursuant to Section 4(c) or 10), (B) expanding the types of Awards that may be granted under the Plan, or (C) materially expanding the class of participants eligible to participate in the Plan shall be effective unless and until the Company’s stockholders approve such amendment.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12(d)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 or is required to facilitate compliance with applicable law. No Award shall be made that is conditioned upon stockholder approval of any amendment to the Plan unless the Award provides that (i) it will terminate or be forfeited if stockholder approval of such amendment is not obtained within no more than 12 months from the date of grant and (2) it may not be exercised or settled (or otherwise result in the issuance of Common Stock) prior to such stockholder approval.</w:t>
      </w:r>
    </w:p>
    <w:p>
      <w:pPr>
        <w:spacing w:after="0" w:line="138" w:lineRule="exact"/>
        <w:rPr>
          <w:rFonts w:ascii="Times New Roman" w:cs="Times New Roman" w:eastAsia="Times New Roman" w:hAnsi="Times New Roman"/>
          <w:sz w:val="20"/>
          <w:szCs w:val="20"/>
          <w:color w:val="auto"/>
        </w:rPr>
      </w:pPr>
    </w:p>
    <w:p>
      <w:pPr>
        <w:ind w:right="40" w:firstLine="646"/>
        <w:spacing w:after="0" w:line="251" w:lineRule="auto"/>
        <w:tabs>
          <w:tab w:leader="none" w:pos="129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Authorization of Sub-Plans (including for Grants to non-U.S. Employees)</w:t>
      </w:r>
      <w:r>
        <w:rPr>
          <w:rFonts w:ascii="Times New Roman" w:cs="Times New Roman" w:eastAsia="Times New Roman" w:hAnsi="Times New Roman"/>
          <w:sz w:val="20"/>
          <w:szCs w:val="20"/>
          <w:color w:val="auto"/>
        </w:rPr>
        <w:t>.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138" w:lineRule="exact"/>
        <w:rPr>
          <w:rFonts w:ascii="Times New Roman" w:cs="Times New Roman" w:eastAsia="Times New Roman" w:hAnsi="Times New Roman"/>
          <w:sz w:val="20"/>
          <w:szCs w:val="20"/>
          <w:color w:val="auto"/>
        </w:rPr>
      </w:pPr>
    </w:p>
    <w:p>
      <w:pPr>
        <w:ind w:firstLine="646"/>
        <w:spacing w:after="0" w:line="250" w:lineRule="auto"/>
        <w:tabs>
          <w:tab w:leader="none" w:pos="1295"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Section 409A of the Code</w:t>
      </w:r>
      <w:r>
        <w:rPr>
          <w:rFonts w:ascii="Times New Roman" w:cs="Times New Roman" w:eastAsia="Times New Roman" w:hAnsi="Times New Roman"/>
          <w:sz w:val="20"/>
          <w:szCs w:val="20"/>
          <w:color w:val="auto"/>
        </w:rPr>
        <w:t>. If and to the extent (i) any portion of any payment, compensation or other benefit provided to a Participant pursuant to the Plan in connection with his or her employment termination constitutes “nonqualified deferred compensation” within the meaning of Section 409A and (ii) the Participant is a specified employee as defined in Section 409A(a)(2) (B)(i)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(the “</w:t>
      </w:r>
      <w:r>
        <w:rPr>
          <w:rFonts w:ascii="Times New Roman" w:cs="Times New Roman" w:eastAsia="Times New Roman" w:hAnsi="Times New Roman"/>
          <w:sz w:val="20"/>
          <w:szCs w:val="20"/>
          <w:b w:val="1"/>
          <w:bCs w:val="1"/>
          <w:i w:val="1"/>
          <w:iCs w:val="1"/>
          <w:color w:val="auto"/>
        </w:rPr>
        <w:t>New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Payment Date</w:t>
      </w:r>
      <w:r>
        <w:rPr>
          <w:rFonts w:ascii="Times New Roman" w:cs="Times New Roman" w:eastAsia="Times New Roman" w:hAnsi="Times New Roman"/>
          <w:sz w:val="20"/>
          <w:szCs w:val="20"/>
          <w:color w:val="auto"/>
        </w:rPr>
        <w:t>”), except as Section 409A may then permit. The aggregate of any payments that otherwise would have been paid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Participant during the period between the date of separation from service and the New Payment Date shall be paid to the Participant in a lump sum on such New Payment Date, and any remaining payments will be paid on their original schedule.</w:t>
      </w:r>
    </w:p>
    <w:p>
      <w:pPr>
        <w:spacing w:after="0" w:line="166" w:lineRule="exact"/>
        <w:rPr>
          <w:sz w:val="20"/>
          <w:szCs w:val="20"/>
          <w:color w:val="auto"/>
        </w:rPr>
      </w:pPr>
    </w:p>
    <w:p>
      <w:pPr>
        <w:ind w:right="280" w:firstLine="635"/>
        <w:spacing w:after="0" w:line="296" w:lineRule="auto"/>
        <w:rPr>
          <w:sz w:val="20"/>
          <w:szCs w:val="20"/>
          <w:color w:val="auto"/>
        </w:rPr>
      </w:pPr>
      <w:r>
        <w:rPr>
          <w:rFonts w:ascii="Times New Roman" w:cs="Times New Roman" w:eastAsia="Times New Roman" w:hAnsi="Times New Roman"/>
          <w:sz w:val="20"/>
          <w:szCs w:val="20"/>
          <w:color w:val="auto"/>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but do not satisfy the conditions of that section.</w:t>
      </w:r>
    </w:p>
    <w:p>
      <w:pPr>
        <w:spacing w:after="0" w:line="94" w:lineRule="exact"/>
        <w:rPr>
          <w:sz w:val="20"/>
          <w:szCs w:val="20"/>
          <w:color w:val="auto"/>
        </w:rPr>
      </w:pPr>
    </w:p>
    <w:p>
      <w:pPr>
        <w:ind w:right="520" w:firstLine="646"/>
        <w:spacing w:after="0" w:line="261" w:lineRule="auto"/>
        <w:tabs>
          <w:tab w:leader="none" w:pos="128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 on Liability</w:t>
      </w:r>
      <w:r>
        <w:rPr>
          <w:rFonts w:ascii="Times New Roman" w:cs="Times New Roman" w:eastAsia="Times New Roman" w:hAnsi="Times New Roman"/>
          <w:sz w:val="20"/>
          <w:szCs w:val="20"/>
          <w:color w:val="auto"/>
        </w:rPr>
        <w:t>. Notwithstanding any other provisions of the Plan, no individual acting as a director, officer, employee or agent of the Company will be liable to any Participant, former Participant, spouse, beneficiary, or any other person for any claim, loss, liability, or expense incurred in connection with the</w:t>
      </w:r>
    </w:p>
    <w:p>
      <w:pPr>
        <w:sectPr>
          <w:pgSz w:w="11900" w:h="16838" w:orient="portrait"/>
          <w:cols w:equalWidth="0" w:num="1">
            <w:col w:w="11240"/>
          </w:cols>
          <w:pgMar w:left="320" w:top="1413" w:right="339" w:bottom="1440" w:gutter="0" w:footer="0" w:header="0"/>
        </w:sectPr>
      </w:pPr>
    </w:p>
    <w:bookmarkStart w:id="20" w:name="page21"/>
    <w:bookmarkEnd w:id="20"/>
    <w:p>
      <w:pPr>
        <w:spacing w:after="0" w:line="270" w:lineRule="auto"/>
        <w:rPr>
          <w:sz w:val="20"/>
          <w:szCs w:val="20"/>
          <w:color w:val="auto"/>
        </w:rPr>
      </w:pPr>
      <w:r>
        <w:rPr>
          <w:rFonts w:ascii="Times New Roman" w:cs="Times New Roman" w:eastAsia="Times New Roman" w:hAnsi="Times New Roman"/>
          <w:sz w:val="19"/>
          <w:szCs w:val="19"/>
          <w:color w:val="auto"/>
        </w:rPr>
        <w:t>Plan, nor will such individual be personally liable with respect to the Plan because of any contract or other instrument he or she executes in his or her capacity as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121" w:lineRule="exact"/>
        <w:rPr>
          <w:sz w:val="20"/>
          <w:szCs w:val="20"/>
          <w:color w:val="auto"/>
        </w:rPr>
      </w:pPr>
    </w:p>
    <w:p>
      <w:pPr>
        <w:ind w:right="340" w:firstLine="646"/>
        <w:spacing w:after="0" w:line="261" w:lineRule="auto"/>
        <w:tabs>
          <w:tab w:leader="none" w:pos="1287"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provisions of the Plan and all Awards made hereunder shall be governed by and interpreted in accordance with the laws of the Commonwealth of Massachusetts, excluding choice-of-law principles of the law of such state that would require the application of the laws of a jurisdiction other than the Commonwealth of Massachusetts.</w:t>
      </w:r>
    </w:p>
    <w:sectPr>
      <w:pgSz w:w="11900" w:h="16838" w:orient="portrait"/>
      <w:cols w:equalWidth="0" w:num="1">
        <w:col w:w="11200"/>
      </w:cols>
      <w:pgMar w:left="320" w:top="141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2"/>
    </w:lvl>
  </w:abstractNum>
  <w:abstractNum w:abstractNumId="4">
    <w:nsid w:val="62BBD95A"/>
    <w:multiLevelType w:val="hybridMultilevel"/>
    <w:lvl w:ilvl="0">
      <w:lvlJc w:val="left"/>
      <w:lvlText w:val="%1."/>
      <w:numFmt w:val="decimal"/>
      <w:start w:val="3"/>
    </w:lvl>
    <w:lvl w:ilvl="1">
      <w:lvlJc w:val="left"/>
      <w:lvlText w:val="(%2)"/>
      <w:numFmt w:val="lowerLetter"/>
      <w:start w:val="1"/>
    </w:lvl>
  </w:abstractNum>
  <w:abstractNum w:abstractNumId="5">
    <w:nsid w:val="436C6125"/>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lvl w:ilvl="3">
      <w:lvlJc w:val="left"/>
      <w:lvlText w:val="%4"/>
      <w:numFmt w:val="upperLetter"/>
      <w:start w:val="1"/>
    </w:lvl>
  </w:abstractNum>
  <w:abstractNum w:abstractNumId="6">
    <w:nsid w:val="628C895D"/>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7">
    <w:nsid w:val="333AB105"/>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lvl w:ilvl="3">
      <w:lvlJc w:val="left"/>
      <w:lvlText w:val="(%4)"/>
      <w:numFmt w:val="upperLetter"/>
      <w:start w:val="1"/>
    </w:lvl>
  </w:abstractNum>
  <w:abstractNum w:abstractNumId="8">
    <w:nsid w:val="721DA317"/>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lvl w:ilvl="3">
      <w:lvlJc w:val="left"/>
      <w:lvlText w:val="(%4)"/>
      <w:numFmt w:val="upperLetter"/>
      <w:start w:val="4"/>
    </w:lvl>
  </w:abstractNum>
  <w:abstractNum w:abstractNumId="9">
    <w:nsid w:val="2443A858"/>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0">
    <w:nsid w:val="2D1D5AE9"/>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11">
    <w:nsid w:val="6763845E"/>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lowerLetter"/>
      <w:start w:val="4"/>
    </w:lvl>
    <w:lvl w:ilvl="1">
      <w:lvlJc w:val="left"/>
      <w:lvlText w:val="(%2)"/>
      <w:numFmt w:val="decimal"/>
      <w:start w:val="1"/>
    </w:lvl>
  </w:abstractNum>
  <w:abstractNum w:abstractNumId="14">
    <w:nsid w:val="79838CB2"/>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15">
    <w:nsid w:val="4353D0CD"/>
    <w:multiLevelType w:val="hybridMultilevel"/>
    <w:lvl w:ilvl="0">
      <w:lvlJc w:val="left"/>
      <w:lvlText w:val="(%1)"/>
      <w:numFmt w:val="lowerLetter"/>
      <w:start w:val="35"/>
    </w:lvl>
    <w:lvl w:ilvl="1">
      <w:lvlJc w:val="left"/>
      <w:lvlText w:val="(%2)"/>
      <w:numFmt w:val="lowerLetter"/>
      <w:start w:val="6"/>
    </w:lvl>
    <w:lvl w:ilvl="2">
      <w:lvlJc w:val="left"/>
      <w:lvlText w:val="(%3)"/>
      <w:numFmt w:val="decimal"/>
      <w:start w:val="4"/>
    </w:lvl>
  </w:abstractNum>
  <w:abstractNum w:abstractNumId="16">
    <w:nsid w:val="B03E0C6"/>
    <w:multiLevelType w:val="hybridMultilevel"/>
    <w:lvl w:ilvl="0">
      <w:lvlJc w:val="left"/>
      <w:lvlText w:val="%1."/>
      <w:numFmt w:val="decimal"/>
      <w:start w:val="6"/>
    </w:lvl>
    <w:lvl w:ilvl="1">
      <w:lvlJc w:val="left"/>
      <w:lvlText w:val="(%2)"/>
      <w:numFmt w:val="lowerLetter"/>
      <w:start w:val="1"/>
    </w:lvl>
  </w:abstractNum>
  <w:abstractNum w:abstractNumId="17">
    <w:nsid w:val="189A769B"/>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8">
    <w:nsid w:val="54E49EB4"/>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19">
    <w:nsid w:val="71F324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20">
    <w:nsid w:val="2CA88611"/>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21">
    <w:nsid w:val="836C40E"/>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22">
    <w:nsid w:val="2901D82"/>
    <w:multiLevelType w:val="hybridMultilevel"/>
    <w:lvl w:ilvl="0">
      <w:lvlJc w:val="left"/>
      <w:lvlText w:val="%1."/>
      <w:numFmt w:val="decimal"/>
      <w:start w:val="9"/>
    </w:lvl>
    <w:lvl w:ilvl="1">
      <w:lvlJc w:val="left"/>
      <w:lvlText w:val="(%2)"/>
      <w:numFmt w:val="lowerLetter"/>
      <w:start w:val="1"/>
    </w:lvl>
  </w:abstractNum>
  <w:abstractNum w:abstractNumId="23">
    <w:nsid w:val="3A95F874"/>
    <w:multiLevelType w:val="hybridMultilevel"/>
    <w:lvl w:ilvl="0">
      <w:lvlJc w:val="left"/>
      <w:lvlText w:val="(%1)"/>
      <w:numFmt w:val="lowerLetter"/>
      <w:start w:val="2"/>
    </w:lvl>
    <w:lvl w:ilvl="1">
      <w:lvlJc w:val="left"/>
      <w:lvlText w:val="(%2)"/>
      <w:numFmt w:val="lowerLetter"/>
      <w:start w:val="8"/>
    </w:lvl>
    <w:lvl w:ilvl="2">
      <w:lvlJc w:val="left"/>
      <w:lvlText w:val="(%3)"/>
      <w:numFmt w:val="decimal"/>
      <w:start w:val="1"/>
    </w:lvl>
    <w:lvl w:ilvl="3">
      <w:lvlJc w:val="left"/>
      <w:lvlText w:val="(%4)"/>
      <w:numFmt w:val="lowerLetter"/>
      <w:start w:val="24"/>
    </w:lvl>
    <w:lvl w:ilvl="4">
      <w:lvlJc w:val="left"/>
      <w:lvlText w:val="(%5)"/>
      <w:numFmt w:val="upperLetter"/>
      <w:start w:val="1"/>
    </w:lvl>
  </w:abstractNum>
  <w:abstractNum w:abstractNumId="24">
    <w:nsid w:val="8138641"/>
    <w:multiLevelType w:val="hybridMultilevel"/>
    <w:lvl w:ilvl="0">
      <w:lvlJc w:val="left"/>
      <w:lvlText w:val="(%1)"/>
      <w:numFmt w:val="lowerRoman"/>
      <w:start w:val="2"/>
    </w:lvl>
  </w:abstractNum>
  <w:abstractNum w:abstractNumId="25">
    <w:nsid w:val="1E7FF521"/>
    <w:multiLevelType w:val="hybridMultilevel"/>
    <w:lvl w:ilvl="0">
      <w:lvlJc w:val="left"/>
      <w:lvlText w:val="(%1)"/>
      <w:numFmt w:val="lowerRoman"/>
      <w:start w:val="3"/>
    </w:lvl>
    <w:lvl w:ilvl="1">
      <w:lvlJc w:val="left"/>
      <w:lvlText w:val="(%2)"/>
      <w:numFmt w:val="upperLetter"/>
      <w:start w:val="3"/>
    </w:lvl>
  </w:abstractNum>
  <w:abstractNum w:abstractNumId="26">
    <w:nsid w:val="7C3DBD3D"/>
    <w:multiLevelType w:val="hybridMultilevel"/>
    <w:lvl w:ilvl="0">
      <w:lvlJc w:val="left"/>
      <w:lvlText w:val="(%1)"/>
      <w:numFmt w:val="lowerRoman"/>
      <w:start w:val="1"/>
    </w:lvl>
    <w:lvl w:ilvl="1">
      <w:lvlJc w:val="left"/>
      <w:lvlText w:val="(%2)"/>
      <w:numFmt w:val="decimal"/>
      <w:start w:val="2"/>
    </w:lvl>
    <w:lvl w:ilvl="2">
      <w:lvlJc w:val="left"/>
      <w:lvlText w:val="(%3)"/>
      <w:numFmt w:val="upperLetter"/>
      <w:start w:val="1"/>
    </w:lvl>
  </w:abstractNum>
  <w:abstractNum w:abstractNumId="27">
    <w:nsid w:val="737B8DDC"/>
    <w:multiLevelType w:val="hybridMultilevel"/>
    <w:lvl w:ilvl="0">
      <w:lvlJc w:val="left"/>
      <w:lvlText w:val="%1"/>
      <w:numFmt w:val="decimal"/>
      <w:start w:val="1"/>
    </w:lvl>
    <w:lvl w:ilvl="1">
      <w:lvlJc w:val="left"/>
      <w:lvlText w:val="(%2)"/>
      <w:numFmt w:val="upperLetter"/>
      <w:start w:val="2"/>
    </w:lvl>
  </w:abstractNum>
  <w:abstractNum w:abstractNumId="28">
    <w:nsid w:val="6CEAF087"/>
    <w:multiLevelType w:val="hybridMultilevel"/>
    <w:lvl w:ilvl="0">
      <w:lvlJc w:val="left"/>
      <w:lvlText w:val="(%1)"/>
      <w:numFmt w:val="decimal"/>
      <w:start w:val="3"/>
    </w:lvl>
    <w:lvl w:ilvl="1">
      <w:lvlJc w:val="left"/>
      <w:lvlText w:val="(%2)"/>
      <w:numFmt w:val="upperLetter"/>
      <w:start w:val="1"/>
    </w:lvl>
  </w:abstractNum>
  <w:abstractNum w:abstractNumId="29">
    <w:nsid w:val="22221A70"/>
    <w:multiLevelType w:val="hybridMultilevel"/>
    <w:lvl w:ilvl="0">
      <w:lvlJc w:val="left"/>
      <w:lvlText w:val="%1."/>
      <w:numFmt w:val="decimal"/>
      <w:start w:val="11"/>
    </w:lvl>
    <w:lvl w:ilvl="1">
      <w:lvlJc w:val="left"/>
      <w:lvlText w:val="(%2)"/>
      <w:numFmt w:val="lowerLetter"/>
      <w:start w:val="1"/>
    </w:lvl>
  </w:abstractNum>
  <w:abstractNum w:abstractNumId="30">
    <w:nsid w:val="4516DDE9"/>
    <w:multiLevelType w:val="hybridMultilevel"/>
    <w:lvl w:ilvl="0">
      <w:lvlJc w:val="left"/>
      <w:lvlText w:val="%1"/>
      <w:numFmt w:val="decimal"/>
      <w:start w:val="1"/>
    </w:lvl>
    <w:lvl w:ilvl="1">
      <w:lvlJc w:val="left"/>
      <w:lvlText w:val="(%2)"/>
      <w:numFmt w:val="lowerLetter"/>
      <w:start w:val="5"/>
    </w:lvl>
  </w:abstractNum>
  <w:abstractNum w:abstractNumId="31">
    <w:nsid w:val="3006C83E"/>
    <w:multiLevelType w:val="hybridMultilevel"/>
    <w:lvl w:ilvl="0">
      <w:lvlJc w:val="left"/>
      <w:lvlText w:val="%1."/>
      <w:numFmt w:val="decimal"/>
      <w:start w:val="12"/>
    </w:lvl>
    <w:lvl w:ilvl="1">
      <w:lvlJc w:val="left"/>
      <w:lvlText w:val="(%2)"/>
      <w:numFmt w:val="lowerLetter"/>
      <w:start w:val="1"/>
    </w:lvl>
  </w:abstractNum>
  <w:abstractNum w:abstractNumId="32">
    <w:nsid w:val="614FD4A1"/>
    <w:multiLevelType w:val="hybridMultilevel"/>
    <w:lvl w:ilvl="0">
      <w:lvlJc w:val="left"/>
      <w:lvlText w:val="(%1)"/>
      <w:numFmt w:val="upperLetter"/>
      <w:start w:val="1"/>
    </w:lvl>
    <w:lvl w:ilvl="1">
      <w:lvlJc w:val="left"/>
      <w:lvlText w:val="(%2)"/>
      <w:numFmt w:val="lowerLetter"/>
      <w:start w:val="5"/>
    </w:lvl>
  </w:abstractNum>
  <w:abstractNum w:abstractNumId="33">
    <w:nsid w:val="419AC241"/>
    <w:multiLevelType w:val="hybridMultilevel"/>
    <w:lvl w:ilvl="0">
      <w:lvlJc w:val="left"/>
      <w:lvlText w:val="(%1)"/>
      <w:numFmt w:val="lowerLetter"/>
      <w:start w:val="7"/>
    </w:lvl>
  </w:abstractNum>
  <w:abstractNum w:abstractNumId="34">
    <w:nsid w:val="5577F8E1"/>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2026-03-12T15:38:04Z</dcterms:created>
  <dcterms:modified xsi:type="dcterms:W3CDTF">2026-03-12T15:38:04Z</dcterms:modified>
</cp:coreProperties>
</file>